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166370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205740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November 24, 2025</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33" w:lineRule="exact"/>
        <w:rPr>
          <w:sz w:val="24"/>
          <w:szCs w:val="24"/>
          <w:color w:val="auto"/>
        </w:rPr>
      </w:pPr>
    </w:p>
    <w:tbl>
      <w:tblPr>
        <w:tblLayout w:type="fixed"/>
        <w:tblInd w:w="840" w:type="dxa"/>
        <w:tblCellMar>
          <w:top w:w="0" w:type="dxa"/>
          <w:left w:w="0" w:type="dxa"/>
          <w:bottom w:w="0" w:type="dxa"/>
          <w:right w:w="0" w:type="dxa"/>
        </w:tblCellMar>
      </w:tblPr>
      <w:tr>
        <w:trPr>
          <w:trHeight w:val="247"/>
        </w:trPr>
        <w:tc>
          <w:tcPr>
            <w:tcW w:w="4300" w:type="dxa"/>
            <w:vAlign w:val="bottom"/>
          </w:tcPr>
          <w:p>
            <w:pPr>
              <w:jc w:val="center"/>
              <w:ind w:right="481"/>
              <w:spacing w:after="0"/>
              <w:rPr>
                <w:sz w:val="20"/>
                <w:szCs w:val="20"/>
                <w:color w:val="auto"/>
              </w:rPr>
            </w:pPr>
            <w:r>
              <w:rPr>
                <w:rFonts w:ascii="Arial" w:cs="Arial" w:eastAsia="Arial" w:hAnsi="Arial"/>
                <w:sz w:val="18"/>
                <w:szCs w:val="18"/>
                <w:b w:val="1"/>
                <w:bCs w:val="1"/>
                <w:color w:val="auto"/>
                <w:w w:val="98"/>
              </w:rPr>
              <w:t>Delaware</w:t>
            </w:r>
          </w:p>
        </w:tc>
        <w:tc>
          <w:tcPr>
            <w:tcW w:w="2400" w:type="dxa"/>
            <w:vAlign w:val="bottom"/>
          </w:tcPr>
          <w:p>
            <w:pPr>
              <w:jc w:val="center"/>
              <w:ind w:right="302"/>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90"/>
        </w:trPr>
        <w:tc>
          <w:tcPr>
            <w:tcW w:w="4300" w:type="dxa"/>
            <w:vAlign w:val="bottom"/>
          </w:tcPr>
          <w:p>
            <w:pPr>
              <w:jc w:val="center"/>
              <w:ind w:right="481"/>
              <w:spacing w:after="0"/>
              <w:rPr>
                <w:sz w:val="20"/>
                <w:szCs w:val="20"/>
                <w:color w:val="auto"/>
              </w:rPr>
            </w:pPr>
            <w:r>
              <w:rPr>
                <w:rFonts w:ascii="Arial" w:cs="Arial" w:eastAsia="Arial" w:hAnsi="Arial"/>
                <w:sz w:val="14"/>
                <w:szCs w:val="14"/>
                <w:b w:val="1"/>
                <w:bCs w:val="1"/>
                <w:color w:val="auto"/>
              </w:rPr>
              <w:t>(State or other jurisdiction of</w:t>
            </w:r>
          </w:p>
        </w:tc>
        <w:tc>
          <w:tcPr>
            <w:tcW w:w="2400" w:type="dxa"/>
            <w:vAlign w:val="bottom"/>
          </w:tcPr>
          <w:p>
            <w:pPr>
              <w:jc w:val="center"/>
              <w:ind w:right="282"/>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300" w:type="dxa"/>
            <w:vAlign w:val="bottom"/>
          </w:tcPr>
          <w:p>
            <w:pPr>
              <w:jc w:val="center"/>
              <w:ind w:right="481"/>
              <w:spacing w:after="0"/>
              <w:rPr>
                <w:sz w:val="20"/>
                <w:szCs w:val="20"/>
                <w:color w:val="auto"/>
              </w:rPr>
            </w:pPr>
            <w:r>
              <w:rPr>
                <w:rFonts w:ascii="Arial" w:cs="Arial" w:eastAsia="Arial" w:hAnsi="Arial"/>
                <w:sz w:val="14"/>
                <w:szCs w:val="14"/>
                <w:b w:val="1"/>
                <w:bCs w:val="1"/>
                <w:color w:val="auto"/>
              </w:rPr>
              <w:t>incorporation)</w:t>
            </w:r>
          </w:p>
        </w:tc>
        <w:tc>
          <w:tcPr>
            <w:tcW w:w="2400" w:type="dxa"/>
            <w:vAlign w:val="bottom"/>
          </w:tcPr>
          <w:p>
            <w:pPr>
              <w:jc w:val="center"/>
              <w:ind w:right="282"/>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Identification No.)</w:t>
            </w:r>
          </w:p>
        </w:tc>
      </w:tr>
      <w:tr>
        <w:trPr>
          <w:trHeight w:val="531"/>
        </w:trPr>
        <w:tc>
          <w:tcPr>
            <w:tcW w:w="4300" w:type="dxa"/>
            <w:vAlign w:val="bottom"/>
          </w:tcPr>
          <w:p>
            <w:pPr>
              <w:jc w:val="center"/>
              <w:ind w:right="481"/>
              <w:spacing w:after="0"/>
              <w:rPr>
                <w:sz w:val="20"/>
                <w:szCs w:val="20"/>
                <w:color w:val="auto"/>
              </w:rPr>
            </w:pPr>
            <w:r>
              <w:rPr>
                <w:rFonts w:ascii="Arial" w:cs="Arial" w:eastAsia="Arial" w:hAnsi="Arial"/>
                <w:sz w:val="18"/>
                <w:szCs w:val="18"/>
                <w:b w:val="1"/>
                <w:bCs w:val="1"/>
                <w:color w:val="auto"/>
                <w:w w:val="99"/>
              </w:rPr>
              <w:t>1812 North Moore Street, Arlington, Virginia</w:t>
            </w:r>
          </w:p>
        </w:tc>
        <w:tc>
          <w:tcPr>
            <w:tcW w:w="2400" w:type="dxa"/>
            <w:vAlign w:val="bottom"/>
          </w:tcPr>
          <w:p>
            <w:pPr>
              <w:spacing w:after="0"/>
              <w:rPr>
                <w:sz w:val="24"/>
                <w:szCs w:val="24"/>
                <w:color w:val="auto"/>
              </w:rPr>
            </w:pPr>
          </w:p>
        </w:tc>
        <w:tc>
          <w:tcPr>
            <w:tcW w:w="21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16"/>
        </w:trPr>
        <w:tc>
          <w:tcPr>
            <w:tcW w:w="4300" w:type="dxa"/>
            <w:vAlign w:val="bottom"/>
          </w:tcPr>
          <w:p>
            <w:pPr>
              <w:jc w:val="center"/>
              <w:ind w:right="481"/>
              <w:spacing w:after="0"/>
              <w:rPr>
                <w:sz w:val="20"/>
                <w:szCs w:val="20"/>
                <w:color w:val="auto"/>
              </w:rPr>
            </w:pPr>
            <w:r>
              <w:rPr>
                <w:rFonts w:ascii="Arial" w:cs="Arial" w:eastAsia="Arial" w:hAnsi="Arial"/>
                <w:sz w:val="14"/>
                <w:szCs w:val="14"/>
                <w:b w:val="1"/>
                <w:bCs w:val="1"/>
                <w:color w:val="auto"/>
              </w:rPr>
              <w:t>(Address of principal executive offices)</w:t>
            </w:r>
          </w:p>
        </w:tc>
        <w:tc>
          <w:tcPr>
            <w:tcW w:w="2400" w:type="dxa"/>
            <w:vAlign w:val="bottom"/>
          </w:tcPr>
          <w:p>
            <w:pPr>
              <w:spacing w:after="0"/>
              <w:rPr>
                <w:sz w:val="18"/>
                <w:szCs w:val="18"/>
                <w:color w:val="auto"/>
              </w:rPr>
            </w:pP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(Zip Code)</w:t>
            </w:r>
          </w:p>
        </w:tc>
      </w:tr>
    </w:tbl>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135255</wp:posOffset>
            </wp:positionV>
            <wp:extent cx="4869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28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18"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8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428"/>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15"/>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03" w:lineRule="exact"/>
        <w:rPr>
          <w:sz w:val="24"/>
          <w:szCs w:val="24"/>
          <w:color w:val="auto"/>
        </w:rPr>
      </w:pPr>
    </w:p>
    <w:p>
      <w:pPr>
        <w:ind w:right="58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15"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0" w:lineRule="exact"/>
        <w:rPr>
          <w:sz w:val="24"/>
          <w:szCs w:val="24"/>
          <w:color w:val="auto"/>
        </w:rPr>
      </w:pPr>
    </w:p>
    <w:p>
      <w:pPr>
        <w:ind w:right="12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775335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1.01</w:t>
      </w:r>
      <w:r>
        <w:rPr>
          <w:sz w:val="20"/>
          <w:szCs w:val="20"/>
          <w:color w:val="auto"/>
        </w:rPr>
        <w:tab/>
      </w:r>
      <w:r>
        <w:rPr>
          <w:rFonts w:ascii="Arial" w:cs="Arial" w:eastAsia="Arial" w:hAnsi="Arial"/>
          <w:sz w:val="17"/>
          <w:szCs w:val="17"/>
          <w:b w:val="1"/>
          <w:bCs w:val="1"/>
          <w:color w:val="auto"/>
        </w:rPr>
        <w:t>Entry into a Material Definitive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42"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On November 24, 2025, Graham Holdings Company (the Company), a Delaware corporation, entered into an Amendment and Restatement Agreement (the Amendment and Restatement Agreement) providing for a U.S. $400 million five year revolving credit facility (the New</w:t>
      </w:r>
    </w:p>
    <w:p>
      <w:pPr>
        <w:ind w:right="260"/>
        <w:spacing w:after="0"/>
        <w:rPr>
          <w:sz w:val="20"/>
          <w:szCs w:val="20"/>
          <w:color w:val="auto"/>
        </w:rPr>
      </w:pPr>
      <w:r>
        <w:rPr>
          <w:rFonts w:ascii="Arial" w:cs="Arial" w:eastAsia="Arial" w:hAnsi="Arial"/>
          <w:sz w:val="17"/>
          <w:szCs w:val="17"/>
          <w:color w:val="auto"/>
        </w:rPr>
        <w:t>Revolving Credit Facility) with certain of the Company’s foreign subsidiaries from time to time party thereto as foreign borrowers, certain of the Company’s domestic subsidiaries from time to time party thereto as guarantors, the lenders from time to time party thereto, the issuing</w:t>
      </w:r>
    </w:p>
    <w:p>
      <w:pPr>
        <w:spacing w:after="0" w:line="235" w:lineRule="auto"/>
        <w:rPr>
          <w:sz w:val="20"/>
          <w:szCs w:val="20"/>
          <w:color w:val="auto"/>
        </w:rPr>
      </w:pPr>
      <w:r>
        <w:rPr>
          <w:rFonts w:ascii="Arial" w:cs="Arial" w:eastAsia="Arial" w:hAnsi="Arial"/>
          <w:sz w:val="18"/>
          <w:szCs w:val="18"/>
          <w:color w:val="auto"/>
        </w:rPr>
        <w:t>lenders from time to time party thereto and Wells Fargo Bank, National Association (Wells Fargo), as administrative agent, which amended</w:t>
      </w:r>
    </w:p>
    <w:p>
      <w:pPr>
        <w:ind w:right="440"/>
        <w:spacing w:after="0"/>
        <w:rPr>
          <w:sz w:val="20"/>
          <w:szCs w:val="20"/>
          <w:color w:val="auto"/>
        </w:rPr>
      </w:pPr>
      <w:r>
        <w:rPr>
          <w:rFonts w:ascii="Arial" w:cs="Arial" w:eastAsia="Arial" w:hAnsi="Arial"/>
          <w:sz w:val="17"/>
          <w:szCs w:val="17"/>
          <w:color w:val="auto"/>
        </w:rPr>
        <w:t>and restated the Company’s Second Amended and Restated Five Year Credit Agreement, dated as of May 3, 2022, by and among the Company, the foreign borrowers party thereto, the guarantors party thereto, the lenders party thereto and Wells Fargo, as administrative</w:t>
      </w:r>
    </w:p>
    <w:p>
      <w:pPr>
        <w:spacing w:after="0" w:line="1" w:lineRule="exact"/>
        <w:rPr>
          <w:sz w:val="20"/>
          <w:szCs w:val="20"/>
          <w:color w:val="auto"/>
        </w:rPr>
      </w:pPr>
    </w:p>
    <w:p>
      <w:pPr>
        <w:ind w:right="420"/>
        <w:spacing w:after="0" w:line="250" w:lineRule="auto"/>
        <w:rPr>
          <w:sz w:val="20"/>
          <w:szCs w:val="20"/>
          <w:color w:val="auto"/>
        </w:rPr>
      </w:pPr>
      <w:r>
        <w:rPr>
          <w:rFonts w:ascii="Arial" w:cs="Arial" w:eastAsia="Arial" w:hAnsi="Arial"/>
          <w:sz w:val="18"/>
          <w:szCs w:val="18"/>
          <w:color w:val="auto"/>
        </w:rPr>
        <w:t>agent (as amended or otherwise modified prior to November 24, 2025, the Existing Credit Agreement; the Existing Credit Agreement, as amended and restated by the Amendment and Restatement Agreement, the Amended and Restated Credit Agreement).</w:t>
      </w:r>
    </w:p>
    <w:p>
      <w:pPr>
        <w:spacing w:after="0" w:line="104"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The Amendment and Restatement Agreement amends the Existing Credit Agreement to (i) replace the revolving commitments under the existing revolving credit facility (the Existing Revolving Credit Facility) with the New Revolving Credit Facility, (ii) increase the letter of credit</w:t>
      </w:r>
    </w:p>
    <w:p>
      <w:pPr>
        <w:spacing w:after="0" w:line="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sublimit thereunder from $20.0 million to $40.0 million and (iii) increase or modify certain other baskets and thresholds in the Existing Credit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Under the Amended and Restated Credit Agreement, the Company is required to pay a commitment fee on a quarterly basis, based on the</w:t>
      </w:r>
    </w:p>
    <w:p>
      <w:pPr>
        <w:spacing w:after="0" w:line="14" w:lineRule="exact"/>
        <w:rPr>
          <w:sz w:val="20"/>
          <w:szCs w:val="20"/>
          <w:color w:val="auto"/>
        </w:rPr>
      </w:pPr>
    </w:p>
    <w:p>
      <w:pPr>
        <w:ind w:right="460"/>
        <w:spacing w:after="0"/>
        <w:rPr>
          <w:sz w:val="20"/>
          <w:szCs w:val="20"/>
          <w:color w:val="auto"/>
        </w:rPr>
      </w:pPr>
      <w:r>
        <w:rPr>
          <w:rFonts w:ascii="Arial" w:cs="Arial" w:eastAsia="Arial" w:hAnsi="Arial"/>
          <w:sz w:val="17"/>
          <w:szCs w:val="17"/>
          <w:color w:val="auto"/>
        </w:rPr>
        <w:t>Company’s leverage ratio, of between 0.15% and 0.30% of the amount of the average daily unused portion of the New Revolving Credit Facility. Any borrowings under the Amended and Restated Credit Agreement are made on an unsecured basis and bear interest at the</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Company’s option, either at (a) the Base Rate (as defined in the Amended and Restated Credit Agreement), or (b) the Benchmark for the applicable interest period (as defined in the Amended and Restated Credit Agreement), in each case plus an applicable margin that depends</w:t>
      </w:r>
    </w:p>
    <w:p>
      <w:pPr>
        <w:spacing w:after="0" w:line="236" w:lineRule="auto"/>
        <w:rPr>
          <w:sz w:val="20"/>
          <w:szCs w:val="20"/>
          <w:color w:val="auto"/>
        </w:rPr>
      </w:pPr>
      <w:r>
        <w:rPr>
          <w:rFonts w:ascii="Arial" w:cs="Arial" w:eastAsia="Arial" w:hAnsi="Arial"/>
          <w:sz w:val="18"/>
          <w:szCs w:val="18"/>
          <w:color w:val="auto"/>
        </w:rPr>
        <w:t>on the Company’s consolidated net debt to consolidated adjusted EBITDA (as determined pursuant to the Amended and Restated Credit</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Agreement, Total Net Leverage Ratio). The Company may draw on the New Revolving Credit Facility for general corporate purposes. The New Revolving Credit Facility will mature on the date that is five years after its effectiveness, unless the Company and the lenders agree to</w:t>
      </w:r>
    </w:p>
    <w:p>
      <w:pPr>
        <w:spacing w:after="0" w:line="236" w:lineRule="auto"/>
        <w:rPr>
          <w:sz w:val="20"/>
          <w:szCs w:val="20"/>
          <w:color w:val="auto"/>
        </w:rPr>
      </w:pPr>
      <w:r>
        <w:rPr>
          <w:rFonts w:ascii="Arial" w:cs="Arial" w:eastAsia="Arial" w:hAnsi="Arial"/>
          <w:sz w:val="18"/>
          <w:szCs w:val="18"/>
          <w:color w:val="auto"/>
        </w:rPr>
        <w:t>further extend the term. Any outstanding borrowings will be required to be repaid on or prior to the final termination date. The Amended and</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Restated Credit Agreement contains terms and conditions, including remedies in the event of a default by the Company, typical of facilities of this type and requires the Company to maintain a Total Net Leverage Ratio of not greater than 3.5 to 1.0 and a consolidated interest</w:t>
      </w:r>
    </w:p>
    <w:p>
      <w:pPr>
        <w:spacing w:after="0" w:line="2"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coverage ratio of at least 3.0 to 1.0 based upon the ratio of consolidated adjusted EBITDA to consolidated interest expense as determined pursuant to the Amended and Restated Credit Agreement.</w:t>
      </w:r>
    </w:p>
    <w:p>
      <w:pPr>
        <w:spacing w:after="0" w:line="104"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foregoing description of the Amendment and Restatement Agreement does not purport to be complete, and is qualified in its entirety by reference to the Amendment and Restatement Agreement, which is filed hereto as Exhibit 10.1, which is incorporated herein by reference.</w:t>
      </w:r>
    </w:p>
    <w:p>
      <w:pPr>
        <w:spacing w:after="0" w:line="100"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The lenders under the Amended and Restated Credit Agreement and their affiliates have various relationships with the Company and its subsidiaries involving the provision of financial services, including cash management, investment banking and other arrangements.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Bond Offering</w:t>
      </w:r>
    </w:p>
    <w:p>
      <w:pPr>
        <w:spacing w:after="0" w:line="156"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On November 24, 2025, the Company completed the issuance and sale of $500 million aggregate principal amount of senior unsecured notes due 2033 (the Notes). The Notes are guaranteed, jointly and severally, on a senior unsecured basis, by certain of the Company’s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existing and future domestic subsidiaries.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use the net proceeds from the offering of the Notes, together with borrowings under the New Revolving Credit Facility, to</w:t>
      </w:r>
    </w:p>
    <w:p>
      <w:pPr>
        <w:ind w:right="40" w:firstLine="8"/>
        <w:spacing w:after="0" w:line="250" w:lineRule="auto"/>
        <w:tabs>
          <w:tab w:leader="none" w:pos="21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redeem all of the Company’s outstanding 5.750% notes due 2026 (the 2026 Notes), (ii) refinance the Existing Revolving Credit Facility, (iii) repay all amounts outstanding under the Company’s existing $150 million term loan facility and (iv) pay related fees and expenses.</w:t>
      </w:r>
    </w:p>
    <w:p>
      <w:pPr>
        <w:spacing w:after="0" w:line="11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November 12, 2025, the Company issued a notice of redemption to redeem on or around November 24, 2025 (the Redemption Date) the 2026 Notes. The 2026 Notes will be redeemed at par plus accrued and unpaid interest on the 2026 Notes to be redeemed to the Redemption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40"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The Notes were sold pursuant to a purchase agreement, dated November 13, 2025, among the Company, the guarantors named therein and J.P. Morgan Securities LLC, as representative of the several initial purchasers named therein. The Notes are governed by the terms of an</w:t>
      </w:r>
    </w:p>
    <w:p>
      <w:pPr>
        <w:spacing w:after="0" w:line="1"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indenture, dated as of November 24, 2025 (the Indenture), among the Company, the guarantors named therein and the Bank of New York Mellon Trust Company, N.A.,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258445</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The Notes will bear interest at a rate of 5.625% per annum. The Company will pay interest on the Notes semi-annually in arrears on June 1</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and December 1 of each year, beginning on June 1, 2026. The Notes will mature on December 1, 2033. The Notes will be issued in minimum denominations of $2,000 and integral multiples of $1,000 in excess thereof. The Company may redeem the Notes in whole or in part at any</w:t>
      </w:r>
    </w:p>
    <w:p>
      <w:pPr>
        <w:spacing w:after="0" w:line="1" w:lineRule="exact"/>
        <w:rPr>
          <w:sz w:val="20"/>
          <w:szCs w:val="20"/>
          <w:color w:val="auto"/>
        </w:rPr>
      </w:pPr>
    </w:p>
    <w:p>
      <w:pPr>
        <w:ind w:right="780"/>
        <w:spacing w:after="0" w:line="250" w:lineRule="auto"/>
        <w:rPr>
          <w:sz w:val="20"/>
          <w:szCs w:val="20"/>
          <w:color w:val="auto"/>
        </w:rPr>
      </w:pPr>
      <w:r>
        <w:rPr>
          <w:rFonts w:ascii="Arial" w:cs="Arial" w:eastAsia="Arial" w:hAnsi="Arial"/>
          <w:sz w:val="18"/>
          <w:szCs w:val="18"/>
          <w:color w:val="auto"/>
        </w:rPr>
        <w:t>time at the respective redemption prices described in the Indenture. The Notes will be unsecured and will rank equally with all of the Company’s other unsecured and unsubordinated indebtedness from time to time outstanding.</w:t>
      </w:r>
    </w:p>
    <w:p>
      <w:pPr>
        <w:spacing w:after="0" w:line="10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foregoing descriptions of the Indenture and the Notes do not purport to be complete, and are qualified in their entirety by reference to the Indenture and Form of the Notes, which are filed hereto as Exhibits 4.1 and 4.2, respectively, which are incorporated herein by reference.</w:t>
      </w:r>
    </w:p>
    <w:p>
      <w:pPr>
        <w:spacing w:after="0" w:line="10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Notes and the related guarantees have not been registered under the Securities Act of 1933, as amended, or any state securities laws, and, unless so registered, may not be offered or sold in the United States absent registration or an applicable exemption from registration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requirements.</w:t>
      </w:r>
    </w:p>
    <w:p>
      <w:pPr>
        <w:spacing w:after="0" w:line="14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information in this Form 8-K does not constitute an offer to sell or a solicitation of an offer to buy the securities described herein, nor shall there be any sale of these securities in any state or other jurisdiction in which such an offer, solicitation or sale would be unlawful prior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registration or qualification under the securities laws of any such jurisdiction.</w:t>
      </w:r>
    </w:p>
    <w:p>
      <w:pPr>
        <w:spacing w:after="0" w:line="38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7"/>
          <w:szCs w:val="17"/>
          <w:b w:val="1"/>
          <w:bCs w:val="1"/>
          <w:color w:val="auto"/>
        </w:rPr>
        <w:t>Creation of a Direct Financial Obligation or an Obligation under an Off-Balance Sheet Arrangement of a Registrant.</w:t>
      </w:r>
    </w:p>
    <w:p>
      <w:pPr>
        <w:spacing w:after="0" w:line="144"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The information regarding the Notes, the Indenture, the Amended and Restated Credit Agreement and the New Revolving Credit Facility provided in Item 1.01 above is incorporated herein by reference.</w:t>
      </w:r>
    </w:p>
    <w:p>
      <w:pPr>
        <w:spacing w:after="0" w:line="35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ectPr>
          <w:pgSz w:w="11900" w:h="16838" w:orient="portrait"/>
          <w:cols w:equalWidth="0" w:num="1">
            <w:col w:w="11240"/>
          </w:cols>
          <w:pgMar w:left="320" w:top="1079" w:right="339" w:bottom="1440" w:gutter="0" w:footer="0" w:header="0"/>
        </w:sect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 4.1</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 4.2</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Exhibit 10.1</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right="2040"/>
        <w:spacing w:after="0" w:line="287" w:lineRule="auto"/>
        <w:rPr>
          <w:sz w:val="20"/>
          <w:szCs w:val="20"/>
          <w:color w:val="auto"/>
        </w:rPr>
      </w:pPr>
      <w:r>
        <w:rPr>
          <w:rFonts w:ascii="Arial" w:cs="Arial" w:eastAsia="Arial" w:hAnsi="Arial"/>
          <w:sz w:val="18"/>
          <w:szCs w:val="18"/>
          <w:color w:val="auto"/>
        </w:rPr>
        <w:t>Indenture, dated as of November 24, 2025, relating to the issuance by Graham Holdings Company of $500,000,000 aggregate principal amount of 5.625% Senior Notes due 2033.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Form of 5.625% Senior Notes due 2033 (included as Exhibit A to the Indenture filed as Exhibit 4.1).</w:t>
      </w:r>
    </w:p>
    <w:p>
      <w:pPr>
        <w:spacing w:after="0" w:line="225" w:lineRule="exact"/>
        <w:rPr>
          <w:sz w:val="20"/>
          <w:szCs w:val="20"/>
          <w:color w:val="auto"/>
        </w:rPr>
      </w:pPr>
    </w:p>
    <w:p>
      <w:pPr>
        <w:ind w:right="1440"/>
        <w:spacing w:after="0" w:line="259" w:lineRule="auto"/>
        <w:rPr>
          <w:sz w:val="20"/>
          <w:szCs w:val="20"/>
          <w:color w:val="auto"/>
        </w:rPr>
      </w:pPr>
      <w:r>
        <w:rPr>
          <w:rFonts w:ascii="Arial" w:cs="Arial" w:eastAsia="Arial" w:hAnsi="Arial"/>
          <w:sz w:val="18"/>
          <w:szCs w:val="18"/>
          <w:color w:val="auto"/>
        </w:rPr>
        <w:t>Amendment and Restatement Agreement, dated as of November 24, 2025, among Graham Holdings Company, certain of the Company’s foreign subsidiaries from time to time party thereto as foreign borrowers, certain of the Company’s domestic subsidiaries from time to time party thereto as guarantors, the lenders from time to time party thereto, the issuing lenders from time to time party thereto and Wells Fargo Bank, National Association, 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691515</wp:posOffset>
            </wp:positionV>
            <wp:extent cx="70891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60" w:space="200"/>
            <w:col w:w="10080"/>
          </w:cols>
          <w:pgMar w:left="320" w:top="10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Exhibit Index</w:t>
      </w:r>
    </w:p>
    <w:p>
      <w:pPr>
        <w:sectPr>
          <w:pgSz w:w="11900" w:h="16838" w:orient="portrait"/>
          <w:cols w:equalWidth="0" w:num="1">
            <w:col w:w="10139"/>
          </w:cols>
          <w:pgMar w:left="320" w:top="1093" w:right="1440" w:bottom="1440" w:gutter="0" w:footer="0" w:header="0"/>
        </w:sect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 4.1</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 4.2</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Exhibit 10.1</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ind w:right="939"/>
        <w:spacing w:after="0" w:line="287" w:lineRule="auto"/>
        <w:rPr>
          <w:sz w:val="20"/>
          <w:szCs w:val="20"/>
          <w:color w:val="auto"/>
        </w:rPr>
      </w:pPr>
      <w:r>
        <w:rPr>
          <w:rFonts w:ascii="Arial" w:cs="Arial" w:eastAsia="Arial" w:hAnsi="Arial"/>
          <w:sz w:val="18"/>
          <w:szCs w:val="18"/>
          <w:u w:val="single" w:color="auto"/>
          <w:color w:val="0000FF"/>
        </w:rPr>
        <w:t>Indenture, dated as of November 24, 2025, relating to the issuance by Graham Holdings Company of $500,000,000 aggregate principal amount of 5.625% Senior Notes due 2033.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Form of 5.625% Senior Notes due 2033 (included as Exhibit A to the Indenture filed as Exhibit 4.1).</w:t>
      </w:r>
    </w:p>
    <w:p>
      <w:pPr>
        <w:spacing w:after="0" w:line="387" w:lineRule="exact"/>
        <w:rPr>
          <w:sz w:val="20"/>
          <w:szCs w:val="20"/>
          <w:color w:val="auto"/>
        </w:rPr>
      </w:pPr>
    </w:p>
    <w:p>
      <w:pPr>
        <w:ind w:right="339"/>
        <w:spacing w:after="0" w:line="259" w:lineRule="auto"/>
        <w:rPr>
          <w:sz w:val="20"/>
          <w:szCs w:val="20"/>
          <w:color w:val="auto"/>
        </w:rPr>
      </w:pPr>
      <w:r>
        <w:rPr>
          <w:rFonts w:ascii="Arial" w:cs="Arial" w:eastAsia="Arial" w:hAnsi="Arial"/>
          <w:sz w:val="18"/>
          <w:szCs w:val="18"/>
          <w:u w:val="single" w:color="auto"/>
          <w:color w:val="0000FF"/>
        </w:rPr>
        <w:t>Amendment and Restatement Agreement, dated as of November 24, 2025, among Graham Holdings Company, certain of the Company’s foreign subsidiaries from time to time party thereto as foreign borrowers, certain of the Company’s domestic subsidiaries from time to time party thereto as guarantors, the lenders from time to time party thereto, the issuing lenders from time to time party thereto and Wells Fargo Bank, National Association, as administrative agent.</w:t>
      </w:r>
    </w:p>
    <w:p>
      <w:pPr>
        <w:spacing w:after="0" w:line="200" w:lineRule="exact"/>
        <w:rPr>
          <w:sz w:val="20"/>
          <w:szCs w:val="20"/>
          <w:color w:val="auto"/>
        </w:rPr>
      </w:pPr>
    </w:p>
    <w:p>
      <w:pPr>
        <w:sectPr>
          <w:pgSz w:w="11900" w:h="16838" w:orient="portrait"/>
          <w:cols w:equalWidth="0" w:num="2">
            <w:col w:w="960" w:space="200"/>
            <w:col w:w="8979"/>
          </w:cols>
          <w:pgMar w:left="320" w:top="1093" w:right="1440" w:bottom="1440" w:gutter="0" w:footer="0" w:header="0"/>
          <w:type w:val="continuous"/>
        </w:sectPr>
      </w:pPr>
    </w:p>
    <w:p>
      <w:pPr>
        <w:spacing w:after="0" w:line="141"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color w:val="auto"/>
        </w:rPr>
        <w:t>Exhibit 104</w:t>
        <w:tab/>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566420</wp:posOffset>
            </wp:positionV>
            <wp:extent cx="70891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t>Cautionary Statement Concerning Forward-Looking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This communication and the documents incorporated by reference herein may contain certain “forward-looking statements” within the</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meaning of the Private Securities Litigation Reform Act of 1995. Forward-looking statements are based on expectations, forecasts, and assumptions by the Company’s management and involve a number of risks, uncertainties, and other factors that could cause actual results to</w:t>
      </w:r>
    </w:p>
    <w:p>
      <w:pPr>
        <w:spacing w:after="0" w:line="236" w:lineRule="auto"/>
        <w:rPr>
          <w:sz w:val="20"/>
          <w:szCs w:val="20"/>
          <w:color w:val="auto"/>
        </w:rPr>
      </w:pPr>
      <w:r>
        <w:rPr>
          <w:rFonts w:ascii="Arial" w:cs="Arial" w:eastAsia="Arial" w:hAnsi="Arial"/>
          <w:sz w:val="18"/>
          <w:szCs w:val="18"/>
          <w:color w:val="auto"/>
        </w:rPr>
        <w:t>differ from those stated, including, without limitation, the risks and uncertainties described in Item 1A of the Company’s Form 10-Q for the</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quarter ended September 30, 2025 and the Annual Report on Form 10-K for the fiscal year ended December 31, 2024. Accordingly, undue reliance should not be placed on any forward-looking statement made by or on behalf of the Company. The Company assumes no obligation</w:t>
      </w:r>
    </w:p>
    <w:p>
      <w:pPr>
        <w:spacing w:after="0" w:line="1"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to update any forward-looking statement after the date on which such statement is made, even if new information subsequently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258445</wp:posOffset>
            </wp:positionV>
            <wp:extent cx="70891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4"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8280" w:val="left"/>
        </w:tabs>
        <w:rPr>
          <w:sz w:val="20"/>
          <w:szCs w:val="20"/>
          <w:color w:val="auto"/>
        </w:rPr>
      </w:pPr>
      <w:r>
        <w:rPr>
          <w:rFonts w:ascii="Arial" w:cs="Arial" w:eastAsia="Arial" w:hAnsi="Arial"/>
          <w:sz w:val="18"/>
          <w:szCs w:val="18"/>
          <w:color w:val="auto"/>
        </w:rPr>
        <w:t>Date: November 24, 2025</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Wallace R. Cooney,</w:t>
      </w:r>
    </w:p>
    <w:p>
      <w:pPr>
        <w:jc w:val="center"/>
        <w:ind w:left="71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983615</wp:posOffset>
            </wp:positionV>
            <wp:extent cx="70891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20" w:top="1093" w:right="379" w:bottom="1440" w:gutter="0" w:footer="0" w:header="0"/>
        </w:sectPr>
      </w:pPr>
    </w:p>
    <w:bookmarkStart w:id="6" w:name="page7"/>
    <w:bookmarkEnd w:id="6"/>
    <w:p>
      <w:pPr>
        <w:jc w:val="right"/>
        <w:spacing w:after="0"/>
        <w:rPr>
          <w:sz w:val="20"/>
          <w:szCs w:val="20"/>
          <w:color w:val="auto"/>
        </w:rPr>
      </w:pPr>
      <w:r>
        <w:rPr>
          <w:rFonts w:ascii="Arial" w:cs="Arial" w:eastAsia="Arial" w:hAnsi="Arial"/>
          <w:sz w:val="20"/>
          <w:szCs w:val="20"/>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417830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SENIOR NOTES INDENTURE</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Dated as of November 24, 2025</w:t>
      </w:r>
    </w:p>
    <w:p>
      <w:pPr>
        <w:spacing w:after="0" w:line="2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Among</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GRAHAM HOLDINGS COMPANY</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THE SUBSIDIARY GUARANTORS LISTED ON THE SIGNATURE PAGES HERETO</w:t>
      </w:r>
    </w:p>
    <w:p>
      <w:pPr>
        <w:spacing w:after="0" w:line="2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and</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THE BANK OF NEW YORK MELLON TRUST COMPANY, N.A.,</w:t>
      </w:r>
    </w:p>
    <w:p>
      <w:pPr>
        <w:spacing w:after="0" w:line="2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Trustee</w:t>
      </w:r>
    </w:p>
    <w:p>
      <w:pPr>
        <w:spacing w:after="0" w:line="200" w:lineRule="exact"/>
        <w:rPr>
          <w:sz w:val="20"/>
          <w:szCs w:val="20"/>
          <w:color w:val="auto"/>
        </w:rPr>
      </w:pPr>
    </w:p>
    <w:p>
      <w:pPr>
        <w:spacing w:after="0" w:line="22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5.625% SENIOR NOTES DUE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1343025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41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Page</w:t>
      </w:r>
    </w:p>
    <w:p>
      <w:pPr>
        <w:spacing w:after="0" w:line="162" w:lineRule="exact"/>
        <w:rPr>
          <w:sz w:val="20"/>
          <w:szCs w:val="20"/>
          <w:color w:val="auto"/>
        </w:rPr>
      </w:pPr>
    </w:p>
    <w:p>
      <w:pPr>
        <w:spacing w:after="0"/>
        <w:tabs>
          <w:tab w:leader="none" w:pos="6060" w:val="left"/>
        </w:tabs>
        <w:rPr>
          <w:sz w:val="20"/>
          <w:szCs w:val="20"/>
          <w:color w:val="auto"/>
        </w:rPr>
      </w:pPr>
      <w:r>
        <w:rPr>
          <w:rFonts w:ascii="Times New Roman" w:cs="Times New Roman" w:eastAsia="Times New Roman" w:hAnsi="Times New Roman"/>
          <w:sz w:val="20"/>
          <w:szCs w:val="20"/>
          <w:color w:val="auto"/>
        </w:rPr>
        <w:t>ARTICLE 1 DEFINITIONS AND INCORPORATION BY REFERENCE</w:t>
        <w:tab/>
        <w:t>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1.01</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Definitions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360" w:type="dxa"/>
            <w:vAlign w:val="bottom"/>
          </w:tcPr>
          <w:p>
            <w:pPr>
              <w:spacing w:after="0"/>
              <w:rPr>
                <w:sz w:val="22"/>
                <w:szCs w:val="22"/>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1.02</w:t>
            </w:r>
          </w:p>
        </w:tc>
        <w:tc>
          <w:tcPr>
            <w:tcW w:w="170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Other Definitions</w:t>
            </w:r>
          </w:p>
        </w:tc>
        <w:tc>
          <w:tcPr>
            <w:tcW w:w="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89"/>
              </w:rPr>
              <w:t>11</w:t>
            </w: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360" w:type="dxa"/>
            <w:vAlign w:val="bottom"/>
          </w:tcPr>
          <w:p>
            <w:pPr>
              <w:spacing w:after="0"/>
              <w:rPr>
                <w:sz w:val="22"/>
                <w:szCs w:val="22"/>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1.03</w:t>
            </w:r>
          </w:p>
        </w:tc>
        <w:tc>
          <w:tcPr>
            <w:tcW w:w="202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Rules of Construction</w:t>
            </w:r>
          </w:p>
        </w:tc>
        <w:tc>
          <w:tcPr>
            <w:tcW w:w="4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99"/>
              </w:rPr>
              <w:t>11</w:t>
            </w: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360" w:type="dxa"/>
            <w:vAlign w:val="bottom"/>
          </w:tcPr>
          <w:p>
            <w:pPr>
              <w:spacing w:after="0"/>
              <w:rPr>
                <w:sz w:val="23"/>
                <w:szCs w:val="23"/>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1.04</w:t>
            </w:r>
          </w:p>
        </w:tc>
        <w:tc>
          <w:tcPr>
            <w:tcW w:w="13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w w:val="97"/>
              </w:rPr>
              <w:t>Acts of Holders</w:t>
            </w:r>
          </w:p>
        </w:tc>
        <w:tc>
          <w:tcPr>
            <w:tcW w:w="640" w:type="dxa"/>
            <w:vAlign w:val="bottom"/>
            <w:gridSpan w:val="2"/>
          </w:tcPr>
          <w:p>
            <w:pPr>
              <w:jc w:val="right"/>
              <w:ind w:right="161"/>
              <w:spacing w:after="0"/>
              <w:rPr>
                <w:sz w:val="20"/>
                <w:szCs w:val="20"/>
                <w:color w:val="auto"/>
              </w:rPr>
            </w:pPr>
            <w:r>
              <w:rPr>
                <w:rFonts w:ascii="Times New Roman" w:cs="Times New Roman" w:eastAsia="Times New Roman" w:hAnsi="Times New Roman"/>
                <w:sz w:val="20"/>
                <w:szCs w:val="20"/>
                <w:color w:val="auto"/>
              </w:rPr>
              <w:t>12</w:t>
            </w: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360" w:type="dxa"/>
            <w:vAlign w:val="bottom"/>
          </w:tcPr>
          <w:p>
            <w:pPr>
              <w:spacing w:after="0"/>
              <w:rPr>
                <w:sz w:val="23"/>
                <w:szCs w:val="23"/>
                <w:color w:val="auto"/>
              </w:rPr>
            </w:pPr>
          </w:p>
        </w:tc>
      </w:tr>
      <w:tr>
        <w:trPr>
          <w:trHeight w:val="392"/>
        </w:trPr>
        <w:tc>
          <w:tcPr>
            <w:tcW w:w="22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2 THE NOTES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14</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4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2.01</w:t>
            </w:r>
          </w:p>
        </w:tc>
        <w:tc>
          <w:tcPr>
            <w:tcW w:w="250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Form and Dating; Terms  14</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2.02</w:t>
            </w:r>
          </w:p>
        </w:tc>
        <w:tc>
          <w:tcPr>
            <w:tcW w:w="250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w w:val="98"/>
              </w:rPr>
              <w:t>Execution and Authentication</w:t>
            </w:r>
          </w:p>
        </w:tc>
        <w:tc>
          <w:tcPr>
            <w:tcW w:w="740" w:type="dxa"/>
            <w:vAlign w:val="bottom"/>
            <w:gridSpan w:val="2"/>
          </w:tcPr>
          <w:p>
            <w:pPr>
              <w:jc w:val="right"/>
              <w:ind w:right="261"/>
              <w:spacing w:after="0"/>
              <w:rPr>
                <w:sz w:val="20"/>
                <w:szCs w:val="20"/>
                <w:color w:val="auto"/>
              </w:rPr>
            </w:pPr>
            <w:r>
              <w:rPr>
                <w:rFonts w:ascii="Times New Roman" w:cs="Times New Roman" w:eastAsia="Times New Roman" w:hAnsi="Times New Roman"/>
                <w:sz w:val="20"/>
                <w:szCs w:val="20"/>
                <w:color w:val="auto"/>
              </w:rPr>
              <w:t>15</w:t>
            </w:r>
          </w:p>
        </w:tc>
        <w:tc>
          <w:tcPr>
            <w:tcW w:w="2360" w:type="dxa"/>
            <w:vAlign w:val="bottom"/>
          </w:tcPr>
          <w:p>
            <w:pPr>
              <w:spacing w:after="0"/>
              <w:rPr>
                <w:sz w:val="22"/>
                <w:szCs w:val="22"/>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2.03</w:t>
            </w:r>
          </w:p>
        </w:tc>
        <w:tc>
          <w:tcPr>
            <w:tcW w:w="250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Registrar and Paying Agent</w:t>
            </w: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89"/>
              </w:rPr>
              <w:t>15</w:t>
            </w:r>
          </w:p>
        </w:tc>
        <w:tc>
          <w:tcPr>
            <w:tcW w:w="440" w:type="dxa"/>
            <w:vAlign w:val="bottom"/>
          </w:tcPr>
          <w:p>
            <w:pPr>
              <w:spacing w:after="0"/>
              <w:rPr>
                <w:sz w:val="23"/>
                <w:szCs w:val="23"/>
                <w:color w:val="auto"/>
              </w:rPr>
            </w:pPr>
          </w:p>
        </w:tc>
        <w:tc>
          <w:tcPr>
            <w:tcW w:w="2360" w:type="dxa"/>
            <w:vAlign w:val="bottom"/>
          </w:tcPr>
          <w:p>
            <w:pPr>
              <w:spacing w:after="0"/>
              <w:rPr>
                <w:sz w:val="23"/>
                <w:szCs w:val="23"/>
                <w:color w:val="auto"/>
              </w:rPr>
            </w:pP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2.04</w:t>
            </w:r>
          </w:p>
        </w:tc>
        <w:tc>
          <w:tcPr>
            <w:tcW w:w="3240" w:type="dxa"/>
            <w:vAlign w:val="bottom"/>
            <w:gridSpan w:val="8"/>
          </w:tcPr>
          <w:p>
            <w:pPr>
              <w:ind w:left="120"/>
              <w:spacing w:after="0"/>
              <w:rPr>
                <w:sz w:val="20"/>
                <w:szCs w:val="20"/>
                <w:color w:val="auto"/>
              </w:rPr>
            </w:pPr>
            <w:r>
              <w:rPr>
                <w:rFonts w:ascii="Times New Roman" w:cs="Times New Roman" w:eastAsia="Times New Roman" w:hAnsi="Times New Roman"/>
                <w:sz w:val="20"/>
                <w:szCs w:val="20"/>
                <w:color w:val="auto"/>
              </w:rPr>
              <w:t>Paying Agent to Hold Money in Trust</w:t>
            </w:r>
          </w:p>
        </w:tc>
        <w:tc>
          <w:tcPr>
            <w:tcW w:w="2360" w:type="dxa"/>
            <w:vAlign w:val="bottom"/>
          </w:tcPr>
          <w:p>
            <w:pPr>
              <w:jc w:val="right"/>
              <w:ind w:right="1981"/>
              <w:spacing w:after="0"/>
              <w:rPr>
                <w:sz w:val="20"/>
                <w:szCs w:val="20"/>
                <w:color w:val="auto"/>
              </w:rPr>
            </w:pPr>
            <w:r>
              <w:rPr>
                <w:rFonts w:ascii="Times New Roman" w:cs="Times New Roman" w:eastAsia="Times New Roman" w:hAnsi="Times New Roman"/>
                <w:sz w:val="20"/>
                <w:szCs w:val="20"/>
                <w:color w:val="auto"/>
              </w:rPr>
              <w:t>16</w:t>
            </w: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2.05</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Holder Lists</w:t>
            </w:r>
          </w:p>
        </w:tc>
        <w:tc>
          <w:tcPr>
            <w:tcW w:w="54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rPr>
              <w:t>16</w:t>
            </w: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360" w:type="dxa"/>
            <w:vAlign w:val="bottom"/>
          </w:tcPr>
          <w:p>
            <w:pPr>
              <w:spacing w:after="0"/>
              <w:rPr>
                <w:sz w:val="22"/>
                <w:szCs w:val="22"/>
                <w:color w:val="auto"/>
              </w:rPr>
            </w:pP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2.06</w:t>
            </w:r>
          </w:p>
        </w:tc>
        <w:tc>
          <w:tcPr>
            <w:tcW w:w="202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Transfer and Exchange</w:t>
            </w:r>
          </w:p>
        </w:tc>
        <w:tc>
          <w:tcPr>
            <w:tcW w:w="4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16</w:t>
            </w: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360" w:type="dxa"/>
            <w:vAlign w:val="bottom"/>
          </w:tcPr>
          <w:p>
            <w:pPr>
              <w:spacing w:after="0"/>
              <w:rPr>
                <w:sz w:val="23"/>
                <w:szCs w:val="23"/>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2.07</w:t>
            </w:r>
          </w:p>
        </w:tc>
        <w:tc>
          <w:tcPr>
            <w:tcW w:w="170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w w:val="99"/>
              </w:rPr>
              <w:t>Replacement Notes</w:t>
            </w:r>
          </w:p>
        </w:tc>
        <w:tc>
          <w:tcPr>
            <w:tcW w:w="800" w:type="dxa"/>
            <w:vAlign w:val="bottom"/>
            <w:gridSpan w:val="2"/>
          </w:tcPr>
          <w:p>
            <w:pPr>
              <w:jc w:val="right"/>
              <w:ind w:right="341"/>
              <w:spacing w:after="0"/>
              <w:rPr>
                <w:sz w:val="20"/>
                <w:szCs w:val="20"/>
                <w:color w:val="auto"/>
              </w:rPr>
            </w:pPr>
            <w:r>
              <w:rPr>
                <w:rFonts w:ascii="Times New Roman" w:cs="Times New Roman" w:eastAsia="Times New Roman" w:hAnsi="Times New Roman"/>
                <w:sz w:val="20"/>
                <w:szCs w:val="20"/>
                <w:color w:val="auto"/>
              </w:rPr>
              <w:t>17</w:t>
            </w: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360" w:type="dxa"/>
            <w:vAlign w:val="bottom"/>
          </w:tcPr>
          <w:p>
            <w:pPr>
              <w:spacing w:after="0"/>
              <w:rPr>
                <w:sz w:val="22"/>
                <w:szCs w:val="22"/>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2.08</w:t>
            </w:r>
          </w:p>
        </w:tc>
        <w:tc>
          <w:tcPr>
            <w:tcW w:w="170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Outstanding Notes</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360" w:type="dxa"/>
            <w:vAlign w:val="bottom"/>
          </w:tcPr>
          <w:p>
            <w:pPr>
              <w:spacing w:after="0"/>
              <w:rPr>
                <w:sz w:val="23"/>
                <w:szCs w:val="23"/>
                <w:color w:val="auto"/>
              </w:rPr>
            </w:pP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2.09</w:t>
            </w:r>
          </w:p>
        </w:tc>
        <w:tc>
          <w:tcPr>
            <w:tcW w:w="13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Treasury Notes</w:t>
            </w:r>
          </w:p>
        </w:tc>
        <w:tc>
          <w:tcPr>
            <w:tcW w:w="640" w:type="dxa"/>
            <w:vAlign w:val="bottom"/>
            <w:gridSpan w:val="2"/>
          </w:tcPr>
          <w:p>
            <w:pPr>
              <w:jc w:val="right"/>
              <w:ind w:right="201"/>
              <w:spacing w:after="0"/>
              <w:rPr>
                <w:sz w:val="20"/>
                <w:szCs w:val="20"/>
                <w:color w:val="auto"/>
              </w:rPr>
            </w:pPr>
            <w:r>
              <w:rPr>
                <w:rFonts w:ascii="Times New Roman" w:cs="Times New Roman" w:eastAsia="Times New Roman" w:hAnsi="Times New Roman"/>
                <w:sz w:val="20"/>
                <w:szCs w:val="20"/>
                <w:color w:val="auto"/>
              </w:rPr>
              <w:t>18</w:t>
            </w: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360" w:type="dxa"/>
            <w:vAlign w:val="bottom"/>
          </w:tcPr>
          <w:p>
            <w:pPr>
              <w:spacing w:after="0"/>
              <w:rPr>
                <w:sz w:val="23"/>
                <w:szCs w:val="23"/>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2.10</w:t>
            </w:r>
          </w:p>
        </w:tc>
        <w:tc>
          <w:tcPr>
            <w:tcW w:w="170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Temporary Notes</w:t>
            </w:r>
          </w:p>
        </w:tc>
        <w:tc>
          <w:tcPr>
            <w:tcW w:w="3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79"/>
              </w:rPr>
              <w:t>18</w:t>
            </w: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360" w:type="dxa"/>
            <w:vAlign w:val="bottom"/>
          </w:tcPr>
          <w:p>
            <w:pPr>
              <w:spacing w:after="0"/>
              <w:rPr>
                <w:sz w:val="22"/>
                <w:szCs w:val="22"/>
                <w:color w:val="auto"/>
              </w:rPr>
            </w:pP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2.11</w:t>
            </w: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Cancellation</w:t>
            </w:r>
          </w:p>
        </w:tc>
        <w:tc>
          <w:tcPr>
            <w:tcW w:w="54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rPr>
              <w:t>18</w:t>
            </w: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360" w:type="dxa"/>
            <w:vAlign w:val="bottom"/>
          </w:tcPr>
          <w:p>
            <w:pPr>
              <w:spacing w:after="0"/>
              <w:rPr>
                <w:sz w:val="23"/>
                <w:szCs w:val="23"/>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2.12</w:t>
            </w:r>
          </w:p>
        </w:tc>
        <w:tc>
          <w:tcPr>
            <w:tcW w:w="170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Defaulted Interest</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360" w:type="dxa"/>
            <w:vAlign w:val="bottom"/>
          </w:tcPr>
          <w:p>
            <w:pPr>
              <w:spacing w:after="0"/>
              <w:rPr>
                <w:sz w:val="22"/>
                <w:szCs w:val="22"/>
                <w:color w:val="auto"/>
              </w:rPr>
            </w:pPr>
          </w:p>
        </w:tc>
      </w:tr>
      <w:tr>
        <w:trPr>
          <w:trHeight w:val="270"/>
        </w:trPr>
        <w:tc>
          <w:tcPr>
            <w:tcW w:w="39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Section 2.13   CUSIP and ISIN Numbers.  19</w:t>
            </w:r>
          </w:p>
        </w:tc>
        <w:tc>
          <w:tcPr>
            <w:tcW w:w="440" w:type="dxa"/>
            <w:vAlign w:val="bottom"/>
          </w:tcPr>
          <w:p>
            <w:pPr>
              <w:spacing w:after="0"/>
              <w:rPr>
                <w:sz w:val="23"/>
                <w:szCs w:val="23"/>
                <w:color w:val="auto"/>
              </w:rPr>
            </w:pPr>
          </w:p>
        </w:tc>
        <w:tc>
          <w:tcPr>
            <w:tcW w:w="2360" w:type="dxa"/>
            <w:vAlign w:val="bottom"/>
          </w:tcPr>
          <w:p>
            <w:pPr>
              <w:spacing w:after="0"/>
              <w:rPr>
                <w:sz w:val="23"/>
                <w:szCs w:val="23"/>
                <w:color w:val="auto"/>
              </w:rPr>
            </w:pPr>
          </w:p>
        </w:tc>
      </w:tr>
      <w:tr>
        <w:trPr>
          <w:trHeight w:val="391"/>
        </w:trPr>
        <w:tc>
          <w:tcPr>
            <w:tcW w:w="25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ARTICLE 3 REDEMPTION</w:t>
            </w:r>
          </w:p>
        </w:tc>
        <w:tc>
          <w:tcPr>
            <w:tcW w:w="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89"/>
              </w:rPr>
              <w:t>19</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3.01</w:t>
            </w:r>
          </w:p>
        </w:tc>
        <w:tc>
          <w:tcPr>
            <w:tcW w:w="170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Notices to Trustee</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3.02</w:t>
            </w:r>
          </w:p>
        </w:tc>
        <w:tc>
          <w:tcPr>
            <w:tcW w:w="5600" w:type="dxa"/>
            <w:vAlign w:val="bottom"/>
            <w:gridSpan w:val="9"/>
          </w:tcPr>
          <w:p>
            <w:pPr>
              <w:ind w:left="120"/>
              <w:spacing w:after="0"/>
              <w:rPr>
                <w:sz w:val="20"/>
                <w:szCs w:val="20"/>
                <w:color w:val="auto"/>
              </w:rPr>
            </w:pPr>
            <w:r>
              <w:rPr>
                <w:rFonts w:ascii="Times New Roman" w:cs="Times New Roman" w:eastAsia="Times New Roman" w:hAnsi="Times New Roman"/>
                <w:sz w:val="20"/>
                <w:szCs w:val="20"/>
                <w:color w:val="auto"/>
              </w:rPr>
              <w:t>Selection of Notes to Be Redeemed or Purchased  20</w:t>
            </w: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3.03</w:t>
            </w:r>
          </w:p>
        </w:tc>
        <w:tc>
          <w:tcPr>
            <w:tcW w:w="202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Notice of Redemption</w:t>
            </w:r>
          </w:p>
        </w:tc>
        <w:tc>
          <w:tcPr>
            <w:tcW w:w="48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20</w:t>
            </w: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360" w:type="dxa"/>
            <w:vAlign w:val="bottom"/>
          </w:tcPr>
          <w:p>
            <w:pPr>
              <w:spacing w:after="0"/>
              <w:rPr>
                <w:sz w:val="22"/>
                <w:szCs w:val="22"/>
                <w:color w:val="auto"/>
              </w:rPr>
            </w:pP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3.04</w:t>
            </w:r>
          </w:p>
        </w:tc>
        <w:tc>
          <w:tcPr>
            <w:tcW w:w="2800" w:type="dxa"/>
            <w:vAlign w:val="bottom"/>
            <w:gridSpan w:val="7"/>
          </w:tcPr>
          <w:p>
            <w:pPr>
              <w:ind w:left="120"/>
              <w:spacing w:after="0"/>
              <w:rPr>
                <w:sz w:val="20"/>
                <w:szCs w:val="20"/>
                <w:color w:val="auto"/>
              </w:rPr>
            </w:pPr>
            <w:r>
              <w:rPr>
                <w:rFonts w:ascii="Times New Roman" w:cs="Times New Roman" w:eastAsia="Times New Roman" w:hAnsi="Times New Roman"/>
                <w:sz w:val="20"/>
                <w:szCs w:val="20"/>
                <w:color w:val="auto"/>
              </w:rPr>
              <w:t>Effect of Notice of Redemption</w:t>
            </w:r>
          </w:p>
        </w:tc>
        <w:tc>
          <w:tcPr>
            <w:tcW w:w="4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w w:val="99"/>
              </w:rPr>
              <w:t>21</w:t>
            </w:r>
          </w:p>
        </w:tc>
        <w:tc>
          <w:tcPr>
            <w:tcW w:w="2360" w:type="dxa"/>
            <w:vAlign w:val="bottom"/>
          </w:tcPr>
          <w:p>
            <w:pPr>
              <w:spacing w:after="0"/>
              <w:rPr>
                <w:sz w:val="23"/>
                <w:szCs w:val="23"/>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3.05</w:t>
            </w:r>
          </w:p>
        </w:tc>
        <w:tc>
          <w:tcPr>
            <w:tcW w:w="5600" w:type="dxa"/>
            <w:vAlign w:val="bottom"/>
            <w:gridSpan w:val="9"/>
          </w:tcPr>
          <w:p>
            <w:pPr>
              <w:ind w:left="120"/>
              <w:spacing w:after="0"/>
              <w:rPr>
                <w:sz w:val="20"/>
                <w:szCs w:val="20"/>
                <w:color w:val="auto"/>
              </w:rPr>
            </w:pPr>
            <w:r>
              <w:rPr>
                <w:rFonts w:ascii="Times New Roman" w:cs="Times New Roman" w:eastAsia="Times New Roman" w:hAnsi="Times New Roman"/>
                <w:sz w:val="20"/>
                <w:szCs w:val="20"/>
                <w:color w:val="auto"/>
              </w:rPr>
              <w:t>Deposit of Redemption or Purchase Price  21</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3.06</w:t>
            </w:r>
          </w:p>
        </w:tc>
        <w:tc>
          <w:tcPr>
            <w:tcW w:w="3240" w:type="dxa"/>
            <w:vAlign w:val="bottom"/>
            <w:gridSpan w:val="8"/>
          </w:tcPr>
          <w:p>
            <w:pPr>
              <w:ind w:left="120"/>
              <w:spacing w:after="0"/>
              <w:rPr>
                <w:sz w:val="20"/>
                <w:szCs w:val="20"/>
                <w:color w:val="auto"/>
              </w:rPr>
            </w:pPr>
            <w:r>
              <w:rPr>
                <w:rFonts w:ascii="Times New Roman" w:cs="Times New Roman" w:eastAsia="Times New Roman" w:hAnsi="Times New Roman"/>
                <w:sz w:val="20"/>
                <w:szCs w:val="20"/>
                <w:color w:val="auto"/>
              </w:rPr>
              <w:t>Notes Redeemed or Purchased in Part</w:t>
            </w:r>
          </w:p>
        </w:tc>
        <w:tc>
          <w:tcPr>
            <w:tcW w:w="2360" w:type="dxa"/>
            <w:vAlign w:val="bottom"/>
          </w:tcPr>
          <w:p>
            <w:pPr>
              <w:jc w:val="right"/>
              <w:ind w:right="2001"/>
              <w:spacing w:after="0"/>
              <w:rPr>
                <w:sz w:val="20"/>
                <w:szCs w:val="20"/>
                <w:color w:val="auto"/>
              </w:rPr>
            </w:pPr>
            <w:r>
              <w:rPr>
                <w:rFonts w:ascii="Times New Roman" w:cs="Times New Roman" w:eastAsia="Times New Roman" w:hAnsi="Times New Roman"/>
                <w:sz w:val="20"/>
                <w:szCs w:val="20"/>
                <w:color w:val="auto"/>
              </w:rPr>
              <w:t>22</w:t>
            </w: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3.07</w:t>
            </w:r>
          </w:p>
        </w:tc>
        <w:tc>
          <w:tcPr>
            <w:tcW w:w="202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Optional Redemption</w:t>
            </w:r>
          </w:p>
        </w:tc>
        <w:tc>
          <w:tcPr>
            <w:tcW w:w="48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w w:val="89"/>
              </w:rPr>
              <w:t>22</w:t>
            </w: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360" w:type="dxa"/>
            <w:vAlign w:val="bottom"/>
          </w:tcPr>
          <w:p>
            <w:pPr>
              <w:spacing w:after="0"/>
              <w:rPr>
                <w:sz w:val="23"/>
                <w:szCs w:val="23"/>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3.08</w:t>
            </w:r>
          </w:p>
        </w:tc>
        <w:tc>
          <w:tcPr>
            <w:tcW w:w="202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w w:val="98"/>
              </w:rPr>
              <w:t>Mandatory Redemption</w:t>
            </w: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23</w:t>
            </w: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360" w:type="dxa"/>
            <w:vAlign w:val="bottom"/>
          </w:tcPr>
          <w:p>
            <w:pPr>
              <w:spacing w:after="0"/>
              <w:rPr>
                <w:sz w:val="22"/>
                <w:szCs w:val="22"/>
                <w:color w:val="auto"/>
              </w:rPr>
            </w:pPr>
          </w:p>
        </w:tc>
      </w:tr>
      <w:tr>
        <w:trPr>
          <w:trHeight w:val="405"/>
        </w:trPr>
        <w:tc>
          <w:tcPr>
            <w:tcW w:w="22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4 COVENANTS</w:t>
            </w:r>
          </w:p>
        </w:tc>
        <w:tc>
          <w:tcPr>
            <w:tcW w:w="54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rPr>
              <w:t>23</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41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4.01</w:t>
            </w:r>
          </w:p>
        </w:tc>
        <w:tc>
          <w:tcPr>
            <w:tcW w:w="170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Payment of Notes</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4.02</w:t>
            </w:r>
          </w:p>
        </w:tc>
        <w:tc>
          <w:tcPr>
            <w:tcW w:w="2800" w:type="dxa"/>
            <w:vAlign w:val="bottom"/>
            <w:gridSpan w:val="7"/>
          </w:tcPr>
          <w:p>
            <w:pPr>
              <w:ind w:left="120"/>
              <w:spacing w:after="0"/>
              <w:rPr>
                <w:sz w:val="20"/>
                <w:szCs w:val="20"/>
                <w:color w:val="auto"/>
              </w:rPr>
            </w:pPr>
            <w:r>
              <w:rPr>
                <w:rFonts w:ascii="Times New Roman" w:cs="Times New Roman" w:eastAsia="Times New Roman" w:hAnsi="Times New Roman"/>
                <w:sz w:val="20"/>
                <w:szCs w:val="20"/>
                <w:color w:val="auto"/>
                <w:w w:val="98"/>
              </w:rPr>
              <w:t>Maintenance of Office or Agency</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2360" w:type="dxa"/>
            <w:vAlign w:val="bottom"/>
          </w:tcPr>
          <w:p>
            <w:pPr>
              <w:spacing w:after="0"/>
              <w:rPr>
                <w:sz w:val="23"/>
                <w:szCs w:val="23"/>
                <w:color w:val="auto"/>
              </w:rPr>
            </w:pP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4.03</w:t>
            </w:r>
          </w:p>
        </w:tc>
        <w:tc>
          <w:tcPr>
            <w:tcW w:w="7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Taxes</w:t>
            </w:r>
          </w:p>
        </w:tc>
        <w:tc>
          <w:tcPr>
            <w:tcW w:w="4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24</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360" w:type="dxa"/>
            <w:vAlign w:val="bottom"/>
          </w:tcPr>
          <w:p>
            <w:pPr>
              <w:spacing w:after="0"/>
              <w:rPr>
                <w:sz w:val="23"/>
                <w:szCs w:val="23"/>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4.04</w:t>
            </w:r>
          </w:p>
        </w:tc>
        <w:tc>
          <w:tcPr>
            <w:tcW w:w="2800" w:type="dxa"/>
            <w:vAlign w:val="bottom"/>
            <w:gridSpan w:val="7"/>
          </w:tcPr>
          <w:p>
            <w:pPr>
              <w:ind w:left="120"/>
              <w:spacing w:after="0"/>
              <w:rPr>
                <w:sz w:val="20"/>
                <w:szCs w:val="20"/>
                <w:color w:val="auto"/>
              </w:rPr>
            </w:pPr>
            <w:r>
              <w:rPr>
                <w:rFonts w:ascii="Times New Roman" w:cs="Times New Roman" w:eastAsia="Times New Roman" w:hAnsi="Times New Roman"/>
                <w:sz w:val="20"/>
                <w:szCs w:val="20"/>
                <w:color w:val="auto"/>
              </w:rPr>
              <w:t>Stay, Extension and Usury Laws</w:t>
            </w:r>
          </w:p>
        </w:tc>
        <w:tc>
          <w:tcPr>
            <w:tcW w:w="4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24</w:t>
            </w:r>
          </w:p>
        </w:tc>
        <w:tc>
          <w:tcPr>
            <w:tcW w:w="2360" w:type="dxa"/>
            <w:vAlign w:val="bottom"/>
          </w:tcPr>
          <w:p>
            <w:pPr>
              <w:spacing w:after="0"/>
              <w:rPr>
                <w:sz w:val="22"/>
                <w:szCs w:val="22"/>
                <w:color w:val="auto"/>
              </w:rPr>
            </w:pP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4.05</w:t>
            </w:r>
          </w:p>
        </w:tc>
        <w:tc>
          <w:tcPr>
            <w:tcW w:w="76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9"/>
              </w:rPr>
              <w:t>Reports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360" w:type="dxa"/>
            <w:vAlign w:val="bottom"/>
          </w:tcPr>
          <w:p>
            <w:pPr>
              <w:spacing w:after="0"/>
              <w:rPr>
                <w:sz w:val="23"/>
                <w:szCs w:val="23"/>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4.06</w:t>
            </w:r>
          </w:p>
        </w:tc>
        <w:tc>
          <w:tcPr>
            <w:tcW w:w="170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w w:val="98"/>
              </w:rPr>
              <w:t>Limitation on Liens</w:t>
            </w:r>
          </w:p>
        </w:tc>
        <w:tc>
          <w:tcPr>
            <w:tcW w:w="800" w:type="dxa"/>
            <w:vAlign w:val="bottom"/>
            <w:gridSpan w:val="2"/>
          </w:tcPr>
          <w:p>
            <w:pPr>
              <w:jc w:val="right"/>
              <w:ind w:right="321"/>
              <w:spacing w:after="0"/>
              <w:rPr>
                <w:sz w:val="20"/>
                <w:szCs w:val="20"/>
                <w:color w:val="auto"/>
              </w:rPr>
            </w:pPr>
            <w:r>
              <w:rPr>
                <w:rFonts w:ascii="Times New Roman" w:cs="Times New Roman" w:eastAsia="Times New Roman" w:hAnsi="Times New Roman"/>
                <w:sz w:val="20"/>
                <w:szCs w:val="20"/>
                <w:color w:val="auto"/>
              </w:rPr>
              <w:t>25</w:t>
            </w: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360" w:type="dxa"/>
            <w:vAlign w:val="bottom"/>
          </w:tcPr>
          <w:p>
            <w:pPr>
              <w:spacing w:after="0"/>
              <w:rPr>
                <w:sz w:val="22"/>
                <w:szCs w:val="22"/>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4.07</w:t>
            </w:r>
          </w:p>
        </w:tc>
        <w:tc>
          <w:tcPr>
            <w:tcW w:w="250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w w:val="99"/>
              </w:rPr>
              <w:t>Future Subsidiary Guarantors</w:t>
            </w:r>
          </w:p>
        </w:tc>
        <w:tc>
          <w:tcPr>
            <w:tcW w:w="740" w:type="dxa"/>
            <w:vAlign w:val="bottom"/>
            <w:gridSpan w:val="2"/>
          </w:tcPr>
          <w:p>
            <w:pPr>
              <w:jc w:val="right"/>
              <w:ind w:right="281"/>
              <w:spacing w:after="0"/>
              <w:rPr>
                <w:sz w:val="20"/>
                <w:szCs w:val="20"/>
                <w:color w:val="auto"/>
              </w:rPr>
            </w:pPr>
            <w:r>
              <w:rPr>
                <w:rFonts w:ascii="Times New Roman" w:cs="Times New Roman" w:eastAsia="Times New Roman" w:hAnsi="Times New Roman"/>
                <w:sz w:val="20"/>
                <w:szCs w:val="20"/>
                <w:color w:val="auto"/>
              </w:rPr>
              <w:t>26</w:t>
            </w:r>
          </w:p>
        </w:tc>
        <w:tc>
          <w:tcPr>
            <w:tcW w:w="2360" w:type="dxa"/>
            <w:vAlign w:val="bottom"/>
          </w:tcPr>
          <w:p>
            <w:pPr>
              <w:spacing w:after="0"/>
              <w:rPr>
                <w:sz w:val="23"/>
                <w:szCs w:val="23"/>
                <w:color w:val="auto"/>
              </w:rPr>
            </w:pP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4.08</w:t>
            </w:r>
          </w:p>
        </w:tc>
        <w:tc>
          <w:tcPr>
            <w:tcW w:w="5600" w:type="dxa"/>
            <w:vAlign w:val="bottom"/>
            <w:gridSpan w:val="9"/>
          </w:tcPr>
          <w:p>
            <w:pPr>
              <w:ind w:left="120"/>
              <w:spacing w:after="0"/>
              <w:rPr>
                <w:sz w:val="20"/>
                <w:szCs w:val="20"/>
                <w:color w:val="auto"/>
              </w:rPr>
            </w:pPr>
            <w:r>
              <w:rPr>
                <w:rFonts w:ascii="Times New Roman" w:cs="Times New Roman" w:eastAsia="Times New Roman" w:hAnsi="Times New Roman"/>
                <w:sz w:val="20"/>
                <w:szCs w:val="20"/>
                <w:color w:val="auto"/>
              </w:rPr>
              <w:t>Offer to Repurchase Upon Change of Control Repurchase Event  26</w:t>
            </w:r>
          </w:p>
        </w:tc>
      </w:tr>
      <w:tr>
        <w:trPr>
          <w:trHeight w:val="258"/>
        </w:trPr>
        <w:tc>
          <w:tcPr>
            <w:tcW w:w="672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Section 4.09   Limitation on Sale/Leaseback Transactions.  27</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4.10</w:t>
            </w:r>
          </w:p>
        </w:tc>
        <w:tc>
          <w:tcPr>
            <w:tcW w:w="202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Compliance Certificate</w:t>
            </w:r>
          </w:p>
        </w:tc>
        <w:tc>
          <w:tcPr>
            <w:tcW w:w="4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28</w:t>
            </w: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36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240"/>
          </w:cols>
          <w:pgMar w:left="320" w:top="1170"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-i-</w:t>
      </w:r>
    </w:p>
    <w:p>
      <w:pPr>
        <w:sectPr>
          <w:pgSz w:w="11900" w:h="16838" w:orient="portrait"/>
          <w:cols w:equalWidth="0" w:num="1">
            <w:col w:w="11240"/>
          </w:cols>
          <w:pgMar w:left="320" w:top="1170"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58"/>
        </w:trPr>
        <w:tc>
          <w:tcPr>
            <w:tcW w:w="4020" w:type="dxa"/>
            <w:vAlign w:val="bottom"/>
            <w:gridSpan w:val="8"/>
          </w:tcPr>
          <w:p>
            <w:pPr>
              <w:spacing w:after="0"/>
              <w:rPr>
                <w:sz w:val="20"/>
                <w:szCs w:val="20"/>
                <w:color w:val="auto"/>
              </w:rPr>
            </w:pPr>
            <w:r>
              <w:rPr>
                <w:rFonts w:ascii="Times New Roman" w:cs="Times New Roman" w:eastAsia="Times New Roman" w:hAnsi="Times New Roman"/>
                <w:sz w:val="20"/>
                <w:szCs w:val="20"/>
                <w:color w:val="auto"/>
                <w:w w:val="98"/>
              </w:rPr>
              <w:t>ARTICLE 5 MERGER AND CONSOLIDATION</w:t>
            </w:r>
          </w:p>
        </w:tc>
        <w:tc>
          <w:tcPr>
            <w:tcW w:w="960" w:type="dxa"/>
            <w:vAlign w:val="bottom"/>
            <w:gridSpan w:val="2"/>
          </w:tcPr>
          <w:p>
            <w:pPr>
              <w:jc w:val="right"/>
              <w:ind w:right="501"/>
              <w:spacing w:after="0"/>
              <w:rPr>
                <w:sz w:val="20"/>
                <w:szCs w:val="20"/>
                <w:color w:val="auto"/>
              </w:rPr>
            </w:pPr>
            <w:r>
              <w:rPr>
                <w:rFonts w:ascii="Times New Roman" w:cs="Times New Roman" w:eastAsia="Times New Roman" w:hAnsi="Times New Roman"/>
                <w:sz w:val="20"/>
                <w:szCs w:val="20"/>
                <w:color w:val="auto"/>
              </w:rPr>
              <w:t>28</w:t>
            </w:r>
          </w:p>
        </w:tc>
        <w:tc>
          <w:tcPr>
            <w:tcW w:w="1080" w:type="dxa"/>
            <w:vAlign w:val="bottom"/>
          </w:tcPr>
          <w:p>
            <w:pPr>
              <w:spacing w:after="0"/>
              <w:rPr>
                <w:sz w:val="22"/>
                <w:szCs w:val="22"/>
                <w:color w:val="auto"/>
              </w:rPr>
            </w:pPr>
          </w:p>
        </w:tc>
        <w:tc>
          <w:tcPr>
            <w:tcW w:w="3940" w:type="dxa"/>
            <w:vAlign w:val="bottom"/>
          </w:tcPr>
          <w:p>
            <w:pPr>
              <w:spacing w:after="0"/>
              <w:rPr>
                <w:sz w:val="22"/>
                <w:szCs w:val="22"/>
                <w:color w:val="auto"/>
              </w:rPr>
            </w:pPr>
          </w:p>
        </w:tc>
      </w:tr>
      <w:tr>
        <w:trPr>
          <w:trHeight w:val="37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5.01</w:t>
            </w:r>
          </w:p>
        </w:tc>
        <w:tc>
          <w:tcPr>
            <w:tcW w:w="8880" w:type="dxa"/>
            <w:vAlign w:val="bottom"/>
            <w:gridSpan w:val="11"/>
          </w:tcPr>
          <w:p>
            <w:pPr>
              <w:ind w:left="120"/>
              <w:spacing w:after="0"/>
              <w:rPr>
                <w:sz w:val="20"/>
                <w:szCs w:val="20"/>
                <w:color w:val="auto"/>
              </w:rPr>
            </w:pPr>
            <w:r>
              <w:rPr>
                <w:rFonts w:ascii="Times New Roman" w:cs="Times New Roman" w:eastAsia="Times New Roman" w:hAnsi="Times New Roman"/>
                <w:sz w:val="20"/>
                <w:szCs w:val="20"/>
                <w:color w:val="auto"/>
              </w:rPr>
              <w:t>Merger, Consolidation or Sale of All or Substantially All Assets  28</w:t>
            </w:r>
          </w:p>
        </w:tc>
      </w:tr>
      <w:tr>
        <w:trPr>
          <w:trHeight w:val="391"/>
        </w:trPr>
        <w:tc>
          <w:tcPr>
            <w:tcW w:w="3620" w:type="dxa"/>
            <w:vAlign w:val="bottom"/>
            <w:gridSpan w:val="7"/>
          </w:tcPr>
          <w:p>
            <w:pPr>
              <w:spacing w:after="0"/>
              <w:rPr>
                <w:sz w:val="20"/>
                <w:szCs w:val="20"/>
                <w:color w:val="auto"/>
              </w:rPr>
            </w:pPr>
            <w:r>
              <w:rPr>
                <w:rFonts w:ascii="Times New Roman" w:cs="Times New Roman" w:eastAsia="Times New Roman" w:hAnsi="Times New Roman"/>
                <w:sz w:val="20"/>
                <w:szCs w:val="20"/>
                <w:color w:val="auto"/>
                <w:w w:val="99"/>
              </w:rPr>
              <w:t>ARTICLE 6 DEFAULTS AND REMEDIES</w:t>
            </w:r>
          </w:p>
        </w:tc>
        <w:tc>
          <w:tcPr>
            <w:tcW w:w="4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29</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4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6.01</w:t>
            </w:r>
          </w:p>
        </w:tc>
        <w:tc>
          <w:tcPr>
            <w:tcW w:w="166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Events of Default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6.02</w:t>
            </w: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Acceleration</w:t>
            </w:r>
          </w:p>
        </w:tc>
        <w:tc>
          <w:tcPr>
            <w:tcW w:w="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31</w:t>
            </w: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940" w:type="dxa"/>
            <w:vAlign w:val="bottom"/>
          </w:tcPr>
          <w:p>
            <w:pPr>
              <w:spacing w:after="0"/>
              <w:rPr>
                <w:sz w:val="22"/>
                <w:szCs w:val="22"/>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6.03</w:t>
            </w:r>
          </w:p>
        </w:tc>
        <w:tc>
          <w:tcPr>
            <w:tcW w:w="190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Other Remedies  31</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940" w:type="dxa"/>
            <w:vAlign w:val="bottom"/>
          </w:tcPr>
          <w:p>
            <w:pPr>
              <w:spacing w:after="0"/>
              <w:rPr>
                <w:sz w:val="23"/>
                <w:szCs w:val="23"/>
                <w:color w:val="auto"/>
              </w:rPr>
            </w:pP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6.04</w:t>
            </w:r>
          </w:p>
        </w:tc>
        <w:tc>
          <w:tcPr>
            <w:tcW w:w="220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Waiver of Past Defaults</w:t>
            </w: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89"/>
              </w:rPr>
              <w:t>32</w:t>
            </w: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940" w:type="dxa"/>
            <w:vAlign w:val="bottom"/>
          </w:tcPr>
          <w:p>
            <w:pPr>
              <w:spacing w:after="0"/>
              <w:rPr>
                <w:sz w:val="23"/>
                <w:szCs w:val="23"/>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6.05</w:t>
            </w:r>
          </w:p>
        </w:tc>
        <w:tc>
          <w:tcPr>
            <w:tcW w:w="190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Control by Majority</w:t>
            </w: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89"/>
              </w:rPr>
              <w:t>32</w:t>
            </w: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940" w:type="dxa"/>
            <w:vAlign w:val="bottom"/>
          </w:tcPr>
          <w:p>
            <w:pPr>
              <w:spacing w:after="0"/>
              <w:rPr>
                <w:sz w:val="22"/>
                <w:szCs w:val="22"/>
                <w:color w:val="auto"/>
              </w:rPr>
            </w:pP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6.06</w:t>
            </w:r>
          </w:p>
        </w:tc>
        <w:tc>
          <w:tcPr>
            <w:tcW w:w="166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w w:val="98"/>
              </w:rPr>
              <w:t>Limitation on Suits</w:t>
            </w:r>
          </w:p>
        </w:tc>
        <w:tc>
          <w:tcPr>
            <w:tcW w:w="54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auto"/>
              </w:rPr>
              <w:t>32</w:t>
            </w: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940" w:type="dxa"/>
            <w:vAlign w:val="bottom"/>
          </w:tcPr>
          <w:p>
            <w:pPr>
              <w:spacing w:after="0"/>
              <w:rPr>
                <w:sz w:val="23"/>
                <w:szCs w:val="23"/>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6.07</w:t>
            </w:r>
          </w:p>
        </w:tc>
        <w:tc>
          <w:tcPr>
            <w:tcW w:w="3160" w:type="dxa"/>
            <w:vAlign w:val="bottom"/>
            <w:gridSpan w:val="8"/>
          </w:tcPr>
          <w:p>
            <w:pPr>
              <w:ind w:left="120"/>
              <w:spacing w:after="0"/>
              <w:rPr>
                <w:sz w:val="20"/>
                <w:szCs w:val="20"/>
                <w:color w:val="auto"/>
              </w:rPr>
            </w:pPr>
            <w:r>
              <w:rPr>
                <w:rFonts w:ascii="Times New Roman" w:cs="Times New Roman" w:eastAsia="Times New Roman" w:hAnsi="Times New Roman"/>
                <w:sz w:val="20"/>
                <w:szCs w:val="20"/>
                <w:color w:val="auto"/>
                <w:w w:val="98"/>
              </w:rPr>
              <w:t>Rights of Holders to Receive Payment</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33</w:t>
            </w:r>
          </w:p>
        </w:tc>
        <w:tc>
          <w:tcPr>
            <w:tcW w:w="1080" w:type="dxa"/>
            <w:vAlign w:val="bottom"/>
          </w:tcPr>
          <w:p>
            <w:pPr>
              <w:spacing w:after="0"/>
              <w:rPr>
                <w:sz w:val="22"/>
                <w:szCs w:val="22"/>
                <w:color w:val="auto"/>
              </w:rPr>
            </w:pPr>
          </w:p>
        </w:tc>
        <w:tc>
          <w:tcPr>
            <w:tcW w:w="3940" w:type="dxa"/>
            <w:vAlign w:val="bottom"/>
          </w:tcPr>
          <w:p>
            <w:pPr>
              <w:spacing w:after="0"/>
              <w:rPr>
                <w:sz w:val="22"/>
                <w:szCs w:val="22"/>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6.08</w:t>
            </w:r>
          </w:p>
        </w:tc>
        <w:tc>
          <w:tcPr>
            <w:tcW w:w="220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w w:val="97"/>
              </w:rPr>
              <w:t>Collection Suit by Trustee</w:t>
            </w:r>
          </w:p>
        </w:tc>
        <w:tc>
          <w:tcPr>
            <w:tcW w:w="700" w:type="dxa"/>
            <w:vAlign w:val="bottom"/>
            <w:gridSpan w:val="2"/>
          </w:tcPr>
          <w:p>
            <w:pPr>
              <w:jc w:val="right"/>
              <w:ind w:right="221"/>
              <w:spacing w:after="0"/>
              <w:rPr>
                <w:sz w:val="20"/>
                <w:szCs w:val="20"/>
                <w:color w:val="auto"/>
              </w:rPr>
            </w:pPr>
            <w:r>
              <w:rPr>
                <w:rFonts w:ascii="Times New Roman" w:cs="Times New Roman" w:eastAsia="Times New Roman" w:hAnsi="Times New Roman"/>
                <w:sz w:val="20"/>
                <w:szCs w:val="20"/>
                <w:color w:val="auto"/>
              </w:rPr>
              <w:t>33</w:t>
            </w: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940" w:type="dxa"/>
            <w:vAlign w:val="bottom"/>
          </w:tcPr>
          <w:p>
            <w:pPr>
              <w:spacing w:after="0"/>
              <w:rPr>
                <w:sz w:val="23"/>
                <w:szCs w:val="23"/>
                <w:color w:val="auto"/>
              </w:rPr>
            </w:pP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6.09</w:t>
            </w:r>
          </w:p>
        </w:tc>
        <w:tc>
          <w:tcPr>
            <w:tcW w:w="3160" w:type="dxa"/>
            <w:vAlign w:val="bottom"/>
            <w:gridSpan w:val="8"/>
          </w:tcPr>
          <w:p>
            <w:pPr>
              <w:ind w:left="120"/>
              <w:spacing w:after="0"/>
              <w:rPr>
                <w:sz w:val="20"/>
                <w:szCs w:val="20"/>
                <w:color w:val="auto"/>
              </w:rPr>
            </w:pPr>
            <w:r>
              <w:rPr>
                <w:rFonts w:ascii="Times New Roman" w:cs="Times New Roman" w:eastAsia="Times New Roman" w:hAnsi="Times New Roman"/>
                <w:sz w:val="20"/>
                <w:szCs w:val="20"/>
                <w:color w:val="auto"/>
              </w:rPr>
              <w:t>Restoration of Rights and Remedies</w:t>
            </w:r>
          </w:p>
        </w:tc>
        <w:tc>
          <w:tcPr>
            <w:tcW w:w="70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w w:val="99"/>
              </w:rPr>
              <w:t>33</w:t>
            </w:r>
          </w:p>
        </w:tc>
        <w:tc>
          <w:tcPr>
            <w:tcW w:w="1080" w:type="dxa"/>
            <w:vAlign w:val="bottom"/>
          </w:tcPr>
          <w:p>
            <w:pPr>
              <w:spacing w:after="0"/>
              <w:rPr>
                <w:sz w:val="23"/>
                <w:szCs w:val="23"/>
                <w:color w:val="auto"/>
              </w:rPr>
            </w:pPr>
          </w:p>
        </w:tc>
        <w:tc>
          <w:tcPr>
            <w:tcW w:w="3940" w:type="dxa"/>
            <w:vAlign w:val="bottom"/>
          </w:tcPr>
          <w:p>
            <w:pPr>
              <w:spacing w:after="0"/>
              <w:rPr>
                <w:sz w:val="23"/>
                <w:szCs w:val="23"/>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6.10</w:t>
            </w:r>
          </w:p>
        </w:tc>
        <w:tc>
          <w:tcPr>
            <w:tcW w:w="2900" w:type="dxa"/>
            <w:vAlign w:val="bottom"/>
            <w:gridSpan w:val="7"/>
          </w:tcPr>
          <w:p>
            <w:pPr>
              <w:ind w:left="120"/>
              <w:spacing w:after="0"/>
              <w:rPr>
                <w:sz w:val="20"/>
                <w:szCs w:val="20"/>
                <w:color w:val="auto"/>
              </w:rPr>
            </w:pPr>
            <w:r>
              <w:rPr>
                <w:rFonts w:ascii="Times New Roman" w:cs="Times New Roman" w:eastAsia="Times New Roman" w:hAnsi="Times New Roman"/>
                <w:sz w:val="20"/>
                <w:szCs w:val="20"/>
                <w:color w:val="auto"/>
              </w:rPr>
              <w:t>Rights and Remedies Cumulative</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7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940" w:type="dxa"/>
            <w:vAlign w:val="bottom"/>
          </w:tcPr>
          <w:p>
            <w:pPr>
              <w:spacing w:after="0"/>
              <w:rPr>
                <w:sz w:val="22"/>
                <w:szCs w:val="22"/>
                <w:color w:val="auto"/>
              </w:rPr>
            </w:pP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6.11</w:t>
            </w:r>
          </w:p>
        </w:tc>
        <w:tc>
          <w:tcPr>
            <w:tcW w:w="3160" w:type="dxa"/>
            <w:vAlign w:val="bottom"/>
            <w:gridSpan w:val="8"/>
          </w:tcPr>
          <w:p>
            <w:pPr>
              <w:ind w:left="100"/>
              <w:spacing w:after="0"/>
              <w:rPr>
                <w:sz w:val="20"/>
                <w:szCs w:val="20"/>
                <w:color w:val="auto"/>
              </w:rPr>
            </w:pPr>
            <w:r>
              <w:rPr>
                <w:rFonts w:ascii="Times New Roman" w:cs="Times New Roman" w:eastAsia="Times New Roman" w:hAnsi="Times New Roman"/>
                <w:sz w:val="20"/>
                <w:szCs w:val="20"/>
                <w:color w:val="auto"/>
              </w:rPr>
              <w:t>Delay or Omission Not Waiver  33</w:t>
            </w:r>
          </w:p>
        </w:tc>
        <w:tc>
          <w:tcPr>
            <w:tcW w:w="7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940" w:type="dxa"/>
            <w:vAlign w:val="bottom"/>
          </w:tcPr>
          <w:p>
            <w:pPr>
              <w:spacing w:after="0"/>
              <w:rPr>
                <w:sz w:val="23"/>
                <w:szCs w:val="23"/>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6.12</w:t>
            </w:r>
          </w:p>
        </w:tc>
        <w:tc>
          <w:tcPr>
            <w:tcW w:w="2900" w:type="dxa"/>
            <w:vAlign w:val="bottom"/>
            <w:gridSpan w:val="7"/>
          </w:tcPr>
          <w:p>
            <w:pPr>
              <w:ind w:left="120"/>
              <w:spacing w:after="0"/>
              <w:rPr>
                <w:sz w:val="20"/>
                <w:szCs w:val="20"/>
                <w:color w:val="auto"/>
              </w:rPr>
            </w:pPr>
            <w:r>
              <w:rPr>
                <w:rFonts w:ascii="Times New Roman" w:cs="Times New Roman" w:eastAsia="Times New Roman" w:hAnsi="Times New Roman"/>
                <w:sz w:val="20"/>
                <w:szCs w:val="20"/>
                <w:color w:val="auto"/>
              </w:rPr>
              <w:t>Trustee May File Proofs of Claim</w:t>
            </w:r>
          </w:p>
        </w:tc>
        <w:tc>
          <w:tcPr>
            <w:tcW w:w="960" w:type="dxa"/>
            <w:vAlign w:val="bottom"/>
            <w:gridSpan w:val="2"/>
          </w:tcPr>
          <w:p>
            <w:pPr>
              <w:jc w:val="right"/>
              <w:ind w:right="581"/>
              <w:spacing w:after="0"/>
              <w:rPr>
                <w:sz w:val="20"/>
                <w:szCs w:val="20"/>
                <w:color w:val="auto"/>
              </w:rPr>
            </w:pPr>
            <w:r>
              <w:rPr>
                <w:rFonts w:ascii="Times New Roman" w:cs="Times New Roman" w:eastAsia="Times New Roman" w:hAnsi="Times New Roman"/>
                <w:sz w:val="20"/>
                <w:szCs w:val="20"/>
                <w:color w:val="auto"/>
              </w:rPr>
              <w:t>34</w:t>
            </w:r>
          </w:p>
        </w:tc>
        <w:tc>
          <w:tcPr>
            <w:tcW w:w="1080" w:type="dxa"/>
            <w:vAlign w:val="bottom"/>
          </w:tcPr>
          <w:p>
            <w:pPr>
              <w:spacing w:after="0"/>
              <w:rPr>
                <w:sz w:val="22"/>
                <w:szCs w:val="22"/>
                <w:color w:val="auto"/>
              </w:rPr>
            </w:pPr>
          </w:p>
        </w:tc>
        <w:tc>
          <w:tcPr>
            <w:tcW w:w="3940" w:type="dxa"/>
            <w:vAlign w:val="bottom"/>
          </w:tcPr>
          <w:p>
            <w:pPr>
              <w:spacing w:after="0"/>
              <w:rPr>
                <w:sz w:val="22"/>
                <w:szCs w:val="22"/>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6.13</w:t>
            </w:r>
          </w:p>
        </w:tc>
        <w:tc>
          <w:tcPr>
            <w:tcW w:w="9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Priorities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940" w:type="dxa"/>
            <w:vAlign w:val="bottom"/>
          </w:tcPr>
          <w:p>
            <w:pPr>
              <w:spacing w:after="0"/>
              <w:rPr>
                <w:sz w:val="23"/>
                <w:szCs w:val="23"/>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6.14</w:t>
            </w:r>
          </w:p>
        </w:tc>
        <w:tc>
          <w:tcPr>
            <w:tcW w:w="190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w w:val="98"/>
              </w:rPr>
              <w:t>Undertaking for Costs</w:t>
            </w:r>
          </w:p>
        </w:tc>
        <w:tc>
          <w:tcPr>
            <w:tcW w:w="600" w:type="dxa"/>
            <w:vAlign w:val="bottom"/>
            <w:gridSpan w:val="2"/>
          </w:tcPr>
          <w:p>
            <w:pPr>
              <w:jc w:val="right"/>
              <w:ind w:right="121"/>
              <w:spacing w:after="0"/>
              <w:rPr>
                <w:sz w:val="20"/>
                <w:szCs w:val="20"/>
                <w:color w:val="auto"/>
              </w:rPr>
            </w:pPr>
            <w:r>
              <w:rPr>
                <w:rFonts w:ascii="Times New Roman" w:cs="Times New Roman" w:eastAsia="Times New Roman" w:hAnsi="Times New Roman"/>
                <w:sz w:val="20"/>
                <w:szCs w:val="20"/>
                <w:color w:val="auto"/>
              </w:rPr>
              <w:t>34</w:t>
            </w: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940" w:type="dxa"/>
            <w:vAlign w:val="bottom"/>
          </w:tcPr>
          <w:p>
            <w:pPr>
              <w:spacing w:after="0"/>
              <w:rPr>
                <w:sz w:val="23"/>
                <w:szCs w:val="23"/>
                <w:color w:val="auto"/>
              </w:rPr>
            </w:pPr>
          </w:p>
        </w:tc>
      </w:tr>
      <w:tr>
        <w:trPr>
          <w:trHeight w:val="392"/>
        </w:trPr>
        <w:tc>
          <w:tcPr>
            <w:tcW w:w="2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7 TRUSTEE</w:t>
            </w:r>
          </w:p>
        </w:tc>
        <w:tc>
          <w:tcPr>
            <w:tcW w:w="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35</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376"/>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7.01</w:t>
            </w:r>
          </w:p>
        </w:tc>
        <w:tc>
          <w:tcPr>
            <w:tcW w:w="166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Duties of Trustee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35</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7.02</w:t>
            </w:r>
          </w:p>
        </w:tc>
        <w:tc>
          <w:tcPr>
            <w:tcW w:w="166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Rights of Trustee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36</w:t>
            </w: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940" w:type="dxa"/>
            <w:vAlign w:val="bottom"/>
          </w:tcPr>
          <w:p>
            <w:pPr>
              <w:spacing w:after="0"/>
              <w:rPr>
                <w:sz w:val="22"/>
                <w:szCs w:val="22"/>
                <w:color w:val="auto"/>
              </w:rPr>
            </w:pP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7.03</w:t>
            </w:r>
          </w:p>
        </w:tc>
        <w:tc>
          <w:tcPr>
            <w:tcW w:w="250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Individual Rights of Trustee</w:t>
            </w:r>
          </w:p>
        </w:tc>
        <w:tc>
          <w:tcPr>
            <w:tcW w:w="4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37</w:t>
            </w: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940" w:type="dxa"/>
            <w:vAlign w:val="bottom"/>
          </w:tcPr>
          <w:p>
            <w:pPr>
              <w:spacing w:after="0"/>
              <w:rPr>
                <w:sz w:val="23"/>
                <w:szCs w:val="23"/>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7.04</w:t>
            </w:r>
          </w:p>
        </w:tc>
        <w:tc>
          <w:tcPr>
            <w:tcW w:w="190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Trustee’s Disclaimer</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940" w:type="dxa"/>
            <w:vAlign w:val="bottom"/>
          </w:tcPr>
          <w:p>
            <w:pPr>
              <w:spacing w:after="0"/>
              <w:rPr>
                <w:sz w:val="22"/>
                <w:szCs w:val="22"/>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7.05</w:t>
            </w:r>
          </w:p>
        </w:tc>
        <w:tc>
          <w:tcPr>
            <w:tcW w:w="166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Notice of Defaults</w:t>
            </w:r>
          </w:p>
        </w:tc>
        <w:tc>
          <w:tcPr>
            <w:tcW w:w="540" w:type="dxa"/>
            <w:vAlign w:val="bottom"/>
            <w:gridSpan w:val="2"/>
          </w:tcPr>
          <w:p>
            <w:pPr>
              <w:jc w:val="right"/>
              <w:ind w:right="121"/>
              <w:spacing w:after="0"/>
              <w:rPr>
                <w:sz w:val="20"/>
                <w:szCs w:val="20"/>
                <w:color w:val="auto"/>
              </w:rPr>
            </w:pPr>
            <w:r>
              <w:rPr>
                <w:rFonts w:ascii="Times New Roman" w:cs="Times New Roman" w:eastAsia="Times New Roman" w:hAnsi="Times New Roman"/>
                <w:sz w:val="20"/>
                <w:szCs w:val="20"/>
                <w:color w:val="auto"/>
              </w:rPr>
              <w:t>37</w:t>
            </w: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940" w:type="dxa"/>
            <w:vAlign w:val="bottom"/>
          </w:tcPr>
          <w:p>
            <w:pPr>
              <w:spacing w:after="0"/>
              <w:rPr>
                <w:sz w:val="23"/>
                <w:szCs w:val="23"/>
                <w:color w:val="auto"/>
              </w:rPr>
            </w:pP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7.06</w:t>
            </w:r>
          </w:p>
        </w:tc>
        <w:tc>
          <w:tcPr>
            <w:tcW w:w="250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w w:val="99"/>
              </w:rPr>
              <w:t>Compensation and Indemnity</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940" w:type="dxa"/>
            <w:vAlign w:val="bottom"/>
          </w:tcPr>
          <w:p>
            <w:pPr>
              <w:spacing w:after="0"/>
              <w:rPr>
                <w:sz w:val="23"/>
                <w:szCs w:val="23"/>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7.07</w:t>
            </w:r>
          </w:p>
        </w:tc>
        <w:tc>
          <w:tcPr>
            <w:tcW w:w="220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Replacement of Trustee</w:t>
            </w: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89"/>
              </w:rPr>
              <w:t>38</w:t>
            </w: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940" w:type="dxa"/>
            <w:vAlign w:val="bottom"/>
          </w:tcPr>
          <w:p>
            <w:pPr>
              <w:spacing w:after="0"/>
              <w:rPr>
                <w:sz w:val="22"/>
                <w:szCs w:val="22"/>
                <w:color w:val="auto"/>
              </w:rPr>
            </w:pPr>
          </w:p>
        </w:tc>
      </w:tr>
      <w:tr>
        <w:trPr>
          <w:trHeight w:val="268"/>
        </w:trPr>
        <w:tc>
          <w:tcPr>
            <w:tcW w:w="498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Section 7.08   Successor Trustee by Merger, etc.  39</w:t>
            </w:r>
          </w:p>
        </w:tc>
        <w:tc>
          <w:tcPr>
            <w:tcW w:w="1080" w:type="dxa"/>
            <w:vAlign w:val="bottom"/>
          </w:tcPr>
          <w:p>
            <w:pPr>
              <w:spacing w:after="0"/>
              <w:rPr>
                <w:sz w:val="23"/>
                <w:szCs w:val="23"/>
                <w:color w:val="auto"/>
              </w:rPr>
            </w:pPr>
          </w:p>
        </w:tc>
        <w:tc>
          <w:tcPr>
            <w:tcW w:w="3940" w:type="dxa"/>
            <w:vAlign w:val="bottom"/>
          </w:tcPr>
          <w:p>
            <w:pPr>
              <w:spacing w:after="0"/>
              <w:rPr>
                <w:sz w:val="23"/>
                <w:szCs w:val="23"/>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7.09</w:t>
            </w:r>
          </w:p>
        </w:tc>
        <w:tc>
          <w:tcPr>
            <w:tcW w:w="250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Eligibility; Disqualification</w:t>
            </w:r>
          </w:p>
        </w:tc>
        <w:tc>
          <w:tcPr>
            <w:tcW w:w="4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89"/>
              </w:rPr>
              <w:t>39</w:t>
            </w: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940" w:type="dxa"/>
            <w:vAlign w:val="bottom"/>
          </w:tcPr>
          <w:p>
            <w:pPr>
              <w:spacing w:after="0"/>
              <w:rPr>
                <w:sz w:val="22"/>
                <w:szCs w:val="22"/>
                <w:color w:val="auto"/>
              </w:rPr>
            </w:pPr>
          </w:p>
        </w:tc>
      </w:tr>
      <w:tr>
        <w:trPr>
          <w:trHeight w:val="405"/>
        </w:trPr>
        <w:tc>
          <w:tcPr>
            <w:tcW w:w="606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ARTICLE 8 LEGAL DEFEASANCE AND COVENANT DEFEASANCE</w:t>
            </w:r>
          </w:p>
        </w:tc>
        <w:tc>
          <w:tcPr>
            <w:tcW w:w="3940" w:type="dxa"/>
            <w:vAlign w:val="bottom"/>
          </w:tcPr>
          <w:p>
            <w:pPr>
              <w:jc w:val="right"/>
              <w:ind w:right="3541"/>
              <w:spacing w:after="0"/>
              <w:rPr>
                <w:sz w:val="20"/>
                <w:szCs w:val="20"/>
                <w:color w:val="auto"/>
              </w:rPr>
            </w:pPr>
            <w:r>
              <w:rPr>
                <w:rFonts w:ascii="Times New Roman" w:cs="Times New Roman" w:eastAsia="Times New Roman" w:hAnsi="Times New Roman"/>
                <w:sz w:val="20"/>
                <w:szCs w:val="20"/>
                <w:color w:val="auto"/>
              </w:rPr>
              <w:t>39</w:t>
            </w:r>
          </w:p>
        </w:tc>
      </w:tr>
      <w:tr>
        <w:trPr>
          <w:trHeight w:val="4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8.01</w:t>
            </w:r>
          </w:p>
        </w:tc>
        <w:tc>
          <w:tcPr>
            <w:tcW w:w="4940" w:type="dxa"/>
            <w:vAlign w:val="bottom"/>
            <w:gridSpan w:val="10"/>
          </w:tcPr>
          <w:p>
            <w:pPr>
              <w:ind w:left="120"/>
              <w:spacing w:after="0"/>
              <w:rPr>
                <w:sz w:val="20"/>
                <w:szCs w:val="20"/>
                <w:color w:val="auto"/>
              </w:rPr>
            </w:pPr>
            <w:r>
              <w:rPr>
                <w:rFonts w:ascii="Times New Roman" w:cs="Times New Roman" w:eastAsia="Times New Roman" w:hAnsi="Times New Roman"/>
                <w:sz w:val="20"/>
                <w:szCs w:val="20"/>
                <w:color w:val="auto"/>
              </w:rPr>
              <w:t>Option to Effect Legal Defeasance or Covenant Defeasance</w:t>
            </w:r>
          </w:p>
        </w:tc>
        <w:tc>
          <w:tcPr>
            <w:tcW w:w="3940" w:type="dxa"/>
            <w:vAlign w:val="bottom"/>
          </w:tcPr>
          <w:p>
            <w:pPr>
              <w:jc w:val="right"/>
              <w:ind w:right="3541"/>
              <w:spacing w:after="0"/>
              <w:rPr>
                <w:sz w:val="20"/>
                <w:szCs w:val="20"/>
                <w:color w:val="auto"/>
              </w:rPr>
            </w:pPr>
            <w:r>
              <w:rPr>
                <w:rFonts w:ascii="Times New Roman" w:cs="Times New Roman" w:eastAsia="Times New Roman" w:hAnsi="Times New Roman"/>
                <w:sz w:val="20"/>
                <w:szCs w:val="20"/>
                <w:color w:val="auto"/>
              </w:rPr>
              <w:t>39</w:t>
            </w: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8.02</w:t>
            </w:r>
          </w:p>
        </w:tc>
        <w:tc>
          <w:tcPr>
            <w:tcW w:w="2900" w:type="dxa"/>
            <w:vAlign w:val="bottom"/>
            <w:gridSpan w:val="7"/>
          </w:tcPr>
          <w:p>
            <w:pPr>
              <w:ind w:left="120"/>
              <w:spacing w:after="0"/>
              <w:rPr>
                <w:sz w:val="20"/>
                <w:szCs w:val="20"/>
                <w:color w:val="auto"/>
              </w:rPr>
            </w:pPr>
            <w:r>
              <w:rPr>
                <w:rFonts w:ascii="Times New Roman" w:cs="Times New Roman" w:eastAsia="Times New Roman" w:hAnsi="Times New Roman"/>
                <w:sz w:val="20"/>
                <w:szCs w:val="20"/>
                <w:color w:val="auto"/>
              </w:rPr>
              <w:t>Legal Defeasance and Discharge</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40</w:t>
            </w:r>
          </w:p>
        </w:tc>
        <w:tc>
          <w:tcPr>
            <w:tcW w:w="7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940" w:type="dxa"/>
            <w:vAlign w:val="bottom"/>
          </w:tcPr>
          <w:p>
            <w:pPr>
              <w:spacing w:after="0"/>
              <w:rPr>
                <w:sz w:val="22"/>
                <w:szCs w:val="22"/>
                <w:color w:val="auto"/>
              </w:rPr>
            </w:pP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8.03</w:t>
            </w:r>
          </w:p>
        </w:tc>
        <w:tc>
          <w:tcPr>
            <w:tcW w:w="190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Covenant Defeasance</w:t>
            </w:r>
          </w:p>
        </w:tc>
        <w:tc>
          <w:tcPr>
            <w:tcW w:w="600" w:type="dxa"/>
            <w:vAlign w:val="bottom"/>
            <w:gridSpan w:val="2"/>
          </w:tcPr>
          <w:p>
            <w:pPr>
              <w:jc w:val="right"/>
              <w:ind w:right="161"/>
              <w:spacing w:after="0"/>
              <w:rPr>
                <w:sz w:val="20"/>
                <w:szCs w:val="20"/>
                <w:color w:val="auto"/>
              </w:rPr>
            </w:pPr>
            <w:r>
              <w:rPr>
                <w:rFonts w:ascii="Times New Roman" w:cs="Times New Roman" w:eastAsia="Times New Roman" w:hAnsi="Times New Roman"/>
                <w:sz w:val="20"/>
                <w:szCs w:val="20"/>
                <w:color w:val="auto"/>
              </w:rPr>
              <w:t>40</w:t>
            </w: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940" w:type="dxa"/>
            <w:vAlign w:val="bottom"/>
          </w:tcPr>
          <w:p>
            <w:pPr>
              <w:spacing w:after="0"/>
              <w:rPr>
                <w:sz w:val="23"/>
                <w:szCs w:val="23"/>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8.04</w:t>
            </w:r>
          </w:p>
        </w:tc>
        <w:tc>
          <w:tcPr>
            <w:tcW w:w="3860" w:type="dxa"/>
            <w:vAlign w:val="bottom"/>
            <w:gridSpan w:val="9"/>
          </w:tcPr>
          <w:p>
            <w:pPr>
              <w:ind w:left="120"/>
              <w:spacing w:after="0"/>
              <w:rPr>
                <w:sz w:val="20"/>
                <w:szCs w:val="20"/>
                <w:color w:val="auto"/>
              </w:rPr>
            </w:pPr>
            <w:r>
              <w:rPr>
                <w:rFonts w:ascii="Times New Roman" w:cs="Times New Roman" w:eastAsia="Times New Roman" w:hAnsi="Times New Roman"/>
                <w:sz w:val="20"/>
                <w:szCs w:val="20"/>
                <w:color w:val="auto"/>
              </w:rPr>
              <w:t>Conditions to Legal or Covenant Defeasance</w:t>
            </w:r>
          </w:p>
        </w:tc>
        <w:tc>
          <w:tcPr>
            <w:tcW w:w="1080" w:type="dxa"/>
            <w:vAlign w:val="bottom"/>
          </w:tcPr>
          <w:p>
            <w:pPr>
              <w:jc w:val="right"/>
              <w:ind w:right="781"/>
              <w:spacing w:after="0"/>
              <w:rPr>
                <w:sz w:val="20"/>
                <w:szCs w:val="20"/>
                <w:color w:val="auto"/>
              </w:rPr>
            </w:pPr>
            <w:r>
              <w:rPr>
                <w:rFonts w:ascii="Times New Roman" w:cs="Times New Roman" w:eastAsia="Times New Roman" w:hAnsi="Times New Roman"/>
                <w:sz w:val="20"/>
                <w:szCs w:val="20"/>
                <w:color w:val="auto"/>
                <w:w w:val="89"/>
              </w:rPr>
              <w:t>41</w:t>
            </w:r>
          </w:p>
        </w:tc>
        <w:tc>
          <w:tcPr>
            <w:tcW w:w="3940" w:type="dxa"/>
            <w:vAlign w:val="bottom"/>
          </w:tcPr>
          <w:p>
            <w:pPr>
              <w:spacing w:after="0"/>
              <w:rPr>
                <w:sz w:val="22"/>
                <w:szCs w:val="22"/>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8.05</w:t>
            </w:r>
          </w:p>
        </w:tc>
        <w:tc>
          <w:tcPr>
            <w:tcW w:w="8880" w:type="dxa"/>
            <w:vAlign w:val="bottom"/>
            <w:gridSpan w:val="11"/>
          </w:tcPr>
          <w:p>
            <w:pPr>
              <w:ind w:left="120"/>
              <w:spacing w:after="0"/>
              <w:rPr>
                <w:sz w:val="20"/>
                <w:szCs w:val="20"/>
                <w:color w:val="auto"/>
              </w:rPr>
            </w:pPr>
            <w:r>
              <w:rPr>
                <w:rFonts w:ascii="Times New Roman" w:cs="Times New Roman" w:eastAsia="Times New Roman" w:hAnsi="Times New Roman"/>
                <w:sz w:val="20"/>
                <w:szCs w:val="20"/>
                <w:color w:val="auto"/>
                <w:w w:val="99"/>
              </w:rPr>
              <w:t>Deposited Money and U.S. Government Obligations to Be Held in Trust; Other Miscellaneous Provisions  42</w:t>
            </w: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8.06</w:t>
            </w:r>
          </w:p>
        </w:tc>
        <w:tc>
          <w:tcPr>
            <w:tcW w:w="250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Repayment to the Company</w:t>
            </w:r>
          </w:p>
        </w:tc>
        <w:tc>
          <w:tcPr>
            <w:tcW w:w="4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42</w:t>
            </w: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940" w:type="dxa"/>
            <w:vAlign w:val="bottom"/>
          </w:tcPr>
          <w:p>
            <w:pPr>
              <w:spacing w:after="0"/>
              <w:rPr>
                <w:sz w:val="23"/>
                <w:szCs w:val="23"/>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8.07</w:t>
            </w: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Reinstatement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940" w:type="dxa"/>
            <w:vAlign w:val="bottom"/>
          </w:tcPr>
          <w:p>
            <w:pPr>
              <w:spacing w:after="0"/>
              <w:rPr>
                <w:sz w:val="22"/>
                <w:szCs w:val="22"/>
                <w:color w:val="auto"/>
              </w:rPr>
            </w:pPr>
          </w:p>
        </w:tc>
      </w:tr>
      <w:tr>
        <w:trPr>
          <w:trHeight w:val="405"/>
        </w:trPr>
        <w:tc>
          <w:tcPr>
            <w:tcW w:w="4980" w:type="dxa"/>
            <w:vAlign w:val="bottom"/>
            <w:gridSpan w:val="10"/>
          </w:tcPr>
          <w:p>
            <w:pPr>
              <w:spacing w:after="0"/>
              <w:rPr>
                <w:sz w:val="20"/>
                <w:szCs w:val="20"/>
                <w:color w:val="auto"/>
              </w:rPr>
            </w:pPr>
            <w:r>
              <w:rPr>
                <w:rFonts w:ascii="Times New Roman" w:cs="Times New Roman" w:eastAsia="Times New Roman" w:hAnsi="Times New Roman"/>
                <w:sz w:val="20"/>
                <w:szCs w:val="20"/>
                <w:color w:val="auto"/>
                <w:w w:val="97"/>
              </w:rPr>
              <w:t>ARTICLE 9 AMENDMENT, SUPPLEMENT AND WAIVER</w:t>
            </w:r>
          </w:p>
        </w:tc>
        <w:tc>
          <w:tcPr>
            <w:tcW w:w="1080" w:type="dxa"/>
            <w:vAlign w:val="bottom"/>
          </w:tcPr>
          <w:p>
            <w:pPr>
              <w:jc w:val="right"/>
              <w:ind w:right="601"/>
              <w:spacing w:after="0"/>
              <w:rPr>
                <w:sz w:val="20"/>
                <w:szCs w:val="20"/>
                <w:color w:val="auto"/>
              </w:rPr>
            </w:pPr>
            <w:r>
              <w:rPr>
                <w:rFonts w:ascii="Times New Roman" w:cs="Times New Roman" w:eastAsia="Times New Roman" w:hAnsi="Times New Roman"/>
                <w:sz w:val="20"/>
                <w:szCs w:val="20"/>
                <w:color w:val="auto"/>
              </w:rPr>
              <w:t>43</w:t>
            </w:r>
          </w:p>
        </w:tc>
        <w:tc>
          <w:tcPr>
            <w:tcW w:w="3940" w:type="dxa"/>
            <w:vAlign w:val="bottom"/>
          </w:tcPr>
          <w:p>
            <w:pPr>
              <w:spacing w:after="0"/>
              <w:rPr>
                <w:sz w:val="24"/>
                <w:szCs w:val="24"/>
                <w:color w:val="auto"/>
              </w:rPr>
            </w:pPr>
          </w:p>
        </w:tc>
      </w:tr>
      <w:tr>
        <w:trPr>
          <w:trHeight w:val="41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9.01</w:t>
            </w:r>
          </w:p>
        </w:tc>
        <w:tc>
          <w:tcPr>
            <w:tcW w:w="250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Without Consent of Holders</w:t>
            </w:r>
          </w:p>
        </w:tc>
        <w:tc>
          <w:tcPr>
            <w:tcW w:w="4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43</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9.02</w:t>
            </w:r>
          </w:p>
        </w:tc>
        <w:tc>
          <w:tcPr>
            <w:tcW w:w="220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With Consent of Holders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940" w:type="dxa"/>
            <w:vAlign w:val="bottom"/>
          </w:tcPr>
          <w:p>
            <w:pPr>
              <w:spacing w:after="0"/>
              <w:rPr>
                <w:sz w:val="23"/>
                <w:szCs w:val="23"/>
                <w:color w:val="auto"/>
              </w:rPr>
            </w:pP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9.03</w:t>
            </w:r>
          </w:p>
        </w:tc>
        <w:tc>
          <w:tcPr>
            <w:tcW w:w="2900" w:type="dxa"/>
            <w:vAlign w:val="bottom"/>
            <w:gridSpan w:val="7"/>
          </w:tcPr>
          <w:p>
            <w:pPr>
              <w:ind w:left="120"/>
              <w:spacing w:after="0"/>
              <w:rPr>
                <w:sz w:val="20"/>
                <w:szCs w:val="20"/>
                <w:color w:val="auto"/>
              </w:rPr>
            </w:pPr>
            <w:r>
              <w:rPr>
                <w:rFonts w:ascii="Times New Roman" w:cs="Times New Roman" w:eastAsia="Times New Roman" w:hAnsi="Times New Roman"/>
                <w:sz w:val="20"/>
                <w:szCs w:val="20"/>
                <w:color w:val="auto"/>
                <w:w w:val="98"/>
              </w:rPr>
              <w:t>Revocation and Effect of Consents</w:t>
            </w:r>
          </w:p>
        </w:tc>
        <w:tc>
          <w:tcPr>
            <w:tcW w:w="960" w:type="dxa"/>
            <w:vAlign w:val="bottom"/>
            <w:gridSpan w:val="2"/>
          </w:tcPr>
          <w:p>
            <w:pPr>
              <w:jc w:val="right"/>
              <w:ind w:right="501"/>
              <w:spacing w:after="0"/>
              <w:rPr>
                <w:sz w:val="20"/>
                <w:szCs w:val="20"/>
                <w:color w:val="auto"/>
              </w:rPr>
            </w:pPr>
            <w:r>
              <w:rPr>
                <w:rFonts w:ascii="Times New Roman" w:cs="Times New Roman" w:eastAsia="Times New Roman" w:hAnsi="Times New Roman"/>
                <w:sz w:val="20"/>
                <w:szCs w:val="20"/>
                <w:color w:val="auto"/>
              </w:rPr>
              <w:t>45</w:t>
            </w:r>
          </w:p>
        </w:tc>
        <w:tc>
          <w:tcPr>
            <w:tcW w:w="1080" w:type="dxa"/>
            <w:vAlign w:val="bottom"/>
          </w:tcPr>
          <w:p>
            <w:pPr>
              <w:spacing w:after="0"/>
              <w:rPr>
                <w:sz w:val="23"/>
                <w:szCs w:val="23"/>
                <w:color w:val="auto"/>
              </w:rPr>
            </w:pPr>
          </w:p>
        </w:tc>
        <w:tc>
          <w:tcPr>
            <w:tcW w:w="3940" w:type="dxa"/>
            <w:vAlign w:val="bottom"/>
          </w:tcPr>
          <w:p>
            <w:pPr>
              <w:spacing w:after="0"/>
              <w:rPr>
                <w:sz w:val="23"/>
                <w:szCs w:val="23"/>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9.04</w:t>
            </w:r>
          </w:p>
        </w:tc>
        <w:tc>
          <w:tcPr>
            <w:tcW w:w="2900" w:type="dxa"/>
            <w:vAlign w:val="bottom"/>
            <w:gridSpan w:val="7"/>
          </w:tcPr>
          <w:p>
            <w:pPr>
              <w:ind w:left="120"/>
              <w:spacing w:after="0"/>
              <w:rPr>
                <w:sz w:val="20"/>
                <w:szCs w:val="20"/>
                <w:color w:val="auto"/>
              </w:rPr>
            </w:pPr>
            <w:r>
              <w:rPr>
                <w:rFonts w:ascii="Times New Roman" w:cs="Times New Roman" w:eastAsia="Times New Roman" w:hAnsi="Times New Roman"/>
                <w:sz w:val="20"/>
                <w:szCs w:val="20"/>
                <w:color w:val="auto"/>
              </w:rPr>
              <w:t>Notation on or Exchange of Notes</w:t>
            </w:r>
          </w:p>
        </w:tc>
        <w:tc>
          <w:tcPr>
            <w:tcW w:w="960" w:type="dxa"/>
            <w:vAlign w:val="bottom"/>
            <w:gridSpan w:val="2"/>
          </w:tcPr>
          <w:p>
            <w:pPr>
              <w:jc w:val="right"/>
              <w:ind w:right="541"/>
              <w:spacing w:after="0"/>
              <w:rPr>
                <w:sz w:val="20"/>
                <w:szCs w:val="20"/>
                <w:color w:val="auto"/>
              </w:rPr>
            </w:pPr>
            <w:r>
              <w:rPr>
                <w:rFonts w:ascii="Times New Roman" w:cs="Times New Roman" w:eastAsia="Times New Roman" w:hAnsi="Times New Roman"/>
                <w:sz w:val="20"/>
                <w:szCs w:val="20"/>
                <w:color w:val="auto"/>
              </w:rPr>
              <w:t>45</w:t>
            </w:r>
          </w:p>
        </w:tc>
        <w:tc>
          <w:tcPr>
            <w:tcW w:w="1080" w:type="dxa"/>
            <w:vAlign w:val="bottom"/>
          </w:tcPr>
          <w:p>
            <w:pPr>
              <w:spacing w:after="0"/>
              <w:rPr>
                <w:sz w:val="22"/>
                <w:szCs w:val="22"/>
                <w:color w:val="auto"/>
              </w:rPr>
            </w:pPr>
          </w:p>
        </w:tc>
        <w:tc>
          <w:tcPr>
            <w:tcW w:w="3940" w:type="dxa"/>
            <w:vAlign w:val="bottom"/>
          </w:tcPr>
          <w:p>
            <w:pPr>
              <w:spacing w:after="0"/>
              <w:rPr>
                <w:sz w:val="22"/>
                <w:szCs w:val="22"/>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9.05</w:t>
            </w:r>
          </w:p>
        </w:tc>
        <w:tc>
          <w:tcPr>
            <w:tcW w:w="2900" w:type="dxa"/>
            <w:vAlign w:val="bottom"/>
            <w:gridSpan w:val="7"/>
          </w:tcPr>
          <w:p>
            <w:pPr>
              <w:ind w:left="120"/>
              <w:spacing w:after="0"/>
              <w:rPr>
                <w:sz w:val="20"/>
                <w:szCs w:val="20"/>
                <w:color w:val="auto"/>
              </w:rPr>
            </w:pPr>
            <w:r>
              <w:rPr>
                <w:rFonts w:ascii="Times New Roman" w:cs="Times New Roman" w:eastAsia="Times New Roman" w:hAnsi="Times New Roman"/>
                <w:sz w:val="20"/>
                <w:szCs w:val="20"/>
                <w:color w:val="auto"/>
              </w:rPr>
              <w:t>Trustee to Sign Amendments, etc.</w:t>
            </w:r>
          </w:p>
        </w:tc>
        <w:tc>
          <w:tcPr>
            <w:tcW w:w="960" w:type="dxa"/>
            <w:vAlign w:val="bottom"/>
            <w:gridSpan w:val="2"/>
          </w:tcPr>
          <w:p>
            <w:pPr>
              <w:jc w:val="right"/>
              <w:ind w:right="561"/>
              <w:spacing w:after="0"/>
              <w:rPr>
                <w:sz w:val="20"/>
                <w:szCs w:val="20"/>
                <w:color w:val="auto"/>
              </w:rPr>
            </w:pPr>
            <w:r>
              <w:rPr>
                <w:rFonts w:ascii="Times New Roman" w:cs="Times New Roman" w:eastAsia="Times New Roman" w:hAnsi="Times New Roman"/>
                <w:sz w:val="20"/>
                <w:szCs w:val="20"/>
                <w:color w:val="auto"/>
              </w:rPr>
              <w:t>45</w:t>
            </w:r>
          </w:p>
        </w:tc>
        <w:tc>
          <w:tcPr>
            <w:tcW w:w="1080" w:type="dxa"/>
            <w:vAlign w:val="bottom"/>
          </w:tcPr>
          <w:p>
            <w:pPr>
              <w:spacing w:after="0"/>
              <w:rPr>
                <w:sz w:val="23"/>
                <w:szCs w:val="23"/>
                <w:color w:val="auto"/>
              </w:rPr>
            </w:pPr>
          </w:p>
        </w:tc>
        <w:tc>
          <w:tcPr>
            <w:tcW w:w="394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0139"/>
          </w:cols>
          <w:pgMar w:left="320" w:top="1332" w:right="1440"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9"/>
          <w:szCs w:val="19"/>
          <w:color w:val="auto"/>
        </w:rPr>
        <w:t>-ii-</w:t>
      </w:r>
    </w:p>
    <w:p>
      <w:pPr>
        <w:sectPr>
          <w:pgSz w:w="11900" w:h="16838" w:orient="portrait"/>
          <w:cols w:equalWidth="0" w:num="1">
            <w:col w:w="10139"/>
          </w:cols>
          <w:pgMar w:left="320" w:top="1332" w:right="1440"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58"/>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9.06</w:t>
            </w:r>
          </w:p>
        </w:tc>
        <w:tc>
          <w:tcPr>
            <w:tcW w:w="180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Payment for Consent</w:t>
            </w:r>
          </w:p>
        </w:tc>
        <w:tc>
          <w:tcPr>
            <w:tcW w:w="680" w:type="dxa"/>
            <w:vAlign w:val="bottom"/>
            <w:gridSpan w:val="2"/>
          </w:tcPr>
          <w:p>
            <w:pPr>
              <w:jc w:val="right"/>
              <w:ind w:right="241"/>
              <w:spacing w:after="0"/>
              <w:rPr>
                <w:sz w:val="20"/>
                <w:szCs w:val="20"/>
                <w:color w:val="auto"/>
              </w:rPr>
            </w:pPr>
            <w:r>
              <w:rPr>
                <w:rFonts w:ascii="Times New Roman" w:cs="Times New Roman" w:eastAsia="Times New Roman" w:hAnsi="Times New Roman"/>
                <w:sz w:val="20"/>
                <w:szCs w:val="20"/>
                <w:color w:val="auto"/>
              </w:rPr>
              <w:t>46</w:t>
            </w: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120" w:type="dxa"/>
            <w:vAlign w:val="bottom"/>
          </w:tcPr>
          <w:p>
            <w:pPr>
              <w:spacing w:after="0"/>
              <w:rPr>
                <w:sz w:val="22"/>
                <w:szCs w:val="22"/>
                <w:color w:val="auto"/>
              </w:rPr>
            </w:pPr>
          </w:p>
        </w:tc>
      </w:tr>
      <w:tr>
        <w:trPr>
          <w:trHeight w:val="270"/>
        </w:trPr>
        <w:tc>
          <w:tcPr>
            <w:tcW w:w="41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Section 9.07   Notice of Amendments, etc.  46</w:t>
            </w:r>
          </w:p>
        </w:tc>
        <w:tc>
          <w:tcPr>
            <w:tcW w:w="860" w:type="dxa"/>
            <w:vAlign w:val="bottom"/>
          </w:tcPr>
          <w:p>
            <w:pPr>
              <w:spacing w:after="0"/>
              <w:rPr>
                <w:sz w:val="23"/>
                <w:szCs w:val="23"/>
                <w:color w:val="auto"/>
              </w:rPr>
            </w:pPr>
          </w:p>
        </w:tc>
        <w:tc>
          <w:tcPr>
            <w:tcW w:w="4120" w:type="dxa"/>
            <w:vAlign w:val="bottom"/>
          </w:tcPr>
          <w:p>
            <w:pPr>
              <w:spacing w:after="0"/>
              <w:rPr>
                <w:sz w:val="23"/>
                <w:szCs w:val="23"/>
                <w:color w:val="auto"/>
              </w:rPr>
            </w:pPr>
          </w:p>
        </w:tc>
      </w:tr>
      <w:tr>
        <w:trPr>
          <w:trHeight w:val="446"/>
        </w:trPr>
        <w:tc>
          <w:tcPr>
            <w:tcW w:w="26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ARTICLE 10 GUARANTEES</w:t>
            </w: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9"/>
              </w:rPr>
              <w:t>46</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484"/>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10.01</w:t>
            </w: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Guarantee</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46</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58"/>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10.02</w:t>
            </w:r>
          </w:p>
        </w:tc>
        <w:tc>
          <w:tcPr>
            <w:tcW w:w="3880" w:type="dxa"/>
            <w:vAlign w:val="bottom"/>
            <w:gridSpan w:val="8"/>
          </w:tcPr>
          <w:p>
            <w:pPr>
              <w:ind w:left="180"/>
              <w:spacing w:after="0"/>
              <w:rPr>
                <w:sz w:val="20"/>
                <w:szCs w:val="20"/>
                <w:color w:val="auto"/>
              </w:rPr>
            </w:pPr>
            <w:r>
              <w:rPr>
                <w:rFonts w:ascii="Times New Roman" w:cs="Times New Roman" w:eastAsia="Times New Roman" w:hAnsi="Times New Roman"/>
                <w:sz w:val="20"/>
                <w:szCs w:val="20"/>
                <w:color w:val="auto"/>
              </w:rPr>
              <w:t>Limitation on Subsidiary Guarantor Liability</w:t>
            </w:r>
          </w:p>
        </w:tc>
        <w:tc>
          <w:tcPr>
            <w:tcW w:w="4120" w:type="dxa"/>
            <w:vAlign w:val="bottom"/>
          </w:tcPr>
          <w:p>
            <w:pPr>
              <w:jc w:val="right"/>
              <w:ind w:right="3761"/>
              <w:spacing w:after="0"/>
              <w:rPr>
                <w:sz w:val="20"/>
                <w:szCs w:val="20"/>
                <w:color w:val="auto"/>
              </w:rPr>
            </w:pPr>
            <w:r>
              <w:rPr>
                <w:rFonts w:ascii="Times New Roman" w:cs="Times New Roman" w:eastAsia="Times New Roman" w:hAnsi="Times New Roman"/>
                <w:sz w:val="20"/>
                <w:szCs w:val="20"/>
                <w:color w:val="auto"/>
              </w:rPr>
              <w:t>47</w:t>
            </w:r>
          </w:p>
        </w:tc>
      </w:tr>
      <w:tr>
        <w:trPr>
          <w:trHeight w:val="270"/>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10.03</w:t>
            </w:r>
          </w:p>
        </w:tc>
        <w:tc>
          <w:tcPr>
            <w:tcW w:w="210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w w:val="99"/>
              </w:rPr>
              <w:t>Execution and Delivery</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120" w:type="dxa"/>
            <w:vAlign w:val="bottom"/>
          </w:tcPr>
          <w:p>
            <w:pPr>
              <w:spacing w:after="0"/>
              <w:rPr>
                <w:sz w:val="23"/>
                <w:szCs w:val="23"/>
                <w:color w:val="auto"/>
              </w:rPr>
            </w:pPr>
          </w:p>
        </w:tc>
      </w:tr>
      <w:tr>
        <w:trPr>
          <w:trHeight w:val="268"/>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10.04</w:t>
            </w: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Subrogation</w:t>
            </w:r>
          </w:p>
        </w:tc>
        <w:tc>
          <w:tcPr>
            <w:tcW w:w="620" w:type="dxa"/>
            <w:vAlign w:val="bottom"/>
            <w:gridSpan w:val="2"/>
          </w:tcPr>
          <w:p>
            <w:pPr>
              <w:jc w:val="right"/>
              <w:ind w:right="161"/>
              <w:spacing w:after="0"/>
              <w:rPr>
                <w:sz w:val="20"/>
                <w:szCs w:val="20"/>
                <w:color w:val="auto"/>
              </w:rPr>
            </w:pPr>
            <w:r>
              <w:rPr>
                <w:rFonts w:ascii="Times New Roman" w:cs="Times New Roman" w:eastAsia="Times New Roman" w:hAnsi="Times New Roman"/>
                <w:sz w:val="20"/>
                <w:szCs w:val="20"/>
                <w:color w:val="auto"/>
              </w:rPr>
              <w:t>48</w:t>
            </w:r>
          </w:p>
        </w:tc>
        <w:tc>
          <w:tcPr>
            <w:tcW w:w="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120" w:type="dxa"/>
            <w:vAlign w:val="bottom"/>
          </w:tcPr>
          <w:p>
            <w:pPr>
              <w:spacing w:after="0"/>
              <w:rPr>
                <w:sz w:val="23"/>
                <w:szCs w:val="23"/>
                <w:color w:val="auto"/>
              </w:rPr>
            </w:pPr>
          </w:p>
        </w:tc>
      </w:tr>
      <w:tr>
        <w:trPr>
          <w:trHeight w:val="258"/>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10.05</w:t>
            </w:r>
          </w:p>
        </w:tc>
        <w:tc>
          <w:tcPr>
            <w:tcW w:w="210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w w:val="98"/>
              </w:rPr>
              <w:t>Benefits Acknowledged</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120" w:type="dxa"/>
            <w:vAlign w:val="bottom"/>
          </w:tcPr>
          <w:p>
            <w:pPr>
              <w:spacing w:after="0"/>
              <w:rPr>
                <w:sz w:val="22"/>
                <w:szCs w:val="22"/>
                <w:color w:val="auto"/>
              </w:rPr>
            </w:pPr>
          </w:p>
        </w:tc>
      </w:tr>
      <w:tr>
        <w:trPr>
          <w:trHeight w:val="270"/>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10.06</w:t>
            </w:r>
          </w:p>
        </w:tc>
        <w:tc>
          <w:tcPr>
            <w:tcW w:w="302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rPr>
              <w:t>Release of Subsidiary Guarantees</w:t>
            </w:r>
          </w:p>
        </w:tc>
        <w:tc>
          <w:tcPr>
            <w:tcW w:w="860" w:type="dxa"/>
            <w:vAlign w:val="bottom"/>
          </w:tcPr>
          <w:p>
            <w:pPr>
              <w:jc w:val="right"/>
              <w:ind w:right="541"/>
              <w:spacing w:after="0"/>
              <w:rPr>
                <w:sz w:val="20"/>
                <w:szCs w:val="20"/>
                <w:color w:val="auto"/>
              </w:rPr>
            </w:pPr>
            <w:r>
              <w:rPr>
                <w:rFonts w:ascii="Times New Roman" w:cs="Times New Roman" w:eastAsia="Times New Roman" w:hAnsi="Times New Roman"/>
                <w:sz w:val="20"/>
                <w:szCs w:val="20"/>
                <w:color w:val="auto"/>
                <w:w w:val="99"/>
              </w:rPr>
              <w:t>48</w:t>
            </w:r>
          </w:p>
        </w:tc>
        <w:tc>
          <w:tcPr>
            <w:tcW w:w="4120" w:type="dxa"/>
            <w:vAlign w:val="bottom"/>
          </w:tcPr>
          <w:p>
            <w:pPr>
              <w:spacing w:after="0"/>
              <w:rPr>
                <w:sz w:val="23"/>
                <w:szCs w:val="23"/>
                <w:color w:val="auto"/>
              </w:rPr>
            </w:pPr>
          </w:p>
        </w:tc>
      </w:tr>
      <w:tr>
        <w:trPr>
          <w:trHeight w:val="446"/>
        </w:trPr>
        <w:tc>
          <w:tcPr>
            <w:tcW w:w="4180" w:type="dxa"/>
            <w:vAlign w:val="bottom"/>
            <w:gridSpan w:val="8"/>
          </w:tcPr>
          <w:p>
            <w:pPr>
              <w:spacing w:after="0"/>
              <w:rPr>
                <w:sz w:val="20"/>
                <w:szCs w:val="20"/>
                <w:color w:val="auto"/>
              </w:rPr>
            </w:pPr>
            <w:r>
              <w:rPr>
                <w:rFonts w:ascii="Times New Roman" w:cs="Times New Roman" w:eastAsia="Times New Roman" w:hAnsi="Times New Roman"/>
                <w:sz w:val="20"/>
                <w:szCs w:val="20"/>
                <w:color w:val="auto"/>
                <w:w w:val="98"/>
              </w:rPr>
              <w:t>ARTICLE 11 SATISFACTION AND DISCHARGE</w:t>
            </w:r>
          </w:p>
        </w:tc>
        <w:tc>
          <w:tcPr>
            <w:tcW w:w="86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rPr>
              <w:t>49</w:t>
            </w:r>
          </w:p>
        </w:tc>
        <w:tc>
          <w:tcPr>
            <w:tcW w:w="4120" w:type="dxa"/>
            <w:vAlign w:val="bottom"/>
          </w:tcPr>
          <w:p>
            <w:pPr>
              <w:spacing w:after="0"/>
              <w:rPr>
                <w:sz w:val="24"/>
                <w:szCs w:val="24"/>
                <w:color w:val="auto"/>
              </w:rPr>
            </w:pPr>
          </w:p>
        </w:tc>
      </w:tr>
      <w:tr>
        <w:trPr>
          <w:trHeight w:val="486"/>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11.01</w:t>
            </w:r>
          </w:p>
        </w:tc>
        <w:tc>
          <w:tcPr>
            <w:tcW w:w="2480" w:type="dxa"/>
            <w:vAlign w:val="bottom"/>
            <w:gridSpan w:val="6"/>
          </w:tcPr>
          <w:p>
            <w:pPr>
              <w:ind w:left="160"/>
              <w:spacing w:after="0"/>
              <w:rPr>
                <w:sz w:val="20"/>
                <w:szCs w:val="20"/>
                <w:color w:val="auto"/>
              </w:rPr>
            </w:pPr>
            <w:r>
              <w:rPr>
                <w:rFonts w:ascii="Times New Roman" w:cs="Times New Roman" w:eastAsia="Times New Roman" w:hAnsi="Times New Roman"/>
                <w:sz w:val="20"/>
                <w:szCs w:val="20"/>
                <w:color w:val="auto"/>
              </w:rPr>
              <w:t>Satisfaction and Discharge</w:t>
            </w:r>
          </w:p>
        </w:tc>
        <w:tc>
          <w:tcPr>
            <w:tcW w:w="54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89"/>
              </w:rPr>
              <w:t>49</w:t>
            </w:r>
          </w:p>
        </w:tc>
        <w:tc>
          <w:tcPr>
            <w:tcW w:w="86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70"/>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11.02</w:t>
            </w:r>
          </w:p>
        </w:tc>
        <w:tc>
          <w:tcPr>
            <w:tcW w:w="2480" w:type="dxa"/>
            <w:vAlign w:val="bottom"/>
            <w:gridSpan w:val="6"/>
          </w:tcPr>
          <w:p>
            <w:pPr>
              <w:ind w:left="160"/>
              <w:spacing w:after="0"/>
              <w:rPr>
                <w:sz w:val="20"/>
                <w:szCs w:val="20"/>
                <w:color w:val="auto"/>
              </w:rPr>
            </w:pPr>
            <w:r>
              <w:rPr>
                <w:rFonts w:ascii="Times New Roman" w:cs="Times New Roman" w:eastAsia="Times New Roman" w:hAnsi="Times New Roman"/>
                <w:sz w:val="20"/>
                <w:szCs w:val="20"/>
                <w:color w:val="auto"/>
              </w:rPr>
              <w:t>Application of Trust Money</w:t>
            </w:r>
          </w:p>
        </w:tc>
        <w:tc>
          <w:tcPr>
            <w:tcW w:w="5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50</w:t>
            </w:r>
          </w:p>
        </w:tc>
        <w:tc>
          <w:tcPr>
            <w:tcW w:w="860" w:type="dxa"/>
            <w:vAlign w:val="bottom"/>
          </w:tcPr>
          <w:p>
            <w:pPr>
              <w:spacing w:after="0"/>
              <w:rPr>
                <w:sz w:val="23"/>
                <w:szCs w:val="23"/>
                <w:color w:val="auto"/>
              </w:rPr>
            </w:pPr>
          </w:p>
        </w:tc>
        <w:tc>
          <w:tcPr>
            <w:tcW w:w="4120" w:type="dxa"/>
            <w:vAlign w:val="bottom"/>
          </w:tcPr>
          <w:p>
            <w:pPr>
              <w:spacing w:after="0"/>
              <w:rPr>
                <w:sz w:val="23"/>
                <w:szCs w:val="23"/>
                <w:color w:val="auto"/>
              </w:rPr>
            </w:pPr>
          </w:p>
        </w:tc>
      </w:tr>
      <w:tr>
        <w:trPr>
          <w:trHeight w:val="445"/>
        </w:trPr>
        <w:tc>
          <w:tcPr>
            <w:tcW w:w="29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ARTICLE 12 MISCELLANEOUS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50</w:t>
            </w: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484"/>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12.01</w:t>
            </w:r>
          </w:p>
        </w:tc>
        <w:tc>
          <w:tcPr>
            <w:tcW w:w="8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Notices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58"/>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12.02</w:t>
            </w:r>
          </w:p>
        </w:tc>
        <w:tc>
          <w:tcPr>
            <w:tcW w:w="8000" w:type="dxa"/>
            <w:vAlign w:val="bottom"/>
            <w:gridSpan w:val="9"/>
          </w:tcPr>
          <w:p>
            <w:pPr>
              <w:ind w:left="180"/>
              <w:spacing w:after="0"/>
              <w:rPr>
                <w:sz w:val="20"/>
                <w:szCs w:val="20"/>
                <w:color w:val="auto"/>
              </w:rPr>
            </w:pPr>
            <w:r>
              <w:rPr>
                <w:rFonts w:ascii="Times New Roman" w:cs="Times New Roman" w:eastAsia="Times New Roman" w:hAnsi="Times New Roman"/>
                <w:sz w:val="20"/>
                <w:szCs w:val="20"/>
                <w:color w:val="auto"/>
              </w:rPr>
              <w:t>Certificate and Opinion as to Conditions Precedent  52</w:t>
            </w:r>
          </w:p>
        </w:tc>
      </w:tr>
      <w:tr>
        <w:trPr>
          <w:trHeight w:val="270"/>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12.03</w:t>
            </w:r>
          </w:p>
        </w:tc>
        <w:tc>
          <w:tcPr>
            <w:tcW w:w="3880" w:type="dxa"/>
            <w:vAlign w:val="bottom"/>
            <w:gridSpan w:val="8"/>
          </w:tcPr>
          <w:p>
            <w:pPr>
              <w:ind w:left="180"/>
              <w:spacing w:after="0"/>
              <w:rPr>
                <w:sz w:val="20"/>
                <w:szCs w:val="20"/>
                <w:color w:val="auto"/>
              </w:rPr>
            </w:pPr>
            <w:r>
              <w:rPr>
                <w:rFonts w:ascii="Times New Roman" w:cs="Times New Roman" w:eastAsia="Times New Roman" w:hAnsi="Times New Roman"/>
                <w:sz w:val="20"/>
                <w:szCs w:val="20"/>
                <w:color w:val="auto"/>
                <w:w w:val="99"/>
              </w:rPr>
              <w:t>Statements Required in Certificate or Opinion</w:t>
            </w:r>
          </w:p>
        </w:tc>
        <w:tc>
          <w:tcPr>
            <w:tcW w:w="4120" w:type="dxa"/>
            <w:vAlign w:val="bottom"/>
          </w:tcPr>
          <w:p>
            <w:pPr>
              <w:jc w:val="right"/>
              <w:ind w:right="3681"/>
              <w:spacing w:after="0"/>
              <w:rPr>
                <w:sz w:val="20"/>
                <w:szCs w:val="20"/>
                <w:color w:val="auto"/>
              </w:rPr>
            </w:pPr>
            <w:r>
              <w:rPr>
                <w:rFonts w:ascii="Times New Roman" w:cs="Times New Roman" w:eastAsia="Times New Roman" w:hAnsi="Times New Roman"/>
                <w:sz w:val="20"/>
                <w:szCs w:val="20"/>
                <w:color w:val="auto"/>
              </w:rPr>
              <w:t>52</w:t>
            </w:r>
          </w:p>
        </w:tc>
      </w:tr>
      <w:tr>
        <w:trPr>
          <w:trHeight w:val="268"/>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12.04</w:t>
            </w:r>
          </w:p>
        </w:tc>
        <w:tc>
          <w:tcPr>
            <w:tcW w:w="248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w w:val="98"/>
              </w:rPr>
              <w:t>Rules by Trustee and Agents</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53</w:t>
            </w:r>
          </w:p>
        </w:tc>
        <w:tc>
          <w:tcPr>
            <w:tcW w:w="860" w:type="dxa"/>
            <w:vAlign w:val="bottom"/>
          </w:tcPr>
          <w:p>
            <w:pPr>
              <w:spacing w:after="0"/>
              <w:rPr>
                <w:sz w:val="23"/>
                <w:szCs w:val="23"/>
                <w:color w:val="auto"/>
              </w:rPr>
            </w:pPr>
          </w:p>
        </w:tc>
        <w:tc>
          <w:tcPr>
            <w:tcW w:w="4120" w:type="dxa"/>
            <w:vAlign w:val="bottom"/>
          </w:tcPr>
          <w:p>
            <w:pPr>
              <w:spacing w:after="0"/>
              <w:rPr>
                <w:sz w:val="23"/>
                <w:szCs w:val="23"/>
                <w:color w:val="auto"/>
              </w:rPr>
            </w:pPr>
          </w:p>
        </w:tc>
      </w:tr>
      <w:tr>
        <w:trPr>
          <w:trHeight w:val="258"/>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12.05</w:t>
            </w:r>
          </w:p>
        </w:tc>
        <w:tc>
          <w:tcPr>
            <w:tcW w:w="8000" w:type="dxa"/>
            <w:vAlign w:val="bottom"/>
            <w:gridSpan w:val="9"/>
          </w:tcPr>
          <w:p>
            <w:pPr>
              <w:ind w:left="180"/>
              <w:spacing w:after="0"/>
              <w:rPr>
                <w:sz w:val="20"/>
                <w:szCs w:val="20"/>
                <w:color w:val="auto"/>
              </w:rPr>
            </w:pPr>
            <w:r>
              <w:rPr>
                <w:rFonts w:ascii="Times New Roman" w:cs="Times New Roman" w:eastAsia="Times New Roman" w:hAnsi="Times New Roman"/>
                <w:sz w:val="20"/>
                <w:szCs w:val="20"/>
                <w:color w:val="auto"/>
                <w:w w:val="99"/>
              </w:rPr>
              <w:t>No Personal Liability of Directors, Officers, Employees, Members, Partners and Stockholders  53</w:t>
            </w:r>
          </w:p>
        </w:tc>
      </w:tr>
      <w:tr>
        <w:trPr>
          <w:trHeight w:val="268"/>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12.06</w:t>
            </w:r>
          </w:p>
        </w:tc>
        <w:tc>
          <w:tcPr>
            <w:tcW w:w="14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w w:val="99"/>
              </w:rPr>
              <w:t>Governing Law</w:t>
            </w:r>
          </w:p>
        </w:tc>
        <w:tc>
          <w:tcPr>
            <w:tcW w:w="640" w:type="dxa"/>
            <w:vAlign w:val="bottom"/>
            <w:gridSpan w:val="2"/>
          </w:tcPr>
          <w:p>
            <w:pPr>
              <w:jc w:val="right"/>
              <w:ind w:right="181"/>
              <w:spacing w:after="0"/>
              <w:rPr>
                <w:sz w:val="20"/>
                <w:szCs w:val="20"/>
                <w:color w:val="auto"/>
              </w:rPr>
            </w:pPr>
            <w:r>
              <w:rPr>
                <w:rFonts w:ascii="Times New Roman" w:cs="Times New Roman" w:eastAsia="Times New Roman" w:hAnsi="Times New Roman"/>
                <w:sz w:val="20"/>
                <w:szCs w:val="20"/>
                <w:color w:val="auto"/>
              </w:rPr>
              <w:t>53</w:t>
            </w: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120" w:type="dxa"/>
            <w:vAlign w:val="bottom"/>
          </w:tcPr>
          <w:p>
            <w:pPr>
              <w:spacing w:after="0"/>
              <w:rPr>
                <w:sz w:val="23"/>
                <w:szCs w:val="23"/>
                <w:color w:val="auto"/>
              </w:rPr>
            </w:pPr>
          </w:p>
        </w:tc>
      </w:tr>
      <w:tr>
        <w:trPr>
          <w:trHeight w:val="258"/>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12.07</w:t>
            </w:r>
          </w:p>
        </w:tc>
        <w:tc>
          <w:tcPr>
            <w:tcW w:w="180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w w:val="97"/>
              </w:rPr>
              <w:t>Waiver of Jury Trial</w:t>
            </w:r>
          </w:p>
        </w:tc>
        <w:tc>
          <w:tcPr>
            <w:tcW w:w="680" w:type="dxa"/>
            <w:vAlign w:val="bottom"/>
            <w:gridSpan w:val="2"/>
          </w:tcPr>
          <w:p>
            <w:pPr>
              <w:jc w:val="right"/>
              <w:ind w:right="221"/>
              <w:spacing w:after="0"/>
              <w:rPr>
                <w:sz w:val="20"/>
                <w:szCs w:val="20"/>
                <w:color w:val="auto"/>
              </w:rPr>
            </w:pPr>
            <w:r>
              <w:rPr>
                <w:rFonts w:ascii="Times New Roman" w:cs="Times New Roman" w:eastAsia="Times New Roman" w:hAnsi="Times New Roman"/>
                <w:sz w:val="20"/>
                <w:szCs w:val="20"/>
                <w:color w:val="auto"/>
              </w:rPr>
              <w:t>53</w:t>
            </w: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120" w:type="dxa"/>
            <w:vAlign w:val="bottom"/>
          </w:tcPr>
          <w:p>
            <w:pPr>
              <w:spacing w:after="0"/>
              <w:rPr>
                <w:sz w:val="22"/>
                <w:szCs w:val="22"/>
                <w:color w:val="auto"/>
              </w:rPr>
            </w:pPr>
          </w:p>
        </w:tc>
      </w:tr>
      <w:tr>
        <w:trPr>
          <w:trHeight w:val="268"/>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12.08</w:t>
            </w:r>
          </w:p>
        </w:tc>
        <w:tc>
          <w:tcPr>
            <w:tcW w:w="14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Force Majeure</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120" w:type="dxa"/>
            <w:vAlign w:val="bottom"/>
          </w:tcPr>
          <w:p>
            <w:pPr>
              <w:spacing w:after="0"/>
              <w:rPr>
                <w:sz w:val="23"/>
                <w:szCs w:val="23"/>
                <w:color w:val="auto"/>
              </w:rPr>
            </w:pPr>
          </w:p>
        </w:tc>
      </w:tr>
      <w:tr>
        <w:trPr>
          <w:trHeight w:val="258"/>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12.09</w:t>
            </w:r>
          </w:p>
        </w:tc>
        <w:tc>
          <w:tcPr>
            <w:tcW w:w="8000" w:type="dxa"/>
            <w:vAlign w:val="bottom"/>
            <w:gridSpan w:val="9"/>
          </w:tcPr>
          <w:p>
            <w:pPr>
              <w:ind w:left="180"/>
              <w:spacing w:after="0"/>
              <w:rPr>
                <w:sz w:val="20"/>
                <w:szCs w:val="20"/>
                <w:color w:val="auto"/>
              </w:rPr>
            </w:pPr>
            <w:r>
              <w:rPr>
                <w:rFonts w:ascii="Times New Roman" w:cs="Times New Roman" w:eastAsia="Times New Roman" w:hAnsi="Times New Roman"/>
                <w:sz w:val="20"/>
                <w:szCs w:val="20"/>
                <w:color w:val="auto"/>
              </w:rPr>
              <w:t>No Adverse Interpretation of Other Agreements  54</w:t>
            </w:r>
          </w:p>
        </w:tc>
      </w:tr>
      <w:tr>
        <w:trPr>
          <w:trHeight w:val="270"/>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12.10</w:t>
            </w: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Successors</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120" w:type="dxa"/>
            <w:vAlign w:val="bottom"/>
          </w:tcPr>
          <w:p>
            <w:pPr>
              <w:spacing w:after="0"/>
              <w:rPr>
                <w:sz w:val="23"/>
                <w:szCs w:val="23"/>
                <w:color w:val="auto"/>
              </w:rPr>
            </w:pPr>
          </w:p>
        </w:tc>
      </w:tr>
      <w:tr>
        <w:trPr>
          <w:trHeight w:val="268"/>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12.11</w:t>
            </w: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Severability</w:t>
            </w:r>
          </w:p>
        </w:tc>
        <w:tc>
          <w:tcPr>
            <w:tcW w:w="620" w:type="dxa"/>
            <w:vAlign w:val="bottom"/>
            <w:gridSpan w:val="2"/>
          </w:tcPr>
          <w:p>
            <w:pPr>
              <w:jc w:val="right"/>
              <w:ind w:right="181"/>
              <w:spacing w:after="0"/>
              <w:rPr>
                <w:sz w:val="20"/>
                <w:szCs w:val="20"/>
                <w:color w:val="auto"/>
              </w:rPr>
            </w:pPr>
            <w:r>
              <w:rPr>
                <w:rFonts w:ascii="Times New Roman" w:cs="Times New Roman" w:eastAsia="Times New Roman" w:hAnsi="Times New Roman"/>
                <w:sz w:val="20"/>
                <w:szCs w:val="20"/>
                <w:color w:val="auto"/>
              </w:rPr>
              <w:t>54</w:t>
            </w:r>
          </w:p>
        </w:tc>
        <w:tc>
          <w:tcPr>
            <w:tcW w:w="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120" w:type="dxa"/>
            <w:vAlign w:val="bottom"/>
          </w:tcPr>
          <w:p>
            <w:pPr>
              <w:spacing w:after="0"/>
              <w:rPr>
                <w:sz w:val="23"/>
                <w:szCs w:val="23"/>
                <w:color w:val="auto"/>
              </w:rPr>
            </w:pPr>
          </w:p>
        </w:tc>
      </w:tr>
      <w:tr>
        <w:trPr>
          <w:trHeight w:val="258"/>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12.12</w:t>
            </w:r>
          </w:p>
        </w:tc>
        <w:tc>
          <w:tcPr>
            <w:tcW w:w="210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rPr>
              <w:t>Counterpart Originals</w:t>
            </w:r>
          </w:p>
        </w:tc>
        <w:tc>
          <w:tcPr>
            <w:tcW w:w="3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89"/>
              </w:rPr>
              <w:t>54</w:t>
            </w: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120" w:type="dxa"/>
            <w:vAlign w:val="bottom"/>
          </w:tcPr>
          <w:p>
            <w:pPr>
              <w:spacing w:after="0"/>
              <w:rPr>
                <w:sz w:val="22"/>
                <w:szCs w:val="22"/>
                <w:color w:val="auto"/>
              </w:rPr>
            </w:pPr>
          </w:p>
        </w:tc>
      </w:tr>
      <w:tr>
        <w:trPr>
          <w:trHeight w:val="268"/>
        </w:trPr>
        <w:tc>
          <w:tcPr>
            <w:tcW w:w="504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Section 12.13   Table of Contents, Headings, etc.  55</w:t>
            </w:r>
          </w:p>
        </w:tc>
        <w:tc>
          <w:tcPr>
            <w:tcW w:w="4120" w:type="dxa"/>
            <w:vAlign w:val="bottom"/>
          </w:tcPr>
          <w:p>
            <w:pPr>
              <w:spacing w:after="0"/>
              <w:rPr>
                <w:sz w:val="23"/>
                <w:szCs w:val="23"/>
                <w:color w:val="auto"/>
              </w:rPr>
            </w:pPr>
          </w:p>
        </w:tc>
      </w:tr>
      <w:tr>
        <w:trPr>
          <w:trHeight w:val="258"/>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12.14</w:t>
            </w:r>
          </w:p>
        </w:tc>
        <w:tc>
          <w:tcPr>
            <w:tcW w:w="210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rPr>
              <w:t>U.S.A. PATRIOT Act</w:t>
            </w:r>
          </w:p>
        </w:tc>
        <w:tc>
          <w:tcPr>
            <w:tcW w:w="3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89"/>
              </w:rPr>
              <w:t>55</w:t>
            </w: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120" w:type="dxa"/>
            <w:vAlign w:val="bottom"/>
          </w:tcPr>
          <w:p>
            <w:pPr>
              <w:spacing w:after="0"/>
              <w:rPr>
                <w:sz w:val="22"/>
                <w:szCs w:val="22"/>
                <w:color w:val="auto"/>
              </w:rPr>
            </w:pPr>
          </w:p>
        </w:tc>
      </w:tr>
      <w:tr>
        <w:trPr>
          <w:trHeight w:val="270"/>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12.15</w:t>
            </w:r>
          </w:p>
        </w:tc>
        <w:tc>
          <w:tcPr>
            <w:tcW w:w="3880" w:type="dxa"/>
            <w:vAlign w:val="bottom"/>
            <w:gridSpan w:val="8"/>
          </w:tcPr>
          <w:p>
            <w:pPr>
              <w:ind w:left="180"/>
              <w:spacing w:after="0"/>
              <w:rPr>
                <w:sz w:val="20"/>
                <w:szCs w:val="20"/>
                <w:color w:val="auto"/>
              </w:rPr>
            </w:pPr>
            <w:r>
              <w:rPr>
                <w:rFonts w:ascii="Times New Roman" w:cs="Times New Roman" w:eastAsia="Times New Roman" w:hAnsi="Times New Roman"/>
                <w:sz w:val="20"/>
                <w:szCs w:val="20"/>
                <w:color w:val="auto"/>
              </w:rPr>
              <w:t>Payments Due on Non-Business Days  55</w:t>
            </w:r>
          </w:p>
        </w:tc>
        <w:tc>
          <w:tcPr>
            <w:tcW w:w="4120" w:type="dxa"/>
            <w:vAlign w:val="bottom"/>
          </w:tcPr>
          <w:p>
            <w:pPr>
              <w:spacing w:after="0"/>
              <w:rPr>
                <w:sz w:val="23"/>
                <w:szCs w:val="23"/>
                <w:color w:val="auto"/>
              </w:rPr>
            </w:pPr>
          </w:p>
        </w:tc>
      </w:tr>
      <w:tr>
        <w:trPr>
          <w:trHeight w:val="270"/>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Section 12.16</w:t>
            </w:r>
          </w:p>
        </w:tc>
        <w:tc>
          <w:tcPr>
            <w:tcW w:w="8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FATCA</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1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-iii-</w:t>
      </w:r>
    </w:p>
    <w:p>
      <w:pPr>
        <w:sectPr>
          <w:pgSz w:w="11900" w:h="16838" w:orient="portrait"/>
          <w:cols w:equalWidth="0" w:num="1">
            <w:col w:w="10139"/>
          </w:cols>
          <w:pgMar w:left="320" w:top="1197" w:right="1440" w:bottom="1440" w:gutter="0" w:footer="0" w:header="0"/>
        </w:sectPr>
      </w:pPr>
    </w:p>
    <w:bookmarkStart w:id="10" w:name="page11"/>
    <w:bookmarkEnd w:id="10"/>
    <w:p>
      <w:pPr>
        <w:spacing w:after="0"/>
        <w:tabs>
          <w:tab w:leader="none" w:pos="1140" w:val="left"/>
        </w:tabs>
        <w:rPr>
          <w:sz w:val="20"/>
          <w:szCs w:val="20"/>
          <w:color w:val="auto"/>
        </w:rPr>
      </w:pPr>
      <w:r>
        <w:rPr>
          <w:rFonts w:ascii="Times New Roman" w:cs="Times New Roman" w:eastAsia="Times New Roman" w:hAnsi="Times New Roman"/>
          <w:sz w:val="20"/>
          <w:szCs w:val="20"/>
          <w:color w:val="auto"/>
        </w:rPr>
        <w:t>Appendix A</w:t>
      </w:r>
      <w:r>
        <w:rPr>
          <w:sz w:val="20"/>
          <w:szCs w:val="20"/>
          <w:color w:val="auto"/>
        </w:rPr>
        <w:tab/>
      </w:r>
      <w:r>
        <w:rPr>
          <w:rFonts w:ascii="Times New Roman" w:cs="Times New Roman" w:eastAsia="Times New Roman" w:hAnsi="Times New Roman"/>
          <w:sz w:val="19"/>
          <w:szCs w:val="19"/>
          <w:color w:val="auto"/>
        </w:rPr>
        <w:t>Provisions Relating to Initial Notes and Additional Notes</w:t>
      </w:r>
    </w:p>
    <w:p>
      <w:pPr>
        <w:spacing w:after="0" w:line="20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Exhibit A</w:t>
      </w:r>
      <w:r>
        <w:rPr>
          <w:sz w:val="20"/>
          <w:szCs w:val="20"/>
          <w:color w:val="auto"/>
        </w:rPr>
        <w:tab/>
      </w:r>
      <w:r>
        <w:rPr>
          <w:rFonts w:ascii="Times New Roman" w:cs="Times New Roman" w:eastAsia="Times New Roman" w:hAnsi="Times New Roman"/>
          <w:sz w:val="19"/>
          <w:szCs w:val="19"/>
          <w:color w:val="auto"/>
        </w:rPr>
        <w:t>Form of Note</w:t>
      </w:r>
    </w:p>
    <w:p>
      <w:pPr>
        <w:spacing w:after="0" w:line="2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Exhibit B</w:t>
      </w:r>
      <w:r>
        <w:rPr>
          <w:sz w:val="20"/>
          <w:szCs w:val="20"/>
          <w:color w:val="auto"/>
        </w:rPr>
        <w:tab/>
      </w:r>
      <w:r>
        <w:rPr>
          <w:rFonts w:ascii="Times New Roman" w:cs="Times New Roman" w:eastAsia="Times New Roman" w:hAnsi="Times New Roman"/>
          <w:sz w:val="19"/>
          <w:szCs w:val="19"/>
          <w:color w:val="auto"/>
        </w:rPr>
        <w:t>Form of Supplemental Indenture to Be Delivered by Subsequent Subsidiary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-iv-</w:t>
      </w:r>
    </w:p>
    <w:p>
      <w:pPr>
        <w:sectPr>
          <w:pgSz w:w="11900" w:h="16838" w:orient="portrait"/>
          <w:cols w:equalWidth="0" w:num="1">
            <w:col w:w="10139"/>
          </w:cols>
          <w:pgMar w:left="320" w:top="1413" w:right="1440" w:bottom="1440" w:gutter="0" w:footer="0" w:header="0"/>
        </w:sectPr>
      </w:pPr>
    </w:p>
    <w:bookmarkStart w:id="11" w:name="page12"/>
    <w:bookmarkEnd w:id="11"/>
    <w:p>
      <w:pPr>
        <w:ind w:left="1300"/>
        <w:spacing w:after="0"/>
        <w:rPr>
          <w:sz w:val="20"/>
          <w:szCs w:val="20"/>
          <w:color w:val="auto"/>
        </w:rPr>
      </w:pPr>
      <w:r>
        <w:rPr>
          <w:rFonts w:ascii="Times New Roman" w:cs="Times New Roman" w:eastAsia="Times New Roman" w:hAnsi="Times New Roman"/>
          <w:sz w:val="20"/>
          <w:szCs w:val="20"/>
          <w:color w:val="auto"/>
        </w:rPr>
        <w:t>INDENTURE, dated as of November 24, 2025, among Graham Holdings Company, a Delaware corporation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Company</w:t>
      </w:r>
      <w:r>
        <w:rPr>
          <w:rFonts w:ascii="Times New Roman" w:cs="Times New Roman" w:eastAsia="Times New Roman" w:hAnsi="Times New Roman"/>
          <w:sz w:val="20"/>
          <w:szCs w:val="20"/>
          <w:color w:val="auto"/>
        </w:rPr>
        <w:t>”), the Subsidiary Guarantors listed on the signature pages hereto and The Bank of New York Mellon Trust Company, N.A., 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Trustee.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u w:val="single" w:color="auto"/>
          <w:color w:val="auto"/>
        </w:rPr>
        <w:t>W I T N E S S E T H</w:t>
      </w:r>
    </w:p>
    <w:p>
      <w:pPr>
        <w:spacing w:after="0" w:line="216"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20"/>
          <w:szCs w:val="20"/>
          <w:color w:val="auto"/>
        </w:rPr>
        <w:t>WHEREAS, the Company has duly authorized the creation and issue of $500,000,000 aggregate principal amount of 5.625% Senior Notes due 2033 (the “</w:t>
      </w:r>
      <w:r>
        <w:rPr>
          <w:rFonts w:ascii="Times New Roman" w:cs="Times New Roman" w:eastAsia="Times New Roman" w:hAnsi="Times New Roman"/>
          <w:sz w:val="20"/>
          <w:szCs w:val="20"/>
          <w:i w:val="1"/>
          <w:iCs w:val="1"/>
          <w:color w:val="auto"/>
        </w:rPr>
        <w:t>Initial Notes</w:t>
      </w:r>
      <w:r>
        <w:rPr>
          <w:rFonts w:ascii="Times New Roman" w:cs="Times New Roman" w:eastAsia="Times New Roman" w:hAnsi="Times New Roman"/>
          <w:sz w:val="20"/>
          <w:szCs w:val="20"/>
          <w:color w:val="auto"/>
        </w:rPr>
        <w:t>”); and</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WHEREAS, the Subsidiary Guarantors have duly authorized the execution and delivery of this Indenture;</w:t>
      </w:r>
    </w:p>
    <w:p>
      <w:pPr>
        <w:spacing w:after="0" w:line="202" w:lineRule="exact"/>
        <w:rPr>
          <w:sz w:val="20"/>
          <w:szCs w:val="20"/>
          <w:color w:val="auto"/>
        </w:rPr>
      </w:pPr>
    </w:p>
    <w:p>
      <w:pPr>
        <w:ind w:right="60" w:firstLine="1296"/>
        <w:spacing w:after="0" w:line="269" w:lineRule="auto"/>
        <w:rPr>
          <w:sz w:val="20"/>
          <w:szCs w:val="20"/>
          <w:color w:val="auto"/>
        </w:rPr>
      </w:pPr>
      <w:r>
        <w:rPr>
          <w:rFonts w:ascii="Times New Roman" w:cs="Times New Roman" w:eastAsia="Times New Roman" w:hAnsi="Times New Roman"/>
          <w:sz w:val="20"/>
          <w:szCs w:val="20"/>
          <w:color w:val="auto"/>
        </w:rPr>
        <w:t>NOW, THEREFORE, the Company, the Subsidiary Guarantors and the Trustee agree as follows for the benefit of each other and for the equal and ratable benefit of the Holders of the Notes.</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ARTICLE 1</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DEFINITIONS AND INCORPORATION BY REFERENCE</w:t>
      </w:r>
    </w:p>
    <w:p>
      <w:pPr>
        <w:spacing w:after="0" w:line="22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1.01</w:t>
      </w:r>
      <w:r>
        <w:rPr>
          <w:sz w:val="20"/>
          <w:szCs w:val="20"/>
          <w:color w:val="auto"/>
        </w:rPr>
        <w:tab/>
      </w: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w:t>
      </w:r>
    </w:p>
    <w:p>
      <w:pPr>
        <w:spacing w:after="0" w:line="22" w:lineRule="exact"/>
        <w:rPr>
          <w:sz w:val="20"/>
          <w:szCs w:val="20"/>
          <w:color w:val="auto"/>
        </w:rPr>
      </w:pPr>
    </w:p>
    <w:p>
      <w:pPr>
        <w:ind w:right="360" w:firstLine="1296"/>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Additional Notes</w:t>
      </w:r>
      <w:r>
        <w:rPr>
          <w:rFonts w:ascii="Times New Roman" w:cs="Times New Roman" w:eastAsia="Times New Roman" w:hAnsi="Times New Roman"/>
          <w:sz w:val="20"/>
          <w:szCs w:val="20"/>
          <w:color w:val="auto"/>
        </w:rPr>
        <w:t>” means additional Notes (other than the Initial Notes) issued from time to time under this Indenture in accordance with Section 2.01.</w:t>
      </w:r>
    </w:p>
    <w:p>
      <w:pPr>
        <w:spacing w:after="0" w:line="151" w:lineRule="exact"/>
        <w:rPr>
          <w:sz w:val="20"/>
          <w:szCs w:val="20"/>
          <w:color w:val="auto"/>
        </w:rPr>
      </w:pPr>
    </w:p>
    <w:p>
      <w:pPr>
        <w:ind w:right="60" w:firstLine="1296"/>
        <w:spacing w:after="0" w:line="27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Affiliate</w:t>
      </w:r>
      <w:r>
        <w:rPr>
          <w:rFonts w:ascii="Times New Roman" w:cs="Times New Roman" w:eastAsia="Times New Roman" w:hAnsi="Times New Roman"/>
          <w:sz w:val="19"/>
          <w:szCs w:val="19"/>
          <w:color w:val="auto"/>
        </w:rPr>
        <w:t>” of any specified Person means any other Person, directly or indirectly, controlling or controlled by or under direct or indirect common control with such specified Person. For the purposes of this definition, “</w:t>
      </w:r>
      <w:r>
        <w:rPr>
          <w:rFonts w:ascii="Times New Roman" w:cs="Times New Roman" w:eastAsia="Times New Roman" w:hAnsi="Times New Roman"/>
          <w:sz w:val="19"/>
          <w:szCs w:val="19"/>
          <w:i w:val="1"/>
          <w:iCs w:val="1"/>
          <w:color w:val="auto"/>
        </w:rPr>
        <w:t>control</w:t>
      </w:r>
      <w:r>
        <w:rPr>
          <w:rFonts w:ascii="Times New Roman" w:cs="Times New Roman" w:eastAsia="Times New Roman" w:hAnsi="Times New Roman"/>
          <w:sz w:val="19"/>
          <w:szCs w:val="19"/>
          <w:color w:val="auto"/>
        </w:rPr>
        <w:t>” (including, with correlative meanings, the terms “</w:t>
      </w:r>
      <w:r>
        <w:rPr>
          <w:rFonts w:ascii="Times New Roman" w:cs="Times New Roman" w:eastAsia="Times New Roman" w:hAnsi="Times New Roman"/>
          <w:sz w:val="19"/>
          <w:szCs w:val="19"/>
          <w:i w:val="1"/>
          <w:iCs w:val="1"/>
          <w:color w:val="auto"/>
        </w:rPr>
        <w:t>controlling</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controlled by</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i w:val="1"/>
          <w:iCs w:val="1"/>
          <w:color w:val="auto"/>
        </w:rPr>
        <w:t>under common control with</w:t>
      </w:r>
      <w:r>
        <w:rPr>
          <w:rFonts w:ascii="Times New Roman" w:cs="Times New Roman" w:eastAsia="Times New Roman" w:hAnsi="Times New Roman"/>
          <w:sz w:val="19"/>
          <w:szCs w:val="19"/>
          <w:color w:val="auto"/>
        </w:rPr>
        <w:t>”) when used with respect to any Person means possession, directly or indirectly, of the power to direct the management and policies of such Person, directly or indirectly, whether through the ownership of voting securities, by contract or otherwise; and the terms “</w:t>
      </w:r>
      <w:r>
        <w:rPr>
          <w:rFonts w:ascii="Times New Roman" w:cs="Times New Roman" w:eastAsia="Times New Roman" w:hAnsi="Times New Roman"/>
          <w:sz w:val="19"/>
          <w:szCs w:val="19"/>
          <w:i w:val="1"/>
          <w:iCs w:val="1"/>
          <w:color w:val="auto"/>
        </w:rPr>
        <w:t>controlling</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i w:val="1"/>
          <w:iCs w:val="1"/>
          <w:color w:val="auto"/>
        </w:rPr>
        <w:t>controlled</w:t>
      </w:r>
      <w:r>
        <w:rPr>
          <w:rFonts w:ascii="Times New Roman" w:cs="Times New Roman" w:eastAsia="Times New Roman" w:hAnsi="Times New Roman"/>
          <w:sz w:val="19"/>
          <w:szCs w:val="19"/>
          <w:color w:val="auto"/>
        </w:rPr>
        <w:t>” have meanings correlative to the foregoing.</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Agent</w:t>
      </w:r>
      <w:r>
        <w:rPr>
          <w:rFonts w:ascii="Times New Roman" w:cs="Times New Roman" w:eastAsia="Times New Roman" w:hAnsi="Times New Roman"/>
          <w:sz w:val="20"/>
          <w:szCs w:val="20"/>
          <w:color w:val="auto"/>
        </w:rPr>
        <w:t>” means any Registrar or Paying Agent.</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Applicable Premium</w:t>
      </w:r>
      <w:r>
        <w:rPr>
          <w:rFonts w:ascii="Times New Roman" w:cs="Times New Roman" w:eastAsia="Times New Roman" w:hAnsi="Times New Roman"/>
          <w:sz w:val="20"/>
          <w:szCs w:val="20"/>
          <w:color w:val="auto"/>
        </w:rPr>
        <w:t>” means, with respect to any Note on any redemption date, the greater of:</w:t>
      </w:r>
    </w:p>
    <w:p>
      <w:pPr>
        <w:spacing w:after="0" w:line="206" w:lineRule="exact"/>
        <w:rPr>
          <w:sz w:val="20"/>
          <w:szCs w:val="20"/>
          <w:color w:val="auto"/>
        </w:rPr>
      </w:pPr>
    </w:p>
    <w:p>
      <w:pPr>
        <w:ind w:left="2380" w:hanging="428"/>
        <w:spacing w:after="0"/>
        <w:tabs>
          <w:tab w:leader="none" w:pos="2380" w:val="left"/>
        </w:tabs>
        <w:numPr>
          <w:ilvl w:val="0"/>
          <w:numId w:val="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1.0% of the principal amount of such Note; and</w:t>
      </w:r>
    </w:p>
    <w:p>
      <w:pPr>
        <w:spacing w:after="0" w:line="229" w:lineRule="exact"/>
        <w:rPr>
          <w:rFonts w:ascii="Times New Roman" w:cs="Times New Roman" w:eastAsia="Times New Roman" w:hAnsi="Times New Roman"/>
          <w:sz w:val="20"/>
          <w:szCs w:val="20"/>
          <w:color w:val="010000"/>
        </w:rPr>
      </w:pPr>
    </w:p>
    <w:p>
      <w:pPr>
        <w:ind w:left="1300" w:right="200" w:firstLine="652"/>
        <w:spacing w:after="0" w:line="253" w:lineRule="auto"/>
        <w:tabs>
          <w:tab w:leader="none" w:pos="2376" w:val="left"/>
        </w:tabs>
        <w:numPr>
          <w:ilvl w:val="0"/>
          <w:numId w:val="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excess, if any, of (a) the present value at such redemption date of (i) the redemption price of such Note at December 1, 2028 (such redemption price being set forth in Section 3.07(d)) plus (ii) all required interest payments due on such Note through December 1, 2028 (excluding accrued but unpaid interest to the redemption date), computed using a discount rate equal to the Treasury Rate as of such redemption date plus 50 basis points; over (b) the principal amount of such Note.</w:t>
      </w:r>
    </w:p>
    <w:p>
      <w:pPr>
        <w:spacing w:after="0" w:line="188" w:lineRule="exact"/>
        <w:rPr>
          <w:sz w:val="20"/>
          <w:szCs w:val="20"/>
          <w:color w:val="auto"/>
        </w:rPr>
      </w:pPr>
    </w:p>
    <w:p>
      <w:pPr>
        <w:ind w:right="60"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Attributable Debt</w:t>
      </w:r>
      <w:r>
        <w:rPr>
          <w:rFonts w:ascii="Times New Roman" w:cs="Times New Roman" w:eastAsia="Times New Roman" w:hAnsi="Times New Roman"/>
          <w:sz w:val="20"/>
          <w:szCs w:val="20"/>
          <w:color w:val="auto"/>
        </w:rPr>
        <w:t>” means, with respect to any Sale/Leaseback Transaction, the present value (discounted at the interest rate implicit in the lease involved in such Sale/Leaseback Transaction) of the total obligations of the lessee for rental payments during the remaining term of the lease included in such Sale/Leaseback Transaction (including any period for which such lease has been extended). In the case of any lease that is terminable by the lessee upon payment of a penalty, the Attributable Debt shall be the lesser of: (a) the Attributable Debt determined assuming termination upon the first date such lease may be terminated (in which case the Attributable Debt shall also include the amount of the penalty, but</w:t>
      </w:r>
    </w:p>
    <w:p>
      <w:pPr>
        <w:sectPr>
          <w:pgSz w:w="11900" w:h="16838" w:orient="portrait"/>
          <w:cols w:equalWidth="0" w:num="1">
            <w:col w:w="11220"/>
          </w:cols>
          <w:pgMar w:left="320" w:top="1251" w:right="359" w:bottom="1440" w:gutter="0" w:footer="0" w:header="0"/>
        </w:sectPr>
      </w:pPr>
    </w:p>
    <w:bookmarkStart w:id="12" w:name="page13"/>
    <w:bookmarkEnd w:id="12"/>
    <w:p>
      <w:pPr>
        <w:ind w:right="180"/>
        <w:spacing w:after="0" w:line="283" w:lineRule="auto"/>
        <w:rPr>
          <w:sz w:val="20"/>
          <w:szCs w:val="20"/>
          <w:color w:val="auto"/>
        </w:rPr>
      </w:pPr>
      <w:r>
        <w:rPr>
          <w:rFonts w:ascii="Times New Roman" w:cs="Times New Roman" w:eastAsia="Times New Roman" w:hAnsi="Times New Roman"/>
          <w:sz w:val="20"/>
          <w:szCs w:val="20"/>
          <w:color w:val="auto"/>
        </w:rPr>
        <w:t>no rent shall be considered as required to be paid under such lease subsequent to the first date upon which it may be so terminated); and (b) the Attributable Debt determined assuming no such termination.</w:t>
      </w:r>
    </w:p>
    <w:p>
      <w:pPr>
        <w:spacing w:after="0" w:line="1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Bankruptcy Law</w:t>
      </w:r>
      <w:r>
        <w:rPr>
          <w:rFonts w:ascii="Times New Roman" w:cs="Times New Roman" w:eastAsia="Times New Roman" w:hAnsi="Times New Roman"/>
          <w:sz w:val="20"/>
          <w:szCs w:val="20"/>
          <w:color w:val="auto"/>
        </w:rPr>
        <w:t>” means Title 11, U.S. Code, as amended, or any similar federal, state or foreign law for the relief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debtors.</w:t>
      </w:r>
    </w:p>
    <w:p>
      <w:pPr>
        <w:spacing w:after="0" w:line="190" w:lineRule="exact"/>
        <w:rPr>
          <w:sz w:val="20"/>
          <w:szCs w:val="20"/>
          <w:color w:val="auto"/>
        </w:rPr>
      </w:pPr>
    </w:p>
    <w:p>
      <w:pPr>
        <w:ind w:right="220" w:firstLine="1296"/>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beneficial ownership</w:t>
      </w:r>
      <w:r>
        <w:rPr>
          <w:rFonts w:ascii="Times New Roman" w:cs="Times New Roman" w:eastAsia="Times New Roman" w:hAnsi="Times New Roman"/>
          <w:sz w:val="20"/>
          <w:szCs w:val="20"/>
          <w:color w:val="auto"/>
        </w:rPr>
        <w:t>” has the meaning assigned to such term in Rule 13d-3 and Rule 13d-5 under the Exchange Act, and “</w:t>
      </w:r>
      <w:r>
        <w:rPr>
          <w:rFonts w:ascii="Times New Roman" w:cs="Times New Roman" w:eastAsia="Times New Roman" w:hAnsi="Times New Roman"/>
          <w:sz w:val="20"/>
          <w:szCs w:val="20"/>
          <w:i w:val="1"/>
          <w:iCs w:val="1"/>
          <w:color w:val="auto"/>
        </w:rPr>
        <w:t>beneficial owner</w:t>
      </w:r>
      <w:r>
        <w:rPr>
          <w:rFonts w:ascii="Times New Roman" w:cs="Times New Roman" w:eastAsia="Times New Roman" w:hAnsi="Times New Roman"/>
          <w:sz w:val="20"/>
          <w:szCs w:val="20"/>
          <w:color w:val="auto"/>
        </w:rPr>
        <w:t>” has a corresponding meaning.</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Board of Directors</w:t>
      </w:r>
      <w:r>
        <w:rPr>
          <w:rFonts w:ascii="Times New Roman" w:cs="Times New Roman" w:eastAsia="Times New Roman" w:hAnsi="Times New Roman"/>
          <w:sz w:val="20"/>
          <w:szCs w:val="20"/>
          <w:color w:val="auto"/>
        </w:rPr>
        <w:t>” means:</w:t>
      </w:r>
    </w:p>
    <w:p>
      <w:pPr>
        <w:spacing w:after="0" w:line="206" w:lineRule="exact"/>
        <w:rPr>
          <w:sz w:val="20"/>
          <w:szCs w:val="20"/>
          <w:color w:val="auto"/>
        </w:rPr>
      </w:pPr>
    </w:p>
    <w:p>
      <w:pPr>
        <w:ind w:left="1300" w:firstLine="652"/>
        <w:spacing w:after="0" w:line="269" w:lineRule="auto"/>
        <w:tabs>
          <w:tab w:leader="none" w:pos="2376" w:val="left"/>
        </w:tabs>
        <w:numPr>
          <w:ilvl w:val="0"/>
          <w:numId w:val="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 respect to a corporation, the Board of Directors of the corporation or any duly authorized committee of the Board of Directors;</w:t>
      </w:r>
    </w:p>
    <w:p>
      <w:pPr>
        <w:spacing w:after="0" w:line="172" w:lineRule="exact"/>
        <w:rPr>
          <w:rFonts w:ascii="Times New Roman" w:cs="Times New Roman" w:eastAsia="Times New Roman" w:hAnsi="Times New Roman"/>
          <w:sz w:val="20"/>
          <w:szCs w:val="20"/>
          <w:color w:val="010000"/>
        </w:rPr>
      </w:pPr>
    </w:p>
    <w:p>
      <w:pPr>
        <w:ind w:left="2380" w:hanging="428"/>
        <w:spacing w:after="0"/>
        <w:tabs>
          <w:tab w:leader="none" w:pos="2380" w:val="left"/>
        </w:tabs>
        <w:numPr>
          <w:ilvl w:val="0"/>
          <w:numId w:val="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 respect to a partnership, the Board of Directors of the general partner of the partnership; and</w:t>
      </w:r>
    </w:p>
    <w:p>
      <w:pPr>
        <w:spacing w:after="0" w:line="229" w:lineRule="exact"/>
        <w:rPr>
          <w:rFonts w:ascii="Times New Roman" w:cs="Times New Roman" w:eastAsia="Times New Roman" w:hAnsi="Times New Roman"/>
          <w:sz w:val="20"/>
          <w:szCs w:val="20"/>
          <w:color w:val="010000"/>
        </w:rPr>
      </w:pPr>
    </w:p>
    <w:p>
      <w:pPr>
        <w:ind w:left="2380" w:hanging="428"/>
        <w:spacing w:after="0"/>
        <w:tabs>
          <w:tab w:leader="none" w:pos="2380" w:val="left"/>
        </w:tabs>
        <w:numPr>
          <w:ilvl w:val="0"/>
          <w:numId w:val="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 respect to any other Person, the board or committee of such Person serving a similar function.</w:t>
      </w:r>
    </w:p>
    <w:p>
      <w:pPr>
        <w:spacing w:after="0" w:line="212" w:lineRule="exact"/>
        <w:rPr>
          <w:sz w:val="20"/>
          <w:szCs w:val="20"/>
          <w:color w:val="auto"/>
        </w:rPr>
      </w:pPr>
    </w:p>
    <w:p>
      <w:pPr>
        <w:ind w:right="20" w:firstLine="1296"/>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Business Day</w:t>
      </w:r>
      <w:r>
        <w:rPr>
          <w:rFonts w:ascii="Times New Roman" w:cs="Times New Roman" w:eastAsia="Times New Roman" w:hAnsi="Times New Roman"/>
          <w:sz w:val="20"/>
          <w:szCs w:val="20"/>
          <w:color w:val="auto"/>
        </w:rPr>
        <w:t>” means each day that is not a Saturday, Sunday or other day on which banking institutions in New York, New York are authorized or required by law to close.</w:t>
      </w:r>
    </w:p>
    <w:p>
      <w:pPr>
        <w:spacing w:after="0" w:line="125" w:lineRule="exact"/>
        <w:rPr>
          <w:sz w:val="20"/>
          <w:szCs w:val="20"/>
          <w:color w:val="auto"/>
        </w:rPr>
      </w:pPr>
    </w:p>
    <w:p>
      <w:pPr>
        <w:ind w:right="160"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Capital Lease Obligation</w:t>
      </w:r>
      <w:r>
        <w:rPr>
          <w:rFonts w:ascii="Times New Roman" w:cs="Times New Roman" w:eastAsia="Times New Roman" w:hAnsi="Times New Roman"/>
          <w:sz w:val="20"/>
          <w:szCs w:val="20"/>
          <w:color w:val="auto"/>
        </w:rPr>
        <w:t xml:space="preserve">” means an obligation that is required to be classified and accounted for as a capital lease for financial reporting purposes in accordance with GAAP, and the amount of Indebtedness represented by such obligation shall be the capitalized amount of such obligation determined in accordance with GAAP; and the stated maturity thereof shall be the date of the last payment of rent or any other amount due under such lease prior to the first date upon which such lease may be terminated by the lessee without payment of a penalty;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obligations of the Company or its Subsidiaries either existing on the Issue Date or created prior to any recharacterization described below (i) that were not included on the consolidated balance sheet of the Company as capital lease obligations and (ii) that are subsequently recharacterized as capital lease obligations due to a change in accounting treatment, shall, for all purposes under this Indenture, not be treated as Capital Lease Obligations. For purposes of Section 4.06, a Capital Lease Obligation will be deemed to be secured by a Lien on the property being leased.</w:t>
      </w:r>
    </w:p>
    <w:p>
      <w:pPr>
        <w:spacing w:after="0" w:line="162" w:lineRule="exact"/>
        <w:rPr>
          <w:sz w:val="20"/>
          <w:szCs w:val="20"/>
          <w:color w:val="auto"/>
        </w:rPr>
      </w:pPr>
    </w:p>
    <w:p>
      <w:pPr>
        <w:ind w:right="220" w:firstLine="1296"/>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Capital Stock</w:t>
      </w:r>
      <w:r>
        <w:rPr>
          <w:rFonts w:ascii="Times New Roman" w:cs="Times New Roman" w:eastAsia="Times New Roman" w:hAnsi="Times New Roman"/>
          <w:sz w:val="20"/>
          <w:szCs w:val="20"/>
          <w:color w:val="auto"/>
        </w:rPr>
        <w:t>” of any Person means any and all shares, interests (including partnership interests), rights to purchase, warrants, options, participations or other equivalents of or interests in (however designated) equity of such Person, including any preferred stock, but excluding any debt securities convertible into such equity.</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CFC</w:t>
      </w:r>
      <w:r>
        <w:rPr>
          <w:rFonts w:ascii="Times New Roman" w:cs="Times New Roman" w:eastAsia="Times New Roman" w:hAnsi="Times New Roman"/>
          <w:sz w:val="19"/>
          <w:szCs w:val="19"/>
          <w:color w:val="auto"/>
        </w:rPr>
        <w:t>” means (a) a Person that is a “controlled foreign corporation” for purposes of the Code and (b) each Subsidiary of 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such Person.</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Change of Control</w:t>
      </w:r>
      <w:r>
        <w:rPr>
          <w:rFonts w:ascii="Times New Roman" w:cs="Times New Roman" w:eastAsia="Times New Roman" w:hAnsi="Times New Roman"/>
          <w:sz w:val="20"/>
          <w:szCs w:val="20"/>
          <w:color w:val="auto"/>
        </w:rPr>
        <w:t>” means the occurrence of any one of the following:</w:t>
      </w:r>
    </w:p>
    <w:p>
      <w:pPr>
        <w:spacing w:after="0" w:line="220" w:lineRule="exact"/>
        <w:rPr>
          <w:sz w:val="20"/>
          <w:szCs w:val="20"/>
          <w:color w:val="auto"/>
        </w:rPr>
      </w:pPr>
    </w:p>
    <w:p>
      <w:pPr>
        <w:ind w:left="1300" w:right="460" w:firstLine="652"/>
        <w:spacing w:after="0" w:line="254" w:lineRule="auto"/>
        <w:tabs>
          <w:tab w:leader="none" w:pos="2376" w:val="left"/>
        </w:tabs>
        <w:numPr>
          <w:ilvl w:val="0"/>
          <w:numId w:val="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direct or indirect sale, lease, transfer, conveyance or other disposition (other than by way of merger or consolidation), in one or a series of related transactions, of all or substantially all of the assets of the Company and its Subsidiaries, taken as a whole, to any Person (including any “person” (as that term is used in Section 13(d)(3) of the Exchange Act)), other than one or more Permitted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00"/>
          </w:cols>
          <w:pgMar w:left="320" w:top="1251" w:right="379" w:bottom="1440" w:gutter="0" w:footer="0" w:header="0"/>
        </w:sectPr>
      </w:pPr>
    </w:p>
    <w:bookmarkStart w:id="13" w:name="page14"/>
    <w:bookmarkEnd w:id="13"/>
    <w:p>
      <w:pPr>
        <w:ind w:left="1300" w:right="100" w:firstLine="652"/>
        <w:spacing w:after="0" w:line="267" w:lineRule="auto"/>
        <w:tabs>
          <w:tab w:leader="none" w:pos="2376" w:val="left"/>
        </w:tabs>
        <w:numPr>
          <w:ilvl w:val="1"/>
          <w:numId w:val="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becomes aware (by way of a report or any other filing pursuant to Section 13(d) of the Exchange Act, proxy, vote, written notice or otherwise) of the consummation of any transaction (including, without limitation, any merger or consolidation) the result of which is that any Person (including any “person” (as that term is used in Section 13(d)</w:t>
      </w:r>
    </w:p>
    <w:p>
      <w:pPr>
        <w:spacing w:after="0" w:line="1" w:lineRule="exact"/>
        <w:rPr>
          <w:rFonts w:ascii="Times New Roman" w:cs="Times New Roman" w:eastAsia="Times New Roman" w:hAnsi="Times New Roman"/>
          <w:sz w:val="19"/>
          <w:szCs w:val="19"/>
          <w:color w:val="010000"/>
        </w:rPr>
      </w:pPr>
    </w:p>
    <w:p>
      <w:pPr>
        <w:ind w:left="1580" w:hanging="276"/>
        <w:spacing w:after="0"/>
        <w:tabs>
          <w:tab w:leader="none" w:pos="15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Exchange Act)), other than one or more Permitted Holders, becomes the “beneficial owner” (as defined in Rules</w:t>
      </w:r>
    </w:p>
    <w:p>
      <w:pPr>
        <w:spacing w:after="0" w:line="6" w:lineRule="exact"/>
        <w:rPr>
          <w:rFonts w:ascii="Times New Roman" w:cs="Times New Roman" w:eastAsia="Times New Roman" w:hAnsi="Times New Roman"/>
          <w:sz w:val="20"/>
          <w:szCs w:val="20"/>
          <w:color w:val="auto"/>
        </w:rPr>
      </w:pPr>
    </w:p>
    <w:p>
      <w:pPr>
        <w:ind w:left="1300" w:right="320"/>
        <w:spacing w:after="0" w:line="26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13d-3 and 13d-5 under the Exchange Act), directly or indirectly, of more than 50% of the outstanding Voting Stock of the Company, measured by voting power rather than number of shares; or</w:t>
      </w:r>
    </w:p>
    <w:p>
      <w:pPr>
        <w:spacing w:after="0" w:line="181" w:lineRule="exact"/>
        <w:rPr>
          <w:rFonts w:ascii="Times New Roman" w:cs="Times New Roman" w:eastAsia="Times New Roman" w:hAnsi="Times New Roman"/>
          <w:sz w:val="20"/>
          <w:szCs w:val="20"/>
          <w:color w:val="auto"/>
        </w:rPr>
      </w:pPr>
    </w:p>
    <w:p>
      <w:pPr>
        <w:ind w:left="2380" w:hanging="428"/>
        <w:spacing w:after="0"/>
        <w:tabs>
          <w:tab w:leader="none" w:pos="2380" w:val="left"/>
        </w:tabs>
        <w:numPr>
          <w:ilvl w:val="1"/>
          <w:numId w:val="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adoption of a plan relating to the liquidation or dissolution of the Company.</w:t>
      </w:r>
    </w:p>
    <w:p>
      <w:pPr>
        <w:spacing w:after="0" w:line="216"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20"/>
          <w:szCs w:val="20"/>
          <w:color w:val="auto"/>
        </w:rPr>
        <w:t>Notwithstanding the foregoing, a transaction will not be deemed to involve a Change of Control if (1) the Company becomes a direct or indirect wholly-owned Subsidiary of a holding company and (2) (a) the direct or indirect holders of the Voting Stock of the ultimate parent holding company immediately following that transaction are substantially the same as the holders of the Company’s Voting Stock immediately prior to that transaction or (b) no “person” (as that term is used in Section 13(d)(3) of the Exchange Act) becomes the “beneficial owner” (as defined in Rules 13d-3 and 13d-5 under the Exchange Act) of 50% or more of the Voting Stock of such ultimate parent holding company, measured by voting power rather than number of shares.</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Change of Control Repurchase Event</w:t>
      </w:r>
      <w:r>
        <w:rPr>
          <w:rFonts w:ascii="Times New Roman" w:cs="Times New Roman" w:eastAsia="Times New Roman" w:hAnsi="Times New Roman"/>
          <w:sz w:val="20"/>
          <w:szCs w:val="20"/>
          <w:color w:val="auto"/>
        </w:rPr>
        <w:t>” means the occurrence of both a Change of Control and a Rating Event.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Code</w:t>
      </w:r>
      <w:r>
        <w:rPr>
          <w:rFonts w:ascii="Times New Roman" w:cs="Times New Roman" w:eastAsia="Times New Roman" w:hAnsi="Times New Roman"/>
          <w:sz w:val="20"/>
          <w:szCs w:val="20"/>
          <w:color w:val="auto"/>
        </w:rPr>
        <w:t>” means the Internal Revenue Code of 1986, as amended.</w:t>
      </w:r>
    </w:p>
    <w:p>
      <w:pPr>
        <w:spacing w:after="0" w:line="202" w:lineRule="exact"/>
        <w:rPr>
          <w:sz w:val="20"/>
          <w:szCs w:val="20"/>
          <w:color w:val="auto"/>
        </w:rPr>
      </w:pPr>
    </w:p>
    <w:p>
      <w:pPr>
        <w:ind w:right="200" w:firstLine="1296"/>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Common Stock</w:t>
      </w:r>
      <w:r>
        <w:rPr>
          <w:rFonts w:ascii="Times New Roman" w:cs="Times New Roman" w:eastAsia="Times New Roman" w:hAnsi="Times New Roman"/>
          <w:sz w:val="20"/>
          <w:szCs w:val="20"/>
          <w:color w:val="auto"/>
        </w:rPr>
        <w:t>” means with respect to any Person, any and all shares, interests or other participations in, and other equivalents (however designated and whether voting or nonvoting) of such Person’s common stock whether or not outstanding on the Issue Date, and includes, without limitation, all series and classes of such common stock.</w:t>
      </w:r>
    </w:p>
    <w:p>
      <w:pPr>
        <w:spacing w:after="0" w:line="148" w:lineRule="exact"/>
        <w:rPr>
          <w:sz w:val="20"/>
          <w:szCs w:val="20"/>
          <w:color w:val="auto"/>
        </w:rPr>
      </w:pPr>
    </w:p>
    <w:p>
      <w:pPr>
        <w:ind w:right="80" w:firstLine="1296"/>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Company</w:t>
      </w:r>
      <w:r>
        <w:rPr>
          <w:rFonts w:ascii="Times New Roman" w:cs="Times New Roman" w:eastAsia="Times New Roman" w:hAnsi="Times New Roman"/>
          <w:sz w:val="20"/>
          <w:szCs w:val="20"/>
          <w:color w:val="auto"/>
        </w:rPr>
        <w:t>” means the party named as such in the first paragraph of this Indenture or any successor obligor to its obligations under this Indenture and the Notes pursuant to Article 5.</w:t>
      </w:r>
    </w:p>
    <w:p>
      <w:pPr>
        <w:spacing w:after="0" w:line="125" w:lineRule="exact"/>
        <w:rPr>
          <w:sz w:val="20"/>
          <w:szCs w:val="20"/>
          <w:color w:val="auto"/>
        </w:rPr>
      </w:pPr>
    </w:p>
    <w:p>
      <w:pPr>
        <w:ind w:firstLine="1296"/>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Consolidated Net Tangible Assets</w:t>
      </w:r>
      <w:r>
        <w:rPr>
          <w:rFonts w:ascii="Times New Roman" w:cs="Times New Roman" w:eastAsia="Times New Roman" w:hAnsi="Times New Roman"/>
          <w:sz w:val="19"/>
          <w:szCs w:val="19"/>
          <w:color w:val="auto"/>
        </w:rPr>
        <w:t>” means, as at any date, the aggregate amount of assets of the Company and its Subsidiaries (determined on a consolidated basis without duplication in accordance with GAAP after deducting therefrom (1) (to the extent otherwise included therein) all goodwill, trade names, trademarks, service marks, patents, unamortized debt discount and expense and all other intangible assets and (2) all current liabilities, all as set forth on the most recent quarterly or annual (as the case may be) consolidated balance sheet or the notes thereto for which internal financial statements are available of such Person and its Subsidiaries in accordance with GAAP. For purposes of calculating Consolidated Net Tangible Assets, investments, acquisitions, dispositions and mergers or consolidations that have been made by the Company or any of its Subsidiaries, or any Person or any of its Subsidiaries acquired by the Company or any of its Subsidiaries, which occur subsequent to the most recent balance sheet date will be given pro forma effect (as determined in good faith by a responsible financial or accounting officer of the Company) as if they had occurred on such balance sheet date.</w:t>
      </w:r>
    </w:p>
    <w:p>
      <w:pPr>
        <w:spacing w:after="0" w:line="148" w:lineRule="exact"/>
        <w:rPr>
          <w:sz w:val="20"/>
          <w:szCs w:val="20"/>
          <w:color w:val="auto"/>
        </w:rPr>
      </w:pPr>
    </w:p>
    <w:p>
      <w:pPr>
        <w:ind w:right="460" w:firstLine="1296"/>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continuing</w:t>
      </w:r>
      <w:r>
        <w:rPr>
          <w:rFonts w:ascii="Times New Roman" w:cs="Times New Roman" w:eastAsia="Times New Roman" w:hAnsi="Times New Roman"/>
          <w:sz w:val="20"/>
          <w:szCs w:val="20"/>
          <w:color w:val="auto"/>
        </w:rPr>
        <w:t>” means, with respect to any Default or Event of Default, that such Default or Event of Default has not been cured or waived.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251" w:right="339" w:bottom="1440" w:gutter="0" w:footer="0" w:header="0"/>
        </w:sectPr>
      </w:pPr>
    </w:p>
    <w:bookmarkStart w:id="14" w:name="page15"/>
    <w:bookmarkEnd w:id="14"/>
    <w:p>
      <w:pPr>
        <w:ind w:firstLine="1296"/>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Corporate Trust Office of the Trustee</w:t>
      </w:r>
      <w:r>
        <w:rPr>
          <w:rFonts w:ascii="Times New Roman" w:cs="Times New Roman" w:eastAsia="Times New Roman" w:hAnsi="Times New Roman"/>
          <w:sz w:val="20"/>
          <w:szCs w:val="20"/>
          <w:color w:val="auto"/>
        </w:rPr>
        <w:t>” shall be at the address of the Trustee specified in Section 12.01 or such other address as to which the Trustee may give notice to the Holders and the Company.</w:t>
      </w:r>
    </w:p>
    <w:p>
      <w:pPr>
        <w:spacing w:after="0" w:line="125" w:lineRule="exact"/>
        <w:rPr>
          <w:sz w:val="20"/>
          <w:szCs w:val="20"/>
          <w:color w:val="auto"/>
        </w:rPr>
      </w:pPr>
    </w:p>
    <w:p>
      <w:pPr>
        <w:ind w:right="80"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Credit Agreement</w:t>
      </w:r>
      <w:r>
        <w:rPr>
          <w:rFonts w:ascii="Times New Roman" w:cs="Times New Roman" w:eastAsia="Times New Roman" w:hAnsi="Times New Roman"/>
          <w:sz w:val="20"/>
          <w:szCs w:val="20"/>
          <w:color w:val="auto"/>
        </w:rPr>
        <w:t>” means that certain Second Amended and Restated Five-Year Credit Agreement, dated as of May 3, 2022, by and among the Company, the foreign borrowers party thereto, the guarantors party thereto, the lenders party thereto, Wells Fargo Bank, National Association, as administrative agent (as amended by that certain First Amendment to the Second Amended and Restated Five-Year Credit Agreement, dated as of July 28, 2023), including any related notes, guarantees, collateral documents, instruments and agreements executed in connection therewith, and, in each case, as amended, restated, modified, renewed, refunded, replaced in any manner (whether upon or after termination or otherwise) or refinanced (including by means of sales of debt securities to institutional investors) in whole or in part from time to time.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Custodian</w:t>
      </w:r>
      <w:r>
        <w:rPr>
          <w:rFonts w:ascii="Times New Roman" w:cs="Times New Roman" w:eastAsia="Times New Roman" w:hAnsi="Times New Roman"/>
          <w:sz w:val="20"/>
          <w:szCs w:val="20"/>
          <w:color w:val="auto"/>
        </w:rPr>
        <w:t>” means the Trustee, as custodian with respect to the Notes in global form, or any successor entity thereto.</w:t>
      </w:r>
    </w:p>
    <w:p>
      <w:pPr>
        <w:spacing w:after="0" w:line="202" w:lineRule="exact"/>
        <w:rPr>
          <w:sz w:val="20"/>
          <w:szCs w:val="20"/>
          <w:color w:val="auto"/>
        </w:rPr>
      </w:pPr>
    </w:p>
    <w:p>
      <w:pPr>
        <w:ind w:right="40"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Debt Facilities</w:t>
      </w:r>
      <w:r>
        <w:rPr>
          <w:rFonts w:ascii="Times New Roman" w:cs="Times New Roman" w:eastAsia="Times New Roman" w:hAnsi="Times New Roman"/>
          <w:sz w:val="20"/>
          <w:szCs w:val="20"/>
          <w:color w:val="auto"/>
        </w:rPr>
        <w:t>” means one or more debt facilities (including the Credit Agreement), commercial paper facilities, securities purchase agreements, indentures or similar agreements, in each case, with banks or institutional lenders or investors providing for revolving loans, term loans, receivables financing (including through the sale of receivables to lenders or to special purpose entities formed to borrow from lenders against such receivables), letters of credit or the issuance of debt securities, including any related notes, Guarantees, collateral documents, instruments and agreements executed in connection therewith, and, in each case, as amended, modified, supplemented, restated, extended, renewed, refinanced, replaced or substituted from time to time.</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Default</w:t>
      </w:r>
      <w:r>
        <w:rPr>
          <w:rFonts w:ascii="Times New Roman" w:cs="Times New Roman" w:eastAsia="Times New Roman" w:hAnsi="Times New Roman"/>
          <w:sz w:val="20"/>
          <w:szCs w:val="20"/>
          <w:color w:val="auto"/>
        </w:rPr>
        <w:t>” means any event that is, or after notice or passage of time or both would be, an Event of Default.</w:t>
      </w:r>
    </w:p>
    <w:p>
      <w:pPr>
        <w:spacing w:after="0" w:line="202" w:lineRule="exact"/>
        <w:rPr>
          <w:sz w:val="20"/>
          <w:szCs w:val="20"/>
          <w:color w:val="auto"/>
        </w:rPr>
      </w:pPr>
    </w:p>
    <w:p>
      <w:pPr>
        <w:ind w:right="40" w:firstLine="1296"/>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Definitive Note</w:t>
      </w:r>
      <w:r>
        <w:rPr>
          <w:rFonts w:ascii="Times New Roman" w:cs="Times New Roman" w:eastAsia="Times New Roman" w:hAnsi="Times New Roman"/>
          <w:sz w:val="20"/>
          <w:szCs w:val="20"/>
          <w:color w:val="auto"/>
        </w:rPr>
        <w:t>” means a certificated Initial Note or Additional Note (bearing the Restricted Notes Legend if the transfer of such Note is restricted by applicable law) that does not include the Global Notes Legend.</w:t>
      </w:r>
    </w:p>
    <w:p>
      <w:pPr>
        <w:spacing w:after="0" w:line="125" w:lineRule="exact"/>
        <w:rPr>
          <w:sz w:val="20"/>
          <w:szCs w:val="20"/>
          <w:color w:val="auto"/>
        </w:rPr>
      </w:pPr>
    </w:p>
    <w:p>
      <w:pPr>
        <w:jc w:val="both"/>
        <w:ind w:right="160" w:firstLine="1296"/>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Depositary</w:t>
      </w:r>
      <w:r>
        <w:rPr>
          <w:rFonts w:ascii="Times New Roman" w:cs="Times New Roman" w:eastAsia="Times New Roman" w:hAnsi="Times New Roman"/>
          <w:sz w:val="20"/>
          <w:szCs w:val="20"/>
          <w:color w:val="auto"/>
        </w:rPr>
        <w:t>” means, with respect to the Notes issuable or issued in whole or in part in global form, the Person specified in Section 2.03 as the Depositary with respect to the Notes, and any and all successors thereto appointed as Depositary hereunder and having become such pursuant to the applicable provision of this Indenture.</w:t>
      </w:r>
    </w:p>
    <w:p>
      <w:pPr>
        <w:spacing w:after="0" w:line="162" w:lineRule="exact"/>
        <w:rPr>
          <w:sz w:val="20"/>
          <w:szCs w:val="20"/>
          <w:color w:val="auto"/>
        </w:rPr>
      </w:pPr>
    </w:p>
    <w:p>
      <w:pPr>
        <w:ind w:right="200" w:firstLine="1296"/>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Domestic Subsidiary</w:t>
      </w:r>
      <w:r>
        <w:rPr>
          <w:rFonts w:ascii="Times New Roman" w:cs="Times New Roman" w:eastAsia="Times New Roman" w:hAnsi="Times New Roman"/>
          <w:sz w:val="20"/>
          <w:szCs w:val="20"/>
          <w:color w:val="auto"/>
        </w:rPr>
        <w:t>” means any Subsidiary incorporated or organized under the laws of the United States of America or any State thereof or the District of Columbia other than a Foreign Subsidiary Holding Company.</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DTC</w:t>
      </w:r>
      <w:r>
        <w:rPr>
          <w:rFonts w:ascii="Times New Roman" w:cs="Times New Roman" w:eastAsia="Times New Roman" w:hAnsi="Times New Roman"/>
          <w:sz w:val="20"/>
          <w:szCs w:val="20"/>
          <w:color w:val="auto"/>
        </w:rPr>
        <w:t>” means The Depository Trust Company.</w:t>
      </w:r>
    </w:p>
    <w:p>
      <w:pPr>
        <w:spacing w:after="0" w:line="202" w:lineRule="exact"/>
        <w:rPr>
          <w:sz w:val="20"/>
          <w:szCs w:val="20"/>
          <w:color w:val="auto"/>
        </w:rPr>
      </w:pPr>
    </w:p>
    <w:p>
      <w:pPr>
        <w:ind w:right="320" w:firstLine="1296"/>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Electronic Means</w:t>
      </w:r>
      <w:r>
        <w:rPr>
          <w:rFonts w:ascii="Times New Roman" w:cs="Times New Roman" w:eastAsia="Times New Roman" w:hAnsi="Times New Roman"/>
          <w:sz w:val="20"/>
          <w:szCs w:val="20"/>
          <w:color w:val="auto"/>
        </w:rPr>
        <w:t>” means the following communications methods: e-mail, secure electronic transmission containing applicable authorization codes, passwords and/or authentication keys issued by the Trustee, or another method or system specified by the Trustee as available for use in connection with its services hereunder.</w:t>
      </w:r>
    </w:p>
    <w:p>
      <w:pPr>
        <w:spacing w:after="0" w:line="148" w:lineRule="exact"/>
        <w:rPr>
          <w:sz w:val="20"/>
          <w:szCs w:val="20"/>
          <w:color w:val="auto"/>
        </w:rPr>
      </w:pPr>
    </w:p>
    <w:p>
      <w:pPr>
        <w:ind w:right="380" w:firstLine="1296"/>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Equity Offering</w:t>
      </w:r>
      <w:r>
        <w:rPr>
          <w:rFonts w:ascii="Times New Roman" w:cs="Times New Roman" w:eastAsia="Times New Roman" w:hAnsi="Times New Roman"/>
          <w:sz w:val="20"/>
          <w:szCs w:val="20"/>
          <w:color w:val="auto"/>
        </w:rPr>
        <w:t>” means any primary offering of Capital Stock of the Company to Persons who are not the Company or Subsidiaries of the Company other than (1) public offerings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180"/>
          </w:cols>
          <w:pgMar w:left="320" w:top="1247" w:right="399" w:bottom="1440" w:gutter="0" w:footer="0" w:header="0"/>
        </w:sectPr>
      </w:pPr>
    </w:p>
    <w:bookmarkStart w:id="15" w:name="page16"/>
    <w:bookmarkEnd w:id="15"/>
    <w:p>
      <w:pPr>
        <w:ind w:right="200"/>
        <w:spacing w:after="0" w:line="283" w:lineRule="auto"/>
        <w:rPr>
          <w:sz w:val="20"/>
          <w:szCs w:val="20"/>
          <w:color w:val="auto"/>
        </w:rPr>
      </w:pPr>
      <w:r>
        <w:rPr>
          <w:rFonts w:ascii="Times New Roman" w:cs="Times New Roman" w:eastAsia="Times New Roman" w:hAnsi="Times New Roman"/>
          <w:sz w:val="20"/>
          <w:szCs w:val="20"/>
          <w:color w:val="auto"/>
        </w:rPr>
        <w:t>respect to any Capital Stock registered on Form S-8 and (2) issuances upon exercise of options by employees of the Company or any of its Subsidiaries.</w:t>
      </w:r>
    </w:p>
    <w:p>
      <w:pPr>
        <w:spacing w:after="0" w:line="1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Exchange Act</w:t>
      </w:r>
      <w:r>
        <w:rPr>
          <w:rFonts w:ascii="Times New Roman" w:cs="Times New Roman" w:eastAsia="Times New Roman" w:hAnsi="Times New Roman"/>
          <w:sz w:val="20"/>
          <w:szCs w:val="20"/>
          <w:color w:val="auto"/>
        </w:rPr>
        <w:t>” means the U.S. Securities Exchange Act of 1934, as amended.</w:t>
      </w:r>
    </w:p>
    <w:p>
      <w:pPr>
        <w:spacing w:after="0" w:line="202" w:lineRule="exact"/>
        <w:rPr>
          <w:sz w:val="20"/>
          <w:szCs w:val="20"/>
          <w:color w:val="auto"/>
        </w:rPr>
      </w:pPr>
    </w:p>
    <w:p>
      <w:pPr>
        <w:ind w:right="160" w:firstLine="1296"/>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Fair Market Value</w:t>
      </w:r>
      <w:r>
        <w:rPr>
          <w:rFonts w:ascii="Times New Roman" w:cs="Times New Roman" w:eastAsia="Times New Roman" w:hAnsi="Times New Roman"/>
          <w:sz w:val="20"/>
          <w:szCs w:val="20"/>
          <w:color w:val="auto"/>
        </w:rPr>
        <w:t>” means the value that would be paid by a willing buyer to an unaffiliated willing seller in a transaction not involving distress or necessity of either party, determined in good faith by the Board of Directors of the Company (unless otherwise provided herein).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FASB</w:t>
      </w:r>
      <w:r>
        <w:rPr>
          <w:rFonts w:ascii="Times New Roman" w:cs="Times New Roman" w:eastAsia="Times New Roman" w:hAnsi="Times New Roman"/>
          <w:sz w:val="20"/>
          <w:szCs w:val="20"/>
          <w:color w:val="auto"/>
        </w:rPr>
        <w:t>” means Financial Accounting Standards Board.</w:t>
      </w:r>
    </w:p>
    <w:p>
      <w:pPr>
        <w:spacing w:after="0" w:line="202" w:lineRule="exact"/>
        <w:rPr>
          <w:sz w:val="20"/>
          <w:szCs w:val="20"/>
          <w:color w:val="auto"/>
        </w:rPr>
      </w:pPr>
    </w:p>
    <w:p>
      <w:pPr>
        <w:ind w:right="180" w:firstLine="1296"/>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Floorplan Financing</w:t>
      </w:r>
      <w:r>
        <w:rPr>
          <w:rFonts w:ascii="Times New Roman" w:cs="Times New Roman" w:eastAsia="Times New Roman" w:hAnsi="Times New Roman"/>
          <w:sz w:val="20"/>
          <w:szCs w:val="20"/>
          <w:color w:val="auto"/>
        </w:rPr>
        <w:t>” means, with respect to the Company, any Subsidiary Guarantor or any Subsidiary thereof, any dealership floorplan financing incurred by such Person with respect to vehicles sold, leased, held for sale or lease or otherwise used by any such Person at any dealership of such Person.</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Foreign Subsidiary</w:t>
      </w:r>
      <w:r>
        <w:rPr>
          <w:rFonts w:ascii="Times New Roman" w:cs="Times New Roman" w:eastAsia="Times New Roman" w:hAnsi="Times New Roman"/>
          <w:sz w:val="20"/>
          <w:szCs w:val="20"/>
          <w:color w:val="auto"/>
        </w:rPr>
        <w:t>” means any direct or indirect Subsidiary of the Company that is not a Domestic Subsidiary.</w:t>
      </w:r>
    </w:p>
    <w:p>
      <w:pPr>
        <w:spacing w:after="0" w:line="202" w:lineRule="exact"/>
        <w:rPr>
          <w:sz w:val="20"/>
          <w:szCs w:val="20"/>
          <w:color w:val="auto"/>
        </w:rPr>
      </w:pPr>
    </w:p>
    <w:p>
      <w:pPr>
        <w:ind w:right="380" w:firstLine="1296"/>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Foreign Subsidiary Holding Company</w:t>
      </w:r>
      <w:r>
        <w:rPr>
          <w:rFonts w:ascii="Times New Roman" w:cs="Times New Roman" w:eastAsia="Times New Roman" w:hAnsi="Times New Roman"/>
          <w:sz w:val="20"/>
          <w:szCs w:val="20"/>
          <w:color w:val="auto"/>
        </w:rPr>
        <w:t>” means any Subsidiary substantially all of whose assets consist of Capital Stock and/or Indebtedness of one or more CFCs.</w:t>
      </w:r>
    </w:p>
    <w:p>
      <w:pPr>
        <w:spacing w:after="0" w:line="125"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GAAP</w:t>
      </w:r>
      <w:r>
        <w:rPr>
          <w:rFonts w:ascii="Times New Roman" w:cs="Times New Roman" w:eastAsia="Times New Roman" w:hAnsi="Times New Roman"/>
          <w:sz w:val="20"/>
          <w:szCs w:val="20"/>
          <w:color w:val="auto"/>
        </w:rPr>
        <w:t xml:space="preserve">” means generally accepted accounting principles in the United States of America as in effect from time to time, including those set forth in: (1) the opinions and pronouncements of the Accounting Principles Board of the American Institute of Certified Public Accountants; (2) statements and pronouncements of the FASB; (3) such other statements by such other entity as approved by a significant segment of the accounting profession; and (4) the rules and regulations of the SEC governing the inclusion of financial statements (including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financial statements) in periodic reports required to be filed pursuant to Section 13 of the Exchange Act, including opinions and pronouncements in staff accounting bulletins and similar written statements from the accounting staff of the SEC.</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Guarantee</w:t>
      </w:r>
      <w:r>
        <w:rPr>
          <w:rFonts w:ascii="Times New Roman" w:cs="Times New Roman" w:eastAsia="Times New Roman" w:hAnsi="Times New Roman"/>
          <w:sz w:val="20"/>
          <w:szCs w:val="20"/>
          <w:color w:val="auto"/>
        </w:rPr>
        <w:t>” means (1) any obligation, contingent or otherwise, of any Person directly or indirectly guaranteeing any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Indebtedness of any other Person and (2) any obligation, direct or indirect, contingent or otherwise, of such Person:</w:t>
      </w:r>
    </w:p>
    <w:p>
      <w:pPr>
        <w:spacing w:after="0" w:line="180" w:lineRule="exact"/>
        <w:rPr>
          <w:sz w:val="20"/>
          <w:szCs w:val="20"/>
          <w:color w:val="auto"/>
        </w:rPr>
      </w:pPr>
    </w:p>
    <w:p>
      <w:pPr>
        <w:ind w:left="660" w:right="20" w:firstLine="644"/>
        <w:spacing w:after="0" w:line="268" w:lineRule="auto"/>
        <w:tabs>
          <w:tab w:leader="none" w:pos="1725" w:val="left"/>
        </w:tabs>
        <w:numPr>
          <w:ilvl w:val="0"/>
          <w:numId w:val="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purchase or pay (or advance or supply funds for the purchase or payment of) such Indebtedness of such other Person (whether arising by virtue of partnership arrangements, or by agreement to keep-well, to purchase assets, goods, securities or services, to take-or-pay, or to maintain financial statement conditions or otherwise); or</w:t>
      </w:r>
    </w:p>
    <w:p>
      <w:pPr>
        <w:spacing w:after="0" w:line="161" w:lineRule="exact"/>
        <w:rPr>
          <w:rFonts w:ascii="Times New Roman" w:cs="Times New Roman" w:eastAsia="Times New Roman" w:hAnsi="Times New Roman"/>
          <w:sz w:val="20"/>
          <w:szCs w:val="20"/>
          <w:color w:val="010000"/>
        </w:rPr>
      </w:pPr>
    </w:p>
    <w:p>
      <w:pPr>
        <w:ind w:left="660" w:right="20" w:firstLine="644"/>
        <w:spacing w:after="0" w:line="261" w:lineRule="auto"/>
        <w:tabs>
          <w:tab w:leader="none" w:pos="1736" w:val="left"/>
        </w:tabs>
        <w:numPr>
          <w:ilvl w:val="0"/>
          <w:numId w:val="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entered into for purposes of assuring in any other manner the obligee of such Indebtedness of the payment thereof or to protect such obligee against loss in respect thereof (in whole or in part);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term “Guarantee” will not include endorsements for collection or deposit in the ordinary course of business.</w:t>
      </w:r>
    </w:p>
    <w:p>
      <w:pPr>
        <w:spacing w:after="0" w:line="177" w:lineRule="exact"/>
        <w:rPr>
          <w:sz w:val="20"/>
          <w:szCs w:val="20"/>
          <w:color w:val="auto"/>
        </w:rPr>
      </w:pPr>
    </w:p>
    <w:p>
      <w:pPr>
        <w:ind w:right="80" w:firstLine="1296"/>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Hedging Obligations</w:t>
      </w:r>
      <w:r>
        <w:rPr>
          <w:rFonts w:ascii="Times New Roman" w:cs="Times New Roman" w:eastAsia="Times New Roman" w:hAnsi="Times New Roman"/>
          <w:sz w:val="20"/>
          <w:szCs w:val="20"/>
          <w:color w:val="auto"/>
        </w:rPr>
        <w:t>” means obligations under: (1) interest rate swap agreements (whether from fixed to floating or from floating to fixed), interest rate cap agreements and interest rate collar agreements; (2) other agreements or arrangements designed to manage interest rates or interest rate risk; and (3) other agreements or arrangements designed to protect against fluctuations in currency exchange rates or commodity prices.</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Holder</w:t>
      </w:r>
      <w:r>
        <w:rPr>
          <w:rFonts w:ascii="Times New Roman" w:cs="Times New Roman" w:eastAsia="Times New Roman" w:hAnsi="Times New Roman"/>
          <w:sz w:val="20"/>
          <w:szCs w:val="20"/>
          <w:color w:val="auto"/>
        </w:rPr>
        <w:t>” means a Person in whose name a Note is registered on the Registrar’s books.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180"/>
          </w:cols>
          <w:pgMar w:left="320" w:top="1251" w:right="399" w:bottom="1440" w:gutter="0" w:footer="0" w:header="0"/>
        </w:sectPr>
      </w:pPr>
    </w:p>
    <w:bookmarkStart w:id="16" w:name="page17"/>
    <w:bookmarkEnd w:id="16"/>
    <w:p>
      <w:pPr>
        <w:ind w:right="40" w:firstLine="1296"/>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Incur</w:t>
      </w:r>
      <w:r>
        <w:rPr>
          <w:rFonts w:ascii="Times New Roman" w:cs="Times New Roman" w:eastAsia="Times New Roman" w:hAnsi="Times New Roman"/>
          <w:sz w:val="20"/>
          <w:szCs w:val="20"/>
          <w:color w:val="auto"/>
        </w:rPr>
        <w:t xml:space="preserve">” means issue, create, assume, Guarantee, incur or otherwise become liable for;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any Indebtedness or Capital Stock of a Person existing at the time such Person becomes a Subsidiary (whether by merger, consolidation, acquisition or otherwise) will be deemed to be Incurred by such Subsidiary at the time it becomes a Subsidiary; and the terms “Incurred” and “Incurrence” have meanings correlative to the foregoing.</w:t>
      </w:r>
    </w:p>
    <w:p>
      <w:pPr>
        <w:spacing w:after="0" w:line="151" w:lineRule="exact"/>
        <w:rPr>
          <w:sz w:val="20"/>
          <w:szCs w:val="20"/>
          <w:color w:val="auto"/>
        </w:rPr>
      </w:pPr>
    </w:p>
    <w:p>
      <w:pPr>
        <w:ind w:right="60" w:firstLine="1296"/>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Indebtedness</w:t>
      </w:r>
      <w:r>
        <w:rPr>
          <w:rFonts w:ascii="Times New Roman" w:cs="Times New Roman" w:eastAsia="Times New Roman" w:hAnsi="Times New Roman"/>
          <w:sz w:val="20"/>
          <w:szCs w:val="20"/>
          <w:color w:val="auto"/>
        </w:rPr>
        <w:t>” means, with respect to any specified Person, any indebtedness of such Person (excluding accrued interest (other than accrued interest or interest paid in kind that has accreted to the principal amount), accrued expenses and trade payables), whether or not contingent, in respect of borrowed money and evidenced by bonds, notes, debentures or similar instruments or letters of credit (or, without duplication, reimbursement agreements in respect thereof).</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The amount of any Indebtedness outstanding as of any date will be:</w:t>
      </w:r>
    </w:p>
    <w:p>
      <w:pPr>
        <w:spacing w:after="0" w:line="202" w:lineRule="exact"/>
        <w:rPr>
          <w:sz w:val="20"/>
          <w:szCs w:val="20"/>
          <w:color w:val="auto"/>
        </w:rPr>
      </w:pPr>
    </w:p>
    <w:p>
      <w:pPr>
        <w:ind w:left="2380" w:hanging="428"/>
        <w:spacing w:after="0"/>
        <w:tabs>
          <w:tab w:leader="none" w:pos="2380" w:val="left"/>
        </w:tabs>
        <w:numPr>
          <w:ilvl w:val="0"/>
          <w:numId w:val="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accreted value of the Indebtedness, in the case of any Indebtedness issued with original issue discount;</w:t>
      </w:r>
    </w:p>
    <w:p>
      <w:pPr>
        <w:spacing w:after="0" w:line="229" w:lineRule="exact"/>
        <w:rPr>
          <w:rFonts w:ascii="Times New Roman" w:cs="Times New Roman" w:eastAsia="Times New Roman" w:hAnsi="Times New Roman"/>
          <w:sz w:val="20"/>
          <w:szCs w:val="20"/>
          <w:color w:val="010000"/>
        </w:rPr>
      </w:pPr>
    </w:p>
    <w:p>
      <w:pPr>
        <w:ind w:left="2380" w:hanging="428"/>
        <w:spacing w:after="0"/>
        <w:tabs>
          <w:tab w:leader="none" w:pos="2380" w:val="left"/>
        </w:tabs>
        <w:numPr>
          <w:ilvl w:val="0"/>
          <w:numId w:val="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principal amount of the Indebtedness, in the case of any other Indebtedness; and</w:t>
      </w:r>
    </w:p>
    <w:p>
      <w:pPr>
        <w:spacing w:after="0" w:line="229" w:lineRule="exact"/>
        <w:rPr>
          <w:rFonts w:ascii="Times New Roman" w:cs="Times New Roman" w:eastAsia="Times New Roman" w:hAnsi="Times New Roman"/>
          <w:sz w:val="20"/>
          <w:szCs w:val="20"/>
          <w:color w:val="010000"/>
        </w:rPr>
      </w:pPr>
    </w:p>
    <w:p>
      <w:pPr>
        <w:ind w:left="2380" w:hanging="428"/>
        <w:spacing w:after="0"/>
        <w:tabs>
          <w:tab w:leader="none" w:pos="2380" w:val="left"/>
        </w:tabs>
        <w:numPr>
          <w:ilvl w:val="0"/>
          <w:numId w:val="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respect of Indebtedness of another Person secured by a Lien on the assets of the specified Person, the lesser</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of:</w:t>
      </w:r>
    </w:p>
    <w:p>
      <w:pPr>
        <w:spacing w:after="0" w:line="207" w:lineRule="exact"/>
        <w:rPr>
          <w:sz w:val="20"/>
          <w:szCs w:val="20"/>
          <w:color w:val="auto"/>
        </w:rPr>
      </w:pPr>
    </w:p>
    <w:p>
      <w:pPr>
        <w:ind w:left="2360" w:hanging="408"/>
        <w:spacing w:after="0"/>
        <w:tabs>
          <w:tab w:leader="none" w:pos="2360" w:val="left"/>
        </w:tabs>
        <w:numPr>
          <w:ilvl w:val="0"/>
          <w:numId w:val="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Fair Market Value of such assets at the date of determination; and</w:t>
      </w:r>
    </w:p>
    <w:p>
      <w:pPr>
        <w:spacing w:after="0" w:line="215" w:lineRule="exact"/>
        <w:rPr>
          <w:rFonts w:ascii="Times New Roman" w:cs="Times New Roman" w:eastAsia="Times New Roman" w:hAnsi="Times New Roman"/>
          <w:sz w:val="20"/>
          <w:szCs w:val="20"/>
          <w:color w:val="010000"/>
        </w:rPr>
      </w:pPr>
    </w:p>
    <w:p>
      <w:pPr>
        <w:ind w:left="2380" w:hanging="428"/>
        <w:spacing w:after="0"/>
        <w:tabs>
          <w:tab w:leader="none" w:pos="2380" w:val="left"/>
        </w:tabs>
        <w:numPr>
          <w:ilvl w:val="0"/>
          <w:numId w:val="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amount of the Indebtedness of the other Person.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Indenture</w:t>
      </w:r>
      <w:r>
        <w:rPr>
          <w:rFonts w:ascii="Times New Roman" w:cs="Times New Roman" w:eastAsia="Times New Roman" w:hAnsi="Times New Roman"/>
          <w:sz w:val="20"/>
          <w:szCs w:val="20"/>
          <w:color w:val="auto"/>
        </w:rPr>
        <w:t>” means this Indenture, as amended or supplemented from time to time.</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Initial Notes</w:t>
      </w:r>
      <w:r>
        <w:rPr>
          <w:rFonts w:ascii="Times New Roman" w:cs="Times New Roman" w:eastAsia="Times New Roman" w:hAnsi="Times New Roman"/>
          <w:sz w:val="20"/>
          <w:szCs w:val="20"/>
          <w:color w:val="auto"/>
        </w:rPr>
        <w:t>” has the meaning set forth in the recitals hereto.</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Interest Payment Date</w:t>
      </w:r>
      <w:r>
        <w:rPr>
          <w:rFonts w:ascii="Times New Roman" w:cs="Times New Roman" w:eastAsia="Times New Roman" w:hAnsi="Times New Roman"/>
          <w:sz w:val="20"/>
          <w:szCs w:val="20"/>
          <w:color w:val="auto"/>
        </w:rPr>
        <w:t>” means June 1 and December 1 of each year to stated maturity of the Notes.</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Issue Date</w:t>
      </w:r>
      <w:r>
        <w:rPr>
          <w:rFonts w:ascii="Times New Roman" w:cs="Times New Roman" w:eastAsia="Times New Roman" w:hAnsi="Times New Roman"/>
          <w:sz w:val="20"/>
          <w:szCs w:val="20"/>
          <w:color w:val="auto"/>
        </w:rPr>
        <w:t>” means November 24, 2025.</w:t>
      </w:r>
    </w:p>
    <w:p>
      <w:pPr>
        <w:spacing w:after="0" w:line="202" w:lineRule="exact"/>
        <w:rPr>
          <w:sz w:val="20"/>
          <w:szCs w:val="20"/>
          <w:color w:val="auto"/>
        </w:rPr>
      </w:pPr>
    </w:p>
    <w:p>
      <w:pPr>
        <w:ind w:right="40" w:firstLine="1296"/>
        <w:spacing w:after="0" w:line="27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Lien</w:t>
      </w:r>
      <w:r>
        <w:rPr>
          <w:rFonts w:ascii="Times New Roman" w:cs="Times New Roman" w:eastAsia="Times New Roman" w:hAnsi="Times New Roman"/>
          <w:sz w:val="19"/>
          <w:szCs w:val="19"/>
          <w:color w:val="auto"/>
        </w:rPr>
        <w:t xml:space="preserve">” means any mortgage or deed of trust, charge, pledge, lien (statutory or otherwise), privilege, security interest, assignment, easement, hypothecation, claim, preference, priority or other encumbrance upon or with respect to any priority of any kind (including any conditional sale, capital lease or other title retention agreement, any leases in the nature thereof) real or personal, moveable or immovable, now owned or hereafter acquired;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in no event shall an operating lease be deemed to constitute a Lien.</w:t>
      </w:r>
    </w:p>
    <w:p>
      <w:pPr>
        <w:spacing w:after="0" w:line="135" w:lineRule="exact"/>
        <w:rPr>
          <w:sz w:val="20"/>
          <w:szCs w:val="20"/>
          <w:color w:val="auto"/>
        </w:rPr>
      </w:pPr>
    </w:p>
    <w:p>
      <w:pPr>
        <w:ind w:firstLine="1296"/>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Material Indebtedness</w:t>
      </w:r>
      <w:r>
        <w:rPr>
          <w:rFonts w:ascii="Times New Roman" w:cs="Times New Roman" w:eastAsia="Times New Roman" w:hAnsi="Times New Roman"/>
          <w:sz w:val="20"/>
          <w:szCs w:val="20"/>
          <w:color w:val="auto"/>
        </w:rPr>
        <w:t>” means Indebtedness (other than the Notes and the Subsidiary Guarantees) of any one or more of the Company and the Subsidiary Guarantors in an aggregate principal amount exceeding $100.0 million.</w:t>
      </w:r>
    </w:p>
    <w:p>
      <w:pPr>
        <w:spacing w:after="0" w:line="1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Moody’s</w:t>
      </w:r>
      <w:r>
        <w:rPr>
          <w:rFonts w:ascii="Times New Roman" w:cs="Times New Roman" w:eastAsia="Times New Roman" w:hAnsi="Times New Roman"/>
          <w:sz w:val="20"/>
          <w:szCs w:val="20"/>
          <w:color w:val="auto"/>
        </w:rPr>
        <w:t>” means Moody’s Investors Services Inc. and its successors.</w:t>
      </w:r>
    </w:p>
    <w:p>
      <w:pPr>
        <w:spacing w:after="0" w:line="202" w:lineRule="exact"/>
        <w:rPr>
          <w:sz w:val="20"/>
          <w:szCs w:val="20"/>
          <w:color w:val="auto"/>
        </w:rPr>
      </w:pPr>
    </w:p>
    <w:p>
      <w:pPr>
        <w:ind w:right="120" w:firstLine="1296"/>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Notes</w:t>
      </w:r>
      <w:r>
        <w:rPr>
          <w:rFonts w:ascii="Times New Roman" w:cs="Times New Roman" w:eastAsia="Times New Roman" w:hAnsi="Times New Roman"/>
          <w:sz w:val="20"/>
          <w:szCs w:val="20"/>
          <w:color w:val="auto"/>
        </w:rPr>
        <w:t>” means the Initial Notes and more particularly means any note authenticated and delivered under this Indenture. For all purposes of this Indenture, the term “</w:t>
      </w:r>
      <w:r>
        <w:rPr>
          <w:rFonts w:ascii="Times New Roman" w:cs="Times New Roman" w:eastAsia="Times New Roman" w:hAnsi="Times New Roman"/>
          <w:sz w:val="20"/>
          <w:szCs w:val="20"/>
          <w:i w:val="1"/>
          <w:iCs w:val="1"/>
          <w:color w:val="auto"/>
        </w:rPr>
        <w:t>Notes</w:t>
      </w:r>
      <w:r>
        <w:rPr>
          <w:rFonts w:ascii="Times New Roman" w:cs="Times New Roman" w:eastAsia="Times New Roman" w:hAnsi="Times New Roman"/>
          <w:sz w:val="20"/>
          <w:szCs w:val="20"/>
          <w:color w:val="auto"/>
        </w:rPr>
        <w:t>” shall also include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00"/>
          </w:cols>
          <w:pgMar w:left="320" w:top="1247"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0"/>
          <w:szCs w:val="20"/>
          <w:color w:val="auto"/>
        </w:rPr>
        <w:t>Additional Notes that may be issued and notes to be issued or authenticated upon transfer, replacement or exchange of Notes.</w:t>
      </w:r>
    </w:p>
    <w:p>
      <w:pPr>
        <w:spacing w:after="0" w:line="198" w:lineRule="exact"/>
        <w:rPr>
          <w:sz w:val="20"/>
          <w:szCs w:val="20"/>
          <w:color w:val="auto"/>
        </w:rPr>
      </w:pPr>
    </w:p>
    <w:p>
      <w:pPr>
        <w:ind w:right="460"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Obligations</w:t>
      </w:r>
      <w:r>
        <w:rPr>
          <w:rFonts w:ascii="Times New Roman" w:cs="Times New Roman" w:eastAsia="Times New Roman" w:hAnsi="Times New Roman"/>
          <w:sz w:val="20"/>
          <w:szCs w:val="20"/>
          <w:color w:val="auto"/>
        </w:rPr>
        <w:t>” means any principal, interest (including any interest accruing subsequent to the filing of a petition in bankruptcy, reorganization or similar proceeding at the rate provided for in the documentation with respect thereto, whether or not such interest is an allowed claim under applicable state, federal or foreign law), other monetary obligations, penalties, fees, indemnifications, reimbursements (including reimbursement obligations with respect to letters of credit and banker’s acceptances), damages and other liabilities, and Guarantees of payment of such principal, interest, penalties, fees, indemnifications, reimbursements, damages and other liabilities, payable under the documentation governing any Indebtedness.</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Offering Memorandum</w:t>
      </w:r>
      <w:r>
        <w:rPr>
          <w:rFonts w:ascii="Times New Roman" w:cs="Times New Roman" w:eastAsia="Times New Roman" w:hAnsi="Times New Roman"/>
          <w:sz w:val="20"/>
          <w:szCs w:val="20"/>
          <w:color w:val="auto"/>
        </w:rPr>
        <w:t>” means the offering memorandum dated November 13, 2025 related to the offer and sale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Notes.</w:t>
      </w:r>
    </w:p>
    <w:p>
      <w:pPr>
        <w:spacing w:after="0" w:line="183"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Officer</w:t>
      </w:r>
      <w:r>
        <w:rPr>
          <w:rFonts w:ascii="Times New Roman" w:cs="Times New Roman" w:eastAsia="Times New Roman" w:hAnsi="Times New Roman"/>
          <w:sz w:val="20"/>
          <w:szCs w:val="20"/>
          <w:color w:val="auto"/>
        </w:rPr>
        <w:t>” means the Chairman of the Board of Directors of the Company, the Chief Executive Officer, the President, the Chief Financial Officer, any Executive Vice President, Senior Vice President or Vice President, the Treasurer or the Secretary of the Company or, in the event that the Company is a partnership or a limited liability company that has no such officers, a person duly authorized under applicable law by the general partner, managers, members or a similar body to act on behalf of the Company. Officer of any Subsidiary Guarantor has a correlative meaning.</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Officer’s Certificate</w:t>
      </w:r>
      <w:r>
        <w:rPr>
          <w:rFonts w:ascii="Times New Roman" w:cs="Times New Roman" w:eastAsia="Times New Roman" w:hAnsi="Times New Roman"/>
          <w:sz w:val="20"/>
          <w:szCs w:val="20"/>
          <w:color w:val="auto"/>
        </w:rPr>
        <w:t>” means a certificate signed on behalf of the Company by an Officer of the Company and delivered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Trustee.</w:t>
      </w:r>
    </w:p>
    <w:p>
      <w:pPr>
        <w:spacing w:after="0" w:line="183" w:lineRule="exact"/>
        <w:rPr>
          <w:sz w:val="20"/>
          <w:szCs w:val="20"/>
          <w:color w:val="auto"/>
        </w:rPr>
      </w:pPr>
    </w:p>
    <w:p>
      <w:pPr>
        <w:ind w:right="120" w:firstLine="1296"/>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Opinion of Counsel</w:t>
      </w:r>
      <w:r>
        <w:rPr>
          <w:rFonts w:ascii="Times New Roman" w:cs="Times New Roman" w:eastAsia="Times New Roman" w:hAnsi="Times New Roman"/>
          <w:sz w:val="20"/>
          <w:szCs w:val="20"/>
          <w:color w:val="auto"/>
        </w:rPr>
        <w:t>” means an opinion in writing signed by legal counsel, who may be internal counsel to the Company or who may be other counsel.</w:t>
      </w:r>
    </w:p>
    <w:p>
      <w:pPr>
        <w:spacing w:after="0" w:line="152" w:lineRule="exact"/>
        <w:rPr>
          <w:sz w:val="20"/>
          <w:szCs w:val="20"/>
          <w:color w:val="auto"/>
        </w:rPr>
      </w:pPr>
    </w:p>
    <w:p>
      <w:pPr>
        <w:ind w:right="80"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Permitted Holders</w:t>
      </w:r>
      <w:r>
        <w:rPr>
          <w:rFonts w:ascii="Times New Roman" w:cs="Times New Roman" w:eastAsia="Times New Roman" w:hAnsi="Times New Roman"/>
          <w:sz w:val="20"/>
          <w:szCs w:val="20"/>
          <w:color w:val="auto"/>
        </w:rPr>
        <w:t>” means (1) the Company and its Subsidiaries; (2) descendants of Katharine M. Graham; (3) the estate, legal representatives and spouses of any descendant of Katharine M. Graham; (4) any trust held for the primary benefit of (x) one or more of the persons listed in the foregoing clauses (2) and (3) or (y) one or more of the persons listed in the foregoing clauses (2) and (3) and charitable organizations; and (5) any corporation, partnership (general or limited), joint venture, limited liability company or other legal entity or organization in which one or more of the persons described in the foregoing clauses (2) through (4) collectively hold, in the aggregate, a majority of the Voting Stock or other voting equity interests.</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Permitted Liens</w:t>
      </w:r>
      <w:r>
        <w:rPr>
          <w:rFonts w:ascii="Times New Roman" w:cs="Times New Roman" w:eastAsia="Times New Roman" w:hAnsi="Times New Roman"/>
          <w:sz w:val="20"/>
          <w:szCs w:val="20"/>
          <w:color w:val="auto"/>
        </w:rPr>
        <w:t>” means, with respect to any Person:</w:t>
      </w:r>
    </w:p>
    <w:p>
      <w:pPr>
        <w:spacing w:after="0" w:line="206" w:lineRule="exact"/>
        <w:rPr>
          <w:sz w:val="20"/>
          <w:szCs w:val="20"/>
          <w:color w:val="auto"/>
        </w:rPr>
      </w:pPr>
    </w:p>
    <w:p>
      <w:pPr>
        <w:ind w:left="1300" w:firstLine="652"/>
        <w:spacing w:after="0" w:line="266" w:lineRule="auto"/>
        <w:tabs>
          <w:tab w:leader="none" w:pos="2376" w:val="left"/>
        </w:tabs>
        <w:numPr>
          <w:ilvl w:val="0"/>
          <w:numId w:val="1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Liens securing Indebtedness (including Capital Lease Obligations) incurred to finance the acquisition, construction, purchase, replacement or lease of, or repairs, improvements or additions to, property, plant or equipment (whether through the direct purchase of assets or the Capital Stock of any Person owning such assets) of such Person (plus additions, improvements, accessions and replacements and customary deposits in connection therewith and proceeds, products and distributions therefrom);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the Lien may not extend to any other property owned by such Person or any of its Subsidiaries at the time the Lien is incurred (other than assets and property affixed or appurtenant thereto or pursuant to customary after-acquired property clauses), and the Indebtedness (other than any interest thereon) secured by the Lien may not be incurred more than 12 months after the later of such acquisition, completion of construction, purchase, replacement or lease of, repairs, improvement or additions to, such property, plant or equipment subject to the Lien;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20"/>
          </w:cols>
          <w:pgMar w:left="320" w:top="1251" w:right="359" w:bottom="1440" w:gutter="0" w:footer="0" w:header="0"/>
        </w:sectPr>
      </w:pPr>
    </w:p>
    <w:bookmarkStart w:id="18" w:name="page19"/>
    <w:bookmarkEnd w:id="18"/>
    <w:p>
      <w:pPr>
        <w:ind w:left="1260" w:hanging="428"/>
        <w:spacing w:after="0"/>
        <w:tabs>
          <w:tab w:leader="none" w:pos="1260" w:val="left"/>
        </w:tabs>
        <w:numPr>
          <w:ilvl w:val="0"/>
          <w:numId w:val="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existing on the Issue Date not otherwise constituting Permitted Liens;</w:t>
      </w:r>
    </w:p>
    <w:p>
      <w:pPr>
        <w:spacing w:after="0" w:line="229" w:lineRule="exact"/>
        <w:rPr>
          <w:rFonts w:ascii="Times New Roman" w:cs="Times New Roman" w:eastAsia="Times New Roman" w:hAnsi="Times New Roman"/>
          <w:sz w:val="20"/>
          <w:szCs w:val="20"/>
          <w:color w:val="010000"/>
        </w:rPr>
      </w:pPr>
    </w:p>
    <w:p>
      <w:pPr>
        <w:ind w:left="180" w:right="60" w:firstLine="652"/>
        <w:spacing w:after="0" w:line="250" w:lineRule="auto"/>
        <w:tabs>
          <w:tab w:leader="none" w:pos="1256" w:val="left"/>
        </w:tabs>
        <w:numPr>
          <w:ilvl w:val="0"/>
          <w:numId w:val="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Liens on assets, property or shares of Capital Stock (plus additions, improvements, accessions and replacements and customary deposits in connection therewith and proceeds, products and distributions therefrom) of another Person at the time such other Person becomes a Subsidiary of such Person or is merged into or consolidated with the Company or any Subsidiary of the Company (other than a Lien incurred in connection with, or to provide all or any portion of the funds or credit support utilized to consummate, the transaction or series of transactions pursuant to which such Person becomes such a Subsidiary);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Liens were not created or incurred in contemplation of such Person becoming a Subsidiary of the Company in such merger or consolidation and do not extend to any other property owned by such Person or any of its Subsidiaries (other than assets and property affixed or appurtenant thereto or pursuant to customary after-acquired property clauses);</w:t>
      </w:r>
    </w:p>
    <w:p>
      <w:pPr>
        <w:spacing w:after="0" w:line="192" w:lineRule="exact"/>
        <w:rPr>
          <w:rFonts w:ascii="Times New Roman" w:cs="Times New Roman" w:eastAsia="Times New Roman" w:hAnsi="Times New Roman"/>
          <w:sz w:val="20"/>
          <w:szCs w:val="20"/>
          <w:color w:val="010000"/>
        </w:rPr>
      </w:pPr>
    </w:p>
    <w:p>
      <w:pPr>
        <w:ind w:left="180" w:firstLine="652"/>
        <w:spacing w:after="0" w:line="251" w:lineRule="auto"/>
        <w:tabs>
          <w:tab w:leader="none" w:pos="1256" w:val="left"/>
        </w:tabs>
        <w:numPr>
          <w:ilvl w:val="0"/>
          <w:numId w:val="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Liens on assets or property (plus additions, improvements, accessions and replacements and customary deposits in connection therewith and proceeds, products and distributions therefrom) at the time such Person or any of its Subsidiaries acquires the assets or property, including any acquisition by means of a merger or consolidation with or into such Person or a Subsidiary of such Person (other than a Lien incurred in connection with, or to provide all or any portion of the funds or credit support utilized to consummate, the transaction or series of transactions pursuant to which such Person or any of its Subsidiaries acquired such property);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Liens may not extend to any other property owned by such Person or any of its Subsidiaries (other than assets and property affixed or appurtenant thereto or pursuant to customary after-acquired property clauses);</w:t>
      </w:r>
    </w:p>
    <w:p>
      <w:pPr>
        <w:spacing w:after="0" w:line="195" w:lineRule="exact"/>
        <w:rPr>
          <w:rFonts w:ascii="Times New Roman" w:cs="Times New Roman" w:eastAsia="Times New Roman" w:hAnsi="Times New Roman"/>
          <w:sz w:val="20"/>
          <w:szCs w:val="20"/>
          <w:color w:val="010000"/>
        </w:rPr>
      </w:pPr>
    </w:p>
    <w:p>
      <w:pPr>
        <w:jc w:val="both"/>
        <w:ind w:left="180" w:right="140" w:firstLine="652"/>
        <w:spacing w:after="0" w:line="261" w:lineRule="auto"/>
        <w:tabs>
          <w:tab w:leader="none" w:pos="1256" w:val="left"/>
        </w:tabs>
        <w:numPr>
          <w:ilvl w:val="0"/>
          <w:numId w:val="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Liens on vehicles (and assets related thereto and proceeds thereof) of the Company, the Subsidiary Guarantors and their respective Subsidiaries securing Floorplan Financings;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such Lien attaches to such property prior to, concurrently with or within 30 days after the acquisition or lease thereof;</w:t>
      </w:r>
    </w:p>
    <w:p>
      <w:pPr>
        <w:spacing w:after="0" w:line="167" w:lineRule="exact"/>
        <w:rPr>
          <w:rFonts w:ascii="Times New Roman" w:cs="Times New Roman" w:eastAsia="Times New Roman" w:hAnsi="Times New Roman"/>
          <w:sz w:val="20"/>
          <w:szCs w:val="20"/>
          <w:color w:val="010000"/>
        </w:rPr>
      </w:pPr>
    </w:p>
    <w:p>
      <w:pPr>
        <w:ind w:left="1260" w:hanging="428"/>
        <w:spacing w:after="0"/>
        <w:tabs>
          <w:tab w:leader="none" w:pos="1260" w:val="left"/>
        </w:tabs>
        <w:numPr>
          <w:ilvl w:val="0"/>
          <w:numId w:val="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securing Indebtedness or other obligations of a Subsidiary of such Person owing to such Person;</w:t>
      </w:r>
    </w:p>
    <w:p>
      <w:pPr>
        <w:spacing w:after="0" w:line="229" w:lineRule="exact"/>
        <w:rPr>
          <w:rFonts w:ascii="Times New Roman" w:cs="Times New Roman" w:eastAsia="Times New Roman" w:hAnsi="Times New Roman"/>
          <w:sz w:val="20"/>
          <w:szCs w:val="20"/>
          <w:color w:val="010000"/>
        </w:rPr>
      </w:pPr>
    </w:p>
    <w:p>
      <w:pPr>
        <w:ind w:left="1260" w:hanging="428"/>
        <w:spacing w:after="0"/>
        <w:tabs>
          <w:tab w:leader="none" w:pos="1260" w:val="left"/>
        </w:tabs>
        <w:numPr>
          <w:ilvl w:val="0"/>
          <w:numId w:val="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securing Hedging Obligations;</w:t>
      </w:r>
    </w:p>
    <w:p>
      <w:pPr>
        <w:spacing w:after="0" w:line="229" w:lineRule="exact"/>
        <w:rPr>
          <w:rFonts w:ascii="Times New Roman" w:cs="Times New Roman" w:eastAsia="Times New Roman" w:hAnsi="Times New Roman"/>
          <w:sz w:val="20"/>
          <w:szCs w:val="20"/>
          <w:color w:val="010000"/>
        </w:rPr>
      </w:pPr>
    </w:p>
    <w:p>
      <w:pPr>
        <w:ind w:left="180" w:right="80" w:firstLine="652"/>
        <w:spacing w:after="0" w:line="269" w:lineRule="auto"/>
        <w:tabs>
          <w:tab w:leader="none" w:pos="1256" w:val="left"/>
        </w:tabs>
        <w:numPr>
          <w:ilvl w:val="0"/>
          <w:numId w:val="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Liens to secure any refinancing (or successive refinancings) as a whole, or in part, of any Indebtedness secured by any Lien pursuant to Section 4.06(b) or in the foregoing clause (1), (2), (3), (4) or (5);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w:t>
      </w:r>
    </w:p>
    <w:p>
      <w:pPr>
        <w:spacing w:after="0" w:line="173" w:lineRule="exact"/>
        <w:rPr>
          <w:sz w:val="20"/>
          <w:szCs w:val="20"/>
          <w:color w:val="auto"/>
        </w:rPr>
      </w:pPr>
    </w:p>
    <w:p>
      <w:pPr>
        <w:ind w:left="180" w:right="240" w:firstLine="652"/>
        <w:spacing w:after="0" w:line="258" w:lineRule="auto"/>
        <w:tabs>
          <w:tab w:leader="none" w:pos="1245" w:val="left"/>
        </w:tabs>
        <w:numPr>
          <w:ilvl w:val="0"/>
          <w:numId w:val="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such new Lien shall be limited to all or part of the same property and assets that secured or, under the written agreements pursuant to which the original Lien arose, could secure the original Lien (plus additions, improvements, accessions and replacements and customary deposits in connection therewith and proceeds, products and distributions therefrom); and</w:t>
      </w:r>
    </w:p>
    <w:p>
      <w:pPr>
        <w:spacing w:after="0" w:line="172" w:lineRule="exact"/>
        <w:rPr>
          <w:rFonts w:ascii="Times New Roman" w:cs="Times New Roman" w:eastAsia="Times New Roman" w:hAnsi="Times New Roman"/>
          <w:sz w:val="20"/>
          <w:szCs w:val="20"/>
          <w:color w:val="010000"/>
        </w:rPr>
      </w:pPr>
    </w:p>
    <w:p>
      <w:pPr>
        <w:ind w:left="180" w:right="180" w:firstLine="652"/>
        <w:spacing w:after="0" w:line="261" w:lineRule="auto"/>
        <w:tabs>
          <w:tab w:leader="none" w:pos="1256" w:val="left"/>
        </w:tabs>
        <w:numPr>
          <w:ilvl w:val="0"/>
          <w:numId w:val="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Indebtedness secured by such Lien at such time is not increased to any principal amount greater than the sum of (x) the outstanding principal amount or, if greater, committed amount of the Indebtedness that was secured pursuant to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0120"/>
          </w:cols>
          <w:pgMar w:left="1440" w:top="1251" w:right="339" w:bottom="1440" w:gutter="0" w:footer="0" w:header="0"/>
        </w:sectPr>
      </w:pPr>
    </w:p>
    <w:bookmarkStart w:id="19" w:name="page20"/>
    <w:bookmarkEnd w:id="19"/>
    <w:p>
      <w:pPr>
        <w:ind w:left="1300" w:right="80"/>
        <w:spacing w:after="0" w:line="261" w:lineRule="auto"/>
        <w:rPr>
          <w:sz w:val="20"/>
          <w:szCs w:val="20"/>
          <w:color w:val="auto"/>
        </w:rPr>
      </w:pPr>
      <w:r>
        <w:rPr>
          <w:rFonts w:ascii="Times New Roman" w:cs="Times New Roman" w:eastAsia="Times New Roman" w:hAnsi="Times New Roman"/>
          <w:sz w:val="20"/>
          <w:szCs w:val="20"/>
          <w:color w:val="auto"/>
        </w:rPr>
        <w:t>4.06(b) or pursuant to the foregoing clause (1), (2), (3), (4) or (5) at the time the original Lien became a Permitted Lien, plus accrued interest thereon, and (y) an amount necessary to pay any fees, commissions, discounts and expenses, including premiums, related to such refinancing, refunding, extension, renewal or replacement;</w:t>
      </w:r>
    </w:p>
    <w:p>
      <w:pPr>
        <w:spacing w:after="0" w:line="181" w:lineRule="exact"/>
        <w:rPr>
          <w:sz w:val="20"/>
          <w:szCs w:val="20"/>
          <w:color w:val="auto"/>
        </w:rPr>
      </w:pPr>
    </w:p>
    <w:p>
      <w:pPr>
        <w:ind w:left="2380" w:hanging="428"/>
        <w:spacing w:after="0"/>
        <w:tabs>
          <w:tab w:leader="none" w:pos="2380" w:val="left"/>
        </w:tabs>
        <w:numPr>
          <w:ilvl w:val="0"/>
          <w:numId w:val="1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incurred to secure cash management services in the ordinary course of business;</w:t>
      </w:r>
    </w:p>
    <w:p>
      <w:pPr>
        <w:spacing w:after="0" w:line="215" w:lineRule="exact"/>
        <w:rPr>
          <w:rFonts w:ascii="Times New Roman" w:cs="Times New Roman" w:eastAsia="Times New Roman" w:hAnsi="Times New Roman"/>
          <w:sz w:val="20"/>
          <w:szCs w:val="20"/>
          <w:color w:val="010000"/>
        </w:rPr>
      </w:pPr>
    </w:p>
    <w:p>
      <w:pPr>
        <w:ind w:left="2480" w:hanging="528"/>
        <w:spacing w:after="0"/>
        <w:tabs>
          <w:tab w:leader="none" w:pos="2480" w:val="left"/>
        </w:tabs>
        <w:numPr>
          <w:ilvl w:val="0"/>
          <w:numId w:val="1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securing the Notes; and</w:t>
      </w:r>
    </w:p>
    <w:p>
      <w:pPr>
        <w:spacing w:after="0" w:line="229" w:lineRule="exact"/>
        <w:rPr>
          <w:rFonts w:ascii="Times New Roman" w:cs="Times New Roman" w:eastAsia="Times New Roman" w:hAnsi="Times New Roman"/>
          <w:sz w:val="20"/>
          <w:szCs w:val="20"/>
          <w:color w:val="010000"/>
        </w:rPr>
      </w:pPr>
    </w:p>
    <w:p>
      <w:pPr>
        <w:ind w:left="1300" w:right="60" w:firstLine="652"/>
        <w:spacing w:after="0" w:line="283" w:lineRule="auto"/>
        <w:tabs>
          <w:tab w:leader="none" w:pos="2468" w:val="left"/>
        </w:tabs>
        <w:numPr>
          <w:ilvl w:val="0"/>
          <w:numId w:val="1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securing Indebtedness under Debt Facilities in an aggregate outstanding principal amount not to exceed $400.0 million.</w:t>
      </w:r>
    </w:p>
    <w:p>
      <w:pPr>
        <w:spacing w:after="0" w:line="142" w:lineRule="exact"/>
        <w:rPr>
          <w:sz w:val="20"/>
          <w:szCs w:val="20"/>
          <w:color w:val="auto"/>
        </w:rPr>
      </w:pPr>
    </w:p>
    <w:p>
      <w:pPr>
        <w:ind w:right="320" w:firstLine="1296"/>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Person</w:t>
      </w:r>
      <w:r>
        <w:rPr>
          <w:rFonts w:ascii="Times New Roman" w:cs="Times New Roman" w:eastAsia="Times New Roman" w:hAnsi="Times New Roman"/>
          <w:sz w:val="20"/>
          <w:szCs w:val="20"/>
          <w:color w:val="auto"/>
        </w:rPr>
        <w:t>” means any individual, corporation, partnership, limited liability company, joint venture, association, joint-stock company, trust, unincorporated organization, government or any agency or political subdivision thereof or any other entity.</w:t>
      </w:r>
    </w:p>
    <w:p>
      <w:pPr>
        <w:spacing w:after="0" w:line="125"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Rating Agency</w:t>
      </w:r>
      <w:r>
        <w:rPr>
          <w:rFonts w:ascii="Times New Roman" w:cs="Times New Roman" w:eastAsia="Times New Roman" w:hAnsi="Times New Roman"/>
          <w:sz w:val="20"/>
          <w:szCs w:val="20"/>
          <w:color w:val="auto"/>
        </w:rPr>
        <w:t>” means (1) each of Moody’s and S&amp;P; and (2) if either of Moody’s or S&amp;P ceases to rate the Notes or fails to make a rating of the Notes publicly available for reasons outside of our control, a “nationally recognized statistical rating organization” within the meaning of Section 3(a)(62) of the Exchange Act, selected by us as a replacement agency for Moody’s or S&amp;P, or both, as the case may be.</w:t>
      </w:r>
    </w:p>
    <w:p>
      <w:pPr>
        <w:spacing w:after="0" w:line="151" w:lineRule="exact"/>
        <w:rPr>
          <w:sz w:val="20"/>
          <w:szCs w:val="20"/>
          <w:color w:val="auto"/>
        </w:rPr>
      </w:pPr>
    </w:p>
    <w:p>
      <w:pPr>
        <w:ind w:right="120" w:firstLine="1296"/>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Rating Event</w:t>
      </w:r>
      <w:r>
        <w:rPr>
          <w:rFonts w:ascii="Times New Roman" w:cs="Times New Roman" w:eastAsia="Times New Roman" w:hAnsi="Times New Roman"/>
          <w:sz w:val="20"/>
          <w:szCs w:val="20"/>
          <w:color w:val="auto"/>
        </w:rPr>
        <w:t>” means the rating on the Notes is lowered by either of the Rating Agencies during a period that begins on the earlier of  (1) the date of the public notice of an arrangement that could result in a Change of Control and (2) the occurrence of a Change of Control and ends 60 days following the consummation of a Change of Control (which period shall be extended so long as the rating of the Notes is under publicly announced consideration for possible downgrade by any of the Rating Agencies).</w:t>
      </w:r>
    </w:p>
    <w:p>
      <w:pPr>
        <w:spacing w:after="0" w:line="151" w:lineRule="exact"/>
        <w:rPr>
          <w:sz w:val="20"/>
          <w:szCs w:val="20"/>
          <w:color w:val="auto"/>
        </w:rPr>
      </w:pPr>
    </w:p>
    <w:p>
      <w:pPr>
        <w:ind w:right="20" w:firstLine="1296"/>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Record Date</w:t>
      </w:r>
      <w:r>
        <w:rPr>
          <w:rFonts w:ascii="Times New Roman" w:cs="Times New Roman" w:eastAsia="Times New Roman" w:hAnsi="Times New Roman"/>
          <w:sz w:val="20"/>
          <w:szCs w:val="20"/>
          <w:color w:val="auto"/>
        </w:rPr>
        <w:t>” for the interest payable on any applicable Interest Payment Date means the May 15 or November 15 (whether or not a Business Day) preceding such Interest Payment Date.</w:t>
      </w:r>
    </w:p>
    <w:p>
      <w:pPr>
        <w:spacing w:after="0" w:line="125" w:lineRule="exact"/>
        <w:rPr>
          <w:sz w:val="20"/>
          <w:szCs w:val="20"/>
          <w:color w:val="auto"/>
        </w:rPr>
      </w:pPr>
    </w:p>
    <w:p>
      <w:pPr>
        <w:ind w:right="100" w:firstLine="1296"/>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Responsible Officer</w:t>
      </w:r>
      <w:r>
        <w:rPr>
          <w:rFonts w:ascii="Times New Roman" w:cs="Times New Roman" w:eastAsia="Times New Roman" w:hAnsi="Times New Roman"/>
          <w:sz w:val="20"/>
          <w:szCs w:val="20"/>
          <w:color w:val="auto"/>
        </w:rPr>
        <w:t>” means, when used with respect to the Trustee, any officer within the corporate trust department of the Trustee having direct responsibility for the administration of this Indenture, or any other officer to whom any corporate trust matter is referred because of such officer’s knowledge of and familiarity with the particular subject.</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S&amp;P</w:t>
      </w:r>
      <w:r>
        <w:rPr>
          <w:rFonts w:ascii="Times New Roman" w:cs="Times New Roman" w:eastAsia="Times New Roman" w:hAnsi="Times New Roman"/>
          <w:sz w:val="20"/>
          <w:szCs w:val="20"/>
          <w:color w:val="auto"/>
        </w:rPr>
        <w:t>” means S&amp;P Global Ratings and its successors.</w:t>
      </w:r>
    </w:p>
    <w:p>
      <w:pPr>
        <w:spacing w:after="0" w:line="216"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Sale/Leaseback Transaction</w:t>
      </w:r>
      <w:r>
        <w:rPr>
          <w:rFonts w:ascii="Times New Roman" w:cs="Times New Roman" w:eastAsia="Times New Roman" w:hAnsi="Times New Roman"/>
          <w:sz w:val="20"/>
          <w:szCs w:val="20"/>
          <w:color w:val="auto"/>
        </w:rPr>
        <w:t>” means an arrangement relating to real or tangible personal property owned by the Company or a Subsidiary on the Issue Date or thereafter acquired by the Company or a Subsidiary whereby the Company or a Subsidiary sells or otherwise transfers such property to a Person and the Company or a Subsidiary thereafter rents or leases it for substantially the same purpose or purposes as the property sold or transferred from such Person.</w:t>
      </w:r>
    </w:p>
    <w:p>
      <w:pPr>
        <w:spacing w:after="0" w:line="1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SEC</w:t>
      </w:r>
      <w:r>
        <w:rPr>
          <w:rFonts w:ascii="Times New Roman" w:cs="Times New Roman" w:eastAsia="Times New Roman" w:hAnsi="Times New Roman"/>
          <w:sz w:val="20"/>
          <w:szCs w:val="20"/>
          <w:color w:val="auto"/>
        </w:rPr>
        <w:t>” means the U.S. Securities and Exchange Commission.</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Securities Act</w:t>
      </w:r>
      <w:r>
        <w:rPr>
          <w:rFonts w:ascii="Times New Roman" w:cs="Times New Roman" w:eastAsia="Times New Roman" w:hAnsi="Times New Roman"/>
          <w:sz w:val="20"/>
          <w:szCs w:val="20"/>
          <w:color w:val="auto"/>
        </w:rPr>
        <w:t>” means the Securities Act of 1933, as amended.</w:t>
      </w:r>
    </w:p>
    <w:p>
      <w:pPr>
        <w:spacing w:after="0" w:line="202" w:lineRule="exact"/>
        <w:rPr>
          <w:sz w:val="20"/>
          <w:szCs w:val="20"/>
          <w:color w:val="auto"/>
        </w:rPr>
      </w:pPr>
    </w:p>
    <w:p>
      <w:pPr>
        <w:ind w:right="120" w:firstLine="1296"/>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Significant Subsidiary</w:t>
      </w:r>
      <w:r>
        <w:rPr>
          <w:rFonts w:ascii="Times New Roman" w:cs="Times New Roman" w:eastAsia="Times New Roman" w:hAnsi="Times New Roman"/>
          <w:sz w:val="20"/>
          <w:szCs w:val="20"/>
          <w:color w:val="auto"/>
        </w:rPr>
        <w:t>” means any Subsidiary that would be a “significant subsidiary” of the Company within the meaning of Rule 1-02 under Regulation S-X promulgated by the SEC and,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20"/>
          </w:cols>
          <w:pgMar w:left="320" w:top="1251" w:right="359" w:bottom="1440" w:gutter="0" w:footer="0" w:header="0"/>
        </w:sectPr>
      </w:pPr>
    </w:p>
    <w:bookmarkStart w:id="20" w:name="page21"/>
    <w:bookmarkEnd w:id="20"/>
    <w:p>
      <w:pPr>
        <w:ind w:right="420"/>
        <w:spacing w:after="0" w:line="283" w:lineRule="auto"/>
        <w:rPr>
          <w:sz w:val="20"/>
          <w:szCs w:val="20"/>
          <w:color w:val="auto"/>
        </w:rPr>
      </w:pPr>
      <w:r>
        <w:rPr>
          <w:rFonts w:ascii="Times New Roman" w:cs="Times New Roman" w:eastAsia="Times New Roman" w:hAnsi="Times New Roman"/>
          <w:sz w:val="20"/>
          <w:szCs w:val="20"/>
          <w:color w:val="auto"/>
        </w:rPr>
        <w:t>purposes of determining whether an Event of Default has occurred, any group of Subsidiaries that combined would be such a Significant Subsidiary.</w:t>
      </w:r>
    </w:p>
    <w:p>
      <w:pPr>
        <w:spacing w:after="0" w:line="12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Stated Maturity</w:t>
      </w:r>
      <w:r>
        <w:rPr>
          <w:rFonts w:ascii="Times New Roman" w:cs="Times New Roman" w:eastAsia="Times New Roman" w:hAnsi="Times New Roman"/>
          <w:sz w:val="20"/>
          <w:szCs w:val="20"/>
          <w:color w:val="auto"/>
        </w:rPr>
        <w:t>” means, with respect to any security, the date specified in such security as the fixed date on which the final payment of principal of such security is due and payable, including pursuant to any mandatory redemption provision (but excluding any provision providing for the repurchase of such security at the option of the Holder thereof upon the happening of any contingency unless such contingency has occurred).</w:t>
      </w:r>
    </w:p>
    <w:p>
      <w:pPr>
        <w:spacing w:after="0" w:line="151" w:lineRule="exact"/>
        <w:rPr>
          <w:sz w:val="20"/>
          <w:szCs w:val="20"/>
          <w:color w:val="auto"/>
        </w:rPr>
      </w:pPr>
    </w:p>
    <w:p>
      <w:pPr>
        <w:ind w:right="220" w:firstLine="1296"/>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Subsidiary</w:t>
      </w:r>
      <w:r>
        <w:rPr>
          <w:rFonts w:ascii="Times New Roman" w:cs="Times New Roman" w:eastAsia="Times New Roman" w:hAnsi="Times New Roman"/>
          <w:sz w:val="20"/>
          <w:szCs w:val="20"/>
          <w:color w:val="auto"/>
        </w:rPr>
        <w:t>” means, with respect to any Person, any corporation, association, partnership or other business entity of which more than 50% of the total voting power of shares of Voting Stock is at the time owned or controlled, directly or indirectly, by: (1) such Person; (2) such Person and one or more Subsidiaries of such Person; or (3) one or more Subsidiaries of such Person. Unless otherwise specified herein, each reference to a Subsidiary will refer to a Subsidiary of the Company.</w:t>
      </w:r>
    </w:p>
    <w:p>
      <w:pPr>
        <w:spacing w:after="0" w:line="151" w:lineRule="exact"/>
        <w:rPr>
          <w:sz w:val="20"/>
          <w:szCs w:val="20"/>
          <w:color w:val="auto"/>
        </w:rPr>
      </w:pPr>
    </w:p>
    <w:p>
      <w:pPr>
        <w:ind w:right="200" w:firstLine="1296"/>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Subsidiary Guarantee</w:t>
      </w:r>
      <w:r>
        <w:rPr>
          <w:rFonts w:ascii="Times New Roman" w:cs="Times New Roman" w:eastAsia="Times New Roman" w:hAnsi="Times New Roman"/>
          <w:sz w:val="20"/>
          <w:szCs w:val="20"/>
          <w:color w:val="auto"/>
        </w:rPr>
        <w:t>” means, individually, any Guarantee of payment of the Notes and the Company’s other Obligations under this Indenture by a Subsidiary Guarantor pursuant to the terms of this Indenture and any supplemental indenture thereto, and, collectively, all such Guarantees.</w:t>
      </w:r>
    </w:p>
    <w:p>
      <w:pPr>
        <w:spacing w:after="0" w:line="148" w:lineRule="exact"/>
        <w:rPr>
          <w:sz w:val="20"/>
          <w:szCs w:val="20"/>
          <w:color w:val="auto"/>
        </w:rPr>
      </w:pPr>
    </w:p>
    <w:p>
      <w:pPr>
        <w:ind w:right="40" w:firstLine="1296"/>
        <w:spacing w:after="0" w:line="31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i w:val="1"/>
          <w:iCs w:val="1"/>
          <w:color w:val="auto"/>
        </w:rPr>
        <w:t>Subsidiary Guarantor</w:t>
      </w:r>
      <w:r>
        <w:rPr>
          <w:rFonts w:ascii="Times New Roman" w:cs="Times New Roman" w:eastAsia="Times New Roman" w:hAnsi="Times New Roman"/>
          <w:sz w:val="19"/>
          <w:szCs w:val="19"/>
          <w:color w:val="auto"/>
        </w:rPr>
        <w:t>” means each Subsidiary of the Company that executes this Indenture on the Issue Date as a guarantor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and each other Subsidiary of the Company that thereafter guarantees the Notes pursuant to the terms of this Indenture.</w:t>
      </w:r>
    </w:p>
    <w:p>
      <w:pPr>
        <w:spacing w:after="0" w:line="102" w:lineRule="exact"/>
        <w:rPr>
          <w:sz w:val="20"/>
          <w:szCs w:val="20"/>
          <w:color w:val="auto"/>
        </w:rPr>
      </w:pPr>
    </w:p>
    <w:p>
      <w:pPr>
        <w:ind w:right="40"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Treasury Rate</w:t>
      </w:r>
      <w:r>
        <w:rPr>
          <w:rFonts w:ascii="Times New Roman" w:cs="Times New Roman" w:eastAsia="Times New Roman" w:hAnsi="Times New Roman"/>
          <w:sz w:val="20"/>
          <w:szCs w:val="20"/>
          <w:color w:val="auto"/>
        </w:rPr>
        <w:t xml:space="preserve">” means, as of any redemption date of the Notes, the yield to maturity at the time of computation of U.S. Treasury securities with a constant maturity (as compiled and published in the most recent Federal Reserve Statistical Release H.15 that has become publicly available at least two Business Days prior to the redemption date (or, if such Statistical Release is no longer published, any publicly available source or similar market data)) most nearly equal to the period from the redemption date to December 1, 2028;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the period from the redemption date to December 1, 2028 is not equal to the constant maturity of a U.S. Treasury security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which a weekly average yield is given, the Treasury Rate shall be obtained by linear interpolation (calculated to the nearest one-twelfth of a year) from the weekly average yields of U.S. Treasury securities for which such yields are given, except that if the period from the redemption date to December 1, 2028 is less than one year, the weekly average yield on actually traded U.S. Treasury securities adjusted to a constant maturity of one year will be used.</w:t>
      </w:r>
    </w:p>
    <w:p>
      <w:pPr>
        <w:spacing w:after="0" w:line="162" w:lineRule="exact"/>
        <w:rPr>
          <w:sz w:val="20"/>
          <w:szCs w:val="20"/>
          <w:color w:val="auto"/>
        </w:rPr>
      </w:pPr>
    </w:p>
    <w:p>
      <w:pPr>
        <w:ind w:right="100" w:firstLine="1296"/>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Trustee</w:t>
      </w:r>
      <w:r>
        <w:rPr>
          <w:rFonts w:ascii="Times New Roman" w:cs="Times New Roman" w:eastAsia="Times New Roman" w:hAnsi="Times New Roman"/>
          <w:sz w:val="20"/>
          <w:szCs w:val="20"/>
          <w:color w:val="auto"/>
        </w:rPr>
        <w:t>” means The Bank of New York Mellon Trust Company, N.A., as trustee, until a successor replaces it in accordance with the applicable provisions of this Indenture and thereafter means the successor serving hereunder.</w:t>
      </w:r>
    </w:p>
    <w:p>
      <w:pPr>
        <w:spacing w:after="0" w:line="125" w:lineRule="exact"/>
        <w:rPr>
          <w:sz w:val="20"/>
          <w:szCs w:val="20"/>
          <w:color w:val="auto"/>
        </w:rPr>
      </w:pPr>
    </w:p>
    <w:p>
      <w:pPr>
        <w:ind w:right="360" w:firstLine="1296"/>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U.S. Government Obligations</w:t>
      </w:r>
      <w:r>
        <w:rPr>
          <w:rFonts w:ascii="Times New Roman" w:cs="Times New Roman" w:eastAsia="Times New Roman" w:hAnsi="Times New Roman"/>
          <w:sz w:val="20"/>
          <w:szCs w:val="20"/>
          <w:color w:val="auto"/>
        </w:rPr>
        <w:t>” means direct obligations (or certificates representing an ownership interest in such obligations) of the United States of America (including any agency or instrumentality thereof) for the payment of which the full faith and credit of the United States of America is pledged and which are not callable at the issuer’s option.</w:t>
      </w:r>
    </w:p>
    <w:p>
      <w:pPr>
        <w:spacing w:after="0" w:line="148" w:lineRule="exact"/>
        <w:rPr>
          <w:sz w:val="20"/>
          <w:szCs w:val="20"/>
          <w:color w:val="auto"/>
        </w:rPr>
      </w:pPr>
    </w:p>
    <w:p>
      <w:pPr>
        <w:ind w:right="60" w:firstLine="1296"/>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Voting Stock</w:t>
      </w:r>
      <w:r>
        <w:rPr>
          <w:rFonts w:ascii="Times New Roman" w:cs="Times New Roman" w:eastAsia="Times New Roman" w:hAnsi="Times New Roman"/>
          <w:sz w:val="20"/>
          <w:szCs w:val="20"/>
          <w:color w:val="auto"/>
        </w:rPr>
        <w:t>” of a Person means all classes of Capital Stock of such Person then outstanding and normally entitled (without regard to the occurrence of any contingency) to vote in the election of directors, managers or trustees thereof.</w:t>
      </w:r>
    </w:p>
    <w:p>
      <w:pPr>
        <w:spacing w:after="0" w:line="125" w:lineRule="exact"/>
        <w:rPr>
          <w:sz w:val="20"/>
          <w:szCs w:val="20"/>
          <w:color w:val="auto"/>
        </w:rPr>
      </w:pPr>
    </w:p>
    <w:p>
      <w:pPr>
        <w:ind w:right="20" w:firstLine="1296"/>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wholly-owned</w:t>
      </w:r>
      <w:r>
        <w:rPr>
          <w:rFonts w:ascii="Times New Roman" w:cs="Times New Roman" w:eastAsia="Times New Roman" w:hAnsi="Times New Roman"/>
          <w:sz w:val="20"/>
          <w:szCs w:val="20"/>
          <w:color w:val="auto"/>
        </w:rPr>
        <w:t>” means, with respect to any Subsidiary, a Subsidiary all of the outstanding Capital Stock of which (other than any director’s qualifying shares) is owned by the Company or one or more wholly-owned Subsidiaries (or a combination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25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852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Section 1.02  Other Definitions.</w:t>
            </w: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80" w:type="dxa"/>
            <w:vAlign w:val="bottom"/>
            <w:vMerge w:val="restart"/>
          </w:tcPr>
          <w:p>
            <w:pPr>
              <w:spacing w:after="0"/>
              <w:rPr>
                <w:sz w:val="24"/>
                <w:szCs w:val="24"/>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w w:val="92"/>
              </w:rPr>
              <w:t>Term</w:t>
            </w:r>
          </w:p>
        </w:tc>
        <w:tc>
          <w:tcPr>
            <w:tcW w:w="700" w:type="dxa"/>
            <w:vAlign w:val="bottom"/>
            <w:vMerge w:val="restart"/>
          </w:tcPr>
          <w:p>
            <w:pPr>
              <w:spacing w:after="0"/>
              <w:rPr>
                <w:sz w:val="24"/>
                <w:szCs w:val="24"/>
                <w:color w:val="auto"/>
              </w:rPr>
            </w:pPr>
          </w:p>
        </w:tc>
        <w:tc>
          <w:tcPr>
            <w:tcW w:w="1380" w:type="dxa"/>
            <w:vAlign w:val="bottom"/>
            <w:tcBorders>
              <w:top w:val="single" w:sz="8" w:color="auto"/>
            </w:tcBorders>
            <w:vMerge w:val="restart"/>
          </w:tcPr>
          <w:p>
            <w:pPr>
              <w:spacing w:after="0"/>
              <w:rPr>
                <w:sz w:val="24"/>
                <w:szCs w:val="24"/>
                <w:color w:val="auto"/>
              </w:rPr>
            </w:pPr>
          </w:p>
        </w:tc>
        <w:tc>
          <w:tcPr>
            <w:tcW w:w="5940" w:type="dxa"/>
            <w:vAlign w:val="bottom"/>
            <w:gridSpan w:val="2"/>
            <w:vMerge w:val="restart"/>
          </w:tcPr>
          <w:p>
            <w:pPr>
              <w:spacing w:after="0"/>
              <w:rPr>
                <w:sz w:val="24"/>
                <w:szCs w:val="24"/>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Defined in Section</w:t>
            </w:r>
          </w:p>
        </w:tc>
        <w:tc>
          <w:tcPr>
            <w:tcW w:w="0" w:type="dxa"/>
            <w:vAlign w:val="bottom"/>
          </w:tcPr>
          <w:p>
            <w:pPr>
              <w:spacing w:after="0"/>
              <w:rPr>
                <w:sz w:val="1"/>
                <w:szCs w:val="1"/>
                <w:color w:val="auto"/>
              </w:rPr>
            </w:pPr>
          </w:p>
        </w:tc>
      </w:tr>
      <w:tr>
        <w:trPr>
          <w:trHeight w:val="94"/>
        </w:trPr>
        <w:tc>
          <w:tcPr>
            <w:tcW w:w="80" w:type="dxa"/>
            <w:vAlign w:val="bottom"/>
            <w:vMerge w:val="continue"/>
          </w:tcPr>
          <w:p>
            <w:pPr>
              <w:spacing w:after="0"/>
              <w:rPr>
                <w:sz w:val="7"/>
                <w:szCs w:val="7"/>
                <w:color w:val="auto"/>
              </w:rPr>
            </w:pPr>
          </w:p>
        </w:tc>
        <w:tc>
          <w:tcPr>
            <w:tcW w:w="420" w:type="dxa"/>
            <w:vAlign w:val="bottom"/>
            <w:tcBorders>
              <w:bottom w:val="single" w:sz="8" w:color="auto"/>
            </w:tcBorders>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5940" w:type="dxa"/>
            <w:vAlign w:val="bottom"/>
            <w:gridSpan w:val="2"/>
            <w:vMerge w:val="continue"/>
          </w:tcPr>
          <w:p>
            <w:pPr>
              <w:spacing w:after="0"/>
              <w:rPr>
                <w:sz w:val="7"/>
                <w:szCs w:val="7"/>
                <w:color w:val="auto"/>
              </w:rPr>
            </w:pPr>
          </w:p>
        </w:tc>
        <w:tc>
          <w:tcPr>
            <w:tcW w:w="2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8520" w:type="dxa"/>
            <w:vAlign w:val="bottom"/>
            <w:gridSpan w:val="6"/>
            <w:vMerge w:val="restart"/>
          </w:tcPr>
          <w:p>
            <w:pPr>
              <w:ind w:lef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Agent Members</w:t>
            </w:r>
            <w:r>
              <w:rPr>
                <w:rFonts w:ascii="Times New Roman" w:cs="Times New Roman" w:eastAsia="Times New Roman" w:hAnsi="Times New Roman"/>
                <w:sz w:val="20"/>
                <w:szCs w:val="20"/>
                <w:color w:val="auto"/>
              </w:rPr>
              <w:t>”</w:t>
            </w: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8520" w:type="dxa"/>
            <w:vAlign w:val="bottom"/>
            <w:gridSpan w:val="6"/>
            <w:vMerge w:val="continue"/>
          </w:tcPr>
          <w:p>
            <w:pPr>
              <w:spacing w:after="0"/>
              <w:rPr>
                <w:sz w:val="22"/>
                <w:szCs w:val="22"/>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1.2(c) of Appendix A</w:t>
            </w:r>
          </w:p>
        </w:tc>
        <w:tc>
          <w:tcPr>
            <w:tcW w:w="0" w:type="dxa"/>
            <w:vAlign w:val="bottom"/>
          </w:tcPr>
          <w:p>
            <w:pPr>
              <w:spacing w:after="0"/>
              <w:rPr>
                <w:sz w:val="1"/>
                <w:szCs w:val="1"/>
                <w:color w:val="auto"/>
              </w:rPr>
            </w:pPr>
          </w:p>
        </w:tc>
      </w:tr>
      <w:tr>
        <w:trPr>
          <w:trHeight w:val="297"/>
        </w:trPr>
        <w:tc>
          <w:tcPr>
            <w:tcW w:w="852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Applicable Procedures</w:t>
            </w:r>
            <w:r>
              <w:rPr>
                <w:rFonts w:ascii="Times New Roman" w:cs="Times New Roman" w:eastAsia="Times New Roman" w:hAnsi="Times New Roman"/>
                <w:sz w:val="20"/>
                <w:szCs w:val="20"/>
                <w:color w:val="auto"/>
              </w:rPr>
              <w:t>”</w:t>
            </w: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1.1(a) of Appendix A</w:t>
            </w:r>
          </w:p>
        </w:tc>
        <w:tc>
          <w:tcPr>
            <w:tcW w:w="0" w:type="dxa"/>
            <w:vAlign w:val="bottom"/>
          </w:tcPr>
          <w:p>
            <w:pPr>
              <w:spacing w:after="0"/>
              <w:rPr>
                <w:sz w:val="1"/>
                <w:szCs w:val="1"/>
                <w:color w:val="auto"/>
              </w:rPr>
            </w:pPr>
          </w:p>
        </w:tc>
      </w:tr>
      <w:tr>
        <w:trPr>
          <w:trHeight w:val="297"/>
        </w:trPr>
        <w:tc>
          <w:tcPr>
            <w:tcW w:w="852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Authentication Order</w:t>
            </w:r>
            <w:r>
              <w:rPr>
                <w:rFonts w:ascii="Times New Roman" w:cs="Times New Roman" w:eastAsia="Times New Roman" w:hAnsi="Times New Roman"/>
                <w:sz w:val="20"/>
                <w:szCs w:val="20"/>
                <w:color w:val="auto"/>
              </w:rPr>
              <w:t>”</w:t>
            </w: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2.02(c)</w:t>
            </w:r>
          </w:p>
        </w:tc>
        <w:tc>
          <w:tcPr>
            <w:tcW w:w="0" w:type="dxa"/>
            <w:vAlign w:val="bottom"/>
          </w:tcPr>
          <w:p>
            <w:pPr>
              <w:spacing w:after="0"/>
              <w:rPr>
                <w:sz w:val="1"/>
                <w:szCs w:val="1"/>
                <w:color w:val="auto"/>
              </w:rPr>
            </w:pPr>
          </w:p>
        </w:tc>
      </w:tr>
      <w:tr>
        <w:trPr>
          <w:trHeight w:val="297"/>
        </w:trPr>
        <w:tc>
          <w:tcPr>
            <w:tcW w:w="852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Change of Control Offer</w:t>
            </w:r>
            <w:r>
              <w:rPr>
                <w:rFonts w:ascii="Times New Roman" w:cs="Times New Roman" w:eastAsia="Times New Roman" w:hAnsi="Times New Roman"/>
                <w:sz w:val="20"/>
                <w:szCs w:val="20"/>
                <w:color w:val="auto"/>
              </w:rPr>
              <w:t>”</w:t>
            </w: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4.08(a)</w:t>
            </w:r>
          </w:p>
        </w:tc>
        <w:tc>
          <w:tcPr>
            <w:tcW w:w="0" w:type="dxa"/>
            <w:vAlign w:val="bottom"/>
          </w:tcPr>
          <w:p>
            <w:pPr>
              <w:spacing w:after="0"/>
              <w:rPr>
                <w:sz w:val="1"/>
                <w:szCs w:val="1"/>
                <w:color w:val="auto"/>
              </w:rPr>
            </w:pPr>
          </w:p>
        </w:tc>
      </w:tr>
      <w:tr>
        <w:trPr>
          <w:trHeight w:val="297"/>
        </w:trPr>
        <w:tc>
          <w:tcPr>
            <w:tcW w:w="852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Change of Control Payment Date</w:t>
            </w:r>
            <w:r>
              <w:rPr>
                <w:rFonts w:ascii="Times New Roman" w:cs="Times New Roman" w:eastAsia="Times New Roman" w:hAnsi="Times New Roman"/>
                <w:sz w:val="20"/>
                <w:szCs w:val="20"/>
                <w:color w:val="auto"/>
              </w:rPr>
              <w:t>”</w:t>
            </w: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4.08(b)</w:t>
            </w:r>
          </w:p>
        </w:tc>
        <w:tc>
          <w:tcPr>
            <w:tcW w:w="0" w:type="dxa"/>
            <w:vAlign w:val="bottom"/>
          </w:tcPr>
          <w:p>
            <w:pPr>
              <w:spacing w:after="0"/>
              <w:rPr>
                <w:sz w:val="1"/>
                <w:szCs w:val="1"/>
                <w:color w:val="auto"/>
              </w:rPr>
            </w:pPr>
          </w:p>
        </w:tc>
      </w:tr>
      <w:tr>
        <w:trPr>
          <w:trHeight w:val="297"/>
        </w:trPr>
        <w:tc>
          <w:tcPr>
            <w:tcW w:w="852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Clearstream</w:t>
            </w:r>
            <w:r>
              <w:rPr>
                <w:rFonts w:ascii="Times New Roman" w:cs="Times New Roman" w:eastAsia="Times New Roman" w:hAnsi="Times New Roman"/>
                <w:sz w:val="20"/>
                <w:szCs w:val="20"/>
                <w:color w:val="auto"/>
              </w:rPr>
              <w:t>”</w:t>
            </w: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1.1(a) of Appendix A</w:t>
            </w:r>
          </w:p>
        </w:tc>
        <w:tc>
          <w:tcPr>
            <w:tcW w:w="0" w:type="dxa"/>
            <w:vAlign w:val="bottom"/>
          </w:tcPr>
          <w:p>
            <w:pPr>
              <w:spacing w:after="0"/>
              <w:rPr>
                <w:sz w:val="1"/>
                <w:szCs w:val="1"/>
                <w:color w:val="auto"/>
              </w:rPr>
            </w:pPr>
          </w:p>
        </w:tc>
      </w:tr>
      <w:tr>
        <w:trPr>
          <w:trHeight w:val="297"/>
        </w:trPr>
        <w:tc>
          <w:tcPr>
            <w:tcW w:w="852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Covenant Defeasance</w:t>
            </w:r>
            <w:r>
              <w:rPr>
                <w:rFonts w:ascii="Times New Roman" w:cs="Times New Roman" w:eastAsia="Times New Roman" w:hAnsi="Times New Roman"/>
                <w:sz w:val="20"/>
                <w:szCs w:val="20"/>
                <w:color w:val="auto"/>
              </w:rPr>
              <w:t>”</w:t>
            </w: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8.03</w:t>
            </w:r>
          </w:p>
        </w:tc>
        <w:tc>
          <w:tcPr>
            <w:tcW w:w="0" w:type="dxa"/>
            <w:vAlign w:val="bottom"/>
          </w:tcPr>
          <w:p>
            <w:pPr>
              <w:spacing w:after="0"/>
              <w:rPr>
                <w:sz w:val="1"/>
                <w:szCs w:val="1"/>
                <w:color w:val="auto"/>
              </w:rPr>
            </w:pPr>
          </w:p>
        </w:tc>
      </w:tr>
      <w:tr>
        <w:trPr>
          <w:trHeight w:val="297"/>
        </w:trPr>
        <w:tc>
          <w:tcPr>
            <w:tcW w:w="852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Definitive Notes Legend</w:t>
            </w:r>
            <w:r>
              <w:rPr>
                <w:rFonts w:ascii="Times New Roman" w:cs="Times New Roman" w:eastAsia="Times New Roman" w:hAnsi="Times New Roman"/>
                <w:sz w:val="20"/>
                <w:szCs w:val="20"/>
                <w:color w:val="auto"/>
              </w:rPr>
              <w:t>”</w:t>
            </w: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1.3(e)(i) of Appendix A</w:t>
            </w:r>
          </w:p>
        </w:tc>
        <w:tc>
          <w:tcPr>
            <w:tcW w:w="0" w:type="dxa"/>
            <w:vAlign w:val="bottom"/>
          </w:tcPr>
          <w:p>
            <w:pPr>
              <w:spacing w:after="0"/>
              <w:rPr>
                <w:sz w:val="1"/>
                <w:szCs w:val="1"/>
                <w:color w:val="auto"/>
              </w:rPr>
            </w:pPr>
          </w:p>
        </w:tc>
      </w:tr>
      <w:tr>
        <w:trPr>
          <w:trHeight w:val="297"/>
        </w:trPr>
        <w:tc>
          <w:tcPr>
            <w:tcW w:w="852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Distribution Compliance Period</w:t>
            </w:r>
            <w:r>
              <w:rPr>
                <w:rFonts w:ascii="Times New Roman" w:cs="Times New Roman" w:eastAsia="Times New Roman" w:hAnsi="Times New Roman"/>
                <w:sz w:val="20"/>
                <w:szCs w:val="20"/>
                <w:color w:val="auto"/>
              </w:rPr>
              <w:t>”</w:t>
            </w: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1.1(a) of Appendix A</w:t>
            </w:r>
          </w:p>
        </w:tc>
        <w:tc>
          <w:tcPr>
            <w:tcW w:w="0" w:type="dxa"/>
            <w:vAlign w:val="bottom"/>
          </w:tcPr>
          <w:p>
            <w:pPr>
              <w:spacing w:after="0"/>
              <w:rPr>
                <w:sz w:val="1"/>
                <w:szCs w:val="1"/>
                <w:color w:val="auto"/>
              </w:rPr>
            </w:pPr>
          </w:p>
        </w:tc>
      </w:tr>
      <w:tr>
        <w:trPr>
          <w:trHeight w:val="297"/>
        </w:trPr>
        <w:tc>
          <w:tcPr>
            <w:tcW w:w="852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ERISA Legend</w:t>
            </w:r>
            <w:r>
              <w:rPr>
                <w:rFonts w:ascii="Times New Roman" w:cs="Times New Roman" w:eastAsia="Times New Roman" w:hAnsi="Times New Roman"/>
                <w:sz w:val="20"/>
                <w:szCs w:val="20"/>
                <w:color w:val="auto"/>
              </w:rPr>
              <w:t>”</w:t>
            </w: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1.3(e)(i) of Appendix A</w:t>
            </w:r>
          </w:p>
        </w:tc>
        <w:tc>
          <w:tcPr>
            <w:tcW w:w="0" w:type="dxa"/>
            <w:vAlign w:val="bottom"/>
          </w:tcPr>
          <w:p>
            <w:pPr>
              <w:spacing w:after="0"/>
              <w:rPr>
                <w:sz w:val="1"/>
                <w:szCs w:val="1"/>
                <w:color w:val="auto"/>
              </w:rPr>
            </w:pPr>
          </w:p>
        </w:tc>
      </w:tr>
      <w:tr>
        <w:trPr>
          <w:trHeight w:val="297"/>
        </w:trPr>
        <w:tc>
          <w:tcPr>
            <w:tcW w:w="852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Euroclear</w:t>
            </w:r>
            <w:r>
              <w:rPr>
                <w:rFonts w:ascii="Times New Roman" w:cs="Times New Roman" w:eastAsia="Times New Roman" w:hAnsi="Times New Roman"/>
                <w:sz w:val="20"/>
                <w:szCs w:val="20"/>
                <w:color w:val="auto"/>
              </w:rPr>
              <w:t>”</w:t>
            </w: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1.1(a) of Appendix A</w:t>
            </w:r>
          </w:p>
        </w:tc>
        <w:tc>
          <w:tcPr>
            <w:tcW w:w="0" w:type="dxa"/>
            <w:vAlign w:val="bottom"/>
          </w:tcPr>
          <w:p>
            <w:pPr>
              <w:spacing w:after="0"/>
              <w:rPr>
                <w:sz w:val="1"/>
                <w:szCs w:val="1"/>
                <w:color w:val="auto"/>
              </w:rPr>
            </w:pPr>
          </w:p>
        </w:tc>
      </w:tr>
      <w:tr>
        <w:trPr>
          <w:trHeight w:val="297"/>
        </w:trPr>
        <w:tc>
          <w:tcPr>
            <w:tcW w:w="852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Event of Default</w:t>
            </w:r>
            <w:r>
              <w:rPr>
                <w:rFonts w:ascii="Times New Roman" w:cs="Times New Roman" w:eastAsia="Times New Roman" w:hAnsi="Times New Roman"/>
                <w:sz w:val="20"/>
                <w:szCs w:val="20"/>
                <w:color w:val="auto"/>
              </w:rPr>
              <w:t>”</w:t>
            </w: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6.01</w:t>
            </w:r>
          </w:p>
        </w:tc>
        <w:tc>
          <w:tcPr>
            <w:tcW w:w="0" w:type="dxa"/>
            <w:vAlign w:val="bottom"/>
          </w:tcPr>
          <w:p>
            <w:pPr>
              <w:spacing w:after="0"/>
              <w:rPr>
                <w:sz w:val="1"/>
                <w:szCs w:val="1"/>
                <w:color w:val="auto"/>
              </w:rPr>
            </w:pPr>
          </w:p>
        </w:tc>
      </w:tr>
      <w:tr>
        <w:trPr>
          <w:trHeight w:val="297"/>
        </w:trPr>
        <w:tc>
          <w:tcPr>
            <w:tcW w:w="852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Expiration Date</w:t>
            </w:r>
            <w:r>
              <w:rPr>
                <w:rFonts w:ascii="Times New Roman" w:cs="Times New Roman" w:eastAsia="Times New Roman" w:hAnsi="Times New Roman"/>
                <w:sz w:val="20"/>
                <w:szCs w:val="20"/>
                <w:color w:val="auto"/>
              </w:rPr>
              <w:t>”</w:t>
            </w: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1.04(j)</w:t>
            </w:r>
          </w:p>
        </w:tc>
        <w:tc>
          <w:tcPr>
            <w:tcW w:w="0" w:type="dxa"/>
            <w:vAlign w:val="bottom"/>
          </w:tcPr>
          <w:p>
            <w:pPr>
              <w:spacing w:after="0"/>
              <w:rPr>
                <w:sz w:val="1"/>
                <w:szCs w:val="1"/>
                <w:color w:val="auto"/>
              </w:rPr>
            </w:pPr>
          </w:p>
        </w:tc>
      </w:tr>
      <w:tr>
        <w:trPr>
          <w:trHeight w:val="297"/>
        </w:trPr>
        <w:tc>
          <w:tcPr>
            <w:tcW w:w="852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Global Note</w:t>
            </w:r>
            <w:r>
              <w:rPr>
                <w:rFonts w:ascii="Times New Roman" w:cs="Times New Roman" w:eastAsia="Times New Roman" w:hAnsi="Times New Roman"/>
                <w:sz w:val="20"/>
                <w:szCs w:val="20"/>
                <w:color w:val="auto"/>
              </w:rPr>
              <w:t>”</w:t>
            </w: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1.2(b) of Appendix A</w:t>
            </w:r>
          </w:p>
        </w:tc>
        <w:tc>
          <w:tcPr>
            <w:tcW w:w="0" w:type="dxa"/>
            <w:vAlign w:val="bottom"/>
          </w:tcPr>
          <w:p>
            <w:pPr>
              <w:spacing w:after="0"/>
              <w:rPr>
                <w:sz w:val="1"/>
                <w:szCs w:val="1"/>
                <w:color w:val="auto"/>
              </w:rPr>
            </w:pPr>
          </w:p>
        </w:tc>
      </w:tr>
      <w:tr>
        <w:trPr>
          <w:trHeight w:val="297"/>
        </w:trPr>
        <w:tc>
          <w:tcPr>
            <w:tcW w:w="852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Global Notes Legend</w:t>
            </w:r>
            <w:r>
              <w:rPr>
                <w:rFonts w:ascii="Times New Roman" w:cs="Times New Roman" w:eastAsia="Times New Roman" w:hAnsi="Times New Roman"/>
                <w:sz w:val="20"/>
                <w:szCs w:val="20"/>
                <w:color w:val="auto"/>
              </w:rPr>
              <w:t>”</w:t>
            </w: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1.3(e)(i) of Appendix A</w:t>
            </w:r>
          </w:p>
        </w:tc>
        <w:tc>
          <w:tcPr>
            <w:tcW w:w="0" w:type="dxa"/>
            <w:vAlign w:val="bottom"/>
          </w:tcPr>
          <w:p>
            <w:pPr>
              <w:spacing w:after="0"/>
              <w:rPr>
                <w:sz w:val="1"/>
                <w:szCs w:val="1"/>
                <w:color w:val="auto"/>
              </w:rPr>
            </w:pPr>
          </w:p>
        </w:tc>
      </w:tr>
      <w:tr>
        <w:trPr>
          <w:trHeight w:val="297"/>
        </w:trPr>
        <w:tc>
          <w:tcPr>
            <w:tcW w:w="852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Guaranteed Obligations</w:t>
            </w:r>
            <w:r>
              <w:rPr>
                <w:rFonts w:ascii="Times New Roman" w:cs="Times New Roman" w:eastAsia="Times New Roman" w:hAnsi="Times New Roman"/>
                <w:sz w:val="20"/>
                <w:szCs w:val="20"/>
                <w:color w:val="auto"/>
              </w:rPr>
              <w:t>”</w:t>
            </w: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10.01(a)</w:t>
            </w:r>
          </w:p>
        </w:tc>
        <w:tc>
          <w:tcPr>
            <w:tcW w:w="0" w:type="dxa"/>
            <w:vAlign w:val="bottom"/>
          </w:tcPr>
          <w:p>
            <w:pPr>
              <w:spacing w:after="0"/>
              <w:rPr>
                <w:sz w:val="1"/>
                <w:szCs w:val="1"/>
                <w:color w:val="auto"/>
              </w:rPr>
            </w:pPr>
          </w:p>
        </w:tc>
      </w:tr>
      <w:tr>
        <w:trPr>
          <w:trHeight w:val="297"/>
        </w:trPr>
        <w:tc>
          <w:tcPr>
            <w:tcW w:w="852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Legal Defeasance</w:t>
            </w:r>
            <w:r>
              <w:rPr>
                <w:rFonts w:ascii="Times New Roman" w:cs="Times New Roman" w:eastAsia="Times New Roman" w:hAnsi="Times New Roman"/>
                <w:sz w:val="20"/>
                <w:szCs w:val="20"/>
                <w:color w:val="auto"/>
              </w:rPr>
              <w:t>”</w:t>
            </w: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8.02(a)</w:t>
            </w:r>
          </w:p>
        </w:tc>
        <w:tc>
          <w:tcPr>
            <w:tcW w:w="0" w:type="dxa"/>
            <w:vAlign w:val="bottom"/>
          </w:tcPr>
          <w:p>
            <w:pPr>
              <w:spacing w:after="0"/>
              <w:rPr>
                <w:sz w:val="1"/>
                <w:szCs w:val="1"/>
                <w:color w:val="auto"/>
              </w:rPr>
            </w:pPr>
          </w:p>
        </w:tc>
      </w:tr>
      <w:tr>
        <w:trPr>
          <w:trHeight w:val="297"/>
        </w:trPr>
        <w:tc>
          <w:tcPr>
            <w:tcW w:w="852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Note Register</w:t>
            </w:r>
            <w:r>
              <w:rPr>
                <w:rFonts w:ascii="Times New Roman" w:cs="Times New Roman" w:eastAsia="Times New Roman" w:hAnsi="Times New Roman"/>
                <w:sz w:val="20"/>
                <w:szCs w:val="20"/>
                <w:color w:val="auto"/>
              </w:rPr>
              <w:t>”</w:t>
            </w: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2.03(a)</w:t>
            </w:r>
          </w:p>
        </w:tc>
        <w:tc>
          <w:tcPr>
            <w:tcW w:w="0" w:type="dxa"/>
            <w:vAlign w:val="bottom"/>
          </w:tcPr>
          <w:p>
            <w:pPr>
              <w:spacing w:after="0"/>
              <w:rPr>
                <w:sz w:val="1"/>
                <w:szCs w:val="1"/>
                <w:color w:val="auto"/>
              </w:rPr>
            </w:pPr>
          </w:p>
        </w:tc>
      </w:tr>
      <w:tr>
        <w:trPr>
          <w:trHeight w:val="297"/>
        </w:trPr>
        <w:tc>
          <w:tcPr>
            <w:tcW w:w="852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Paying Agent</w:t>
            </w:r>
            <w:r>
              <w:rPr>
                <w:rFonts w:ascii="Times New Roman" w:cs="Times New Roman" w:eastAsia="Times New Roman" w:hAnsi="Times New Roman"/>
                <w:sz w:val="20"/>
                <w:szCs w:val="20"/>
                <w:color w:val="auto"/>
              </w:rPr>
              <w:t>”</w:t>
            </w: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2.03(a)</w:t>
            </w:r>
          </w:p>
        </w:tc>
        <w:tc>
          <w:tcPr>
            <w:tcW w:w="0" w:type="dxa"/>
            <w:vAlign w:val="bottom"/>
          </w:tcPr>
          <w:p>
            <w:pPr>
              <w:spacing w:after="0"/>
              <w:rPr>
                <w:sz w:val="1"/>
                <w:szCs w:val="1"/>
                <w:color w:val="auto"/>
              </w:rPr>
            </w:pPr>
          </w:p>
        </w:tc>
      </w:tr>
      <w:tr>
        <w:trPr>
          <w:trHeight w:val="297"/>
        </w:trPr>
        <w:tc>
          <w:tcPr>
            <w:tcW w:w="852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QIB</w:t>
            </w:r>
            <w:r>
              <w:rPr>
                <w:rFonts w:ascii="Times New Roman" w:cs="Times New Roman" w:eastAsia="Times New Roman" w:hAnsi="Times New Roman"/>
                <w:sz w:val="20"/>
                <w:szCs w:val="20"/>
                <w:color w:val="auto"/>
              </w:rPr>
              <w:t>”</w:t>
            </w: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1.1(a) of Appendix A</w:t>
            </w:r>
          </w:p>
        </w:tc>
        <w:tc>
          <w:tcPr>
            <w:tcW w:w="0" w:type="dxa"/>
            <w:vAlign w:val="bottom"/>
          </w:tcPr>
          <w:p>
            <w:pPr>
              <w:spacing w:after="0"/>
              <w:rPr>
                <w:sz w:val="1"/>
                <w:szCs w:val="1"/>
                <w:color w:val="auto"/>
              </w:rPr>
            </w:pPr>
          </w:p>
        </w:tc>
      </w:tr>
      <w:tr>
        <w:trPr>
          <w:trHeight w:val="297"/>
        </w:trPr>
        <w:tc>
          <w:tcPr>
            <w:tcW w:w="852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Registrar</w:t>
            </w:r>
            <w:r>
              <w:rPr>
                <w:rFonts w:ascii="Times New Roman" w:cs="Times New Roman" w:eastAsia="Times New Roman" w:hAnsi="Times New Roman"/>
                <w:sz w:val="20"/>
                <w:szCs w:val="20"/>
                <w:color w:val="auto"/>
              </w:rPr>
              <w:t>”</w:t>
            </w: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2.03(a)</w:t>
            </w:r>
          </w:p>
        </w:tc>
        <w:tc>
          <w:tcPr>
            <w:tcW w:w="0" w:type="dxa"/>
            <w:vAlign w:val="bottom"/>
          </w:tcPr>
          <w:p>
            <w:pPr>
              <w:spacing w:after="0"/>
              <w:rPr>
                <w:sz w:val="1"/>
                <w:szCs w:val="1"/>
                <w:color w:val="auto"/>
              </w:rPr>
            </w:pPr>
          </w:p>
        </w:tc>
      </w:tr>
      <w:tr>
        <w:trPr>
          <w:trHeight w:val="297"/>
        </w:trPr>
        <w:tc>
          <w:tcPr>
            <w:tcW w:w="852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Regulation S</w:t>
            </w:r>
            <w:r>
              <w:rPr>
                <w:rFonts w:ascii="Times New Roman" w:cs="Times New Roman" w:eastAsia="Times New Roman" w:hAnsi="Times New Roman"/>
                <w:sz w:val="20"/>
                <w:szCs w:val="20"/>
                <w:color w:val="auto"/>
              </w:rPr>
              <w:t>”</w:t>
            </w: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1.1(a) of Appendix A</w:t>
            </w:r>
          </w:p>
        </w:tc>
        <w:tc>
          <w:tcPr>
            <w:tcW w:w="0" w:type="dxa"/>
            <w:vAlign w:val="bottom"/>
          </w:tcPr>
          <w:p>
            <w:pPr>
              <w:spacing w:after="0"/>
              <w:rPr>
                <w:sz w:val="1"/>
                <w:szCs w:val="1"/>
                <w:color w:val="auto"/>
              </w:rPr>
            </w:pPr>
          </w:p>
        </w:tc>
      </w:tr>
      <w:tr>
        <w:trPr>
          <w:trHeight w:val="297"/>
        </w:trPr>
        <w:tc>
          <w:tcPr>
            <w:tcW w:w="852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Regulation S Global Note</w:t>
            </w:r>
            <w:r>
              <w:rPr>
                <w:rFonts w:ascii="Times New Roman" w:cs="Times New Roman" w:eastAsia="Times New Roman" w:hAnsi="Times New Roman"/>
                <w:sz w:val="20"/>
                <w:szCs w:val="20"/>
                <w:color w:val="auto"/>
              </w:rPr>
              <w:t>”</w:t>
            </w: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1.2(b) of Appendix A</w:t>
            </w:r>
          </w:p>
        </w:tc>
        <w:tc>
          <w:tcPr>
            <w:tcW w:w="0" w:type="dxa"/>
            <w:vAlign w:val="bottom"/>
          </w:tcPr>
          <w:p>
            <w:pPr>
              <w:spacing w:after="0"/>
              <w:rPr>
                <w:sz w:val="1"/>
                <w:szCs w:val="1"/>
                <w:color w:val="auto"/>
              </w:rPr>
            </w:pPr>
          </w:p>
        </w:tc>
      </w:tr>
      <w:tr>
        <w:trPr>
          <w:trHeight w:val="297"/>
        </w:trPr>
        <w:tc>
          <w:tcPr>
            <w:tcW w:w="852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Regulation S Notes</w:t>
            </w:r>
            <w:r>
              <w:rPr>
                <w:rFonts w:ascii="Times New Roman" w:cs="Times New Roman" w:eastAsia="Times New Roman" w:hAnsi="Times New Roman"/>
                <w:sz w:val="20"/>
                <w:szCs w:val="20"/>
                <w:color w:val="auto"/>
              </w:rPr>
              <w:t>”</w:t>
            </w: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1.2(a) of Appendix A</w:t>
            </w:r>
          </w:p>
        </w:tc>
        <w:tc>
          <w:tcPr>
            <w:tcW w:w="0" w:type="dxa"/>
            <w:vAlign w:val="bottom"/>
          </w:tcPr>
          <w:p>
            <w:pPr>
              <w:spacing w:after="0"/>
              <w:rPr>
                <w:sz w:val="1"/>
                <w:szCs w:val="1"/>
                <w:color w:val="auto"/>
              </w:rPr>
            </w:pPr>
          </w:p>
        </w:tc>
      </w:tr>
      <w:tr>
        <w:trPr>
          <w:trHeight w:val="297"/>
        </w:trPr>
        <w:tc>
          <w:tcPr>
            <w:tcW w:w="852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Rule 144</w:t>
            </w:r>
            <w:r>
              <w:rPr>
                <w:rFonts w:ascii="Times New Roman" w:cs="Times New Roman" w:eastAsia="Times New Roman" w:hAnsi="Times New Roman"/>
                <w:sz w:val="20"/>
                <w:szCs w:val="20"/>
                <w:color w:val="auto"/>
              </w:rPr>
              <w:t>”</w:t>
            </w: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1.1(a) of Appendix A</w:t>
            </w:r>
          </w:p>
        </w:tc>
        <w:tc>
          <w:tcPr>
            <w:tcW w:w="0" w:type="dxa"/>
            <w:vAlign w:val="bottom"/>
          </w:tcPr>
          <w:p>
            <w:pPr>
              <w:spacing w:after="0"/>
              <w:rPr>
                <w:sz w:val="1"/>
                <w:szCs w:val="1"/>
                <w:color w:val="auto"/>
              </w:rPr>
            </w:pPr>
          </w:p>
        </w:tc>
      </w:tr>
      <w:tr>
        <w:trPr>
          <w:trHeight w:val="297"/>
        </w:trPr>
        <w:tc>
          <w:tcPr>
            <w:tcW w:w="852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Rule 144A</w:t>
            </w:r>
            <w:r>
              <w:rPr>
                <w:rFonts w:ascii="Times New Roman" w:cs="Times New Roman" w:eastAsia="Times New Roman" w:hAnsi="Times New Roman"/>
                <w:sz w:val="20"/>
                <w:szCs w:val="20"/>
                <w:color w:val="auto"/>
              </w:rPr>
              <w:t>”</w:t>
            </w: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1.1(a) of Appendix A</w:t>
            </w:r>
          </w:p>
        </w:tc>
        <w:tc>
          <w:tcPr>
            <w:tcW w:w="0" w:type="dxa"/>
            <w:vAlign w:val="bottom"/>
          </w:tcPr>
          <w:p>
            <w:pPr>
              <w:spacing w:after="0"/>
              <w:rPr>
                <w:sz w:val="1"/>
                <w:szCs w:val="1"/>
                <w:color w:val="auto"/>
              </w:rPr>
            </w:pPr>
          </w:p>
        </w:tc>
      </w:tr>
      <w:tr>
        <w:trPr>
          <w:trHeight w:val="297"/>
        </w:trPr>
        <w:tc>
          <w:tcPr>
            <w:tcW w:w="852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Rule 144A Global Note</w:t>
            </w:r>
            <w:r>
              <w:rPr>
                <w:rFonts w:ascii="Times New Roman" w:cs="Times New Roman" w:eastAsia="Times New Roman" w:hAnsi="Times New Roman"/>
                <w:sz w:val="20"/>
                <w:szCs w:val="20"/>
                <w:color w:val="auto"/>
              </w:rPr>
              <w:t>”</w:t>
            </w: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1.2(b) of Appendix A</w:t>
            </w:r>
          </w:p>
        </w:tc>
        <w:tc>
          <w:tcPr>
            <w:tcW w:w="0" w:type="dxa"/>
            <w:vAlign w:val="bottom"/>
          </w:tcPr>
          <w:p>
            <w:pPr>
              <w:spacing w:after="0"/>
              <w:rPr>
                <w:sz w:val="1"/>
                <w:szCs w:val="1"/>
                <w:color w:val="auto"/>
              </w:rPr>
            </w:pPr>
          </w:p>
        </w:tc>
      </w:tr>
      <w:tr>
        <w:trPr>
          <w:trHeight w:val="297"/>
        </w:trPr>
        <w:tc>
          <w:tcPr>
            <w:tcW w:w="852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Rule 144A Notes</w:t>
            </w:r>
            <w:r>
              <w:rPr>
                <w:rFonts w:ascii="Times New Roman" w:cs="Times New Roman" w:eastAsia="Times New Roman" w:hAnsi="Times New Roman"/>
                <w:sz w:val="20"/>
                <w:szCs w:val="20"/>
                <w:color w:val="auto"/>
              </w:rPr>
              <w:t>”</w:t>
            </w: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1.2(a) of Appendix A</w:t>
            </w:r>
          </w:p>
        </w:tc>
        <w:tc>
          <w:tcPr>
            <w:tcW w:w="0" w:type="dxa"/>
            <w:vAlign w:val="bottom"/>
          </w:tcPr>
          <w:p>
            <w:pPr>
              <w:spacing w:after="0"/>
              <w:rPr>
                <w:sz w:val="1"/>
                <w:szCs w:val="1"/>
                <w:color w:val="auto"/>
              </w:rPr>
            </w:pPr>
          </w:p>
        </w:tc>
      </w:tr>
      <w:tr>
        <w:trPr>
          <w:trHeight w:val="297"/>
        </w:trPr>
        <w:tc>
          <w:tcPr>
            <w:tcW w:w="852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Successor Company</w:t>
            </w:r>
            <w:r>
              <w:rPr>
                <w:rFonts w:ascii="Times New Roman" w:cs="Times New Roman" w:eastAsia="Times New Roman" w:hAnsi="Times New Roman"/>
                <w:sz w:val="20"/>
                <w:szCs w:val="20"/>
                <w:color w:val="auto"/>
              </w:rPr>
              <w:t>”</w:t>
            </w: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5.01(a)(1)</w:t>
            </w:r>
          </w:p>
        </w:tc>
        <w:tc>
          <w:tcPr>
            <w:tcW w:w="0" w:type="dxa"/>
            <w:vAlign w:val="bottom"/>
          </w:tcPr>
          <w:p>
            <w:pPr>
              <w:spacing w:after="0"/>
              <w:rPr>
                <w:sz w:val="1"/>
                <w:szCs w:val="1"/>
                <w:color w:val="auto"/>
              </w:rPr>
            </w:pPr>
          </w:p>
        </w:tc>
      </w:tr>
      <w:tr>
        <w:trPr>
          <w:trHeight w:val="297"/>
        </w:trPr>
        <w:tc>
          <w:tcPr>
            <w:tcW w:w="852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Unrestricted Global Note</w:t>
            </w:r>
            <w:r>
              <w:rPr>
                <w:rFonts w:ascii="Times New Roman" w:cs="Times New Roman" w:eastAsia="Times New Roman" w:hAnsi="Times New Roman"/>
                <w:sz w:val="20"/>
                <w:szCs w:val="20"/>
                <w:color w:val="auto"/>
              </w:rPr>
              <w:t>”</w:t>
            </w: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1.1(a) of Appendix A</w:t>
            </w:r>
          </w:p>
        </w:tc>
        <w:tc>
          <w:tcPr>
            <w:tcW w:w="0" w:type="dxa"/>
            <w:vAlign w:val="bottom"/>
          </w:tcPr>
          <w:p>
            <w:pPr>
              <w:spacing w:after="0"/>
              <w:rPr>
                <w:sz w:val="1"/>
                <w:szCs w:val="1"/>
                <w:color w:val="auto"/>
              </w:rPr>
            </w:pPr>
          </w:p>
        </w:tc>
      </w:tr>
      <w:tr>
        <w:trPr>
          <w:trHeight w:val="709"/>
        </w:trPr>
        <w:tc>
          <w:tcPr>
            <w:tcW w:w="852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Section 1.03  Rules of Construction.</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gridSpan w:val="2"/>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3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Unless the context otherwise requires:</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1720" w:hanging="416"/>
        <w:spacing w:after="0"/>
        <w:tabs>
          <w:tab w:leader="none" w:pos="1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term defined in Section 1.01 or 1.02 has the meaning assigned to it therein;</w:t>
      </w:r>
    </w:p>
    <w:p>
      <w:pPr>
        <w:spacing w:after="0" w:line="21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accounting term not otherwise defined has the meaning assigned to it in accordance with GAAP;</w:t>
      </w:r>
    </w:p>
    <w:p>
      <w:pPr>
        <w:spacing w:after="0" w:line="229"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is not exclusive;</w:t>
      </w:r>
    </w:p>
    <w:p>
      <w:pPr>
        <w:spacing w:after="0" w:line="22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words in the singular include the plural, and words in the plural include the singular;</w:t>
      </w:r>
    </w:p>
    <w:p>
      <w:pPr>
        <w:spacing w:after="0" w:line="215"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provisions apply to successive events and transactions;</w:t>
      </w:r>
    </w:p>
    <w:p>
      <w:pPr>
        <w:sectPr>
          <w:pgSz w:w="11900" w:h="16838" w:orient="portrait"/>
          <w:cols w:equalWidth="0" w:num="1">
            <w:col w:w="11240"/>
          </w:cols>
          <w:pgMar w:left="320" w:top="1233" w:right="339" w:bottom="68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1240"/>
          </w:cols>
          <w:pgMar w:left="320" w:top="1233" w:right="339" w:bottom="683" w:gutter="0" w:footer="0" w:header="0"/>
          <w:type w:val="continuous"/>
        </w:sectPr>
      </w:pPr>
    </w:p>
    <w:bookmarkStart w:id="22" w:name="page23"/>
    <w:bookmarkEnd w:id="22"/>
    <w:p>
      <w:pPr>
        <w:ind w:right="260" w:firstLine="1304"/>
        <w:spacing w:after="0" w:line="283" w:lineRule="auto"/>
        <w:tabs>
          <w:tab w:leader="none" w:pos="1692"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context otherwise requires, any reference to an “Appendix,” “Article,” “Section,” “clause,” “Schedule” or “Exhibit” refers to an Appendix, Article, Section, clause, Schedule or Exhibit, as the case may be, of this Indenture;</w:t>
      </w:r>
    </w:p>
    <w:p>
      <w:pPr>
        <w:spacing w:after="0" w:line="146" w:lineRule="exact"/>
        <w:rPr>
          <w:rFonts w:ascii="Times New Roman" w:cs="Times New Roman" w:eastAsia="Times New Roman" w:hAnsi="Times New Roman"/>
          <w:sz w:val="20"/>
          <w:szCs w:val="20"/>
          <w:color w:val="auto"/>
        </w:rPr>
      </w:pPr>
    </w:p>
    <w:p>
      <w:pPr>
        <w:ind w:right="20" w:firstLine="1304"/>
        <w:spacing w:after="0" w:line="283" w:lineRule="auto"/>
        <w:tabs>
          <w:tab w:leader="none" w:pos="1725"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“herein,” “hereof” and other words of similar import refer to this Indenture as a whole and not any particular Article, Section, clause or other subdivision;</w:t>
      </w:r>
    </w:p>
    <w:p>
      <w:pPr>
        <w:spacing w:after="0" w:line="200"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“including” means including without limitation;</w:t>
      </w:r>
    </w:p>
    <w:p>
      <w:pPr>
        <w:spacing w:after="0" w:line="283" w:lineRule="exact"/>
        <w:rPr>
          <w:rFonts w:ascii="Times New Roman" w:cs="Times New Roman" w:eastAsia="Times New Roman" w:hAnsi="Times New Roman"/>
          <w:sz w:val="20"/>
          <w:szCs w:val="20"/>
          <w:color w:val="auto"/>
        </w:rPr>
      </w:pPr>
    </w:p>
    <w:p>
      <w:pPr>
        <w:ind w:right="200" w:firstLine="1304"/>
        <w:spacing w:after="0" w:line="283" w:lineRule="auto"/>
        <w:tabs>
          <w:tab w:leader="none" w:pos="1681"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sections of, or rules under, the Securities Act or the Exchange Act shall be deemed to include substitute, replacement or successor sections or rules adopted by the SEC from time to time;</w:t>
      </w:r>
    </w:p>
    <w:p>
      <w:pPr>
        <w:spacing w:after="0" w:line="200" w:lineRule="exact"/>
        <w:rPr>
          <w:rFonts w:ascii="Times New Roman" w:cs="Times New Roman" w:eastAsia="Times New Roman" w:hAnsi="Times New Roman"/>
          <w:sz w:val="20"/>
          <w:szCs w:val="20"/>
          <w:color w:val="auto"/>
        </w:rPr>
      </w:pPr>
    </w:p>
    <w:p>
      <w:pPr>
        <w:ind w:right="140" w:firstLine="1304"/>
        <w:spacing w:after="0" w:line="261" w:lineRule="auto"/>
        <w:tabs>
          <w:tab w:leader="none" w:pos="1681"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provided, references to agreements and other instruments shall be deemed to include all amendments and other modifications to such agreements or instruments, but only to the extent such amendments and other modifications are not prohibited by the terms of this Indenture; and</w:t>
      </w:r>
    </w:p>
    <w:p>
      <w:pPr>
        <w:spacing w:after="0" w:line="181" w:lineRule="exact"/>
        <w:rPr>
          <w:rFonts w:ascii="Times New Roman" w:cs="Times New Roman" w:eastAsia="Times New Roman" w:hAnsi="Times New Roman"/>
          <w:sz w:val="20"/>
          <w:szCs w:val="20"/>
          <w:color w:val="auto"/>
        </w:rPr>
      </w:pPr>
    </w:p>
    <w:p>
      <w:pPr>
        <w:ind w:right="880" w:firstLine="1304"/>
        <w:spacing w:after="0" w:line="283" w:lineRule="auto"/>
        <w:tabs>
          <w:tab w:leader="none" w:pos="1725"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 transaction meets the criteria of more than one category of permitted transactions or listed exceptions, the Company may classify such transaction as it, in its sole discretion, determines.</w:t>
      </w:r>
    </w:p>
    <w:p>
      <w:pPr>
        <w:spacing w:after="0" w:line="14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1.04</w:t>
      </w:r>
      <w:r>
        <w:rPr>
          <w:sz w:val="20"/>
          <w:szCs w:val="20"/>
          <w:color w:val="auto"/>
        </w:rPr>
        <w:tab/>
      </w:r>
      <w:r>
        <w:rPr>
          <w:rFonts w:ascii="Times New Roman" w:cs="Times New Roman" w:eastAsia="Times New Roman" w:hAnsi="Times New Roman"/>
          <w:sz w:val="19"/>
          <w:szCs w:val="19"/>
          <w:u w:val="single" w:color="auto"/>
          <w:color w:val="auto"/>
        </w:rPr>
        <w:t>Acts of Holders</w:t>
      </w:r>
      <w:r>
        <w:rPr>
          <w:rFonts w:ascii="Times New Roman" w:cs="Times New Roman" w:eastAsia="Times New Roman" w:hAnsi="Times New Roman"/>
          <w:sz w:val="19"/>
          <w:szCs w:val="19"/>
          <w:color w:val="auto"/>
        </w:rPr>
        <w:t>.</w:t>
      </w:r>
    </w:p>
    <w:p>
      <w:pPr>
        <w:spacing w:after="0" w:line="283" w:lineRule="exact"/>
        <w:rPr>
          <w:sz w:val="20"/>
          <w:szCs w:val="20"/>
          <w:color w:val="auto"/>
        </w:rPr>
      </w:pPr>
    </w:p>
    <w:p>
      <w:pPr>
        <w:ind w:firstLine="1304"/>
        <w:spacing w:after="0" w:line="251" w:lineRule="auto"/>
        <w:tabs>
          <w:tab w:leader="none" w:pos="1703"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Except as herein otherwise expressly provided, such action shall become effective when such instrument or instruments or record or both are delivered to the Trustee and, where it is hereby expressly required, to the Company and the Subsidiary Guarantors. Proof of execution of any such instrument or of a writing appointing any such agent, or the holding by any Person of a Note, shall be sufficient for any purpose of this Indenture and (subject to Section 7.01) conclusive in favor of the Trustee, the Company and the Subsidiary Guarantors, if made in the manner provided in this Section 1.04.</w:t>
      </w:r>
    </w:p>
    <w:p>
      <w:pPr>
        <w:spacing w:after="0" w:line="192" w:lineRule="exact"/>
        <w:rPr>
          <w:rFonts w:ascii="Times New Roman" w:cs="Times New Roman" w:eastAsia="Times New Roman" w:hAnsi="Times New Roman"/>
          <w:sz w:val="20"/>
          <w:szCs w:val="20"/>
          <w:color w:val="auto"/>
        </w:rPr>
      </w:pPr>
    </w:p>
    <w:p>
      <w:pPr>
        <w:ind w:firstLine="1304"/>
        <w:spacing w:after="0" w:line="251" w:lineRule="auto"/>
        <w:tabs>
          <w:tab w:leader="none" w:pos="172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 and date of the execution by any Person of any such instrument or writing may be proved (1) by the affidavit of a witness of such execution or by the certificate of any notary public or other officer authorized by law to take acknowledgments of deeds, certifying that the individual signing such instrument or writing acknowledged to him the execution thereof or (2) in any other manner deemed reasonably sufficient by the Trustee. Where such execution is by or on behalf of any legal entity other than an individual, such certificate or affidavit shall also constitute proof of the authority of the Person executing the same. The fact and date of the execution of any such instrument or writing, or the authority of the Person executing the same, may also be proved in any other manner that the Trustee deems sufficient.</w:t>
      </w:r>
    </w:p>
    <w:p>
      <w:pPr>
        <w:spacing w:after="0" w:line="192"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ownership of Notes shall be proved by the Note Register.</w:t>
      </w:r>
    </w:p>
    <w:p>
      <w:pPr>
        <w:spacing w:after="0" w:line="229" w:lineRule="exact"/>
        <w:rPr>
          <w:rFonts w:ascii="Times New Roman" w:cs="Times New Roman" w:eastAsia="Times New Roman" w:hAnsi="Times New Roman"/>
          <w:sz w:val="20"/>
          <w:szCs w:val="20"/>
          <w:color w:val="auto"/>
        </w:rPr>
      </w:pPr>
    </w:p>
    <w:p>
      <w:pPr>
        <w:ind w:right="160" w:firstLine="1304"/>
        <w:spacing w:after="0" w:line="261" w:lineRule="auto"/>
        <w:tabs>
          <w:tab w:leader="none" w:pos="171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request, demand, authorization, direction, notice, consent, waiver or other action by the Holder of any Note shall bind every future Holder of the same Note and the Holder of every Note issued upon the registration of transfer thereof or in exchange therefor or in lieu thereof, in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180"/>
          </w:cols>
          <w:pgMar w:left="320" w:top="1251" w:right="399" w:bottom="1440" w:gutter="0" w:footer="0" w:header="0"/>
        </w:sectPr>
      </w:pPr>
    </w:p>
    <w:bookmarkStart w:id="23" w:name="page24"/>
    <w:bookmarkEnd w:id="23"/>
    <w:p>
      <w:pPr>
        <w:ind w:right="680"/>
        <w:spacing w:after="0" w:line="283" w:lineRule="auto"/>
        <w:rPr>
          <w:sz w:val="20"/>
          <w:szCs w:val="20"/>
          <w:color w:val="auto"/>
        </w:rPr>
      </w:pPr>
      <w:r>
        <w:rPr>
          <w:rFonts w:ascii="Times New Roman" w:cs="Times New Roman" w:eastAsia="Times New Roman" w:hAnsi="Times New Roman"/>
          <w:sz w:val="20"/>
          <w:szCs w:val="20"/>
          <w:color w:val="auto"/>
        </w:rPr>
        <w:t>of any action taken, suffered or omitted by the Trustee, the Company or the Subsidiary Guarantors in reliance thereon, whether or not notation of such action is made upon such Note.</w:t>
      </w:r>
    </w:p>
    <w:p>
      <w:pPr>
        <w:spacing w:after="0" w:line="146" w:lineRule="exact"/>
        <w:rPr>
          <w:sz w:val="20"/>
          <w:szCs w:val="20"/>
          <w:color w:val="auto"/>
        </w:rPr>
      </w:pPr>
    </w:p>
    <w:p>
      <w:pPr>
        <w:ind w:firstLine="1304"/>
        <w:spacing w:after="0" w:line="250" w:lineRule="auto"/>
        <w:tabs>
          <w:tab w:leader="none" w:pos="171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may set a record date for purposes of determining the identity of Holders entitled to make, give or take any request, demand, authorization, direction, notice, consent, waiver or other action provided in this Indenture to be made, or to vote on or consent to any action authorized or permitted to be taken by Holders;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Company may not set a record date for, and the provisions of this Section 1.04(e) shall not apply with respect to, the giving or making of any notice, declaration, request or direction referred to in Section 1.04(f). Unless otherwise specified, if not set by the Company prior to the first solicitation of a Holder made by any Person in respect of any such action, or in the case of any such vote, prior to such vote, any such record date shall be the later of 30 days prior to the first solicitation of such consent or vote or the date of the most recent list of Holders furnished to the Trustee prior to such solicitation or vote. If any record date is set pursuant to this Section 1.04(e), the Holders on such record date, and only such Holders, shall be entitled to make, give or take such request, demand, authorization, direction, notice, consent, waiver or other action (including revocation of any action), whether or not such Holders remain Holders after such record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such action shall be effective hereunder unless made, given or taken on or prior to the applicable Expiration Date by Holders of the requisite principal amount of Notes, or each affected Holder, as applicable, on such record date. Promptly after any record date is set pursuant to this Section 1.04(e), the Company, at its own expense, shall cause notice of such record date, the proposed action by Holders and the applicable Expiration Date to be given to the Trustee in writing and to each Holder in the manner set forth in Section 12.01.</w:t>
      </w:r>
    </w:p>
    <w:p>
      <w:pPr>
        <w:spacing w:after="0" w:line="196" w:lineRule="exact"/>
        <w:rPr>
          <w:rFonts w:ascii="Times New Roman" w:cs="Times New Roman" w:eastAsia="Times New Roman" w:hAnsi="Times New Roman"/>
          <w:sz w:val="20"/>
          <w:szCs w:val="20"/>
          <w:color w:val="auto"/>
        </w:rPr>
      </w:pPr>
    </w:p>
    <w:p>
      <w:pPr>
        <w:ind w:right="20" w:firstLine="1304"/>
        <w:spacing w:after="0" w:line="250" w:lineRule="auto"/>
        <w:tabs>
          <w:tab w:leader="none" w:pos="168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Trustee may set any day as a record date for the purpose of determining the Holders entitled to join in the giving or making of (1) any notice of Default under Section 6.01, (2) any declaration of acceleration referred to in Section 6.02, (3) any direction referred to in Section 6.05 or (4) any request to pursue a remedy as permitted in Section 6.06. If any record date is set pursuant to this Section 1.04(f), the Holders on such record date, and no other Holders, shall be entitled to join in such notice, declaration, request or direction, whether or not such Holders remain Holders after such record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such action shall be effective hereunder unless made, given or taken on or prior to the applicable Expiration Date by Holders of the requisite principal amount of Notes or each affected Holder, as applicable, on such record date. Promptly after any record date is set pursuant to this Section 1.04(f), the Trustee, at the Company’s expense, shall cause notice of such record date, the proposed action by Holders and the applicable Expiration Date to be given to the Company and to each Holder in the manner set forth in Section 12.01.</w:t>
      </w:r>
    </w:p>
    <w:p>
      <w:pPr>
        <w:spacing w:after="0" w:line="192" w:lineRule="exact"/>
        <w:rPr>
          <w:rFonts w:ascii="Times New Roman" w:cs="Times New Roman" w:eastAsia="Times New Roman" w:hAnsi="Times New Roman"/>
          <w:sz w:val="20"/>
          <w:szCs w:val="20"/>
          <w:color w:val="auto"/>
        </w:rPr>
      </w:pPr>
    </w:p>
    <w:p>
      <w:pPr>
        <w:ind w:right="180" w:firstLine="1304"/>
        <w:spacing w:after="0" w:line="253" w:lineRule="auto"/>
        <w:tabs>
          <w:tab w:leader="none" w:pos="1721"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foregoing, a Holder entitled to take any action hereunder with regard to any particular Note may do so with regard to all or any part of the principal amount of such Note or by one or more duly appointed agents, each of which may do so pursuant to such appointment with regard to all or any part of such principal amount. Any notice given or action taken by a Holder or its agents with regard to different parts of such principal amount pursuant to this Section 1.04(g) shall have the same effect as if given or taken by separate Holders of each such different part.</w:t>
      </w:r>
    </w:p>
    <w:p>
      <w:pPr>
        <w:spacing w:after="0" w:line="191" w:lineRule="exact"/>
        <w:rPr>
          <w:rFonts w:ascii="Times New Roman" w:cs="Times New Roman" w:eastAsia="Times New Roman" w:hAnsi="Times New Roman"/>
          <w:sz w:val="20"/>
          <w:szCs w:val="20"/>
          <w:color w:val="auto"/>
        </w:rPr>
      </w:pPr>
    </w:p>
    <w:p>
      <w:pPr>
        <w:ind w:right="80" w:firstLine="1304"/>
        <w:spacing w:after="0" w:line="253" w:lineRule="auto"/>
        <w:tabs>
          <w:tab w:leader="none" w:pos="1721"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a Holder, including a Depositary that is the Holder of a Global Note, may make, give or take, by a proxy or proxies duly appointed in writing, any request, demand, authorization, direction, notice, consent, waiver or other action provided in this Indenture to be made, given or taken by Holders, and a Depositary that is the Holder of a Global Note may provide its proxy or proxies to the beneficial owners of interests in any such Global Note through such Depositary’s standing instructions and customary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251" w:right="339" w:bottom="1440" w:gutter="0" w:footer="0" w:header="0"/>
        </w:sectPr>
      </w:pPr>
    </w:p>
    <w:bookmarkStart w:id="24" w:name="page25"/>
    <w:bookmarkEnd w:id="24"/>
    <w:p>
      <w:pPr>
        <w:ind w:firstLine="1304"/>
        <w:spacing w:after="0" w:line="251" w:lineRule="auto"/>
        <w:tabs>
          <w:tab w:leader="none" w:pos="1677"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may fix a record date for the purpose of determining the Persons who are beneficial owners of interests in any Global Note held by a Depositary entitled under the procedures of such Depositary, if any, to make, give or take, by a proxy or proxies duly appointed in writing, any request, demand, authorization, direction, notice, consent, waiver or other action provided in this Indenture to be made, given or taken by Holders;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such a record date is fixed, only the beneficial owners of interests in such Global Note on such record date or their duly appointed proxy or proxies shall be entitled to make, give or take such request, demand, authorization, direction, notice, consent, waiver or other action, whether or not such beneficial owners remain beneficial owners of interests in such Global Note after such record date. No such request, demand, authorization, direction, notice, consent, waiver or other action shall be effective hereunder unless made, given or taken on or prior to the applicable Expiration Date.</w:t>
      </w:r>
    </w:p>
    <w:p>
      <w:pPr>
        <w:spacing w:after="0" w:line="195" w:lineRule="exact"/>
        <w:rPr>
          <w:rFonts w:ascii="Times New Roman" w:cs="Times New Roman" w:eastAsia="Times New Roman" w:hAnsi="Times New Roman"/>
          <w:sz w:val="20"/>
          <w:szCs w:val="20"/>
          <w:color w:val="auto"/>
        </w:rPr>
      </w:pPr>
    </w:p>
    <w:p>
      <w:pPr>
        <w:ind w:firstLine="1304"/>
        <w:spacing w:after="0" w:line="251" w:lineRule="auto"/>
        <w:tabs>
          <w:tab w:leader="none" w:pos="1677"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record date set pursuant to this Section 1.04, the party hereto that sets such record date may designate any day as the “</w:t>
      </w:r>
      <w:r>
        <w:rPr>
          <w:rFonts w:ascii="Times New Roman" w:cs="Times New Roman" w:eastAsia="Times New Roman" w:hAnsi="Times New Roman"/>
          <w:sz w:val="20"/>
          <w:szCs w:val="20"/>
          <w:i w:val="1"/>
          <w:iCs w:val="1"/>
          <w:color w:val="auto"/>
        </w:rPr>
        <w:t>Expiration Date</w:t>
      </w:r>
      <w:r>
        <w:rPr>
          <w:rFonts w:ascii="Times New Roman" w:cs="Times New Roman" w:eastAsia="Times New Roman" w:hAnsi="Times New Roman"/>
          <w:sz w:val="20"/>
          <w:szCs w:val="20"/>
          <w:color w:val="auto"/>
        </w:rPr>
        <w:t xml:space="preserve">” and from time to time may change the Expiration Date to any earlier or later day;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such change shall be effective unless notice of the proposed new Expiration Date is given to the other party hereto in writing, and to each Holder of Notes in the manner set forth in Section 12.01, on or prior to both the existing and the new Expiration Date. If an Expiration Date is not designated with respect to any record date set pursuant to this Section 1.04, the party hereto which set such record date shall be deemed to have initially designated the 60th day after such record date as the Expiration Date with respect thereto, subject to its right to change the Expiration Date as provided in this clause (j).</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ARTICLE 2</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THE NOTES</w:t>
      </w:r>
    </w:p>
    <w:p>
      <w:pPr>
        <w:spacing w:after="0" w:line="21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2.01</w:t>
      </w:r>
      <w:r>
        <w:rPr>
          <w:sz w:val="20"/>
          <w:szCs w:val="20"/>
          <w:color w:val="auto"/>
        </w:rPr>
        <w:tab/>
      </w:r>
      <w:r>
        <w:rPr>
          <w:rFonts w:ascii="Times New Roman" w:cs="Times New Roman" w:eastAsia="Times New Roman" w:hAnsi="Times New Roman"/>
          <w:sz w:val="19"/>
          <w:szCs w:val="19"/>
          <w:u w:val="single" w:color="auto"/>
          <w:color w:val="auto"/>
        </w:rPr>
        <w:t>Form and Dating; Terms</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ind w:firstLine="1304"/>
        <w:spacing w:after="0" w:line="248" w:lineRule="auto"/>
        <w:tabs>
          <w:tab w:leader="none" w:pos="1713"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Provisions relating to the Initial Notes, Additional Notes and any other Notes issued under this Indenture are set forth in Appendix A, which is hereby incorporated in and expressly made a part of this Indenture. The Notes and the Trustee’s certificate of authentication shall each be substantially in the form of Exhibit A hereto, which is hereby incorporated in and expressly made a part of this Indenture. The Notes may have notations, legends or endorsements required by law, rules or agreements with national securities exchanges to which the Company or any Subsidiary Guarantor is subject, if any, or usage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such notation, legend or endorsement is in a form acceptable to the Company). Each Note shall be dated the date of its authentication. The Notes shall be in denominations of $2,000 and integral multiples of $1,000 in excess thereof.</w:t>
      </w:r>
    </w:p>
    <w:p>
      <w:pPr>
        <w:spacing w:after="0" w:line="197"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principal amount of Notes that may be authenticated and delivered under this Indenture is unlimited.</w:t>
      </w:r>
    </w:p>
    <w:p>
      <w:pPr>
        <w:spacing w:after="0" w:line="216"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0"/>
          <w:szCs w:val="20"/>
          <w:color w:val="auto"/>
        </w:rPr>
        <w:t>The terms and provisions contained in the Notes shall constitute, and are hereby expressly made, a part of this Indenture, and the Company, the Subsidiary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59" w:lineRule="exact"/>
        <w:rPr>
          <w:sz w:val="20"/>
          <w:szCs w:val="20"/>
          <w:color w:val="auto"/>
        </w:rPr>
      </w:pPr>
    </w:p>
    <w:p>
      <w:pPr>
        <w:jc w:val="both"/>
        <w:ind w:right="40" w:firstLine="1296"/>
        <w:spacing w:after="0" w:line="283" w:lineRule="auto"/>
        <w:rPr>
          <w:sz w:val="20"/>
          <w:szCs w:val="20"/>
          <w:color w:val="auto"/>
        </w:rPr>
      </w:pPr>
      <w:r>
        <w:rPr>
          <w:rFonts w:ascii="Times New Roman" w:cs="Times New Roman" w:eastAsia="Times New Roman" w:hAnsi="Times New Roman"/>
          <w:sz w:val="20"/>
          <w:szCs w:val="20"/>
          <w:color w:val="auto"/>
        </w:rPr>
        <w:t>The Notes shall be subject to repurchase by the Company pursuant to a Change of Control Offer as provided in Section 4.08, and otherwise as not prohibited by this Indenture. The Notes shall not be redeemable, other than as provided in Article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20"/>
          </w:cols>
          <w:pgMar w:left="320" w:top="1251" w:right="359" w:bottom="1440" w:gutter="0" w:footer="0" w:header="0"/>
        </w:sectPr>
      </w:pPr>
    </w:p>
    <w:bookmarkStart w:id="25" w:name="page26"/>
    <w:bookmarkEnd w:id="25"/>
    <w:p>
      <w:pPr>
        <w:ind w:right="220" w:firstLine="1296"/>
        <w:spacing w:after="0" w:line="254" w:lineRule="auto"/>
        <w:rPr>
          <w:sz w:val="20"/>
          <w:szCs w:val="20"/>
          <w:color w:val="auto"/>
        </w:rPr>
      </w:pPr>
      <w:r>
        <w:rPr>
          <w:rFonts w:ascii="Times New Roman" w:cs="Times New Roman" w:eastAsia="Times New Roman" w:hAnsi="Times New Roman"/>
          <w:sz w:val="20"/>
          <w:szCs w:val="20"/>
          <w:color w:val="auto"/>
        </w:rPr>
        <w:t xml:space="preserve">Additional Notes ranking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the Initial Notes may be created and issued from time to time by the Company without notice to or consent of the Holders and shall be consolidated with and form a single class with the Initial Notes and shall have the same terms and conditions as to status, redemption or otherwise (other than the issue date, issue price and, if applicable, the first Interest Payment Date and the first date from which interest will accrue) as the Initial Notes;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any Additional Notes are not fungible with the Initial Notes for U.S. federal income tax purposes, such Additional Notes will have a separate CUSIP number and ISIN from the Initial Notes. Any Additional Notes shall be issued with the benefit of an indenture supplemental to this Indenture.</w:t>
      </w:r>
    </w:p>
    <w:p>
      <w:pPr>
        <w:spacing w:after="0" w:line="16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2.02</w:t>
      </w:r>
      <w:r>
        <w:rPr>
          <w:sz w:val="20"/>
          <w:szCs w:val="20"/>
          <w:color w:val="auto"/>
        </w:rPr>
        <w:tab/>
      </w:r>
      <w:r>
        <w:rPr>
          <w:rFonts w:ascii="Times New Roman" w:cs="Times New Roman" w:eastAsia="Times New Roman" w:hAnsi="Times New Roman"/>
          <w:sz w:val="19"/>
          <w:szCs w:val="19"/>
          <w:u w:val="single" w:color="auto"/>
          <w:color w:val="auto"/>
        </w:rPr>
        <w:t>Execution and Authentication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right="180" w:firstLine="1304"/>
        <w:spacing w:after="0" w:line="295" w:lineRule="auto"/>
        <w:tabs>
          <w:tab w:leader="none" w:pos="1703"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least one Officer shall execute the Notes on behalf of the Company by manual, electronic or facsimile signature. If an Officer whose signature is on a Note no longer holds that office at the time a Note is authenticated, the Note shall nevertheless be valid.</w:t>
      </w:r>
    </w:p>
    <w:p>
      <w:pPr>
        <w:spacing w:after="0" w:line="151" w:lineRule="exact"/>
        <w:rPr>
          <w:rFonts w:ascii="Times New Roman" w:cs="Times New Roman" w:eastAsia="Times New Roman" w:hAnsi="Times New Roman"/>
          <w:sz w:val="19"/>
          <w:szCs w:val="19"/>
          <w:color w:val="auto"/>
        </w:rPr>
      </w:pPr>
    </w:p>
    <w:p>
      <w:pPr>
        <w:ind w:right="260" w:firstLine="1304"/>
        <w:spacing w:after="0" w:line="261" w:lineRule="auto"/>
        <w:tabs>
          <w:tab w:leader="none" w:pos="171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Note shall not be entitled to any benefit under this Indenture or be valid or obligatory for any purpose until authenticated substantially in the form of Exhibit A attached hereto by the manual or electronic signature of an authorized signatory of the Trustee. The signature shall be conclusive evidence that the Note has been duly authenticated and delivered under this Indenture.</w:t>
      </w:r>
    </w:p>
    <w:p>
      <w:pPr>
        <w:spacing w:after="0" w:line="181"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Issue Date, the Trustee shall, upon receipt of a written order of the Company signed by an Officer (an</w:t>
      </w:r>
    </w:p>
    <w:p>
      <w:pPr>
        <w:spacing w:after="0" w:line="22"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Authentication Order</w:t>
      </w:r>
      <w:r>
        <w:rPr>
          <w:rFonts w:ascii="Times New Roman" w:cs="Times New Roman" w:eastAsia="Times New Roman" w:hAnsi="Times New Roman"/>
          <w:sz w:val="20"/>
          <w:szCs w:val="20"/>
          <w:color w:val="auto"/>
        </w:rPr>
        <w:t>”), authenticate and deliver the Initial Notes. In addition, at any time and from time to time, the Trustee shall, upon receipt of an Authentication Order, authenticate and deliver any Additional Notes in an aggregate principal amount specified in such Authentication Order for such Additional Notes issued hereunder.</w:t>
      </w:r>
    </w:p>
    <w:p>
      <w:pPr>
        <w:spacing w:after="0" w:line="174" w:lineRule="exact"/>
        <w:rPr>
          <w:sz w:val="20"/>
          <w:szCs w:val="20"/>
          <w:color w:val="auto"/>
        </w:rPr>
      </w:pPr>
    </w:p>
    <w:p>
      <w:pPr>
        <w:ind w:right="180" w:firstLine="1304"/>
        <w:spacing w:after="0" w:line="258" w:lineRule="auto"/>
        <w:tabs>
          <w:tab w:leader="none" w:pos="1721"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the Company or an Affiliate of the Company.</w:t>
      </w:r>
    </w:p>
    <w:p>
      <w:pPr>
        <w:spacing w:after="0" w:line="185" w:lineRule="exact"/>
        <w:rPr>
          <w:rFonts w:ascii="Times New Roman" w:cs="Times New Roman" w:eastAsia="Times New Roman" w:hAnsi="Times New Roman"/>
          <w:sz w:val="20"/>
          <w:szCs w:val="20"/>
          <w:color w:val="auto"/>
        </w:rPr>
      </w:pPr>
    </w:p>
    <w:p>
      <w:pPr>
        <w:ind w:right="420" w:firstLine="1304"/>
        <w:spacing w:after="0" w:line="267" w:lineRule="auto"/>
        <w:tabs>
          <w:tab w:leader="none" w:pos="1710" w:val="left"/>
        </w:tabs>
        <w:numPr>
          <w:ilvl w:val="1"/>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shall authenticate and make available for delivery upon a written order of the Company signed by one Officer of the Company (1) Initial Notes for original issue on the Issue Date in an aggregate principal amount of $500,000,000 and</w:t>
      </w:r>
    </w:p>
    <w:p>
      <w:pPr>
        <w:spacing w:after="0" w:line="1" w:lineRule="exact"/>
        <w:rPr>
          <w:rFonts w:ascii="Times New Roman" w:cs="Times New Roman" w:eastAsia="Times New Roman" w:hAnsi="Times New Roman"/>
          <w:sz w:val="19"/>
          <w:szCs w:val="19"/>
          <w:color w:val="auto"/>
        </w:rPr>
      </w:pPr>
    </w:p>
    <w:p>
      <w:pPr>
        <w:ind w:firstLine="8"/>
        <w:spacing w:after="0" w:line="272" w:lineRule="auto"/>
        <w:tabs>
          <w:tab w:leader="none" w:pos="28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terms of this Indenture, Additional Notes and (3) any Unrestricted Global Notes issued in exchange for any of the foregoing in accordance with this Indenture. Such order shall specify the amount of the Notes to be authenticated, the date on which the original issue of Notes is to be authenticated and whether the Notes are to be Initial Notes, Additional Notes or other Unrestricted Global Notes.</w:t>
      </w:r>
    </w:p>
    <w:p>
      <w:pPr>
        <w:spacing w:after="0" w:line="17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2.03</w:t>
      </w:r>
      <w:r>
        <w:rPr>
          <w:sz w:val="20"/>
          <w:szCs w:val="20"/>
          <w:color w:val="auto"/>
        </w:rPr>
        <w:tab/>
      </w:r>
      <w:r>
        <w:rPr>
          <w:rFonts w:ascii="Times New Roman" w:cs="Times New Roman" w:eastAsia="Times New Roman" w:hAnsi="Times New Roman"/>
          <w:sz w:val="19"/>
          <w:szCs w:val="19"/>
          <w:u w:val="single" w:color="auto"/>
          <w:color w:val="auto"/>
        </w:rPr>
        <w:t>Registrar and Paying Agent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200" w:firstLine="1304"/>
        <w:spacing w:after="0" w:line="269" w:lineRule="auto"/>
        <w:tabs>
          <w:tab w:leader="none" w:pos="171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maintain an office or agency where Notes may be presented for registration of transfer or for exchange (“</w:t>
      </w:r>
      <w:r>
        <w:rPr>
          <w:rFonts w:ascii="Times New Roman" w:cs="Times New Roman" w:eastAsia="Times New Roman" w:hAnsi="Times New Roman"/>
          <w:sz w:val="19"/>
          <w:szCs w:val="19"/>
          <w:i w:val="1"/>
          <w:iCs w:val="1"/>
          <w:color w:val="auto"/>
        </w:rPr>
        <w:t>Registrar</w:t>
      </w:r>
      <w:r>
        <w:rPr>
          <w:rFonts w:ascii="Times New Roman" w:cs="Times New Roman" w:eastAsia="Times New Roman" w:hAnsi="Times New Roman"/>
          <w:sz w:val="19"/>
          <w:szCs w:val="19"/>
          <w:color w:val="auto"/>
        </w:rPr>
        <w:t>”) and at least one office or agency where Notes may be presented for payment (“</w:t>
      </w:r>
      <w:r>
        <w:rPr>
          <w:rFonts w:ascii="Times New Roman" w:cs="Times New Roman" w:eastAsia="Times New Roman" w:hAnsi="Times New Roman"/>
          <w:sz w:val="19"/>
          <w:szCs w:val="19"/>
          <w:i w:val="1"/>
          <w:iCs w:val="1"/>
          <w:color w:val="auto"/>
        </w:rPr>
        <w:t>Paying Agent</w:t>
      </w:r>
      <w:r>
        <w:rPr>
          <w:rFonts w:ascii="Times New Roman" w:cs="Times New Roman" w:eastAsia="Times New Roman" w:hAnsi="Times New Roman"/>
          <w:sz w:val="19"/>
          <w:szCs w:val="19"/>
          <w:color w:val="auto"/>
        </w:rPr>
        <w:t>”). The Registrar shall keep a register of the Notes (“</w:t>
      </w:r>
      <w:r>
        <w:rPr>
          <w:rFonts w:ascii="Times New Roman" w:cs="Times New Roman" w:eastAsia="Times New Roman" w:hAnsi="Times New Roman"/>
          <w:sz w:val="19"/>
          <w:szCs w:val="19"/>
          <w:i w:val="1"/>
          <w:iCs w:val="1"/>
          <w:color w:val="auto"/>
        </w:rPr>
        <w:t>Note Register</w:t>
      </w:r>
      <w:r>
        <w:rPr>
          <w:rFonts w:ascii="Times New Roman" w:cs="Times New Roman" w:eastAsia="Times New Roman" w:hAnsi="Times New Roman"/>
          <w:sz w:val="19"/>
          <w:szCs w:val="19"/>
          <w:color w:val="auto"/>
        </w:rPr>
        <w:t>”) and of their transfer and exchange. The Company may appoint one or more co-registrars and one or more additional paying agents. The term “</w:t>
      </w:r>
      <w:r>
        <w:rPr>
          <w:rFonts w:ascii="Times New Roman" w:cs="Times New Roman" w:eastAsia="Times New Roman" w:hAnsi="Times New Roman"/>
          <w:sz w:val="19"/>
          <w:szCs w:val="19"/>
          <w:i w:val="1"/>
          <w:iCs w:val="1"/>
          <w:color w:val="auto"/>
        </w:rPr>
        <w:t>Registrar</w:t>
      </w:r>
      <w:r>
        <w:rPr>
          <w:rFonts w:ascii="Times New Roman" w:cs="Times New Roman" w:eastAsia="Times New Roman" w:hAnsi="Times New Roman"/>
          <w:sz w:val="19"/>
          <w:szCs w:val="19"/>
          <w:color w:val="auto"/>
        </w:rPr>
        <w:t>” includes any co-registrar, and the term “</w:t>
      </w:r>
      <w:r>
        <w:rPr>
          <w:rFonts w:ascii="Times New Roman" w:cs="Times New Roman" w:eastAsia="Times New Roman" w:hAnsi="Times New Roman"/>
          <w:sz w:val="19"/>
          <w:szCs w:val="19"/>
          <w:i w:val="1"/>
          <w:iCs w:val="1"/>
          <w:color w:val="auto"/>
        </w:rPr>
        <w:t>Paying Agent</w:t>
      </w:r>
      <w:r>
        <w:rPr>
          <w:rFonts w:ascii="Times New Roman" w:cs="Times New Roman" w:eastAsia="Times New Roman" w:hAnsi="Times New Roman"/>
          <w:sz w:val="19"/>
          <w:szCs w:val="19"/>
          <w:color w:val="auto"/>
        </w:rPr>
        <w:t>” includes any additional paying agent. The Company may change any Paying Agent or Registrar without prior notice to any Holder. The Company shall notify the Trustee in writing of the name and address of any Agent not a party to this Indenture. If the Company fails to appoint or maintain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00"/>
          </w:cols>
          <w:pgMar w:left="320" w:top="1247" w:right="379" w:bottom="1440" w:gutter="0" w:footer="0" w:header="0"/>
        </w:sectPr>
      </w:pPr>
    </w:p>
    <w:bookmarkStart w:id="26" w:name="page27"/>
    <w:bookmarkEnd w:id="26"/>
    <w:p>
      <w:pPr>
        <w:ind w:right="20"/>
        <w:spacing w:after="0" w:line="283" w:lineRule="auto"/>
        <w:rPr>
          <w:sz w:val="20"/>
          <w:szCs w:val="20"/>
          <w:color w:val="auto"/>
        </w:rPr>
      </w:pPr>
      <w:r>
        <w:rPr>
          <w:rFonts w:ascii="Times New Roman" w:cs="Times New Roman" w:eastAsia="Times New Roman" w:hAnsi="Times New Roman"/>
          <w:sz w:val="20"/>
          <w:szCs w:val="20"/>
          <w:color w:val="auto"/>
        </w:rPr>
        <w:t>another entity as Registrar or Paying Agent, the Trustee shall act as such. The Company or any of its Subsidiaries may act as Paying Agent or Registrar.</w:t>
      </w:r>
    </w:p>
    <w:p>
      <w:pPr>
        <w:spacing w:after="0" w:line="146" w:lineRule="exact"/>
        <w:rPr>
          <w:sz w:val="20"/>
          <w:szCs w:val="20"/>
          <w:color w:val="auto"/>
        </w:rPr>
      </w:pPr>
    </w:p>
    <w:p>
      <w:pPr>
        <w:ind w:right="160" w:firstLine="1304"/>
        <w:spacing w:after="0" w:line="261" w:lineRule="auto"/>
        <w:tabs>
          <w:tab w:leader="none" w:pos="1721"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initially appoints The Depository Trust Company to act as Depositary with respect to the Global Notes. The Company initially appoints the Trustee to act as Paying Agent and Registrar for the Notes and to act as Custodian with respect to the Global Notes.</w:t>
      </w:r>
    </w:p>
    <w:p>
      <w:pPr>
        <w:spacing w:after="0" w:line="18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2.04</w:t>
      </w:r>
      <w:r>
        <w:rPr>
          <w:sz w:val="20"/>
          <w:szCs w:val="20"/>
          <w:color w:val="auto"/>
        </w:rPr>
        <w:tab/>
      </w:r>
      <w:r>
        <w:rPr>
          <w:rFonts w:ascii="Times New Roman" w:cs="Times New Roman" w:eastAsia="Times New Roman" w:hAnsi="Times New Roman"/>
          <w:sz w:val="19"/>
          <w:szCs w:val="19"/>
          <w:u w:val="single" w:color="auto"/>
          <w:color w:val="auto"/>
        </w:rPr>
        <w:t>Paying Agent to Hold Money in Trust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0"/>
          <w:szCs w:val="20"/>
          <w:color w:val="auto"/>
        </w:rPr>
        <w:t>The Company shall, no later than 11:00 a.m. (New York City time) on each due date for the payment of principal, premium, if any, and interest on any of the Notes, deposit with a Paying Agent a sum sufficient to pay such amount, such sum to be held in trust for the Holders entitled to the same, and (unless such Paying Agent is the Trustee) the Company shall promptly notify the Trustee of its action or failure so to act. The Company shall require each Paying Agent other than the Trustee to agree in writing that such Paying Agent shall hold in trust for the benefit of Holders or the Trustee all money held by such Paying Agent for the payment of principal, premium, if any, and interest on the Notes, and shall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a Paying Agent shall have no further liability for the money. If the Company or a Subsidiary acts as Paying Agent, it shall segregate and hold in a separate trust fund for the benefit of the Holders all money held by it as Paying Agent. Upon any bankruptcy or reorganization proceedings relating to the Company, the Trustee shall serve as Paying Agent for the Notes.</w:t>
      </w:r>
    </w:p>
    <w:p>
      <w:pPr>
        <w:spacing w:after="0" w:line="17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2.05</w:t>
      </w:r>
      <w:r>
        <w:rPr>
          <w:sz w:val="20"/>
          <w:szCs w:val="20"/>
          <w:color w:val="auto"/>
        </w:rPr>
        <w:tab/>
      </w:r>
      <w:r>
        <w:rPr>
          <w:rFonts w:ascii="Times New Roman" w:cs="Times New Roman" w:eastAsia="Times New Roman" w:hAnsi="Times New Roman"/>
          <w:sz w:val="19"/>
          <w:szCs w:val="19"/>
          <w:u w:val="single" w:color="auto"/>
          <w:color w:val="auto"/>
        </w:rPr>
        <w:t>Holder Lists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260" w:firstLine="1296"/>
        <w:spacing w:after="0" w:line="258" w:lineRule="auto"/>
        <w:rPr>
          <w:sz w:val="20"/>
          <w:szCs w:val="20"/>
          <w:color w:val="auto"/>
        </w:rPr>
      </w:pPr>
      <w:r>
        <w:rPr>
          <w:rFonts w:ascii="Times New Roman" w:cs="Times New Roman" w:eastAsia="Times New Roman" w:hAnsi="Times New Roman"/>
          <w:sz w:val="20"/>
          <w:szCs w:val="20"/>
          <w:color w:val="auto"/>
        </w:rPr>
        <w:t>The Trustee shall preserve in as current a form as is reasonably practicable the most recent list available to it of the names and addresses of all Holders. If the Trustee is not the Registrar, the Company shall furnish to the Trustee at least two Business Days before each Interest Payment Date and at such other times as the Trustee may request in writing, a list in such form and as of such date as the Trustee may reasonably require of the names and addresses of the Holders.</w:t>
      </w:r>
    </w:p>
    <w:p>
      <w:pPr>
        <w:spacing w:after="0" w:line="15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2.06</w:t>
      </w:r>
      <w:r>
        <w:rPr>
          <w:sz w:val="20"/>
          <w:szCs w:val="20"/>
          <w:color w:val="auto"/>
        </w:rPr>
        <w:tab/>
      </w:r>
      <w:r>
        <w:rPr>
          <w:rFonts w:ascii="Times New Roman" w:cs="Times New Roman" w:eastAsia="Times New Roman" w:hAnsi="Times New Roman"/>
          <w:sz w:val="19"/>
          <w:szCs w:val="19"/>
          <w:u w:val="single" w:color="auto"/>
          <w:color w:val="auto"/>
        </w:rPr>
        <w:t>Transfer and Exchange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100" w:firstLine="1304"/>
        <w:spacing w:after="0" w:line="283" w:lineRule="auto"/>
        <w:tabs>
          <w:tab w:leader="none" w:pos="171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Notes shall be issued in registered form and shall be transferable only upon the surrender of a Note for registration of transfer and in compliance with Appendix A.</w:t>
      </w:r>
    </w:p>
    <w:p>
      <w:pPr>
        <w:spacing w:after="0" w:line="146" w:lineRule="exact"/>
        <w:rPr>
          <w:rFonts w:ascii="Times New Roman" w:cs="Times New Roman" w:eastAsia="Times New Roman" w:hAnsi="Times New Roman"/>
          <w:sz w:val="20"/>
          <w:szCs w:val="20"/>
          <w:color w:val="auto"/>
        </w:rPr>
      </w:pPr>
    </w:p>
    <w:p>
      <w:pPr>
        <w:ind w:right="40" w:firstLine="1304"/>
        <w:spacing w:after="0" w:line="283" w:lineRule="auto"/>
        <w:tabs>
          <w:tab w:leader="none" w:pos="1721"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permit registrations of transfers and exchanges, the Company shall execute and the Trustee shall authenticate Global Notes and Definitive Notes upon receipt of an Authentication Order in accordance with Section 2.02 or at the Registrar’s request.</w:t>
      </w:r>
    </w:p>
    <w:p>
      <w:pPr>
        <w:spacing w:after="0" w:line="146" w:lineRule="exact"/>
        <w:rPr>
          <w:rFonts w:ascii="Times New Roman" w:cs="Times New Roman" w:eastAsia="Times New Roman" w:hAnsi="Times New Roman"/>
          <w:sz w:val="20"/>
          <w:szCs w:val="20"/>
          <w:color w:val="auto"/>
        </w:rPr>
      </w:pPr>
    </w:p>
    <w:p>
      <w:pPr>
        <w:ind w:right="40" w:firstLine="1304"/>
        <w:spacing w:after="0" w:line="258" w:lineRule="auto"/>
        <w:tabs>
          <w:tab w:leader="none" w:pos="1713"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service charge shall be imposed in connection with any registration of transfer or exchange (other than pursuant to Section 2.07), but the Holders shall be required to pay any transfer tax or similar governmental charge payable in connection therewith (other than any such transfer taxes or similar governmental charge payable upon exchange or transfer pursuant to Sections 2.10, 3.06, 3.07 and 9.04).</w:t>
      </w:r>
    </w:p>
    <w:p>
      <w:pPr>
        <w:spacing w:after="0" w:line="185" w:lineRule="exact"/>
        <w:rPr>
          <w:rFonts w:ascii="Times New Roman" w:cs="Times New Roman" w:eastAsia="Times New Roman" w:hAnsi="Times New Roman"/>
          <w:sz w:val="20"/>
          <w:szCs w:val="20"/>
          <w:color w:val="auto"/>
        </w:rPr>
      </w:pPr>
    </w:p>
    <w:p>
      <w:pPr>
        <w:ind w:right="680" w:firstLine="1304"/>
        <w:spacing w:after="0" w:line="261" w:lineRule="auto"/>
        <w:tabs>
          <w:tab w:leader="none" w:pos="171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Global Notes and Definitive Notes issued upon any registration of transfer or exchange of Global Notes or Definitive Notes shall be the valid obligations of the Company, evidencing the same debt, and entitled to the same benefits under this Indenture, as the Global Notes or Definitive Notes surrendered upon such registration of transfer or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251" w:right="339" w:bottom="1440" w:gutter="0" w:footer="0" w:header="0"/>
        </w:sectPr>
      </w:pPr>
    </w:p>
    <w:bookmarkStart w:id="27" w:name="page28"/>
    <w:bookmarkEnd w:id="27"/>
    <w:p>
      <w:pPr>
        <w:ind w:right="60" w:firstLine="1304"/>
        <w:spacing w:after="0" w:line="253" w:lineRule="auto"/>
        <w:tabs>
          <w:tab w:leader="none" w:pos="1713"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the Registrar shall be required (1) to issue, to register the transfer of or to exchange any Note during a period beginning at the opening of business 15 days before the day of any selection of Notes for redemption under Section 3.02 and ending at the close of business on the day of selection, (2) to register the transfer of or to exchange any Note so selected for redemption, or tendered for repurchase (and not withdrawn) in connection with a Change of Control Offer, in whole or in part, except the unredeemed or unpurchased portion of any Note being redeemed or repurchased in part or (3) to register the transfer of or to exchange any Note between a Record Date and the next succeeding Interest Payment Date.</w:t>
      </w:r>
    </w:p>
    <w:p>
      <w:pPr>
        <w:spacing w:after="0" w:line="192" w:lineRule="exact"/>
        <w:rPr>
          <w:rFonts w:ascii="Times New Roman" w:cs="Times New Roman" w:eastAsia="Times New Roman" w:hAnsi="Times New Roman"/>
          <w:sz w:val="20"/>
          <w:szCs w:val="20"/>
          <w:color w:val="auto"/>
        </w:rPr>
      </w:pPr>
    </w:p>
    <w:p>
      <w:pPr>
        <w:ind w:right="120" w:firstLine="1304"/>
        <w:spacing w:after="0" w:line="254" w:lineRule="auto"/>
        <w:tabs>
          <w:tab w:leader="none" w:pos="1692"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premium, if any, and (subject to the Record Date provisions of the Notes) interest on such Notes and for all other purposes, and none of the Trustee, any Agent or the Company shall be affected by notice to the contrary.</w:t>
      </w:r>
    </w:p>
    <w:p>
      <w:pPr>
        <w:spacing w:after="0" w:line="187" w:lineRule="exact"/>
        <w:rPr>
          <w:rFonts w:ascii="Times New Roman" w:cs="Times New Roman" w:eastAsia="Times New Roman" w:hAnsi="Times New Roman"/>
          <w:sz w:val="20"/>
          <w:szCs w:val="20"/>
          <w:color w:val="auto"/>
        </w:rPr>
      </w:pPr>
    </w:p>
    <w:p>
      <w:pPr>
        <w:ind w:right="60" w:firstLine="1304"/>
        <w:spacing w:after="0" w:line="261" w:lineRule="auto"/>
        <w:tabs>
          <w:tab w:leader="none" w:pos="1725"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surrender for registration of transfer of any Note at the office or agency of the Company designated pursuant to Section 4.02, the Company shall execute, and the Trustee shall authenticate and mail, in the name of the designated transferee or transferees, one or more replacement Notes of any authorized denomination or denominations of a like aggregate principal amount.</w:t>
      </w:r>
    </w:p>
    <w:p>
      <w:pPr>
        <w:spacing w:after="0" w:line="181" w:lineRule="exact"/>
        <w:rPr>
          <w:rFonts w:ascii="Times New Roman" w:cs="Times New Roman" w:eastAsia="Times New Roman" w:hAnsi="Times New Roman"/>
          <w:sz w:val="20"/>
          <w:szCs w:val="20"/>
          <w:color w:val="auto"/>
        </w:rPr>
      </w:pPr>
    </w:p>
    <w:p>
      <w:pPr>
        <w:ind w:firstLine="1304"/>
        <w:spacing w:after="0" w:line="276" w:lineRule="auto"/>
        <w:tabs>
          <w:tab w:leader="none" w:pos="1714"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option of the Holder, Notes may be exchanged for other Notes of any authorized denomination or denominations of a like aggregate principal amount upon surrender of the Notes to be exchanged at such office or agency. Whenever any Global Notes or Definitive Notes are so surrendered for exchange, the Company shall execute, and the Trustee shall authenticate and mail, the replacement Global Notes and Definitive Notes which the Holder making the exchange is entitled to in accordance with the provisions of Appendix A.</w:t>
      </w:r>
    </w:p>
    <w:p>
      <w:pPr>
        <w:spacing w:after="0" w:line="156" w:lineRule="exact"/>
        <w:rPr>
          <w:rFonts w:ascii="Times New Roman" w:cs="Times New Roman" w:eastAsia="Times New Roman" w:hAnsi="Times New Roman"/>
          <w:sz w:val="19"/>
          <w:szCs w:val="19"/>
          <w:color w:val="auto"/>
        </w:rPr>
      </w:pPr>
    </w:p>
    <w:p>
      <w:pPr>
        <w:ind w:right="40" w:firstLine="1304"/>
        <w:spacing w:after="0" w:line="283" w:lineRule="auto"/>
        <w:tabs>
          <w:tab w:leader="none" w:pos="167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certifications, certificates and Opinions of Counsel required to be submitted to the Registrar pursuant to this Section 2.06 to effect a registration of transfer or exchange may be submitted by mail or by facsimile or electronic transmission.</w:t>
      </w:r>
    </w:p>
    <w:p>
      <w:pPr>
        <w:spacing w:after="0" w:line="14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2.07</w:t>
      </w:r>
      <w:r>
        <w:rPr>
          <w:sz w:val="20"/>
          <w:szCs w:val="20"/>
          <w:color w:val="auto"/>
        </w:rPr>
        <w:tab/>
      </w:r>
      <w:r>
        <w:rPr>
          <w:rFonts w:ascii="Times New Roman" w:cs="Times New Roman" w:eastAsia="Times New Roman" w:hAnsi="Times New Roman"/>
          <w:sz w:val="19"/>
          <w:szCs w:val="19"/>
          <w:u w:val="single" w:color="auto"/>
          <w:color w:val="auto"/>
        </w:rPr>
        <w:t>Replacement Notes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280" w:firstLine="1296"/>
        <w:spacing w:after="0" w:line="250" w:lineRule="auto"/>
        <w:rPr>
          <w:sz w:val="20"/>
          <w:szCs w:val="20"/>
          <w:color w:val="auto"/>
        </w:rPr>
      </w:pPr>
      <w:r>
        <w:rPr>
          <w:rFonts w:ascii="Times New Roman" w:cs="Times New Roman" w:eastAsia="Times New Roman" w:hAnsi="Times New Roman"/>
          <w:sz w:val="20"/>
          <w:szCs w:val="20"/>
          <w:color w:val="auto"/>
        </w:rPr>
        <w:t>If a mutilated Note is surrendered to the Trustee or if a Holder claims that its Note has been lost, destroyed or wrongfully taken and the Trustee receives evidence to its satisfaction of the ownership and loss, destruction or theft of such Note, the Company shall issue and the Trustee, upon receipt of an Authentication Order, shall authenticate a replacement Note if the Trustee’s requirements are otherwise met. If required by the Trustee or the Company, an indemnity bond must be provided by the Holder that is sufficient in the judgment of the Trustee and the Company to protect the Company, the Trustee, any Agent and any authenticating agent from any loss that any of them may suffer if a Note is replaced. The Company may charge the Holder for the expenses of the Company and the Trustee in replacing a Note. Every replacement Note is a contractual obligation of the Company and shall be entitled to all of the benefits of this Indenture equally and proportionately with all other Notes duly issued hereunder. Notwithstanding the foregoing provisions of this Section 2.07, in case any mutilated, lost, destroyed or wrongfully taken Note has become or is about to become due and payable, the Company in its discretion may, instead of issuing a new Note, pay such Note.</w:t>
      </w:r>
    </w:p>
    <w:p>
      <w:pPr>
        <w:spacing w:after="0" w:line="16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2.08</w:t>
      </w:r>
      <w:r>
        <w:rPr>
          <w:sz w:val="20"/>
          <w:szCs w:val="20"/>
          <w:color w:val="auto"/>
        </w:rPr>
        <w:tab/>
      </w:r>
      <w:r>
        <w:rPr>
          <w:rFonts w:ascii="Times New Roman" w:cs="Times New Roman" w:eastAsia="Times New Roman" w:hAnsi="Times New Roman"/>
          <w:sz w:val="19"/>
          <w:szCs w:val="19"/>
          <w:u w:val="single" w:color="auto"/>
          <w:color w:val="auto"/>
        </w:rPr>
        <w:t>Outstanding Notes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160" w:firstLine="1304"/>
        <w:spacing w:after="0" w:line="283" w:lineRule="auto"/>
        <w:tabs>
          <w:tab w:leader="none" w:pos="171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Notes outstanding at any time are all the Notes authenticated by the Trustee except for those canceled by it, those delivered to it for cancellation, those reductions in the interest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00"/>
          </w:cols>
          <w:pgMar w:left="320" w:top="1251" w:right="379" w:bottom="1440" w:gutter="0" w:footer="0" w:header="0"/>
        </w:sectPr>
      </w:pPr>
    </w:p>
    <w:bookmarkStart w:id="28" w:name="page29"/>
    <w:bookmarkEnd w:id="28"/>
    <w:p>
      <w:pPr>
        <w:spacing w:after="0" w:line="258" w:lineRule="auto"/>
        <w:rPr>
          <w:sz w:val="20"/>
          <w:szCs w:val="20"/>
          <w:color w:val="auto"/>
        </w:rPr>
      </w:pPr>
      <w:r>
        <w:rPr>
          <w:rFonts w:ascii="Times New Roman" w:cs="Times New Roman" w:eastAsia="Times New Roman" w:hAnsi="Times New Roman"/>
          <w:sz w:val="20"/>
          <w:szCs w:val="20"/>
          <w:color w:val="auto"/>
        </w:rPr>
        <w:t xml:space="preserve">Global Note effected by the Trustee in accordance with the provisions hereof, and those described in this Section 2.08 as not outstanding. Except as set forth in Section 2.09, a Note does not cease to be outstanding because the Company or an Affiliate of the Company holds the Note;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Notes held by the Company or a Subsidiary of the Company will not be deemed to be outstanding for purposes of Section 3.07(b).</w:t>
      </w:r>
    </w:p>
    <w:p>
      <w:pPr>
        <w:spacing w:after="0" w:line="172" w:lineRule="exact"/>
        <w:rPr>
          <w:sz w:val="20"/>
          <w:szCs w:val="20"/>
          <w:color w:val="auto"/>
        </w:rPr>
      </w:pPr>
    </w:p>
    <w:p>
      <w:pPr>
        <w:ind w:right="140" w:firstLine="1304"/>
        <w:spacing w:after="0" w:line="268" w:lineRule="auto"/>
        <w:tabs>
          <w:tab w:leader="none" w:pos="1725"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Note is replaced pursuant to Section 2.07, it ceases to be outstanding unless the Trustee receives proof satisfactory to it that the replaced Note is held by a protected purchaser, as such term is defined in Section 8-303 of the Uniform Commercial Code in effect in the State of New York.</w:t>
      </w:r>
    </w:p>
    <w:p>
      <w:pPr>
        <w:spacing w:after="0" w:line="161" w:lineRule="exact"/>
        <w:rPr>
          <w:rFonts w:ascii="Times New Roman" w:cs="Times New Roman" w:eastAsia="Times New Roman" w:hAnsi="Times New Roman"/>
          <w:sz w:val="20"/>
          <w:szCs w:val="20"/>
          <w:color w:val="auto"/>
        </w:rPr>
      </w:pPr>
    </w:p>
    <w:p>
      <w:pPr>
        <w:ind w:right="140" w:firstLine="1304"/>
        <w:spacing w:after="0" w:line="283" w:lineRule="auto"/>
        <w:tabs>
          <w:tab w:leader="none" w:pos="1713"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principal amount of any Note is considered paid under Section 4.01, it ceases to be outstanding and interest on it ceases to accrue from and after the date of such payment.</w:t>
      </w:r>
    </w:p>
    <w:p>
      <w:pPr>
        <w:spacing w:after="0" w:line="146" w:lineRule="exact"/>
        <w:rPr>
          <w:rFonts w:ascii="Times New Roman" w:cs="Times New Roman" w:eastAsia="Times New Roman" w:hAnsi="Times New Roman"/>
          <w:sz w:val="20"/>
          <w:szCs w:val="20"/>
          <w:color w:val="auto"/>
        </w:rPr>
      </w:pPr>
    </w:p>
    <w:p>
      <w:pPr>
        <w:ind w:right="80" w:firstLine="1304"/>
        <w:spacing w:after="0" w:line="288" w:lineRule="auto"/>
        <w:tabs>
          <w:tab w:leader="none" w:pos="1725"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 Paying Agent (other than the Company, a Subsidiary or an Affiliate of any thereof) holds, on the maturity date, any redemption date or any date of purchase pursuant to a Change of Control Offer, money sufficient to pay Notes payable or to be redeemed or purchased on that date, then on and after that date such Notes shall be deemed to be no longer outstanding and shall cease to accrue interest.</w:t>
      </w:r>
    </w:p>
    <w:p>
      <w:pPr>
        <w:spacing w:after="0" w:line="145"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2.09</w:t>
      </w:r>
      <w:r>
        <w:rPr>
          <w:sz w:val="20"/>
          <w:szCs w:val="20"/>
          <w:color w:val="auto"/>
        </w:rPr>
        <w:tab/>
      </w:r>
      <w:r>
        <w:rPr>
          <w:rFonts w:ascii="Times New Roman" w:cs="Times New Roman" w:eastAsia="Times New Roman" w:hAnsi="Times New Roman"/>
          <w:sz w:val="19"/>
          <w:szCs w:val="19"/>
          <w:u w:val="single" w:color="auto"/>
          <w:color w:val="auto"/>
        </w:rPr>
        <w:t>Treasury Notes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20"/>
          <w:szCs w:val="20"/>
          <w:color w:val="auto"/>
        </w:rPr>
        <w:t>In determining whether the Holders of the requisite principal amount of Notes have concurred in any direction, waiver or consent, Notes beneficially owned by the Company, or by any Affiliate of the Company, shall be considered as though not outstanding, except that for the purposes of determining whether the Trustee shall be protected in relying on any such direction, waiver or consent, only Notes that a Responsible Officer of the Trustee knows are so owned shall be so disregarded. Notes so owned which have been pledged in good faith shall not be disregarded if the pledgee establishes to the satisfaction of the Trustee the pledgee’s right to deliver any such direction, waiver or consent with respect to the Notes and that the pledgee is not the Company or any obligor upon the Notes or any Affiliate of the Company or of such other obligor.</w:t>
      </w:r>
    </w:p>
    <w:p>
      <w:pPr>
        <w:spacing w:after="0" w:line="17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2.10</w:t>
      </w:r>
      <w:r>
        <w:rPr>
          <w:sz w:val="20"/>
          <w:szCs w:val="20"/>
          <w:color w:val="auto"/>
        </w:rPr>
        <w:tab/>
      </w:r>
      <w:r>
        <w:rPr>
          <w:rFonts w:ascii="Times New Roman" w:cs="Times New Roman" w:eastAsia="Times New Roman" w:hAnsi="Times New Roman"/>
          <w:sz w:val="19"/>
          <w:szCs w:val="19"/>
          <w:u w:val="single" w:color="auto"/>
          <w:color w:val="auto"/>
        </w:rPr>
        <w:t>Temporary Notes</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20"/>
          <w:szCs w:val="20"/>
          <w:color w:val="auto"/>
        </w:rPr>
        <w:t>Until definitive Notes are ready for delivery, the Company may prepare and the Trustee, upon receipt of an Authentication Order, shall authenticate temporary Notes. Temporary Notes shall be substantially in the form of definitive Notes but may have variations that the Company considers appropriate for temporary Notes and as shall be reasonably acceptable to the Trustee. Without unreasonable delay, the Company shall prepare and the Trustee shall authenticate definitive Notes in exchange for temporary Notes. Holders and beneficial Holders, as the case may be, of temporary Notes shall be entitled to all of the benefits accorded to Holders, or beneficial Holders, respectively, of Notes under this Indenture.</w:t>
      </w:r>
    </w:p>
    <w:p>
      <w:pPr>
        <w:spacing w:after="0" w:line="16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color w:val="auto"/>
        </w:rPr>
        <w:t>Section 2.11</w:t>
      </w:r>
      <w:r>
        <w:rPr>
          <w:sz w:val="20"/>
          <w:szCs w:val="20"/>
          <w:color w:val="auto"/>
        </w:rPr>
        <w:tab/>
      </w:r>
      <w:r>
        <w:rPr>
          <w:rFonts w:ascii="Times New Roman" w:cs="Times New Roman" w:eastAsia="Times New Roman" w:hAnsi="Times New Roman"/>
          <w:sz w:val="19"/>
          <w:szCs w:val="19"/>
          <w:u w:val="single" w:color="auto"/>
          <w:color w:val="auto"/>
        </w:rPr>
        <w:t>Cancellation</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20"/>
          <w:szCs w:val="20"/>
          <w:color w:val="auto"/>
        </w:rPr>
        <w:t>The Company at any time may deliver Notes to the Trustee for cancellation. The Registrar and Paying Agent shall forward to the Trustee any Notes surrendered to them for registration of transfer, exchange or payment. The Trustee or, at the direction of the Trustee, the Registrar or the Paying Agent and no one else shall cancel all Notes surrendered for registration of transfer, exchange, payment, replacement or cancellation and shall destroy cancelled Notes in accordance with its customary procedures (subject to the record retention requirement of the Exchange Act). Certification of the destruction of all cancelled Notes shall, upon the written request of the Company, be delivered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25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9"/>
          <w:szCs w:val="19"/>
          <w:color w:val="auto"/>
        </w:rPr>
        <w:t>Company. The Company may not issue new Notes to replace Notes that it has paid or that have been delivered to the Trustee for cancellation.</w:t>
      </w:r>
    </w:p>
    <w:p>
      <w:pPr>
        <w:spacing w:after="0" w:line="21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2.12</w:t>
      </w:r>
      <w:r>
        <w:rPr>
          <w:sz w:val="20"/>
          <w:szCs w:val="20"/>
          <w:color w:val="auto"/>
        </w:rPr>
        <w:tab/>
      </w:r>
      <w:r>
        <w:rPr>
          <w:rFonts w:ascii="Times New Roman" w:cs="Times New Roman" w:eastAsia="Times New Roman" w:hAnsi="Times New Roman"/>
          <w:sz w:val="19"/>
          <w:szCs w:val="19"/>
          <w:u w:val="single" w:color="auto"/>
          <w:color w:val="auto"/>
        </w:rPr>
        <w:t>Defaulted Interest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80" w:firstLine="1304"/>
        <w:spacing w:after="0" w:line="250" w:lineRule="auto"/>
        <w:tabs>
          <w:tab w:leader="none" w:pos="1713"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Company defaults in a payment of interest on the Notes, it shall pay the defaulted interest in any lawful manner plus, to the extent lawful, interest payable on the defaulted interest, to the Persons who are Holders on a subsequent special record date, in each case at the rate provided in the Notes and in Section 4.01. The Company shall notify the Trustee in writing of the amount of defaulted interest proposed to be paid on each Note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provided in this Section 2.12. The Trustee shall fix or cause to be fixed each such special record date and payment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such special record date shall be less than 10 days prior to the related payment date for such defaulted interest. The Trustee shall promptly notify the Company of such special record date. At least 15 days before the special record date, the Company (or, upon the written request of the Company, the Trustee in the name and at the expense of the Company) shall mail or deliver by electronic transmission in accordance with the applicable procedures of the Depositary, or cause to be mailed or delivered by electronic transmission in accordance with the applicable procedures of the Depositary to each Holder a notice that states the special record date, the related payment date and the amount of such interest to be paid.</w:t>
      </w:r>
    </w:p>
    <w:p>
      <w:pPr>
        <w:spacing w:after="0" w:line="193" w:lineRule="exact"/>
        <w:rPr>
          <w:rFonts w:ascii="Times New Roman" w:cs="Times New Roman" w:eastAsia="Times New Roman" w:hAnsi="Times New Roman"/>
          <w:sz w:val="20"/>
          <w:szCs w:val="20"/>
          <w:color w:val="auto"/>
        </w:rPr>
      </w:pPr>
    </w:p>
    <w:p>
      <w:pPr>
        <w:ind w:right="160" w:firstLine="1304"/>
        <w:spacing w:after="0" w:line="261" w:lineRule="auto"/>
        <w:tabs>
          <w:tab w:leader="none" w:pos="1725"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foregoing provisions of this Section 2.12 and for greater certainty, each Note delivered under this Indenture upon registration of transfer of or in exchange for or in lieu of any other Note shall carry the rights to interest accrued and unpaid, and to accrue interest, which were carried by such other Note.</w:t>
      </w:r>
    </w:p>
    <w:p>
      <w:pPr>
        <w:spacing w:after="0" w:line="16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2.13</w:t>
      </w:r>
      <w:r>
        <w:rPr>
          <w:sz w:val="20"/>
          <w:szCs w:val="20"/>
          <w:color w:val="auto"/>
        </w:rPr>
        <w:tab/>
      </w:r>
      <w:r>
        <w:rPr>
          <w:rFonts w:ascii="Times New Roman" w:cs="Times New Roman" w:eastAsia="Times New Roman" w:hAnsi="Times New Roman"/>
          <w:sz w:val="19"/>
          <w:szCs w:val="19"/>
          <w:u w:val="single" w:color="auto"/>
          <w:color w:val="auto"/>
        </w:rPr>
        <w:t>CUSIP and ISIN Numbers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0"/>
          <w:szCs w:val="20"/>
          <w:color w:val="auto"/>
        </w:rPr>
        <w:t xml:space="preserve">The Company in issuing the Notes may use CUSIP or ISIN numbers (if then generally in use) and, if so, the Trustee shall use CUSIP or ISIN numbers in notices of redemption or exchange or in a Change of Control Offer as a convenience to Holders;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such notice may state that no representation is made as to the correctness of such numbers either as printed on the Notes or as contained in any notice of redemption or exchange or in a Change of Control Offer and that reliance may be placed only on the other identification numbers printed on the Notes, and any such redemption or exchange or Change of Control Offer shall not be affected by any defect in or omission of such numbers. The Company shall as promptly as practicable notify the Trustee in writing of any change in the CUSIP or ISIN numbers.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REDEMPTION</w:t>
      </w:r>
    </w:p>
    <w:p>
      <w:pPr>
        <w:spacing w:after="0" w:line="22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3.01</w:t>
      </w:r>
      <w:r>
        <w:rPr>
          <w:sz w:val="20"/>
          <w:szCs w:val="20"/>
          <w:color w:val="auto"/>
        </w:rPr>
        <w:tab/>
      </w:r>
      <w:r>
        <w:rPr>
          <w:rFonts w:ascii="Times New Roman" w:cs="Times New Roman" w:eastAsia="Times New Roman" w:hAnsi="Times New Roman"/>
          <w:sz w:val="19"/>
          <w:szCs w:val="19"/>
          <w:u w:val="single" w:color="auto"/>
          <w:color w:val="auto"/>
        </w:rPr>
        <w:t>Notices to Trustee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120" w:firstLine="1296"/>
        <w:spacing w:after="0" w:line="281" w:lineRule="auto"/>
        <w:rPr>
          <w:sz w:val="20"/>
          <w:szCs w:val="20"/>
          <w:color w:val="auto"/>
        </w:rPr>
      </w:pPr>
      <w:r>
        <w:rPr>
          <w:rFonts w:ascii="Times New Roman" w:cs="Times New Roman" w:eastAsia="Times New Roman" w:hAnsi="Times New Roman"/>
          <w:sz w:val="19"/>
          <w:szCs w:val="19"/>
          <w:color w:val="auto"/>
        </w:rPr>
        <w:t>If the Company elects to redeem Notes pursuant to Section 3.07, it shall furnish to the Trustee, at least two Business Days before notice of redemption is required to be mailed or caused to be mailed to Holders pursuant to Section 3.03 (unless a shorter notice shall be agreed to by the Trustee) but not more than 60 days before a redemption date, an Officer’s Certificate setting forth (1) the paragraph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251" w:right="339" w:bottom="1440" w:gutter="0" w:footer="0" w:header="0"/>
        </w:sectPr>
      </w:pPr>
    </w:p>
    <w:bookmarkStart w:id="30" w:name="page31"/>
    <w:bookmarkEnd w:id="30"/>
    <w:p>
      <w:pPr>
        <w:ind w:right="680"/>
        <w:spacing w:after="0" w:line="283" w:lineRule="auto"/>
        <w:rPr>
          <w:sz w:val="20"/>
          <w:szCs w:val="20"/>
          <w:color w:val="auto"/>
        </w:rPr>
      </w:pPr>
      <w:r>
        <w:rPr>
          <w:rFonts w:ascii="Times New Roman" w:cs="Times New Roman" w:eastAsia="Times New Roman" w:hAnsi="Times New Roman"/>
          <w:sz w:val="20"/>
          <w:szCs w:val="20"/>
          <w:color w:val="auto"/>
        </w:rPr>
        <w:t>subparagraph of such Note or Section of this Indenture pursuant to which the redemption shall occur, (2) the redemption date, (3) the principal amount of the Notes to be redeemed and (4) the redemption price, if then ascertainable.</w:t>
      </w:r>
    </w:p>
    <w:p>
      <w:pPr>
        <w:spacing w:after="0" w:line="13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3.02</w:t>
      </w:r>
      <w:r>
        <w:rPr>
          <w:sz w:val="20"/>
          <w:szCs w:val="20"/>
          <w:color w:val="auto"/>
        </w:rPr>
        <w:tab/>
      </w:r>
      <w:r>
        <w:rPr>
          <w:rFonts w:ascii="Times New Roman" w:cs="Times New Roman" w:eastAsia="Times New Roman" w:hAnsi="Times New Roman"/>
          <w:sz w:val="19"/>
          <w:szCs w:val="19"/>
          <w:u w:val="single" w:color="auto"/>
          <w:color w:val="auto"/>
        </w:rPr>
        <w:t>Selection of Notes to Be Redeemed or Purchased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240" w:firstLine="1304"/>
        <w:spacing w:after="0" w:line="257" w:lineRule="auto"/>
        <w:tabs>
          <w:tab w:leader="none" w:pos="1713"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less than all of the Notes are to be redeemed pursuant to Section 3.07 or purchased in a Change of Control Offer at any time, the Trustee shall select the Notes to be redeemed or purchased by lot in the case of Definitive Notes, or in accordance with the applicable procedures of the Depositary in the case of Global Notes. In the event of partial redemption or purchase by lot, the particular Notes to be redeemed or purchased shall be selected, unless otherwise provided herein, not less than 10 nor more than 60 days prior to the redemption date by the Trustee from the then outstanding Notes not previously called for redemption or purchase.</w:t>
      </w:r>
    </w:p>
    <w:p>
      <w:pPr>
        <w:spacing w:after="0" w:line="172" w:lineRule="exact"/>
        <w:rPr>
          <w:rFonts w:ascii="Times New Roman" w:cs="Times New Roman" w:eastAsia="Times New Roman" w:hAnsi="Times New Roman"/>
          <w:sz w:val="20"/>
          <w:szCs w:val="20"/>
          <w:color w:val="auto"/>
        </w:rPr>
      </w:pPr>
    </w:p>
    <w:p>
      <w:pPr>
        <w:ind w:right="120" w:firstLine="1304"/>
        <w:spacing w:after="0" w:line="257" w:lineRule="auto"/>
        <w:tabs>
          <w:tab w:leader="none" w:pos="1721"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Trustee shall promptly notify the Company in writing of the Notes selected for redemption or purchase and, in the case of any Note selected for partial redemption or purchase, the principal amount thereof to be redeemed or purchased. Notes and portions of Notes selected shall be in amounts of $1,000 or integral multiples of $1,000;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Notes of $2,000 in principal amount or less shall be redeemed in part. Except as provided in the preceding sentence, provisions of this Indenture that apply to Notes called for redemption or purchase also apply to portions of Notes called for redemption or purchase.</w:t>
      </w:r>
    </w:p>
    <w:p>
      <w:pPr>
        <w:spacing w:after="0" w:line="172" w:lineRule="exact"/>
        <w:rPr>
          <w:rFonts w:ascii="Times New Roman" w:cs="Times New Roman" w:eastAsia="Times New Roman" w:hAnsi="Times New Roman"/>
          <w:sz w:val="20"/>
          <w:szCs w:val="20"/>
          <w:color w:val="auto"/>
        </w:rPr>
      </w:pPr>
    </w:p>
    <w:p>
      <w:pPr>
        <w:ind w:right="60" w:firstLine="1304"/>
        <w:spacing w:after="0" w:line="258" w:lineRule="auto"/>
        <w:tabs>
          <w:tab w:leader="none" w:pos="1703"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redemption date or purchase date, upon surrender of a Note to be redeemed or purchased in part only, a new Note or Notes in principal amount equal to the unredeemed or unpurchased portion of the original Note, representing the same Indebtedness to the extent not redeemed or not purchased, shall be issued in the name of the Holder of the Notes upon cancellation of the original Note (or appropriate book entries shall be made to reflect such partial redemption).</w:t>
      </w:r>
    </w:p>
    <w:p>
      <w:pPr>
        <w:spacing w:after="0" w:line="18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3.03</w:t>
      </w:r>
      <w:r>
        <w:rPr>
          <w:sz w:val="20"/>
          <w:szCs w:val="20"/>
          <w:color w:val="auto"/>
        </w:rPr>
        <w:tab/>
      </w:r>
      <w:r>
        <w:rPr>
          <w:rFonts w:ascii="Times New Roman" w:cs="Times New Roman" w:eastAsia="Times New Roman" w:hAnsi="Times New Roman"/>
          <w:sz w:val="19"/>
          <w:szCs w:val="19"/>
          <w:u w:val="single" w:color="auto"/>
          <w:color w:val="auto"/>
        </w:rPr>
        <w:t>Notice of Redemption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1304"/>
        <w:spacing w:after="0" w:line="253" w:lineRule="auto"/>
        <w:tabs>
          <w:tab w:leader="none" w:pos="171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mail or deliver by electronic transmission in accordance with the applicable procedures of the Depositary, or cause to be mailed (or delivered by electronic transmission in accordance with the applicable procedures of the Depositary) notices of redemption of Notes not less than 10 days but not more than 60 days before the redemption date to each Holder whose Notes are to be redeemed pursuant to this Article at such Holder’s registered address or otherwise in accordance with the applicable procedures of the Depositary, except that redemption notices may be mailed more than 60 days prior to a redemption date if the notice is issued in connection with Article 8 or Article 11.</w:t>
      </w:r>
    </w:p>
    <w:p>
      <w:pPr>
        <w:spacing w:after="0" w:line="192"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notice shall identify the Notes to be redeemed (including CUSIP and ISIN number, if applicable) and shall state:</w:t>
      </w:r>
    </w:p>
    <w:p>
      <w:pPr>
        <w:spacing w:after="0" w:line="229" w:lineRule="exact"/>
        <w:rPr>
          <w:rFonts w:ascii="Times New Roman" w:cs="Times New Roman" w:eastAsia="Times New Roman" w:hAnsi="Times New Roman"/>
          <w:sz w:val="20"/>
          <w:szCs w:val="20"/>
          <w:color w:val="auto"/>
        </w:rPr>
      </w:pPr>
    </w:p>
    <w:p>
      <w:pPr>
        <w:ind w:left="2380" w:hanging="428"/>
        <w:spacing w:after="0"/>
        <w:tabs>
          <w:tab w:leader="none" w:pos="2380" w:val="left"/>
        </w:tabs>
        <w:numPr>
          <w:ilvl w:val="1"/>
          <w:numId w:val="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redemption date;</w:t>
      </w:r>
    </w:p>
    <w:p>
      <w:pPr>
        <w:spacing w:after="0" w:line="211" w:lineRule="exact"/>
        <w:rPr>
          <w:rFonts w:ascii="Times New Roman" w:cs="Times New Roman" w:eastAsia="Times New Roman" w:hAnsi="Times New Roman"/>
          <w:sz w:val="20"/>
          <w:szCs w:val="20"/>
          <w:color w:val="010000"/>
        </w:rPr>
      </w:pPr>
    </w:p>
    <w:p>
      <w:pPr>
        <w:ind w:left="1300" w:right="100" w:firstLine="652"/>
        <w:spacing w:after="0" w:line="263" w:lineRule="auto"/>
        <w:tabs>
          <w:tab w:leader="none" w:pos="2376" w:val="left"/>
        </w:tabs>
        <w:numPr>
          <w:ilvl w:val="1"/>
          <w:numId w:val="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redemption price, including the portion thereof representing any accrued and unpaid interest;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connection with a redemption under Section 3.07(a), the notice need not set forth the redemption price but only the manner of calculation thereof;</w:t>
      </w:r>
    </w:p>
    <w:p>
      <w:pPr>
        <w:spacing w:after="0" w:line="179" w:lineRule="exact"/>
        <w:rPr>
          <w:rFonts w:ascii="Times New Roman" w:cs="Times New Roman" w:eastAsia="Times New Roman" w:hAnsi="Times New Roman"/>
          <w:sz w:val="20"/>
          <w:szCs w:val="20"/>
          <w:color w:val="010000"/>
        </w:rPr>
      </w:pPr>
    </w:p>
    <w:p>
      <w:pPr>
        <w:ind w:left="2380" w:hanging="428"/>
        <w:spacing w:after="0"/>
        <w:tabs>
          <w:tab w:leader="none" w:pos="2380" w:val="left"/>
        </w:tabs>
        <w:numPr>
          <w:ilvl w:val="1"/>
          <w:numId w:val="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any Note is to be redeemed in part only, the portion of the principal amount of that Note that is to be</w:t>
      </w:r>
    </w:p>
    <w:p>
      <w:pPr>
        <w:spacing w:after="0" w:line="21" w:lineRule="exact"/>
        <w:rPr>
          <w:rFonts w:ascii="Times New Roman" w:cs="Times New Roman" w:eastAsia="Times New Roman" w:hAnsi="Times New Roman"/>
          <w:sz w:val="20"/>
          <w:szCs w:val="20"/>
          <w:color w:val="010000"/>
        </w:rPr>
      </w:pPr>
    </w:p>
    <w:p>
      <w:pPr>
        <w:ind w:left="130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20"/>
          </w:cols>
          <w:pgMar w:left="320" w:top="1251" w:right="359" w:bottom="1440" w:gutter="0" w:footer="0" w:header="0"/>
        </w:sectPr>
      </w:pPr>
    </w:p>
    <w:bookmarkStart w:id="31" w:name="page32"/>
    <w:bookmarkEnd w:id="31"/>
    <w:p>
      <w:pPr>
        <w:ind w:left="2380" w:hanging="428"/>
        <w:spacing w:after="0"/>
        <w:tabs>
          <w:tab w:leader="none" w:pos="2380" w:val="left"/>
        </w:tabs>
        <w:numPr>
          <w:ilvl w:val="1"/>
          <w:numId w:val="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name and address of the Paying Agent;</w:t>
      </w:r>
    </w:p>
    <w:p>
      <w:pPr>
        <w:spacing w:after="0" w:line="229" w:lineRule="exact"/>
        <w:rPr>
          <w:rFonts w:ascii="Times New Roman" w:cs="Times New Roman" w:eastAsia="Times New Roman" w:hAnsi="Times New Roman"/>
          <w:sz w:val="20"/>
          <w:szCs w:val="20"/>
          <w:color w:val="010000"/>
        </w:rPr>
      </w:pPr>
    </w:p>
    <w:p>
      <w:pPr>
        <w:ind w:left="2380" w:hanging="428"/>
        <w:spacing w:after="0"/>
        <w:tabs>
          <w:tab w:leader="none" w:pos="2380" w:val="left"/>
        </w:tabs>
        <w:numPr>
          <w:ilvl w:val="1"/>
          <w:numId w:val="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that Notes called for redemption must be surrendered to the Paying Agent to collect the redemption price;</w:t>
      </w:r>
    </w:p>
    <w:p>
      <w:pPr>
        <w:spacing w:after="0" w:line="215" w:lineRule="exact"/>
        <w:rPr>
          <w:rFonts w:ascii="Times New Roman" w:cs="Times New Roman" w:eastAsia="Times New Roman" w:hAnsi="Times New Roman"/>
          <w:sz w:val="20"/>
          <w:szCs w:val="20"/>
          <w:color w:val="010000"/>
        </w:rPr>
      </w:pPr>
    </w:p>
    <w:p>
      <w:pPr>
        <w:ind w:left="1300" w:firstLine="652"/>
        <w:spacing w:after="0" w:line="261" w:lineRule="auto"/>
        <w:tabs>
          <w:tab w:leader="none" w:pos="2376" w:val="left"/>
        </w:tabs>
        <w:numPr>
          <w:ilvl w:val="1"/>
          <w:numId w:val="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that, unless the Company defaults in making such redemption payment or the Paying Agent is prohibited from making such payment pursuant to the terms of this Indenture, interest on Notes called for redemption ceases to accrue on and after the redemption date;</w:t>
      </w:r>
    </w:p>
    <w:p>
      <w:pPr>
        <w:spacing w:after="0" w:line="181" w:lineRule="exact"/>
        <w:rPr>
          <w:rFonts w:ascii="Times New Roman" w:cs="Times New Roman" w:eastAsia="Times New Roman" w:hAnsi="Times New Roman"/>
          <w:sz w:val="20"/>
          <w:szCs w:val="20"/>
          <w:color w:val="010000"/>
        </w:rPr>
      </w:pPr>
    </w:p>
    <w:p>
      <w:pPr>
        <w:ind w:left="1300" w:right="120" w:firstLine="652"/>
        <w:spacing w:after="0" w:line="283" w:lineRule="auto"/>
        <w:tabs>
          <w:tab w:leader="none" w:pos="2376" w:val="left"/>
        </w:tabs>
        <w:numPr>
          <w:ilvl w:val="1"/>
          <w:numId w:val="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paragraph or subparagraph of the Notes or Section of this Indenture pursuant to which the Notes called for redemption are being redeemed; and</w:t>
      </w:r>
    </w:p>
    <w:p>
      <w:pPr>
        <w:spacing w:after="0" w:line="146" w:lineRule="exact"/>
        <w:rPr>
          <w:rFonts w:ascii="Times New Roman" w:cs="Times New Roman" w:eastAsia="Times New Roman" w:hAnsi="Times New Roman"/>
          <w:sz w:val="20"/>
          <w:szCs w:val="20"/>
          <w:color w:val="010000"/>
        </w:rPr>
      </w:pPr>
    </w:p>
    <w:p>
      <w:pPr>
        <w:ind w:left="1300" w:right="160" w:firstLine="652"/>
        <w:spacing w:after="0" w:line="283" w:lineRule="auto"/>
        <w:tabs>
          <w:tab w:leader="none" w:pos="2376" w:val="left"/>
        </w:tabs>
        <w:numPr>
          <w:ilvl w:val="1"/>
          <w:numId w:val="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that no representation is made as to the correctness or accuracy of the CUSIP or ISIN number, if any, listed in such notice or printed on the Notes.</w:t>
      </w:r>
    </w:p>
    <w:p>
      <w:pPr>
        <w:spacing w:after="0" w:line="146" w:lineRule="exact"/>
        <w:rPr>
          <w:rFonts w:ascii="Times New Roman" w:cs="Times New Roman" w:eastAsia="Times New Roman" w:hAnsi="Times New Roman"/>
          <w:sz w:val="20"/>
          <w:szCs w:val="20"/>
          <w:color w:val="010000"/>
        </w:rPr>
      </w:pPr>
    </w:p>
    <w:p>
      <w:pPr>
        <w:ind w:right="20" w:firstLine="1304"/>
        <w:spacing w:after="0" w:line="257" w:lineRule="auto"/>
        <w:tabs>
          <w:tab w:leader="none" w:pos="1703"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the Company’s request, the Trustee shall give the notice of redemption in the Company’s name and at the Company’s expense;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Company shall have delivered to the Trustee, at least two Business Days before notice of redemption is required to be sent or caused to be sent to Holders pursuant to this Section 3.03 (unless a shorter notice shall be agreed to by the Trustee), an Officer’s Certificate requesting that the Trustee give such notice and setting forth the information to be stated in such notice as provided in Section 3.03(b).</w:t>
      </w:r>
    </w:p>
    <w:p>
      <w:pPr>
        <w:spacing w:after="0" w:line="172" w:lineRule="exact"/>
        <w:rPr>
          <w:rFonts w:ascii="Times New Roman" w:cs="Times New Roman" w:eastAsia="Times New Roman" w:hAnsi="Times New Roman"/>
          <w:sz w:val="20"/>
          <w:szCs w:val="20"/>
          <w:color w:val="auto"/>
        </w:rPr>
      </w:pPr>
    </w:p>
    <w:p>
      <w:pPr>
        <w:ind w:right="20" w:firstLine="1304"/>
        <w:spacing w:after="0" w:line="252" w:lineRule="auto"/>
        <w:tabs>
          <w:tab w:leader="none" w:pos="1725"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 of any redemption or purchase of the Notes (including upon an Equity Offering or debt incurrence or in connection with a transaction (or series of related transactions) that constitute a Change of Control) may, at the Company’s discretion, be given prior to the completion of such transaction and may be subject to one or more conditions precedent, including, but not limited to, the completion of the related Equity Offering, debt incurrence or Change of Control. In addition, if such redemption or notice is subject to satisfaction of one or more conditions precedent, such notice will state that, in the Company’s direction, the redemption or purchase date may be delayed until such time as any or all of such conditions have been satisfied, or such redemption may not occur and such notice may be rescinded in the event that any or all such conditions have not been satisfied by the redemption or purchase date, or by the redemption or purchase date so delayed. In addition, the Company may provide in such notice that payment of the redemption or purchase price and performance of the Company’s obligations with respect to such redemption or purchase may be performed by another Person.</w:t>
      </w:r>
    </w:p>
    <w:p>
      <w:pPr>
        <w:spacing w:after="0" w:line="189" w:lineRule="exact"/>
        <w:rPr>
          <w:rFonts w:ascii="Times New Roman" w:cs="Times New Roman" w:eastAsia="Times New Roman" w:hAnsi="Times New Roman"/>
          <w:sz w:val="20"/>
          <w:szCs w:val="20"/>
          <w:color w:val="auto"/>
        </w:rPr>
      </w:pPr>
    </w:p>
    <w:p>
      <w:pPr>
        <w:ind w:right="340" w:firstLine="1304"/>
        <w:spacing w:after="0" w:line="269" w:lineRule="auto"/>
        <w:tabs>
          <w:tab w:leader="none" w:pos="1713"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such notice of redemption is rescinded pursuant to Section 3.03(d), the Company shall provide written notice thereof to the Trustee and each Holder.</w:t>
      </w:r>
    </w:p>
    <w:p>
      <w:pPr>
        <w:spacing w:after="0" w:line="17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3.04</w:t>
      </w:r>
      <w:r>
        <w:rPr>
          <w:sz w:val="20"/>
          <w:szCs w:val="20"/>
          <w:color w:val="auto"/>
        </w:rPr>
        <w:tab/>
      </w:r>
      <w:r>
        <w:rPr>
          <w:rFonts w:ascii="Times New Roman" w:cs="Times New Roman" w:eastAsia="Times New Roman" w:hAnsi="Times New Roman"/>
          <w:sz w:val="19"/>
          <w:szCs w:val="19"/>
          <w:u w:val="single" w:color="auto"/>
          <w:color w:val="auto"/>
        </w:rPr>
        <w:t>Effect of Notice of Redemption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0"/>
          <w:szCs w:val="20"/>
          <w:color w:val="auto"/>
        </w:rPr>
        <w:t>Unless the Company has given a notice of redemption pursuant to Section 3.03(d), Notes called for redemption become irrevocably due and payable on the redemption date at the redemption price. The notice, if mailed or delivered by electronic transmission in a manner herein provided, shall be conclusively presumed to have been given, whether or not the Holder receives such notice. In any case, failure to give such notice or any defect in the notice to the Holder of any Note designated for redemption in whole or in part shall not affect the validity of the proceedings for the redemption of any other Note. Subject to Section 3.05, on and after the redemption date, interest ceases to accrue on Notes or portions of Notes called for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20"/>
          </w:cols>
          <w:pgMar w:left="320" w:top="1251" w:right="359" w:bottom="1440" w:gutter="0" w:footer="0" w:header="0"/>
        </w:sectPr>
      </w:pPr>
    </w:p>
    <w:bookmarkStart w:id="32" w:name="page33"/>
    <w:bookmarkEnd w:id="32"/>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3.05</w:t>
      </w:r>
      <w:r>
        <w:rPr>
          <w:sz w:val="20"/>
          <w:szCs w:val="20"/>
          <w:color w:val="auto"/>
        </w:rPr>
        <w:tab/>
      </w:r>
      <w:r>
        <w:rPr>
          <w:rFonts w:ascii="Times New Roman" w:cs="Times New Roman" w:eastAsia="Times New Roman" w:hAnsi="Times New Roman"/>
          <w:sz w:val="19"/>
          <w:szCs w:val="19"/>
          <w:u w:val="single" w:color="auto"/>
          <w:color w:val="auto"/>
        </w:rPr>
        <w:t>Deposit of Redemption or Purchase Price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40" w:firstLine="1304"/>
        <w:spacing w:after="0" w:line="250" w:lineRule="auto"/>
        <w:tabs>
          <w:tab w:leader="none" w:pos="1713"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later than 11:00 a.m. (New York City time) on the redemption or purchase date (or such later time as such date to which the Trustee may reasonably agree), the Company shall deposit with the Trustee or with the Paying Agent money sufficient to pay the redemption or purchase price of and accrued and unpaid interest on all Notes to be redeemed or purchased on that date. If a Note is redeemed or purchased on or after a Record Date but on or prior to the related Interest Payment Date, then any accrued and unpaid interest to the redemption or purchase date in respect of such Note shall be paid to the Holder of record on such Record Date. The Paying Agent shall promptly mail to each Holder whose Notes are to be redeemed or repurchased the applicable redemption or purchase price thereof and accrued and unpaid interest thereon. The Trustee or the Paying Agent shall promptly return to the Company any money deposited with the Trustee or the Paying Agent by the Company in excess of the amounts necessary to pay the redemption or purchase price of, and accrued and unpaid interest on, all Notes to be redeemed or purchased.</w:t>
      </w:r>
    </w:p>
    <w:p>
      <w:pPr>
        <w:spacing w:after="0" w:line="192" w:lineRule="exact"/>
        <w:rPr>
          <w:rFonts w:ascii="Times New Roman" w:cs="Times New Roman" w:eastAsia="Times New Roman" w:hAnsi="Times New Roman"/>
          <w:sz w:val="20"/>
          <w:szCs w:val="20"/>
          <w:color w:val="auto"/>
        </w:rPr>
      </w:pPr>
    </w:p>
    <w:p>
      <w:pPr>
        <w:ind w:firstLine="1304"/>
        <w:spacing w:after="0" w:line="253" w:lineRule="auto"/>
        <w:tabs>
          <w:tab w:leader="none" w:pos="1725"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complies with the provisions of Section 3.05(a), on and after the redemption or purchase date, interest shall cease to accrue on the Notes or the portions of Notes called for redemption or purchase. If any Note called for redemption or purchase shall not be so paid upon surrender for redemption or purchase because of the failure of the Company to comply with Section 3.05(a), interest shall be paid on the unpaid principal, from the redemption or purchase date until such principal is paid, and, to the extent lawful, on any interest accrued to the redemption or purchase date not paid on such unpaid principal, in each case at the rate provided in the Notes and in Section 4.01.</w:t>
      </w:r>
    </w:p>
    <w:p>
      <w:pPr>
        <w:spacing w:after="0" w:line="19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3.06</w:t>
      </w:r>
      <w:r>
        <w:rPr>
          <w:sz w:val="20"/>
          <w:szCs w:val="20"/>
          <w:color w:val="auto"/>
        </w:rPr>
        <w:tab/>
      </w:r>
      <w:r>
        <w:rPr>
          <w:rFonts w:ascii="Times New Roman" w:cs="Times New Roman" w:eastAsia="Times New Roman" w:hAnsi="Times New Roman"/>
          <w:sz w:val="19"/>
          <w:szCs w:val="19"/>
          <w:u w:val="single" w:color="auto"/>
          <w:color w:val="auto"/>
        </w:rPr>
        <w:t>Notes Redeemed or Purchased in Part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40" w:firstLine="1296"/>
        <w:spacing w:after="0" w:line="269" w:lineRule="auto"/>
        <w:rPr>
          <w:sz w:val="20"/>
          <w:szCs w:val="20"/>
          <w:color w:val="auto"/>
        </w:rPr>
      </w:pPr>
      <w:r>
        <w:rPr>
          <w:rFonts w:ascii="Times New Roman" w:cs="Times New Roman" w:eastAsia="Times New Roman" w:hAnsi="Times New Roman"/>
          <w:sz w:val="19"/>
          <w:szCs w:val="19"/>
          <w:color w:val="auto"/>
        </w:rPr>
        <w:t xml:space="preserve">Upon surrender of a Note that is redeemed or purchased in part, the Company shall issue and, upon receipt of an Authentication Order, the Trustee shall promptly authenticate and mail to the Holder (or cause to be transferred by book entry) at the expense of the Company a new Note equal in principal amount to the unredeemed or unpurchased portion of the Note surrendered representing the same Indebtedness to the extent not redeemed or purchased;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each new Note shall be in a principal amount of $2,000 or an integral multiple of $1,000 in excess thereof. It is understood that, notwithstanding anything in this Indenture to the contrary, only an Authentication Order and not an Opinion of Counsel or Officer’s Certificate is required for the Trustee to authenticate such new Note.</w:t>
      </w:r>
    </w:p>
    <w:p>
      <w:pPr>
        <w:spacing w:after="0" w:line="15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3.07</w:t>
      </w:r>
      <w:r>
        <w:rPr>
          <w:sz w:val="20"/>
          <w:szCs w:val="20"/>
          <w:color w:val="auto"/>
        </w:rPr>
        <w:tab/>
      </w:r>
      <w:r>
        <w:rPr>
          <w:rFonts w:ascii="Times New Roman" w:cs="Times New Roman" w:eastAsia="Times New Roman" w:hAnsi="Times New Roman"/>
          <w:sz w:val="19"/>
          <w:szCs w:val="19"/>
          <w:u w:val="single" w:color="auto"/>
          <w:color w:val="auto"/>
        </w:rPr>
        <w:t>Optional Redemption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140" w:firstLine="1304"/>
        <w:spacing w:after="0" w:line="253" w:lineRule="auto"/>
        <w:tabs>
          <w:tab w:leader="none" w:pos="1703"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prior to December 1, 2028, the Company may redeem the Notes, in whole or in part, upon notice pursuant to Section 3.03 at a redemption price equal to 100% of the aggregate principal amount of the Notes, plus the Applicable Premium, plus accrued and unpaid interest thereon, if any, to but not including the redemption date. Promptly after the determination thereof, the Company shall give the Trustee notice of the redemption price provided for in this Section 3.07(a), and the Trustee shall not be responsible for such calculation.</w:t>
      </w:r>
    </w:p>
    <w:p>
      <w:pPr>
        <w:spacing w:after="0" w:line="191" w:lineRule="exact"/>
        <w:rPr>
          <w:rFonts w:ascii="Times New Roman" w:cs="Times New Roman" w:eastAsia="Times New Roman" w:hAnsi="Times New Roman"/>
          <w:sz w:val="20"/>
          <w:szCs w:val="20"/>
          <w:color w:val="auto"/>
        </w:rPr>
      </w:pPr>
    </w:p>
    <w:p>
      <w:pPr>
        <w:ind w:right="120" w:firstLine="1304"/>
        <w:spacing w:after="0" w:line="251" w:lineRule="auto"/>
        <w:tabs>
          <w:tab w:leader="none" w:pos="1725"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Prior to December 1, 2028, the Company may on any one or more occasions redeem up to 40% of the aggregate principal amount of the Notes (calculated after giving effect to any issuance of Additional Notes) with the net cash proceeds of an Equity Offering, upon notice pursuant to Section 3.03, at a redemption price equal to 105.625% of the principal amount thereof, plus accrued and unpaid interest thereon, if any, to but not including the applicable redemption date (subject to the rights of Holders on the relevant Record Date to receive interest on the relevant Interest Payment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(1) at least 60% of the aggregate principal amount of the Notes originally issued under the Indenture (including any Additional Notes but excluding Notes held by the Company and its Subsidiaries) remains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251" w:right="339" w:bottom="1440" w:gutter="0" w:footer="0" w:header="0"/>
        </w:sectPr>
      </w:pPr>
    </w:p>
    <w:bookmarkStart w:id="33" w:name="page34"/>
    <w:bookmarkEnd w:id="33"/>
    <w:p>
      <w:pPr>
        <w:spacing w:after="0" w:line="283" w:lineRule="auto"/>
        <w:rPr>
          <w:sz w:val="20"/>
          <w:szCs w:val="20"/>
          <w:color w:val="auto"/>
        </w:rPr>
      </w:pPr>
      <w:r>
        <w:rPr>
          <w:rFonts w:ascii="Times New Roman" w:cs="Times New Roman" w:eastAsia="Times New Roman" w:hAnsi="Times New Roman"/>
          <w:sz w:val="20"/>
          <w:szCs w:val="20"/>
          <w:color w:val="auto"/>
        </w:rPr>
        <w:t>outstanding immediately after the occurrence of such redemption; and (2) such redemption occurs within 180 days after the date of closing of such Equity Offering.</w:t>
      </w:r>
    </w:p>
    <w:p>
      <w:pPr>
        <w:spacing w:after="0" w:line="146" w:lineRule="exact"/>
        <w:rPr>
          <w:sz w:val="20"/>
          <w:szCs w:val="20"/>
          <w:color w:val="auto"/>
        </w:rPr>
      </w:pPr>
    </w:p>
    <w:p>
      <w:pPr>
        <w:ind w:right="60" w:firstLine="1304"/>
        <w:spacing w:after="0" w:line="283" w:lineRule="auto"/>
        <w:tabs>
          <w:tab w:leader="none" w:pos="1713"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pursuant to clause (a), (b) or (f) of this Section 3.07, the Notes shall not be redeemable at the Company’s option prior to December 1, 2028.</w:t>
      </w:r>
    </w:p>
    <w:p>
      <w:pPr>
        <w:spacing w:after="0" w:line="146" w:lineRule="exact"/>
        <w:rPr>
          <w:rFonts w:ascii="Times New Roman" w:cs="Times New Roman" w:eastAsia="Times New Roman" w:hAnsi="Times New Roman"/>
          <w:sz w:val="20"/>
          <w:szCs w:val="20"/>
          <w:color w:val="auto"/>
        </w:rPr>
      </w:pPr>
    </w:p>
    <w:p>
      <w:pPr>
        <w:ind w:right="40" w:firstLine="1304"/>
        <w:spacing w:after="0" w:line="257" w:lineRule="auto"/>
        <w:tabs>
          <w:tab w:leader="none" w:pos="1725"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after December 1, 2028, the Company may on any one or more occasions redeem the Notes, in whole or in part, upon notice pursuant to Section 3.03 at the redemption prices (expressed as percentages of principal amount of the Notes to be redeemed) set forth below, plus accrued and unpaid interest thereon, if any, to but not including the applicable redemption date, if redeemed during the 12-month period beginning on December 1 of each of the years indicated below, subject to the rights of Holders on the relevant Record Date to receive interest on the relevant Interest Payment Date: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70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Year</w:t>
            </w:r>
          </w:p>
        </w:tc>
        <w:tc>
          <w:tcPr>
            <w:tcW w:w="5420" w:type="dxa"/>
            <w:vAlign w:val="bottom"/>
          </w:tcPr>
          <w:p>
            <w:pPr>
              <w:jc w:val="right"/>
              <w:ind w:right="321"/>
              <w:spacing w:after="0"/>
              <w:rPr>
                <w:sz w:val="20"/>
                <w:szCs w:val="20"/>
                <w:color w:val="auto"/>
              </w:rPr>
            </w:pPr>
            <w:r>
              <w:rPr>
                <w:rFonts w:ascii="Times New Roman" w:cs="Times New Roman" w:eastAsia="Times New Roman" w:hAnsi="Times New Roman"/>
                <w:sz w:val="20"/>
                <w:szCs w:val="20"/>
                <w:b w:val="1"/>
                <w:bCs w:val="1"/>
                <w:color w:val="auto"/>
              </w:rPr>
              <w:t>Percentage</w:t>
            </w:r>
          </w:p>
        </w:tc>
      </w:tr>
      <w:tr>
        <w:trPr>
          <w:trHeight w:val="35"/>
        </w:trPr>
        <w:tc>
          <w:tcPr>
            <w:tcW w:w="5700" w:type="dxa"/>
            <w:vAlign w:val="bottom"/>
            <w:tcBorders>
              <w:bottom w:val="single" w:sz="8" w:color="auto"/>
            </w:tcBorders>
          </w:tcPr>
          <w:p>
            <w:pPr>
              <w:spacing w:after="0"/>
              <w:rPr>
                <w:sz w:val="3"/>
                <w:szCs w:val="3"/>
                <w:color w:val="auto"/>
              </w:rPr>
            </w:pPr>
          </w:p>
        </w:tc>
        <w:tc>
          <w:tcPr>
            <w:tcW w:w="5420" w:type="dxa"/>
            <w:vAlign w:val="bottom"/>
            <w:tcBorders>
              <w:bottom w:val="single" w:sz="8" w:color="auto"/>
            </w:tcBorders>
          </w:tcPr>
          <w:p>
            <w:pPr>
              <w:spacing w:after="0"/>
              <w:rPr>
                <w:sz w:val="3"/>
                <w:szCs w:val="3"/>
                <w:color w:val="auto"/>
              </w:rPr>
            </w:pPr>
          </w:p>
        </w:tc>
      </w:tr>
      <w:tr>
        <w:trPr>
          <w:trHeight w:val="256"/>
        </w:trPr>
        <w:tc>
          <w:tcPr>
            <w:tcW w:w="57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2028</w:t>
            </w:r>
          </w:p>
        </w:tc>
        <w:tc>
          <w:tcPr>
            <w:tcW w:w="5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102.813 %</w:t>
            </w:r>
          </w:p>
        </w:tc>
      </w:tr>
      <w:tr>
        <w:trPr>
          <w:trHeight w:val="297"/>
        </w:trPr>
        <w:tc>
          <w:tcPr>
            <w:tcW w:w="57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2029</w:t>
            </w:r>
          </w:p>
        </w:tc>
        <w:tc>
          <w:tcPr>
            <w:tcW w:w="5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101.406 %</w:t>
            </w:r>
          </w:p>
        </w:tc>
      </w:tr>
      <w:tr>
        <w:trPr>
          <w:trHeight w:val="297"/>
        </w:trPr>
        <w:tc>
          <w:tcPr>
            <w:tcW w:w="57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2030 and thereafter</w:t>
            </w:r>
          </w:p>
        </w:tc>
        <w:tc>
          <w:tcPr>
            <w:tcW w:w="5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100.000 %</w:t>
            </w:r>
          </w:p>
        </w:tc>
      </w:tr>
    </w:tbl>
    <w:p>
      <w:pPr>
        <w:spacing w:after="0" w:line="200" w:lineRule="exact"/>
        <w:rPr>
          <w:sz w:val="20"/>
          <w:szCs w:val="20"/>
          <w:color w:val="auto"/>
        </w:rPr>
      </w:pPr>
    </w:p>
    <w:p>
      <w:pPr>
        <w:spacing w:after="0" w:line="311" w:lineRule="exact"/>
        <w:rPr>
          <w:sz w:val="20"/>
          <w:szCs w:val="20"/>
          <w:color w:val="auto"/>
        </w:rPr>
      </w:pPr>
    </w:p>
    <w:p>
      <w:pPr>
        <w:jc w:val="both"/>
        <w:ind w:right="100"/>
        <w:spacing w:after="0" w:line="283" w:lineRule="auto"/>
        <w:rPr>
          <w:sz w:val="20"/>
          <w:szCs w:val="20"/>
          <w:color w:val="auto"/>
        </w:rPr>
      </w:pPr>
      <w:r>
        <w:rPr>
          <w:rFonts w:ascii="Times New Roman" w:cs="Times New Roman" w:eastAsia="Times New Roman" w:hAnsi="Times New Roman"/>
          <w:sz w:val="20"/>
          <w:szCs w:val="20"/>
          <w:color w:val="auto"/>
        </w:rPr>
        <w:t>Unless the Company defaults in the payment of the redemption price, interest will cease to accrue on the Notes or portions thereof called for redemption on the applicable redemption date.</w:t>
      </w:r>
    </w:p>
    <w:p>
      <w:pPr>
        <w:spacing w:after="0" w:line="146" w:lineRule="exact"/>
        <w:rPr>
          <w:sz w:val="20"/>
          <w:szCs w:val="20"/>
          <w:color w:val="auto"/>
        </w:rPr>
      </w:pPr>
    </w:p>
    <w:p>
      <w:pPr>
        <w:ind w:left="1720" w:hanging="416"/>
        <w:spacing w:after="0"/>
        <w:tabs>
          <w:tab w:leader="none" w:pos="1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redemption pursuant to this Section 3.07 shall be made pursuant to the provisions of Sections 3.01 through 3.06.</w:t>
      </w:r>
    </w:p>
    <w:p>
      <w:pPr>
        <w:spacing w:after="0" w:line="229" w:lineRule="exact"/>
        <w:rPr>
          <w:rFonts w:ascii="Times New Roman" w:cs="Times New Roman" w:eastAsia="Times New Roman" w:hAnsi="Times New Roman"/>
          <w:sz w:val="20"/>
          <w:szCs w:val="20"/>
          <w:color w:val="auto"/>
        </w:rPr>
      </w:pPr>
    </w:p>
    <w:p>
      <w:pPr>
        <w:ind w:firstLine="1304"/>
        <w:spacing w:after="0" w:line="251" w:lineRule="auto"/>
        <w:tabs>
          <w:tab w:leader="none" w:pos="1692"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Holders of not less than 90% in aggregate principal amount of the outstanding Notes validly tender and do not withdraw such Notes in connection with any tender offer or other offer to purchase the Notes (including pursuant to a Change of Control Offer) and the Company, or any other Person making such offer in lieu of the Company, purchases all of the Notes validly tendered and not validly withdrawn by such Holders, the Company or such other Person will have the right, upon not less than 10 nor more than 60 days’ prior notice, to redeem or purchase all Notes that remain outstanding following such purchase at a redemption price in cash equal to the applicable price paid to Holders in such purchase (excluding any early tender or incentive fee), plus accrued and unpaid interest, if any, to, but excluding, the redemption date (subject to the right of holders of record on the relevant Record Date to receive interest due on an Interest Payment Date that is on or prior to the redemption date).</w:t>
      </w:r>
    </w:p>
    <w:p>
      <w:pPr>
        <w:spacing w:after="0" w:line="195"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3.08</w:t>
      </w:r>
      <w:r>
        <w:rPr>
          <w:sz w:val="20"/>
          <w:szCs w:val="20"/>
          <w:color w:val="auto"/>
        </w:rPr>
        <w:tab/>
      </w:r>
      <w:r>
        <w:rPr>
          <w:rFonts w:ascii="Times New Roman" w:cs="Times New Roman" w:eastAsia="Times New Roman" w:hAnsi="Times New Roman"/>
          <w:sz w:val="19"/>
          <w:szCs w:val="19"/>
          <w:u w:val="single" w:color="auto"/>
          <w:color w:val="auto"/>
        </w:rPr>
        <w:t>Mandatory Redemption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The Company will not be required to make mandatory redemption or sinking fund payments with respect to the Notes.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ARTICLE 4</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COVENANTS</w:t>
      </w:r>
    </w:p>
    <w:p>
      <w:pPr>
        <w:spacing w:after="0" w:line="22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4.01</w:t>
      </w:r>
      <w:r>
        <w:rPr>
          <w:sz w:val="20"/>
          <w:szCs w:val="20"/>
          <w:color w:val="auto"/>
        </w:rPr>
        <w:tab/>
      </w:r>
      <w:r>
        <w:rPr>
          <w:rFonts w:ascii="Times New Roman" w:cs="Times New Roman" w:eastAsia="Times New Roman" w:hAnsi="Times New Roman"/>
          <w:sz w:val="19"/>
          <w:szCs w:val="19"/>
          <w:u w:val="single" w:color="auto"/>
          <w:color w:val="auto"/>
        </w:rPr>
        <w:t>Payment of Notes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60" w:firstLine="1304"/>
        <w:spacing w:after="0" w:line="261" w:lineRule="auto"/>
        <w:tabs>
          <w:tab w:leader="none" w:pos="171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pay, or cause to be paid, the principal, premium, if any, and interest on the Notes on the dates and in the manner provided in the Notes. Principal, premium, if any, and interest shall be considered paid on the date due if the Paying Agent, if other than the Company or a Subsidiary, holds as of 11:00 a.m. (New York City) time, on the due date money deposited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20"/>
          </w:cols>
          <w:pgMar w:left="320" w:top="125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color w:val="auto"/>
        </w:rPr>
        <w:t>Company in immediately available funds and designated for and sufficient to pay the principal, premium, if any, and interest then due.</w:t>
      </w:r>
    </w:p>
    <w:p>
      <w:pPr>
        <w:spacing w:after="0" w:line="229" w:lineRule="exact"/>
        <w:rPr>
          <w:sz w:val="20"/>
          <w:szCs w:val="20"/>
          <w:color w:val="auto"/>
        </w:rPr>
      </w:pPr>
    </w:p>
    <w:p>
      <w:pPr>
        <w:jc w:val="both"/>
        <w:ind w:right="80" w:firstLine="1304"/>
        <w:spacing w:after="0" w:line="254" w:lineRule="auto"/>
        <w:tabs>
          <w:tab w:leader="none" w:pos="1721"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pay interest (including post-petition interest in any proceeding under any Bankruptcy Law) on overdue principal and premium, if any, at the rate equal to the then applicable interest rate on the Notes to the extent lawful; it shall pay interest (including post-petition interest in any proceeding under any Bankruptcy Law) on overdue installments of interest (without regard to any applicable grace period) at the same rate to the extent lawful.</w:t>
      </w:r>
    </w:p>
    <w:p>
      <w:pPr>
        <w:spacing w:after="0" w:line="187"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4.02</w:t>
      </w:r>
      <w:r>
        <w:rPr>
          <w:sz w:val="20"/>
          <w:szCs w:val="20"/>
          <w:color w:val="auto"/>
        </w:rPr>
        <w:tab/>
      </w:r>
      <w:r>
        <w:rPr>
          <w:rFonts w:ascii="Times New Roman" w:cs="Times New Roman" w:eastAsia="Times New Roman" w:hAnsi="Times New Roman"/>
          <w:sz w:val="19"/>
          <w:szCs w:val="19"/>
          <w:u w:val="single" w:color="auto"/>
          <w:color w:val="auto"/>
        </w:rPr>
        <w:t>Maintenance of Office or Agency</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80" w:firstLine="1296"/>
        <w:spacing w:after="0" w:line="253" w:lineRule="auto"/>
        <w:rPr>
          <w:sz w:val="20"/>
          <w:szCs w:val="20"/>
          <w:color w:val="auto"/>
        </w:rPr>
      </w:pPr>
      <w:r>
        <w:rPr>
          <w:rFonts w:ascii="Times New Roman" w:cs="Times New Roman" w:eastAsia="Times New Roman" w:hAnsi="Times New Roman"/>
          <w:sz w:val="20"/>
          <w:szCs w:val="20"/>
          <w:color w:val="auto"/>
        </w:rPr>
        <w:t>The Company shall maintain an office or agency (which may be an office of the Trustee or an affiliate of the Trustee, Registrar or co-registrar) where Notes may be surrendered for registration of transfer or for exchange and where notices and demands to or upon the Company and the Subsidiary Guarantors in respect of the Notes and this Indenture may be served. The Company shall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w:t>
      </w:r>
    </w:p>
    <w:p>
      <w:pPr>
        <w:spacing w:after="0" w:line="165"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20"/>
          <w:szCs w:val="20"/>
          <w:color w:val="auto"/>
        </w:rPr>
        <w:t>The Company may also from time to time designate additional offices or agencies where the Notes may be presented or surrendered for any or all such purposes and may from time to time rescind such designations. The Company shall give prompt written notice to the Trustee of any such designation or rescission and of any change in the location of any such other office or agency.</w:t>
      </w:r>
    </w:p>
    <w:p>
      <w:pPr>
        <w:spacing w:after="0" w:line="154" w:lineRule="exact"/>
        <w:rPr>
          <w:sz w:val="20"/>
          <w:szCs w:val="20"/>
          <w:color w:val="auto"/>
        </w:rPr>
      </w:pPr>
    </w:p>
    <w:p>
      <w:pPr>
        <w:ind w:right="220" w:firstLine="1296"/>
        <w:spacing w:after="0" w:line="283" w:lineRule="auto"/>
        <w:rPr>
          <w:sz w:val="20"/>
          <w:szCs w:val="20"/>
          <w:color w:val="auto"/>
        </w:rPr>
      </w:pPr>
      <w:r>
        <w:rPr>
          <w:rFonts w:ascii="Times New Roman" w:cs="Times New Roman" w:eastAsia="Times New Roman" w:hAnsi="Times New Roman"/>
          <w:sz w:val="20"/>
          <w:szCs w:val="20"/>
          <w:color w:val="auto"/>
        </w:rPr>
        <w:t>The Company hereby designates the Corporate Trust Office of the Trustee as one such office or agency of the Company in accordance with Section 2.03.</w:t>
      </w:r>
    </w:p>
    <w:p>
      <w:pPr>
        <w:spacing w:after="0" w:line="13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4.03</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1296"/>
        <w:spacing w:after="0" w:line="253" w:lineRule="auto"/>
        <w:rPr>
          <w:sz w:val="20"/>
          <w:szCs w:val="20"/>
          <w:color w:val="auto"/>
        </w:rPr>
      </w:pPr>
      <w:r>
        <w:rPr>
          <w:rFonts w:ascii="Times New Roman" w:cs="Times New Roman" w:eastAsia="Times New Roman" w:hAnsi="Times New Roman"/>
          <w:sz w:val="20"/>
          <w:szCs w:val="20"/>
          <w:color w:val="auto"/>
        </w:rPr>
        <w:t>The Company shall pay, and shall cause each of its Subsidiaries to pay, prior to delinquency, all taxes, assessments and governmental levies except (a) such as are being contested in good faith and by appropriate negotiations or proceedings or (b) where the failure to effect such payment would not have a material adverse effect (1) upon the financial condition, business or results of operations of the Company and its Subsidiaries and (2) on the ability of the Company and its Subsidiaries to perform their respective obligations under the Notes or this Indenture.</w:t>
      </w:r>
    </w:p>
    <w:p>
      <w:pPr>
        <w:spacing w:after="0" w:line="165"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4.04</w:t>
      </w:r>
      <w:r>
        <w:rPr>
          <w:sz w:val="20"/>
          <w:szCs w:val="20"/>
          <w:color w:val="auto"/>
        </w:rPr>
        <w:tab/>
      </w:r>
      <w:r>
        <w:rPr>
          <w:rFonts w:ascii="Times New Roman" w:cs="Times New Roman" w:eastAsia="Times New Roman" w:hAnsi="Times New Roman"/>
          <w:sz w:val="19"/>
          <w:szCs w:val="19"/>
          <w:u w:val="single" w:color="auto"/>
          <w:color w:val="auto"/>
        </w:rPr>
        <w:t>Stay, Extension and Usury Laws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20"/>
          <w:szCs w:val="20"/>
          <w:color w:val="auto"/>
        </w:rPr>
        <w:t>The Company and each Subsidiary Guarantor covenants (to the extent that it may lawfully do so) that it shall not at any time insist upon, plead, or in any manner whatsoever claim or take the benefit or advantage of, any stay, extension or usury law wherever enacted, now or at any time hereafter in force, that may affect the covenants or the performance of this Indenture; and the Company and each Subsidiary Guarantor (to the extent that it may lawfully do so) hereby expressly waives all benefit or advantage of any such law, and covenants that it shall not, by resort to any such law, hinder, delay or impede the execution of any power herein granted to the Trustee, but shall suffer and permit the execution of every such power as though no such law has been enacted.</w:t>
      </w:r>
    </w:p>
    <w:p>
      <w:pPr>
        <w:spacing w:after="0" w:line="165"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4.05</w:t>
      </w:r>
      <w:r>
        <w:rPr>
          <w:sz w:val="20"/>
          <w:szCs w:val="20"/>
          <w:color w:val="auto"/>
        </w:rPr>
        <w:tab/>
      </w:r>
      <w:r>
        <w:rPr>
          <w:rFonts w:ascii="Times New Roman" w:cs="Times New Roman" w:eastAsia="Times New Roman" w:hAnsi="Times New Roman"/>
          <w:sz w:val="19"/>
          <w:szCs w:val="19"/>
          <w:u w:val="single" w:color="auto"/>
          <w:color w:val="auto"/>
        </w:rPr>
        <w:t>Reports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240" w:firstLine="1304"/>
        <w:spacing w:after="0" w:line="269" w:lineRule="auto"/>
        <w:tabs>
          <w:tab w:leader="none" w:pos="171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or not the Company is subject to the reporting requirements of Sections 13 or 15(d) of the Exchange Act, so long as the Notes are outstanding, the Company shall file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20"/>
          </w:cols>
          <w:pgMar w:left="320" w:top="1251" w:right="359" w:bottom="1440" w:gutter="0" w:footer="0" w:header="0"/>
        </w:sectPr>
      </w:pPr>
    </w:p>
    <w:bookmarkStart w:id="35" w:name="page36"/>
    <w:bookmarkEnd w:id="35"/>
    <w:p>
      <w:pPr>
        <w:ind w:right="60"/>
        <w:spacing w:after="0" w:line="253" w:lineRule="auto"/>
        <w:rPr>
          <w:sz w:val="20"/>
          <w:szCs w:val="20"/>
          <w:color w:val="auto"/>
        </w:rPr>
      </w:pPr>
      <w:r>
        <w:rPr>
          <w:rFonts w:ascii="Times New Roman" w:cs="Times New Roman" w:eastAsia="Times New Roman" w:hAnsi="Times New Roman"/>
          <w:sz w:val="20"/>
          <w:szCs w:val="20"/>
          <w:color w:val="auto"/>
        </w:rPr>
        <w:t xml:space="preserve">SEC and make available to the Trustee and Holders within 15 days after the Company would be required to file with the SEC such annual reports and such information, documents and other reports as are specified in Sections 13 and 15(d) of the Exchange Act;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Company shall not be so obligated to file such reports with the SEC if the SEC does not permit such filing, in which event the Company will make available such information to the Trustee and Holders within 15 days after the time the Company would be required to file such information with the SEC subject to Sections 13 or 15(d) of the Exchange Act.</w:t>
      </w:r>
    </w:p>
    <w:p>
      <w:pPr>
        <w:spacing w:after="0" w:line="192" w:lineRule="exact"/>
        <w:rPr>
          <w:sz w:val="20"/>
          <w:szCs w:val="20"/>
          <w:color w:val="auto"/>
        </w:rPr>
      </w:pPr>
    </w:p>
    <w:p>
      <w:pPr>
        <w:ind w:firstLine="1304"/>
        <w:spacing w:after="0" w:line="253" w:lineRule="auto"/>
        <w:tabs>
          <w:tab w:leader="none" w:pos="1721"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be deemed to have satisfied the requirements of this Section 4.05 if any direct or indirect parent of the Company furnishes or makes available information regarding the parent of the type otherwise so required with respect to the Company, so long as such direct or indirect parent of the Company (i) becomes a guarantor of the Notes and (ii) is not engaged in any business in any material respect other than incidental to its ownership, directly or indirectly, of its equity interest in the Company;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financial information so furnished relates to such direct or indirect parent of the Company, the same is accompanied by a reasonably detailed description of the quantitative differences between the information relating to such parent, on the one hand, and the information relating to the Company and its Subsidiaries on a standalone basis, on the other hand.</w:t>
      </w:r>
    </w:p>
    <w:p>
      <w:pPr>
        <w:spacing w:after="0" w:line="179" w:lineRule="exact"/>
        <w:rPr>
          <w:rFonts w:ascii="Times New Roman" w:cs="Times New Roman" w:eastAsia="Times New Roman" w:hAnsi="Times New Roman"/>
          <w:sz w:val="20"/>
          <w:szCs w:val="20"/>
          <w:color w:val="auto"/>
        </w:rPr>
      </w:pPr>
    </w:p>
    <w:p>
      <w:pPr>
        <w:ind w:right="60" w:firstLine="1304"/>
        <w:spacing w:after="0" w:line="258" w:lineRule="auto"/>
        <w:tabs>
          <w:tab w:leader="none" w:pos="1713"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8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4.06</w:t>
      </w:r>
      <w:r>
        <w:rPr>
          <w:sz w:val="20"/>
          <w:szCs w:val="20"/>
          <w:color w:val="auto"/>
        </w:rPr>
        <w:tab/>
      </w:r>
      <w:r>
        <w:rPr>
          <w:rFonts w:ascii="Times New Roman" w:cs="Times New Roman" w:eastAsia="Times New Roman" w:hAnsi="Times New Roman"/>
          <w:sz w:val="19"/>
          <w:szCs w:val="19"/>
          <w:u w:val="single" w:color="auto"/>
          <w:color w:val="auto"/>
        </w:rPr>
        <w:t>Limitation on Liens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60" w:firstLine="1304"/>
        <w:spacing w:after="0" w:line="253" w:lineRule="auto"/>
        <w:tabs>
          <w:tab w:leader="none" w:pos="171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not, and will not permit any Subsidiary to, directly or indirectly, create, assume, incur or Guarantee any Indebtedness secured by any Lien (an “</w:t>
      </w:r>
      <w:r>
        <w:rPr>
          <w:rFonts w:ascii="Times New Roman" w:cs="Times New Roman" w:eastAsia="Times New Roman" w:hAnsi="Times New Roman"/>
          <w:sz w:val="20"/>
          <w:szCs w:val="20"/>
          <w:i w:val="1"/>
          <w:iCs w:val="1"/>
          <w:color w:val="auto"/>
        </w:rPr>
        <w:t>Initial Lien</w:t>
      </w:r>
      <w:r>
        <w:rPr>
          <w:rFonts w:ascii="Times New Roman" w:cs="Times New Roman" w:eastAsia="Times New Roman" w:hAnsi="Times New Roman"/>
          <w:sz w:val="20"/>
          <w:szCs w:val="20"/>
          <w:color w:val="auto"/>
        </w:rPr>
        <w:t>”) of any nature whatsoever on any of its properties or assets (whether owned at the Issue Date or thereafter acquired), other than Permitted Liens, without effectively providing that the Notes (together with, at the option of the Company, any other Indebtedness of the Company or any of its Subsidiaries ranking equally in right of payment with the Notes) shall be secured equally and ratably with (or prior to) the obligations so secured for so long as such obligations are so secured.</w:t>
      </w:r>
    </w:p>
    <w:p>
      <w:pPr>
        <w:spacing w:after="0" w:line="191" w:lineRule="exact"/>
        <w:rPr>
          <w:rFonts w:ascii="Times New Roman" w:cs="Times New Roman" w:eastAsia="Times New Roman" w:hAnsi="Times New Roman"/>
          <w:sz w:val="20"/>
          <w:szCs w:val="20"/>
          <w:color w:val="auto"/>
        </w:rPr>
      </w:pPr>
    </w:p>
    <w:p>
      <w:pPr>
        <w:ind w:right="80" w:firstLine="1304"/>
        <w:spacing w:after="0" w:line="250" w:lineRule="auto"/>
        <w:tabs>
          <w:tab w:leader="none" w:pos="1725"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Section 4.06(a), the Company and its Subsidiaries may create, assume, incur or guarantee Indebtedness secured by a Lien without equally and ratably securing the Notes;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at the time of such creation, assumption, incurrence or guarantee, after giving effect thereto and to the retirement of any Indebtedness that is being retired substantially concurrently with any such creation, assumption, incurrence or guarantee, the sum of (1) the aggregate principal amount of all outstanding Indebtedness secured by Liens other than Permitted Liens, (2) the outstanding Attributable Debt with respect to all Sale/Leaseback Transactions of the Company and its Subsidiaries incurred pursuant to Section 4.09(b), (3) the aggregate principal amount of all outstanding refinancing Indebtedness incurred pursuant to clause (8) of the definition of Permitted Liens in respect of Indebtedness initially incurred pursuant to this sentence and (4) the aggregate principal amount of all outstanding Indebtedness incurred pursuant to clause (11) of the definition of Permitted Liens, does not, in the aggregate for clauses (1) through (4) of this Section 4.06(b), exceed the greater of (i) $875.0 million and (ii) 15.0% of Consolidated Net Tangible Assets.</w:t>
      </w:r>
    </w:p>
    <w:p>
      <w:pPr>
        <w:spacing w:after="0" w:line="196" w:lineRule="exact"/>
        <w:rPr>
          <w:rFonts w:ascii="Times New Roman" w:cs="Times New Roman" w:eastAsia="Times New Roman" w:hAnsi="Times New Roman"/>
          <w:sz w:val="20"/>
          <w:szCs w:val="20"/>
          <w:color w:val="auto"/>
        </w:rPr>
      </w:pPr>
    </w:p>
    <w:p>
      <w:pPr>
        <w:ind w:right="140" w:firstLine="1304"/>
        <w:spacing w:after="0" w:line="283" w:lineRule="auto"/>
        <w:tabs>
          <w:tab w:leader="none" w:pos="1703"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Lien thereby created in favor of the Notes will be automatically and unconditionally released and discharged upon (1) the release and discharge of each Initial Lien to which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251" w:right="339" w:bottom="1440" w:gutter="0" w:footer="0" w:header="0"/>
        </w:sectPr>
      </w:pPr>
    </w:p>
    <w:bookmarkStart w:id="36" w:name="page37"/>
    <w:bookmarkEnd w:id="36"/>
    <w:p>
      <w:pPr>
        <w:ind w:right="180"/>
        <w:spacing w:after="0" w:line="283" w:lineRule="auto"/>
        <w:rPr>
          <w:sz w:val="20"/>
          <w:szCs w:val="20"/>
          <w:color w:val="auto"/>
        </w:rPr>
      </w:pPr>
      <w:r>
        <w:rPr>
          <w:rFonts w:ascii="Times New Roman" w:cs="Times New Roman" w:eastAsia="Times New Roman" w:hAnsi="Times New Roman"/>
          <w:sz w:val="20"/>
          <w:szCs w:val="20"/>
          <w:color w:val="auto"/>
        </w:rPr>
        <w:t>relates, or (2) any sale, exchange or transfer of the property or assets secured by such Initial Lien to any Person that is not an affiliate of the Company.</w:t>
      </w:r>
    </w:p>
    <w:p>
      <w:pPr>
        <w:spacing w:after="0" w:line="14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4.07</w:t>
      </w:r>
      <w:r>
        <w:rPr>
          <w:sz w:val="20"/>
          <w:szCs w:val="20"/>
          <w:color w:val="auto"/>
        </w:rPr>
        <w:tab/>
      </w:r>
      <w:r>
        <w:rPr>
          <w:rFonts w:ascii="Times New Roman" w:cs="Times New Roman" w:eastAsia="Times New Roman" w:hAnsi="Times New Roman"/>
          <w:sz w:val="19"/>
          <w:szCs w:val="19"/>
          <w:u w:val="single" w:color="auto"/>
          <w:color w:val="auto"/>
        </w:rPr>
        <w:t>Future Subsidiary Guarantors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0"/>
          <w:szCs w:val="20"/>
          <w:color w:val="auto"/>
        </w:rPr>
        <w:t>Each direct and indirect (a) Domestic Subsidiary that incurs or guarantees any Indebtedness under the Credit Agreement, (b) Domestic Subsidiary that guarantees any other Material Indebtedness or (c) wholly-owned Domestic Subsidiary that incurs any other Material Indebtedness, shall guarantee the Notes and execute a supplemental indenture to the Trustee within 45 days of the date such Domestic Subsidiary incurs or guarantees such Indebtedness. The Company may elect, in its sole discretion, to cause any Subsidiary that is not otherwise required to be a Subsidiary Guarantor to become a Subsidiary Guarantor, in which case such Subsidiary shall not be required to comply with the 45-day period of this Section 4.07.</w:t>
      </w:r>
    </w:p>
    <w:p>
      <w:pPr>
        <w:spacing w:after="0" w:line="165"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4.08</w:t>
      </w:r>
      <w:r>
        <w:rPr>
          <w:sz w:val="20"/>
          <w:szCs w:val="20"/>
          <w:color w:val="auto"/>
        </w:rPr>
        <w:tab/>
      </w:r>
      <w:r>
        <w:rPr>
          <w:rFonts w:ascii="Times New Roman" w:cs="Times New Roman" w:eastAsia="Times New Roman" w:hAnsi="Times New Roman"/>
          <w:sz w:val="19"/>
          <w:szCs w:val="19"/>
          <w:u w:val="single" w:color="auto"/>
          <w:color w:val="auto"/>
        </w:rPr>
        <w:t>Offer to Repurchase Upon Change of Control Repurchase Event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40" w:firstLine="1304"/>
        <w:spacing w:after="0" w:line="253" w:lineRule="auto"/>
        <w:tabs>
          <w:tab w:leader="none" w:pos="171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of a Change of Control Repurchase Event, unless the Company has exercised its right to redeem the Notes under Section 3.07 hereof, each Holder will have the right to require the Company to purchase all or a portion of such Holder’s Notes pursuant to Section 4.08(b) (the “</w:t>
      </w:r>
      <w:r>
        <w:rPr>
          <w:rFonts w:ascii="Times New Roman" w:cs="Times New Roman" w:eastAsia="Times New Roman" w:hAnsi="Times New Roman"/>
          <w:sz w:val="20"/>
          <w:szCs w:val="20"/>
          <w:i w:val="1"/>
          <w:iCs w:val="1"/>
          <w:color w:val="auto"/>
        </w:rPr>
        <w:t>Change of Control Offer</w:t>
      </w:r>
      <w:r>
        <w:rPr>
          <w:rFonts w:ascii="Times New Roman" w:cs="Times New Roman" w:eastAsia="Times New Roman" w:hAnsi="Times New Roman"/>
          <w:sz w:val="20"/>
          <w:szCs w:val="20"/>
          <w:color w:val="auto"/>
        </w:rPr>
        <w:t>”), at a purchase price equal to 101% of the principal amount of the Holder’s Notes plus accrued and unpaid interest, if any, to, but not including, the date of purchase, subject to the rights of Holders on the relevant Record Date to receive interest due on the relevant Interest Payment Date.</w:t>
      </w:r>
    </w:p>
    <w:p>
      <w:pPr>
        <w:spacing w:after="0" w:line="191" w:lineRule="exact"/>
        <w:rPr>
          <w:rFonts w:ascii="Times New Roman" w:cs="Times New Roman" w:eastAsia="Times New Roman" w:hAnsi="Times New Roman"/>
          <w:sz w:val="20"/>
          <w:szCs w:val="20"/>
          <w:color w:val="auto"/>
        </w:rPr>
      </w:pPr>
    </w:p>
    <w:p>
      <w:pPr>
        <w:ind w:right="20" w:firstLine="1304"/>
        <w:spacing w:after="0" w:line="265" w:lineRule="auto"/>
        <w:tabs>
          <w:tab w:leader="none" w:pos="1721"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30 days following the date upon which the Change of Control Repurchase Event occurred, or at the Company’s option, prior to any Change of Control but after the public announcement of the pending Change of Control, the Company will be required to send a notice, by first class mail to each Holder, or electronically in the case of a Global Note held by the Depository, with a copy to the Trustee, which notice will govern the terms of the Change of Control Offer. Such notice will state, among other things, the purchase date, which must be no earlier than 30 days nor later than 60 days from the date such notice is mailed or otherwise delivered, other than as may be required by law (the “</w:t>
      </w:r>
      <w:r>
        <w:rPr>
          <w:rFonts w:ascii="Times New Roman" w:cs="Times New Roman" w:eastAsia="Times New Roman" w:hAnsi="Times New Roman"/>
          <w:sz w:val="19"/>
          <w:szCs w:val="19"/>
          <w:i w:val="1"/>
          <w:iCs w:val="1"/>
          <w:color w:val="auto"/>
        </w:rPr>
        <w:t>Change of Control Payment Date</w:t>
      </w:r>
      <w:r>
        <w:rPr>
          <w:rFonts w:ascii="Times New Roman" w:cs="Times New Roman" w:eastAsia="Times New Roman" w:hAnsi="Times New Roman"/>
          <w:sz w:val="19"/>
          <w:szCs w:val="19"/>
          <w:color w:val="auto"/>
        </w:rPr>
        <w:t>”). The notice, if delivered prior to the date of consummation of the Change of Control, will state that the Change of Control Offer is conditioned on the Change of Control being consummated on or prior to the Change of Control Payment Date. Holders electing to have Notes purchased pursuant to a Change of Control Offer will be required to surrender their Notes, with the form entitled “Option of Holder to Elect Purchase” on the reverse of the Note completed, to the Paying Agent at the address specified in the notice, or transfer their Notes to the Paying Agent by book-entry transfer pursuant to the applicable procedures of the Paying Agent, prior to the close of business on the third business day prior to the Change of Control Payment Date.</w:t>
      </w:r>
    </w:p>
    <w:p>
      <w:pPr>
        <w:spacing w:after="0" w:line="167" w:lineRule="exact"/>
        <w:rPr>
          <w:rFonts w:ascii="Times New Roman" w:cs="Times New Roman" w:eastAsia="Times New Roman" w:hAnsi="Times New Roman"/>
          <w:sz w:val="19"/>
          <w:szCs w:val="19"/>
          <w:color w:val="auto"/>
        </w:rPr>
      </w:pPr>
    </w:p>
    <w:p>
      <w:pPr>
        <w:jc w:val="both"/>
        <w:ind w:right="640" w:firstLine="1304"/>
        <w:spacing w:after="0" w:line="261" w:lineRule="auto"/>
        <w:tabs>
          <w:tab w:leader="none" w:pos="171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not be required to make a Change of Control Offer if a third party makes such an offer in the manner, at the times and otherwise in compliance with the requirements for such an offer made by the Company and such third party purchases all Notes properly tendered and not withdrawn under its offer.</w:t>
      </w:r>
    </w:p>
    <w:p>
      <w:pPr>
        <w:spacing w:after="0" w:line="181" w:lineRule="exact"/>
        <w:rPr>
          <w:rFonts w:ascii="Times New Roman" w:cs="Times New Roman" w:eastAsia="Times New Roman" w:hAnsi="Times New Roman"/>
          <w:sz w:val="20"/>
          <w:szCs w:val="20"/>
          <w:color w:val="auto"/>
        </w:rPr>
      </w:pPr>
    </w:p>
    <w:p>
      <w:pPr>
        <w:ind w:right="60" w:firstLine="1304"/>
        <w:spacing w:after="0" w:line="258" w:lineRule="auto"/>
        <w:tabs>
          <w:tab w:leader="none" w:pos="1721"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comply, to the extent applicable, with the requirements of Section 14(e) of the Exchange Act and any other securities laws or regulations in connection with the repurchase of Notes as a result of a Change of Control Repurchase Event. To the extent that the provisions of any securities laws or regulations conflict with the provisions of this Section 4.08, the Company will comply with the applicable securities laws and regulations and shall not be deemed to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20"/>
          </w:cols>
          <w:pgMar w:left="320" w:top="125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color w:val="auto"/>
        </w:rPr>
        <w:t>breached its obligations under this Section 4.08 by virtue of its compliance with such securities laws or regulations.</w:t>
      </w:r>
    </w:p>
    <w:p>
      <w:pPr>
        <w:spacing w:after="0" w:line="229" w:lineRule="exact"/>
        <w:rPr>
          <w:sz w:val="20"/>
          <w:szCs w:val="20"/>
          <w:color w:val="auto"/>
        </w:rPr>
      </w:pPr>
    </w:p>
    <w:p>
      <w:pPr>
        <w:ind w:right="140" w:firstLine="1304"/>
        <w:spacing w:after="0" w:line="261" w:lineRule="auto"/>
        <w:tabs>
          <w:tab w:leader="none" w:pos="171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this Section 4.08 relating to the Company’s obligation to make an offer to repurchase the Notes as a result of a Change of Control Repurchase Event may be waived or modified with the written consent of the Holders of a majority in aggregate principal amount of the Notes.</w:t>
      </w:r>
    </w:p>
    <w:p>
      <w:pPr>
        <w:spacing w:after="0" w:line="167" w:lineRule="exact"/>
        <w:rPr>
          <w:rFonts w:ascii="Times New Roman" w:cs="Times New Roman" w:eastAsia="Times New Roman" w:hAnsi="Times New Roman"/>
          <w:sz w:val="20"/>
          <w:szCs w:val="20"/>
          <w:color w:val="auto"/>
        </w:rPr>
      </w:pPr>
    </w:p>
    <w:p>
      <w:pPr>
        <w:ind w:left="1700" w:hanging="396"/>
        <w:spacing w:after="0"/>
        <w:tabs>
          <w:tab w:leader="none" w:pos="17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Change of Control Repurchase Event payment date, the Company shall, to the extent lawful:</w:t>
      </w:r>
    </w:p>
    <w:p>
      <w:pPr>
        <w:spacing w:after="0" w:line="229" w:lineRule="exact"/>
        <w:rPr>
          <w:rFonts w:ascii="Times New Roman" w:cs="Times New Roman" w:eastAsia="Times New Roman" w:hAnsi="Times New Roman"/>
          <w:sz w:val="20"/>
          <w:szCs w:val="20"/>
          <w:color w:val="auto"/>
        </w:rPr>
      </w:pPr>
    </w:p>
    <w:p>
      <w:pPr>
        <w:ind w:left="1300" w:right="480" w:firstLine="652"/>
        <w:spacing w:after="0" w:line="283" w:lineRule="auto"/>
        <w:tabs>
          <w:tab w:leader="none" w:pos="2376" w:val="left"/>
        </w:tabs>
        <w:numPr>
          <w:ilvl w:val="1"/>
          <w:numId w:val="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accept for payment all Notes or portions of Notes (in a minimum principal amount of $2,000 and integral multiples of $1,000 in excess thereof) properly tendered and not withdrawn pursuant to the Company’s offer;</w:t>
      </w:r>
    </w:p>
    <w:p>
      <w:pPr>
        <w:spacing w:after="0" w:line="146" w:lineRule="exact"/>
        <w:rPr>
          <w:rFonts w:ascii="Times New Roman" w:cs="Times New Roman" w:eastAsia="Times New Roman" w:hAnsi="Times New Roman"/>
          <w:sz w:val="20"/>
          <w:szCs w:val="20"/>
          <w:color w:val="010000"/>
        </w:rPr>
      </w:pPr>
    </w:p>
    <w:p>
      <w:pPr>
        <w:ind w:left="1300" w:right="560" w:firstLine="652"/>
        <w:spacing w:after="0" w:line="283" w:lineRule="auto"/>
        <w:tabs>
          <w:tab w:leader="none" w:pos="2376" w:val="left"/>
        </w:tabs>
        <w:numPr>
          <w:ilvl w:val="1"/>
          <w:numId w:val="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deposit with the Paying Agent an amount equal to the aggregate purchase price in respect of all Notes or portions of Notes properly tendered and not withdrawn; and</w:t>
      </w:r>
    </w:p>
    <w:p>
      <w:pPr>
        <w:spacing w:after="0" w:line="146" w:lineRule="exact"/>
        <w:rPr>
          <w:rFonts w:ascii="Times New Roman" w:cs="Times New Roman" w:eastAsia="Times New Roman" w:hAnsi="Times New Roman"/>
          <w:sz w:val="20"/>
          <w:szCs w:val="20"/>
          <w:color w:val="010000"/>
        </w:rPr>
      </w:pPr>
    </w:p>
    <w:p>
      <w:pPr>
        <w:ind w:left="1300" w:right="800" w:firstLine="652"/>
        <w:spacing w:after="0" w:line="310" w:lineRule="auto"/>
        <w:tabs>
          <w:tab w:leader="none" w:pos="2376" w:val="left"/>
        </w:tabs>
        <w:numPr>
          <w:ilvl w:val="1"/>
          <w:numId w:val="4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deliver or cause to be delivered to the Trustee the Notes properly accepted, together with an Officer’s Certificate stating the aggregate principal amount of Notes or portions of Notes being purchased by the Company.</w:t>
      </w:r>
    </w:p>
    <w:p>
      <w:pPr>
        <w:spacing w:after="0" w:line="138" w:lineRule="exact"/>
        <w:rPr>
          <w:sz w:val="20"/>
          <w:szCs w:val="20"/>
          <w:color w:val="auto"/>
        </w:rPr>
      </w:pPr>
    </w:p>
    <w:p>
      <w:pPr>
        <w:jc w:val="both"/>
        <w:ind w:right="60" w:firstLine="1296"/>
        <w:spacing w:after="0" w:line="254" w:lineRule="auto"/>
        <w:rPr>
          <w:sz w:val="20"/>
          <w:szCs w:val="20"/>
          <w:color w:val="auto"/>
        </w:rPr>
      </w:pPr>
      <w:r>
        <w:rPr>
          <w:rFonts w:ascii="Times New Roman" w:cs="Times New Roman" w:eastAsia="Times New Roman" w:hAnsi="Times New Roman"/>
          <w:sz w:val="20"/>
          <w:szCs w:val="20"/>
          <w:color w:val="auto"/>
        </w:rPr>
        <w:t xml:space="preserve">The Paying Agent will promptly mail to each Holder of Notes properly tendered and not withdrawn the purchase price for such Notes, and the Trustee will promptly authenticate and mail (or cause to be transferred by book-entry) to each Holder a new Note equal in principal amount to any unpurchased portion of any such Notes surrendered;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each new Note will be in a minimum principal amount of $2,000 or an integral multiple of $1,000 in excess thereof.</w:t>
      </w:r>
    </w:p>
    <w:p>
      <w:pPr>
        <w:spacing w:after="0" w:line="187"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4.09</w:t>
      </w:r>
      <w:r>
        <w:rPr>
          <w:sz w:val="20"/>
          <w:szCs w:val="20"/>
          <w:color w:val="auto"/>
        </w:rPr>
        <w:tab/>
      </w:r>
      <w:r>
        <w:rPr>
          <w:rFonts w:ascii="Times New Roman" w:cs="Times New Roman" w:eastAsia="Times New Roman" w:hAnsi="Times New Roman"/>
          <w:sz w:val="19"/>
          <w:szCs w:val="19"/>
          <w:u w:val="single" w:color="auto"/>
          <w:color w:val="auto"/>
        </w:rPr>
        <w:t>Limitation on Sale/Leaseback Transactions.</w:t>
      </w:r>
    </w:p>
    <w:p>
      <w:pPr>
        <w:spacing w:after="0" w:line="229" w:lineRule="exact"/>
        <w:rPr>
          <w:sz w:val="20"/>
          <w:szCs w:val="20"/>
          <w:color w:val="auto"/>
        </w:rPr>
      </w:pPr>
    </w:p>
    <w:p>
      <w:pPr>
        <w:ind w:left="1720" w:hanging="416"/>
        <w:spacing w:after="0"/>
        <w:tabs>
          <w:tab w:leader="none" w:pos="172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will not, and will not permit any Subsidiary to, enter into any Sale/Leaseback Transaction with respect to</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any property unless:</w:t>
      </w:r>
    </w:p>
    <w:p>
      <w:pPr>
        <w:spacing w:after="0" w:line="207" w:lineRule="exact"/>
        <w:rPr>
          <w:rFonts w:ascii="Times New Roman" w:cs="Times New Roman" w:eastAsia="Times New Roman" w:hAnsi="Times New Roman"/>
          <w:sz w:val="19"/>
          <w:szCs w:val="19"/>
          <w:color w:val="auto"/>
        </w:rPr>
      </w:pPr>
    </w:p>
    <w:p>
      <w:pPr>
        <w:ind w:left="1300" w:right="140" w:firstLine="652"/>
        <w:spacing w:after="0" w:line="269" w:lineRule="auto"/>
        <w:tabs>
          <w:tab w:leader="none" w:pos="2376" w:val="left"/>
        </w:tabs>
        <w:numPr>
          <w:ilvl w:val="1"/>
          <w:numId w:val="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such transaction involves a lease period of not more than three years (or a lease that may be terminated by the Company or its Subsidiaries within a period of not more than three years), including renewals;</w:t>
      </w:r>
    </w:p>
    <w:p>
      <w:pPr>
        <w:spacing w:after="0" w:line="172" w:lineRule="exact"/>
        <w:rPr>
          <w:rFonts w:ascii="Times New Roman" w:cs="Times New Roman" w:eastAsia="Times New Roman" w:hAnsi="Times New Roman"/>
          <w:sz w:val="20"/>
          <w:szCs w:val="20"/>
          <w:color w:val="010000"/>
        </w:rPr>
      </w:pPr>
    </w:p>
    <w:p>
      <w:pPr>
        <w:ind w:left="2380" w:hanging="428"/>
        <w:spacing w:after="0"/>
        <w:tabs>
          <w:tab w:leader="none" w:pos="2380" w:val="left"/>
        </w:tabs>
        <w:numPr>
          <w:ilvl w:val="1"/>
          <w:numId w:val="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such transaction involves leases between only the Company and a Subsidiary or only between Subsidiaries;</w:t>
      </w:r>
    </w:p>
    <w:p>
      <w:pPr>
        <w:spacing w:after="0" w:line="215" w:lineRule="exact"/>
        <w:rPr>
          <w:rFonts w:ascii="Times New Roman" w:cs="Times New Roman" w:eastAsia="Times New Roman" w:hAnsi="Times New Roman"/>
          <w:sz w:val="20"/>
          <w:szCs w:val="20"/>
          <w:color w:val="010000"/>
        </w:rPr>
      </w:pPr>
    </w:p>
    <w:p>
      <w:pPr>
        <w:ind w:left="1300" w:right="40" w:firstLine="652"/>
        <w:spacing w:after="0" w:line="283" w:lineRule="auto"/>
        <w:tabs>
          <w:tab w:leader="none" w:pos="2376" w:val="left"/>
        </w:tabs>
        <w:numPr>
          <w:ilvl w:val="1"/>
          <w:numId w:val="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such transaction involves leases of property executed by the time of, or within 12 months after the latest of, the acquisition or completion of construction, development, replacement, repair or improvement of the property;</w:t>
      </w:r>
    </w:p>
    <w:p>
      <w:pPr>
        <w:spacing w:after="0" w:line="159" w:lineRule="exact"/>
        <w:rPr>
          <w:rFonts w:ascii="Times New Roman" w:cs="Times New Roman" w:eastAsia="Times New Roman" w:hAnsi="Times New Roman"/>
          <w:sz w:val="20"/>
          <w:szCs w:val="20"/>
          <w:color w:val="010000"/>
        </w:rPr>
      </w:pPr>
    </w:p>
    <w:p>
      <w:pPr>
        <w:jc w:val="both"/>
        <w:ind w:left="1300" w:right="140" w:firstLine="652"/>
        <w:spacing w:after="0" w:line="254" w:lineRule="auto"/>
        <w:tabs>
          <w:tab w:leader="none" w:pos="2376" w:val="left"/>
        </w:tabs>
        <w:numPr>
          <w:ilvl w:val="1"/>
          <w:numId w:val="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or such Subsidiary would (at the time of entering into such arrangement) be entitled pursuant to any of clauses (1) through (10) of the definition of  “Permitted Liens” to incur or guarantee Indebtedness secured by a Lien on such property in the amount of the Attributable Debt arising from such Sale/Leaseback Transaction without equally and ratably securing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00"/>
          </w:cols>
          <w:pgMar w:left="320" w:top="1251" w:right="379" w:bottom="1440" w:gutter="0" w:footer="0" w:header="0"/>
        </w:sectPr>
      </w:pPr>
    </w:p>
    <w:bookmarkStart w:id="38" w:name="page39"/>
    <w:bookmarkEnd w:id="38"/>
    <w:p>
      <w:pPr>
        <w:ind w:left="1300" w:firstLine="652"/>
        <w:spacing w:after="0" w:line="264" w:lineRule="auto"/>
        <w:tabs>
          <w:tab w:leader="none" w:pos="2376" w:val="left"/>
        </w:tabs>
        <w:numPr>
          <w:ilvl w:val="1"/>
          <w:numId w:val="4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net proceeds of the sale of the property to be leased are at least equal to such property’s Fair Market Value, as determined by the Company in good faith, and such net proceeds are applied within 365 days of the effective date of the Sale/Leaseback Transaction, or in the case of clause (i) of this Section 4.9(a)(5), within a period of 180 days after such 365th day, if by the end of such initial 365-day period, the Company or one or more Subsidiaries shall have entered into a definitive agreement to apply such net proceeds to (i) the purchase, construction, development or acquisition of properties or assets or</w:t>
      </w:r>
    </w:p>
    <w:p>
      <w:pPr>
        <w:spacing w:after="0" w:line="1" w:lineRule="exact"/>
        <w:rPr>
          <w:rFonts w:ascii="Times New Roman" w:cs="Times New Roman" w:eastAsia="Times New Roman" w:hAnsi="Times New Roman"/>
          <w:sz w:val="19"/>
          <w:szCs w:val="19"/>
          <w:color w:val="010000"/>
        </w:rPr>
      </w:pPr>
    </w:p>
    <w:p>
      <w:pPr>
        <w:ind w:left="1300" w:right="440" w:firstLine="4"/>
        <w:spacing w:after="0" w:line="253" w:lineRule="auto"/>
        <w:tabs>
          <w:tab w:leader="none" w:pos="1591"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repayment or other retirement for value of the Notes or any Indebtedness of the Company that ranks equally in right of payment with the Notes or Indebtedness of a non-guarantor Subsidiary (in any such case that is not Indebtedness owed to the Company or any of its Subsidiaries); or</w:t>
      </w:r>
    </w:p>
    <w:p>
      <w:pPr>
        <w:spacing w:after="0" w:line="188" w:lineRule="exact"/>
        <w:rPr>
          <w:rFonts w:ascii="Times New Roman" w:cs="Times New Roman" w:eastAsia="Times New Roman" w:hAnsi="Times New Roman"/>
          <w:sz w:val="20"/>
          <w:szCs w:val="20"/>
          <w:color w:val="auto"/>
        </w:rPr>
      </w:pPr>
    </w:p>
    <w:p>
      <w:pPr>
        <w:ind w:left="1300" w:right="200" w:firstLine="652"/>
        <w:spacing w:after="0" w:line="261" w:lineRule="auto"/>
        <w:tabs>
          <w:tab w:leader="none" w:pos="2376" w:val="left"/>
        </w:tabs>
        <w:numPr>
          <w:ilvl w:val="1"/>
          <w:numId w:val="4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other Sale/Leaseback Transactions if, at the time entered into and after giving effect thereto, the aggregate outstanding Attributable Debt incurred pursuant to this Section 4.09(a)(6) does not exceed the greater of (x) $115.0 million and (y) 2.0% of Consolidated Net Tangible Assets.</w:t>
      </w:r>
    </w:p>
    <w:p>
      <w:pPr>
        <w:spacing w:after="0" w:line="181" w:lineRule="exact"/>
        <w:rPr>
          <w:sz w:val="20"/>
          <w:szCs w:val="20"/>
          <w:color w:val="auto"/>
        </w:rPr>
      </w:pPr>
    </w:p>
    <w:p>
      <w:pPr>
        <w:ind w:right="120" w:firstLine="1304"/>
        <w:spacing w:after="0" w:line="251" w:lineRule="auto"/>
        <w:tabs>
          <w:tab w:leader="none" w:pos="1725"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Section 4.09(a), the Company and its Subsidiaries will be permitted to enter into Sale/Leaseback Transactions that would otherwise be subject to Section 4.09(a), without complying with the requirements of Section 4.09(a), if, after giving effect thereto, the aggregate amount of all outstanding Attributable Debt with respect to Sale/Leaseback Transactions existing at such time that could not have been entered into except pursuant to this Section 4.09(b), together with the aggregate amount of all outstanding Indebtedness secured by Liens permitted pursuant to Section 4.06(b) (including, for the avoidance of doubt, the amount of Indebtedness secured pursuant to Section 4.06(b)(3) and Section 4.06(b)(4)), does not exceed the greater of (i) $875.0 million and (ii) 15.0% of Consolidated Net Tangible Assets.</w:t>
      </w:r>
    </w:p>
    <w:p>
      <w:pPr>
        <w:spacing w:after="0" w:line="19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4.10</w:t>
      </w:r>
      <w:r>
        <w:rPr>
          <w:sz w:val="20"/>
          <w:szCs w:val="20"/>
          <w:color w:val="auto"/>
        </w:rPr>
        <w:tab/>
      </w:r>
      <w:r>
        <w:rPr>
          <w:rFonts w:ascii="Times New Roman" w:cs="Times New Roman" w:eastAsia="Times New Roman" w:hAnsi="Times New Roman"/>
          <w:sz w:val="19"/>
          <w:szCs w:val="19"/>
          <w:u w:val="single" w:color="auto"/>
          <w:color w:val="auto"/>
        </w:rPr>
        <w:t>Compliance Certificate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right="120" w:firstLine="1304"/>
        <w:spacing w:after="0" w:line="258" w:lineRule="auto"/>
        <w:tabs>
          <w:tab w:leader="none" w:pos="171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deliver to the Trustee, within 120 days after the end of each fiscal year commencing December 31, 2025, an Officer’s Certificate stating that to his or her knowledge the Company complied with all conditions and covenants contained in this Indenture or, if a Default or Event of Default shall have occurred, describing all such Defaults or Events of Default of which he or she may have knowledge.</w:t>
      </w:r>
    </w:p>
    <w:p>
      <w:pPr>
        <w:spacing w:after="0" w:line="158" w:lineRule="exact"/>
        <w:rPr>
          <w:rFonts w:ascii="Times New Roman" w:cs="Times New Roman" w:eastAsia="Times New Roman" w:hAnsi="Times New Roman"/>
          <w:sz w:val="20"/>
          <w:szCs w:val="20"/>
          <w:color w:val="auto"/>
        </w:rPr>
      </w:pPr>
    </w:p>
    <w:p>
      <w:pPr>
        <w:jc w:val="both"/>
        <w:ind w:right="60" w:firstLine="1304"/>
        <w:spacing w:after="0" w:line="268" w:lineRule="auto"/>
        <w:tabs>
          <w:tab w:leader="none" w:pos="1721"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so long as any of the Notes are outstanding, deliver to the Trustee, within 30 Business Days of any Officer becoming aware of any Default or Event of Default that has not been cured, an Officer’s Certificate specifying such Default or Event of Default and what action the Company is taking or proposes to take with respect thereto.</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ARTICLE 5</w:t>
      </w:r>
    </w:p>
    <w:p>
      <w:pPr>
        <w:spacing w:after="0" w:line="24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MERGER AND CONSOLIDATION</w:t>
      </w:r>
    </w:p>
    <w:p>
      <w:pPr>
        <w:spacing w:after="0" w:line="22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5.01</w:t>
      </w:r>
      <w:r>
        <w:rPr>
          <w:sz w:val="20"/>
          <w:szCs w:val="20"/>
          <w:color w:val="auto"/>
        </w:rPr>
        <w:tab/>
      </w:r>
      <w:r>
        <w:rPr>
          <w:rFonts w:ascii="Times New Roman" w:cs="Times New Roman" w:eastAsia="Times New Roman" w:hAnsi="Times New Roman"/>
          <w:sz w:val="19"/>
          <w:szCs w:val="19"/>
          <w:u w:val="single" w:color="auto"/>
          <w:color w:val="auto"/>
        </w:rPr>
        <w:t>Merger, Consolidation or Sale of All or Substantially All Assets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200" w:firstLine="1304"/>
        <w:spacing w:after="0" w:line="283" w:lineRule="auto"/>
        <w:tabs>
          <w:tab w:leader="none" w:pos="171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not consolidate with or merge with or into, or sell, convey, transfer or lease, in one transaction or a series of transactions, directly or indirectly, all or substantially all of its assets to, any Person,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251" w:right="339" w:bottom="1440" w:gutter="0" w:footer="0" w:header="0"/>
        </w:sectPr>
      </w:pPr>
    </w:p>
    <w:bookmarkStart w:id="39" w:name="page40"/>
    <w:bookmarkEnd w:id="39"/>
    <w:p>
      <w:pPr>
        <w:ind w:left="1300" w:firstLine="652"/>
        <w:spacing w:after="0" w:line="254" w:lineRule="auto"/>
        <w:tabs>
          <w:tab w:leader="none" w:pos="2376" w:val="left"/>
        </w:tabs>
        <w:numPr>
          <w:ilvl w:val="0"/>
          <w:numId w:val="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is the surviving Person or the resulting, surviving or transferee Person or lessee (the “</w:t>
      </w:r>
      <w:r>
        <w:rPr>
          <w:rFonts w:ascii="Times New Roman" w:cs="Times New Roman" w:eastAsia="Times New Roman" w:hAnsi="Times New Roman"/>
          <w:sz w:val="20"/>
          <w:szCs w:val="20"/>
          <w:i w:val="1"/>
          <w:iCs w:val="1"/>
          <w:color w:val="auto"/>
        </w:rPr>
        <w:t>Successor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Company</w:t>
      </w:r>
      <w:r>
        <w:rPr>
          <w:rFonts w:ascii="Times New Roman" w:cs="Times New Roman" w:eastAsia="Times New Roman" w:hAnsi="Times New Roman"/>
          <w:sz w:val="20"/>
          <w:szCs w:val="20"/>
          <w:color w:val="auto"/>
        </w:rPr>
        <w:t>”) is a corporation, limited liability company, partnership or similar entity organized and existing under the laws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United States of America, any State thereof or the District of Columbia and the Successor Company (if not the Company) expressly assumes, by an indenture supplemental thereto, all the obligations of the Company under the Notes and the Indenture;</w:t>
      </w:r>
    </w:p>
    <w:p>
      <w:pPr>
        <w:spacing w:after="0" w:line="187" w:lineRule="exact"/>
        <w:rPr>
          <w:rFonts w:ascii="Times New Roman" w:cs="Times New Roman" w:eastAsia="Times New Roman" w:hAnsi="Times New Roman"/>
          <w:sz w:val="20"/>
          <w:szCs w:val="20"/>
          <w:color w:val="010000"/>
        </w:rPr>
      </w:pPr>
    </w:p>
    <w:p>
      <w:pPr>
        <w:ind w:left="1300" w:firstLine="652"/>
        <w:spacing w:after="0" w:line="260" w:lineRule="auto"/>
        <w:tabs>
          <w:tab w:leader="none" w:pos="2376" w:val="left"/>
        </w:tabs>
        <w:numPr>
          <w:ilvl w:val="0"/>
          <w:numId w:val="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immediately after giving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 to such transaction or transactions (and treating any Indebtedness that becomes an obligation of the Successor Company or any Subsidiary as a result of such transaction as having been incurred by such Successor Company or such Subsidiary at the time of such transaction), no Default or Event of Default shall have occurred and be continuing; and</w:t>
      </w:r>
    </w:p>
    <w:p>
      <w:pPr>
        <w:spacing w:after="0" w:line="168" w:lineRule="exact"/>
        <w:rPr>
          <w:rFonts w:ascii="Times New Roman" w:cs="Times New Roman" w:eastAsia="Times New Roman" w:hAnsi="Times New Roman"/>
          <w:sz w:val="20"/>
          <w:szCs w:val="20"/>
          <w:color w:val="010000"/>
        </w:rPr>
      </w:pPr>
    </w:p>
    <w:p>
      <w:pPr>
        <w:jc w:val="both"/>
        <w:ind w:left="1300" w:right="520" w:firstLine="652"/>
        <w:spacing w:after="0" w:line="310" w:lineRule="auto"/>
        <w:tabs>
          <w:tab w:leader="none" w:pos="2376" w:val="left"/>
        </w:tabs>
        <w:numPr>
          <w:ilvl w:val="0"/>
          <w:numId w:val="5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shall have delivered to the Trustee an Officer’s Certificate and an Opinion of Counsel, each stating that such consolidation, merger or transfer and such supplemental indenture (if any) comply with the Indenture.</w:t>
      </w:r>
    </w:p>
    <w:p>
      <w:pPr>
        <w:spacing w:after="0" w:line="138" w:lineRule="exact"/>
        <w:rPr>
          <w:sz w:val="20"/>
          <w:szCs w:val="20"/>
          <w:color w:val="auto"/>
        </w:rPr>
      </w:pPr>
    </w:p>
    <w:p>
      <w:pPr>
        <w:ind w:right="60" w:firstLine="1296"/>
        <w:spacing w:after="0" w:line="254" w:lineRule="auto"/>
        <w:rPr>
          <w:sz w:val="20"/>
          <w:szCs w:val="20"/>
          <w:color w:val="auto"/>
        </w:rPr>
      </w:pPr>
      <w:r>
        <w:rPr>
          <w:rFonts w:ascii="Times New Roman" w:cs="Times New Roman" w:eastAsia="Times New Roman" w:hAnsi="Times New Roman"/>
          <w:sz w:val="20"/>
          <w:szCs w:val="20"/>
          <w:color w:val="auto"/>
        </w:rPr>
        <w:t>For purposes of this Section 5.01, the sale, conveyance, transfer or lease of all or substantially all of the properties and assets of one or more Subsidiaries of the Company, which properties and assets, if held by the Company instead of such Subsidiaries, would constitute all or substantially all of the properties and assets of the Company on a consolidated basis, shall be deemed to be the transfer of all or substantially all of the properties and assets of the Company.</w:t>
      </w:r>
    </w:p>
    <w:p>
      <w:pPr>
        <w:spacing w:after="0" w:line="187" w:lineRule="exact"/>
        <w:rPr>
          <w:sz w:val="20"/>
          <w:szCs w:val="20"/>
          <w:color w:val="auto"/>
        </w:rPr>
      </w:pPr>
    </w:p>
    <w:p>
      <w:pPr>
        <w:ind w:right="100" w:firstLine="1296"/>
        <w:spacing w:after="0" w:line="258" w:lineRule="auto"/>
        <w:rPr>
          <w:sz w:val="20"/>
          <w:szCs w:val="20"/>
          <w:color w:val="auto"/>
        </w:rPr>
      </w:pPr>
      <w:r>
        <w:rPr>
          <w:rFonts w:ascii="Times New Roman" w:cs="Times New Roman" w:eastAsia="Times New Roman" w:hAnsi="Times New Roman"/>
          <w:sz w:val="20"/>
          <w:szCs w:val="20"/>
          <w:color w:val="auto"/>
        </w:rPr>
        <w:t xml:space="preserve">The Successor Company will succeed to, and be substituted for, the Company, and may exercise all of the rights and powers of the Company, under the Indenture. The Company will be relieved of all obligations and covenants under the Notes and the Indenture;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in the case of a lease of all or substantially all of properties or assets of the Company, the Company will not be released from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obligation to pay the principal of and interest on the Notes.</w:t>
      </w:r>
    </w:p>
    <w:p>
      <w:pPr>
        <w:spacing w:after="0" w:line="172" w:lineRule="exact"/>
        <w:rPr>
          <w:sz w:val="20"/>
          <w:szCs w:val="20"/>
          <w:color w:val="auto"/>
        </w:rPr>
      </w:pPr>
    </w:p>
    <w:p>
      <w:pPr>
        <w:ind w:right="60" w:firstLine="1304"/>
        <w:spacing w:after="0" w:line="261" w:lineRule="auto"/>
        <w:tabs>
          <w:tab w:leader="none" w:pos="1725"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10.06, the Company will not permit any Subsidiary Guarantor to consolidate with or merge with or into, or sell, convey, transfer or lease, in one transaction or a series of transactions, directly or indirectly, all or substantially all of its assets to any Person unless:</w:t>
      </w:r>
    </w:p>
    <w:p>
      <w:pPr>
        <w:spacing w:after="0" w:line="181" w:lineRule="exact"/>
        <w:rPr>
          <w:rFonts w:ascii="Times New Roman" w:cs="Times New Roman" w:eastAsia="Times New Roman" w:hAnsi="Times New Roman"/>
          <w:sz w:val="20"/>
          <w:szCs w:val="20"/>
          <w:color w:val="auto"/>
        </w:rPr>
      </w:pPr>
    </w:p>
    <w:p>
      <w:pPr>
        <w:ind w:left="1300" w:right="80" w:firstLine="652"/>
        <w:spacing w:after="0" w:line="253" w:lineRule="auto"/>
        <w:tabs>
          <w:tab w:leader="none" w:pos="2376" w:val="left"/>
        </w:tabs>
        <w:numPr>
          <w:ilvl w:val="1"/>
          <w:numId w:val="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such Subsidiary Guarantor is the surviving Person or the resulting, surviving or transferee Person or lessee is a corporation, limited liability company, partnership or similar entity organized and existing under the laws of the United States of America, any State thereof or the District of Columbia and the resulting, surviving or transferee Person (if not such Subsidiary) expressly assumes, by a supplemental indenture, all the obligations of such Subsidiary, if any, under its Subsidiary Guarantee and the Indenture;</w:t>
      </w:r>
    </w:p>
    <w:p>
      <w:pPr>
        <w:spacing w:after="0" w:line="187" w:lineRule="exact"/>
        <w:rPr>
          <w:rFonts w:ascii="Times New Roman" w:cs="Times New Roman" w:eastAsia="Times New Roman" w:hAnsi="Times New Roman"/>
          <w:sz w:val="20"/>
          <w:szCs w:val="20"/>
          <w:color w:val="010000"/>
        </w:rPr>
      </w:pPr>
    </w:p>
    <w:p>
      <w:pPr>
        <w:jc w:val="both"/>
        <w:ind w:left="1300" w:firstLine="652"/>
        <w:spacing w:after="0" w:line="283" w:lineRule="auto"/>
        <w:tabs>
          <w:tab w:leader="none" w:pos="2376" w:val="left"/>
        </w:tabs>
        <w:numPr>
          <w:ilvl w:val="1"/>
          <w:numId w:val="5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immediately after giving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effect to such transaction or transactions (and treating any Indebtedness that becomes an obligation of the resulting, surviving or transferee Person as a result of such transaction as having been issued by such Person at the time of such transaction), no Default or Event of Default shall have occurred and be continuing; and</w:t>
      </w:r>
    </w:p>
    <w:p>
      <w:pPr>
        <w:spacing w:after="0" w:line="162" w:lineRule="exact"/>
        <w:rPr>
          <w:rFonts w:ascii="Times New Roman" w:cs="Times New Roman" w:eastAsia="Times New Roman" w:hAnsi="Times New Roman"/>
          <w:sz w:val="19"/>
          <w:szCs w:val="19"/>
          <w:color w:val="010000"/>
        </w:rPr>
      </w:pPr>
    </w:p>
    <w:p>
      <w:pPr>
        <w:ind w:right="260" w:firstLine="1304"/>
        <w:spacing w:after="0" w:line="269" w:lineRule="auto"/>
        <w:tabs>
          <w:tab w:leader="none" w:pos="1713"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delivered to the Trustee an Officer’s Certificate and an Opinion of Counsel, each stating that such consolidation, merger or transfer and such supplemental indenture (if any) comply with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247" w:right="339" w:bottom="1440" w:gutter="0" w:footer="0" w:header="0"/>
        </w:sectPr>
      </w:pPr>
    </w:p>
    <w:bookmarkStart w:id="40" w:name="page41"/>
    <w:bookmarkEnd w:id="40"/>
    <w:p>
      <w:pPr>
        <w:jc w:val="center"/>
        <w:ind w:right="-39"/>
        <w:spacing w:after="0"/>
        <w:rPr>
          <w:sz w:val="20"/>
          <w:szCs w:val="20"/>
          <w:color w:val="auto"/>
        </w:rPr>
      </w:pPr>
      <w:r>
        <w:rPr>
          <w:rFonts w:ascii="Times New Roman" w:cs="Times New Roman" w:eastAsia="Times New Roman" w:hAnsi="Times New Roman"/>
          <w:sz w:val="20"/>
          <w:szCs w:val="20"/>
          <w:color w:val="auto"/>
        </w:rPr>
        <w:t>ARTICLE 6</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DEFAULTS AND REMEDIES</w:t>
      </w:r>
    </w:p>
    <w:p>
      <w:pPr>
        <w:spacing w:after="0" w:line="21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6.01</w:t>
      </w:r>
      <w:r>
        <w:rPr>
          <w:sz w:val="20"/>
          <w:szCs w:val="20"/>
          <w:color w:val="auto"/>
        </w:rPr>
        <w:tab/>
      </w:r>
      <w:r>
        <w:rPr>
          <w:rFonts w:ascii="Times New Roman" w:cs="Times New Roman" w:eastAsia="Times New Roman" w:hAnsi="Times New Roman"/>
          <w:sz w:val="19"/>
          <w:szCs w:val="19"/>
          <w:u w:val="single" w:color="auto"/>
          <w:color w:val="auto"/>
        </w:rPr>
        <w:t>Events of Default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Each of the following is an Event of Default with respect to the Notes:</w:t>
      </w:r>
    </w:p>
    <w:p>
      <w:pPr>
        <w:spacing w:after="0" w:line="202" w:lineRule="exact"/>
        <w:rPr>
          <w:sz w:val="20"/>
          <w:szCs w:val="20"/>
          <w:color w:val="auto"/>
        </w:rPr>
      </w:pPr>
    </w:p>
    <w:p>
      <w:pPr>
        <w:ind w:left="1720" w:hanging="416"/>
        <w:spacing w:after="0"/>
        <w:tabs>
          <w:tab w:leader="none" w:pos="17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Default in the payment of interest on the Notes when due, continued for 30 days;</w:t>
      </w:r>
    </w:p>
    <w:p>
      <w:pPr>
        <w:spacing w:after="0" w:line="229" w:lineRule="exact"/>
        <w:rPr>
          <w:rFonts w:ascii="Times New Roman" w:cs="Times New Roman" w:eastAsia="Times New Roman" w:hAnsi="Times New Roman"/>
          <w:sz w:val="20"/>
          <w:szCs w:val="20"/>
          <w:color w:val="auto"/>
        </w:rPr>
      </w:pPr>
    </w:p>
    <w:p>
      <w:pPr>
        <w:ind w:right="240" w:firstLine="1304"/>
        <w:spacing w:after="0" w:line="269" w:lineRule="auto"/>
        <w:tabs>
          <w:tab w:leader="none" w:pos="1725"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Default in the payment of principal, or premium, if any, of any Note when due at its Stated Maturity, upon optional redemption, upon required purchase, upon declaration of acceleration or otherwise;</w:t>
      </w:r>
    </w:p>
    <w:p>
      <w:pPr>
        <w:spacing w:after="0" w:line="172"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by the Company to comply with its obligations under Section 5.01;</w:t>
      </w:r>
    </w:p>
    <w:p>
      <w:pPr>
        <w:spacing w:after="0" w:line="215" w:lineRule="exact"/>
        <w:rPr>
          <w:rFonts w:ascii="Times New Roman" w:cs="Times New Roman" w:eastAsia="Times New Roman" w:hAnsi="Times New Roman"/>
          <w:sz w:val="20"/>
          <w:szCs w:val="20"/>
          <w:color w:val="auto"/>
        </w:rPr>
      </w:pPr>
    </w:p>
    <w:p>
      <w:pPr>
        <w:ind w:right="160" w:firstLine="1304"/>
        <w:spacing w:after="0" w:line="283" w:lineRule="auto"/>
        <w:tabs>
          <w:tab w:leader="none" w:pos="1725"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by the Company to comply for 30 days after notice with any of its obligations in Section 4.08 (other than a failure to purchase Notes) or under Sections 4.06 or 4.09;</w:t>
      </w:r>
    </w:p>
    <w:p>
      <w:pPr>
        <w:spacing w:after="0" w:line="159"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by the Company to comply for 60 days after notice with its other agreements contained in the Indenture;</w:t>
      </w:r>
    </w:p>
    <w:p>
      <w:pPr>
        <w:spacing w:after="0" w:line="215" w:lineRule="exact"/>
        <w:rPr>
          <w:rFonts w:ascii="Times New Roman" w:cs="Times New Roman" w:eastAsia="Times New Roman" w:hAnsi="Times New Roman"/>
          <w:sz w:val="20"/>
          <w:szCs w:val="20"/>
          <w:color w:val="auto"/>
        </w:rPr>
      </w:pPr>
    </w:p>
    <w:p>
      <w:pPr>
        <w:ind w:right="100" w:firstLine="1304"/>
        <w:spacing w:after="0" w:line="261" w:lineRule="auto"/>
        <w:tabs>
          <w:tab w:leader="none" w:pos="1692"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Company or any Subsidiary is not paid within any applicable grace period after final maturity or is accelerated by the Holders thereof because of a Default and the total amount of such Indebtedness unpaid or accelerated exceeds $100.0 million (the “</w:t>
      </w:r>
      <w:r>
        <w:rPr>
          <w:rFonts w:ascii="Times New Roman" w:cs="Times New Roman" w:eastAsia="Times New Roman" w:hAnsi="Times New Roman"/>
          <w:sz w:val="20"/>
          <w:szCs w:val="20"/>
          <w:i w:val="1"/>
          <w:iCs w:val="1"/>
          <w:color w:val="auto"/>
        </w:rPr>
        <w:t>cross acceleration provision</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ind w:firstLine="1304"/>
        <w:spacing w:after="0" w:line="250" w:lineRule="auto"/>
        <w:tabs>
          <w:tab w:leader="none" w:pos="1725"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a court having jurisdiction in the premises shall enter a decree or order for relief in respect of the Company or any Significant Subsidiary (or any group of Subsidiaries that taken together would constitute a Significant Subsidiary) in an involuntary case under any applicable bankruptcy, insolvency or other similar law now or hereafter in effect, or appointing a receiver, liquidator, assignee, custodian, trustee, sequestrator (or similar official) of the Company or any Significant Subsidiary or for any substantial part of its property, or ordering the winding-up or liquidation of its affairs and such decree or order shall remain unstayed and in effect for a period of 60 consecutive days; or (2) the Company or any Significant Subsidiary shall commence a voluntary case under any applicable bankruptcy, insolvency or other similar law now or hereafter in effect, or shall consent to the entry of an order for relief in an involuntary case under any such law, or shall consent to the appointment of or taking possession by a receiver, liquidator, assignee, trustee, custodian, sequestrator (or similar official) of the Company or such Significant Subsidiary or for any substantial part of its property, or shall make any general assignment for the benefit of creditors (the “</w:t>
      </w:r>
      <w:r>
        <w:rPr>
          <w:rFonts w:ascii="Times New Roman" w:cs="Times New Roman" w:eastAsia="Times New Roman" w:hAnsi="Times New Roman"/>
          <w:sz w:val="20"/>
          <w:szCs w:val="20"/>
          <w:i w:val="1"/>
          <w:iCs w:val="1"/>
          <w:color w:val="auto"/>
        </w:rPr>
        <w:t>bankruptcy default provisions</w:t>
      </w:r>
      <w:r>
        <w:rPr>
          <w:rFonts w:ascii="Times New Roman" w:cs="Times New Roman" w:eastAsia="Times New Roman" w:hAnsi="Times New Roman"/>
          <w:sz w:val="20"/>
          <w:szCs w:val="20"/>
          <w:color w:val="auto"/>
        </w:rPr>
        <w:t>”);</w:t>
      </w:r>
    </w:p>
    <w:p>
      <w:pPr>
        <w:spacing w:after="0" w:line="196" w:lineRule="exact"/>
        <w:rPr>
          <w:rFonts w:ascii="Times New Roman" w:cs="Times New Roman" w:eastAsia="Times New Roman" w:hAnsi="Times New Roman"/>
          <w:sz w:val="20"/>
          <w:szCs w:val="20"/>
          <w:color w:val="auto"/>
        </w:rPr>
      </w:pPr>
    </w:p>
    <w:p>
      <w:pPr>
        <w:ind w:right="180" w:firstLine="1304"/>
        <w:spacing w:after="0" w:line="258" w:lineRule="auto"/>
        <w:tabs>
          <w:tab w:leader="none" w:pos="1725"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judgment or decree for the payment of money (net of any amount covered by insurance issued by a reputable and creditworthy insurer that has not contested coverage or reserved rights with respect to an underlying claim) in excess of  $100.0 million is entered against the Company or any Significant Subsidiary, remains outstanding for a period of 60 consecutive days after such judgment became final and non-appealable and is not paid, discharged, waived or stayed (the “</w:t>
      </w:r>
      <w:r>
        <w:rPr>
          <w:rFonts w:ascii="Times New Roman" w:cs="Times New Roman" w:eastAsia="Times New Roman" w:hAnsi="Times New Roman"/>
          <w:sz w:val="20"/>
          <w:szCs w:val="20"/>
          <w:i w:val="1"/>
          <w:iCs w:val="1"/>
          <w:color w:val="auto"/>
        </w:rPr>
        <w:t>judgment default provision</w:t>
      </w:r>
      <w:r>
        <w:rPr>
          <w:rFonts w:ascii="Times New Roman" w:cs="Times New Roman" w:eastAsia="Times New Roman" w:hAnsi="Times New Roman"/>
          <w:sz w:val="20"/>
          <w:szCs w:val="20"/>
          <w:color w:val="auto"/>
        </w:rPr>
        <w: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00"/>
          </w:cols>
          <w:pgMar w:left="320" w:top="1251" w:right="379" w:bottom="1440" w:gutter="0" w:footer="0" w:header="0"/>
        </w:sectPr>
      </w:pPr>
    </w:p>
    <w:bookmarkStart w:id="41" w:name="page42"/>
    <w:bookmarkEnd w:id="41"/>
    <w:p>
      <w:pPr>
        <w:ind w:right="800" w:firstLine="1304"/>
        <w:spacing w:after="0" w:line="283" w:lineRule="auto"/>
        <w:tabs>
          <w:tab w:leader="none" w:pos="1681"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Guarantee ceases to be in full force and effect (other than in accordance with the terms of such Subsidiary Guarantee) or any Subsidiary Guarantor denies or disaffirms its obligations under its Subsidiary Guarantee.</w:t>
      </w:r>
    </w:p>
    <w:p>
      <w:pPr>
        <w:spacing w:after="0" w:line="146"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20"/>
          <w:szCs w:val="20"/>
          <w:color w:val="auto"/>
        </w:rPr>
        <w:t xml:space="preserve">Notwithstanding anything to the contrary in this Section 6.01, a Default under Sections 6.01(d) or 6.01(e) will not constitute an Event of Default until the Trustee or the Holders of 25% in aggregate principal amount of the outstanding Notes notify the Company of the Default and the Company does not cure such Default within the time specified after receipt of such notice;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prior to any declaration of acceleration of the Notes, any Default for the failure to deliver any report within the time periods prescribed in Section 4.05 or to deliver any notice or certificate pursuant to any other provision of the Indenture shall be deemed to be cured upon the subsequent delivery of any such report, notice or certificate, even though such delivery is not within the prescribed period specified.</w:t>
      </w:r>
    </w:p>
    <w:p>
      <w:pPr>
        <w:spacing w:after="0" w:line="19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6.02</w:t>
      </w:r>
      <w:r>
        <w:rPr>
          <w:sz w:val="20"/>
          <w:szCs w:val="20"/>
          <w:color w:val="auto"/>
        </w:rPr>
        <w:tab/>
      </w:r>
      <w:r>
        <w:rPr>
          <w:rFonts w:ascii="Times New Roman" w:cs="Times New Roman" w:eastAsia="Times New Roman" w:hAnsi="Times New Roman"/>
          <w:sz w:val="19"/>
          <w:szCs w:val="19"/>
          <w:u w:val="single" w:color="auto"/>
          <w:color w:val="auto"/>
        </w:rPr>
        <w:t>Acceleration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200" w:firstLine="1304"/>
        <w:spacing w:after="0" w:line="257" w:lineRule="auto"/>
        <w:tabs>
          <w:tab w:leader="none" w:pos="1713"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Event of Default (other than an Event of Default described in Section 6.01(g)) occurs and is continuing, the Trustee by written notice to the Company, specifying the Event of Default, or the Holders of at least 25% in aggregate principal amount of the then outstanding Notes by notice to the Company and the Trustee, may, and the Trustee at the request of such Holders shall, declare the principal, premium, if any, and accrued and unpaid interest, if any, on all the Notes to be due and payable. Upon such declaration, such principal, premium, if any, and accrued but unpaid interest, if any, will be due and payable.</w:t>
      </w:r>
    </w:p>
    <w:p>
      <w:pPr>
        <w:spacing w:after="0" w:line="172" w:lineRule="exact"/>
        <w:rPr>
          <w:rFonts w:ascii="Times New Roman" w:cs="Times New Roman" w:eastAsia="Times New Roman" w:hAnsi="Times New Roman"/>
          <w:sz w:val="20"/>
          <w:szCs w:val="20"/>
          <w:color w:val="auto"/>
        </w:rPr>
      </w:pPr>
    </w:p>
    <w:p>
      <w:pPr>
        <w:ind w:firstLine="1304"/>
        <w:spacing w:after="0" w:line="268" w:lineRule="auto"/>
        <w:tabs>
          <w:tab w:leader="none" w:pos="1725"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case an Event of Default described in Section 6.01(g) occurs and is continuing, the principal of, premium, if any, and accrued and unpaid interest, if any, on all the Notes will </w:t>
      </w:r>
      <w:r>
        <w:rPr>
          <w:rFonts w:ascii="Times New Roman" w:cs="Times New Roman" w:eastAsia="Times New Roman" w:hAnsi="Times New Roman"/>
          <w:sz w:val="20"/>
          <w:szCs w:val="20"/>
          <w:i w:val="1"/>
          <w:iCs w:val="1"/>
          <w:color w:val="auto"/>
        </w:rPr>
        <w:t>ipso facto</w:t>
      </w:r>
      <w:r>
        <w:rPr>
          <w:rFonts w:ascii="Times New Roman" w:cs="Times New Roman" w:eastAsia="Times New Roman" w:hAnsi="Times New Roman"/>
          <w:sz w:val="20"/>
          <w:szCs w:val="20"/>
          <w:color w:val="auto"/>
        </w:rPr>
        <w:t xml:space="preserve"> become and be immediately due and payable without any declaration or other act on the part of the Trustee or any Holders.</w:t>
      </w:r>
    </w:p>
    <w:p>
      <w:pPr>
        <w:spacing w:after="0" w:line="161" w:lineRule="exact"/>
        <w:rPr>
          <w:rFonts w:ascii="Times New Roman" w:cs="Times New Roman" w:eastAsia="Times New Roman" w:hAnsi="Times New Roman"/>
          <w:sz w:val="20"/>
          <w:szCs w:val="20"/>
          <w:color w:val="auto"/>
        </w:rPr>
      </w:pPr>
    </w:p>
    <w:p>
      <w:pPr>
        <w:ind w:right="180" w:firstLine="1304"/>
        <w:spacing w:after="0" w:line="283" w:lineRule="auto"/>
        <w:tabs>
          <w:tab w:leader="none" w:pos="1713"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declaration of acceleration of the Notes because an Event of Default described in Section 6.01(f) has occurred and is continuing, the declaration of acceleration of the Notes shall be automatically annulled if:</w:t>
      </w:r>
    </w:p>
    <w:p>
      <w:pPr>
        <w:spacing w:after="0" w:line="146" w:lineRule="exact"/>
        <w:rPr>
          <w:rFonts w:ascii="Times New Roman" w:cs="Times New Roman" w:eastAsia="Times New Roman" w:hAnsi="Times New Roman"/>
          <w:sz w:val="20"/>
          <w:szCs w:val="20"/>
          <w:color w:val="auto"/>
        </w:rPr>
      </w:pPr>
    </w:p>
    <w:p>
      <w:pPr>
        <w:ind w:left="1300" w:right="460" w:firstLine="652"/>
        <w:spacing w:after="0" w:line="261" w:lineRule="auto"/>
        <w:tabs>
          <w:tab w:leader="none" w:pos="2376" w:val="left"/>
        </w:tabs>
        <w:numPr>
          <w:ilvl w:val="1"/>
          <w:numId w:val="5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Default triggering such Event of Default pursuant to Section 6.01(f) shall be remedied or cured by the Company or a Restricted Subsidiary or waived by the Holders of the relevant Indebtedness within 20 days after the declaration of acceleration with respect thereto; and</w:t>
      </w:r>
    </w:p>
    <w:p>
      <w:pPr>
        <w:spacing w:after="0" w:line="181" w:lineRule="exact"/>
        <w:rPr>
          <w:rFonts w:ascii="Times New Roman" w:cs="Times New Roman" w:eastAsia="Times New Roman" w:hAnsi="Times New Roman"/>
          <w:sz w:val="20"/>
          <w:szCs w:val="20"/>
          <w:color w:val="010000"/>
        </w:rPr>
      </w:pPr>
    </w:p>
    <w:p>
      <w:pPr>
        <w:jc w:val="both"/>
        <w:ind w:left="1300" w:firstLine="652"/>
        <w:spacing w:after="0" w:line="261" w:lineRule="auto"/>
        <w:tabs>
          <w:tab w:leader="none" w:pos="2376" w:val="left"/>
        </w:tabs>
        <w:numPr>
          <w:ilvl w:val="1"/>
          <w:numId w:val="5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the annulment of the acceleration of the Notes would not conflict with any judgment or decree of a court of competent jurisdiction and (B) all existing Events of Default, except nonpayment of principal, premium, if any, or interest on the Notes that became due solely because of the acceleration of the Notes, have been cured or waived.</w:t>
      </w:r>
    </w:p>
    <w:p>
      <w:pPr>
        <w:spacing w:after="0" w:line="181" w:lineRule="exact"/>
        <w:rPr>
          <w:rFonts w:ascii="Times New Roman" w:cs="Times New Roman" w:eastAsia="Times New Roman" w:hAnsi="Times New Roman"/>
          <w:sz w:val="20"/>
          <w:szCs w:val="20"/>
          <w:color w:val="010000"/>
        </w:rPr>
      </w:pPr>
    </w:p>
    <w:p>
      <w:pPr>
        <w:ind w:right="40" w:firstLine="1304"/>
        <w:spacing w:after="0" w:line="253" w:lineRule="auto"/>
        <w:tabs>
          <w:tab w:leader="none" w:pos="1721"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Holders of a majority in aggregate principal amount of the outstanding Notes may waive all past Events of Default (except with respect to nonpayment of principal, premium or interest) and rescind any acceleration with respect to the Notes and its consequences if (1) such rescission would not conflict with any judgment or decree of a court of competent jurisdiction and (2) all existing Events of Default, other than the nonpayment of the principal of, premium, if any, and interest on the Notes that have become due solely by such declaration of acceleration, have been cured or waived.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00"/>
          </w:cols>
          <w:pgMar w:left="320" w:top="1251" w:right="379" w:bottom="1440" w:gutter="0" w:footer="0" w:header="0"/>
        </w:sectPr>
      </w:pPr>
    </w:p>
    <w:bookmarkStart w:id="42" w:name="page43"/>
    <w:bookmarkEnd w:id="42"/>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6.03</w:t>
      </w:r>
      <w:r>
        <w:rPr>
          <w:sz w:val="20"/>
          <w:szCs w:val="20"/>
          <w:color w:val="auto"/>
        </w:rPr>
        <w:tab/>
      </w:r>
      <w:r>
        <w:rPr>
          <w:rFonts w:ascii="Times New Roman" w:cs="Times New Roman" w:eastAsia="Times New Roman" w:hAnsi="Times New Roman"/>
          <w:sz w:val="19"/>
          <w:szCs w:val="19"/>
          <w:u w:val="single" w:color="auto"/>
          <w:color w:val="auto"/>
        </w:rPr>
        <w:t>Other Remedies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500" w:firstLine="1296"/>
        <w:spacing w:after="0" w:line="269" w:lineRule="auto"/>
        <w:rPr>
          <w:sz w:val="20"/>
          <w:szCs w:val="20"/>
          <w:color w:val="auto"/>
        </w:rPr>
      </w:pPr>
      <w:r>
        <w:rPr>
          <w:rFonts w:ascii="Times New Roman" w:cs="Times New Roman" w:eastAsia="Times New Roman" w:hAnsi="Times New Roman"/>
          <w:sz w:val="20"/>
          <w:szCs w:val="20"/>
          <w:color w:val="auto"/>
        </w:rPr>
        <w:t>If an Event of Default occurs and is continuing, the Trustee may pursue any available remedy to collect the payment of principal, premium, if any, and interest on the Notes or to enforce the performance of any provision of the Notes or this Indenture.</w:t>
      </w:r>
    </w:p>
    <w:p>
      <w:pPr>
        <w:spacing w:after="0" w:line="146" w:lineRule="exact"/>
        <w:rPr>
          <w:sz w:val="20"/>
          <w:szCs w:val="20"/>
          <w:color w:val="auto"/>
        </w:rPr>
      </w:pPr>
    </w:p>
    <w:p>
      <w:pPr>
        <w:ind w:right="60" w:firstLine="1296"/>
        <w:spacing w:after="0" w:line="258" w:lineRule="auto"/>
        <w:rPr>
          <w:sz w:val="20"/>
          <w:szCs w:val="20"/>
          <w:color w:val="auto"/>
        </w:rPr>
      </w:pPr>
      <w:r>
        <w:rPr>
          <w:rFonts w:ascii="Times New Roman" w:cs="Times New Roman" w:eastAsia="Times New Roman" w:hAnsi="Times New Roman"/>
          <w:sz w:val="20"/>
          <w:szCs w:val="20"/>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5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6.04</w:t>
      </w:r>
      <w:r>
        <w:rPr>
          <w:sz w:val="20"/>
          <w:szCs w:val="20"/>
          <w:color w:val="auto"/>
        </w:rPr>
        <w:tab/>
      </w:r>
      <w:r>
        <w:rPr>
          <w:rFonts w:ascii="Times New Roman" w:cs="Times New Roman" w:eastAsia="Times New Roman" w:hAnsi="Times New Roman"/>
          <w:sz w:val="19"/>
          <w:szCs w:val="19"/>
          <w:u w:val="single" w:color="auto"/>
          <w:color w:val="auto"/>
        </w:rPr>
        <w:t>Waiver of Past Defaults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300" w:firstLine="1296"/>
        <w:spacing w:after="0" w:line="283" w:lineRule="auto"/>
        <w:rPr>
          <w:sz w:val="20"/>
          <w:szCs w:val="20"/>
          <w:color w:val="auto"/>
        </w:rPr>
      </w:pPr>
      <w:r>
        <w:rPr>
          <w:rFonts w:ascii="Times New Roman" w:cs="Times New Roman" w:eastAsia="Times New Roman" w:hAnsi="Times New Roman"/>
          <w:sz w:val="20"/>
          <w:szCs w:val="20"/>
          <w:color w:val="auto"/>
        </w:rPr>
        <w:t>The Holders of a majority in aggregate principal amount of the outstanding Notes by written notice to the Trustee may on behalf of all Holders waive any existing Default and its consequences hereunder, except:</w:t>
      </w:r>
    </w:p>
    <w:p>
      <w:pPr>
        <w:spacing w:after="0" w:line="133" w:lineRule="exact"/>
        <w:rPr>
          <w:sz w:val="20"/>
          <w:szCs w:val="20"/>
          <w:color w:val="auto"/>
        </w:rPr>
      </w:pPr>
    </w:p>
    <w:p>
      <w:pPr>
        <w:ind w:left="1300" w:right="280" w:firstLine="652"/>
        <w:spacing w:after="0" w:line="283" w:lineRule="auto"/>
        <w:tabs>
          <w:tab w:leader="none" w:pos="2376" w:val="left"/>
        </w:tabs>
        <w:numPr>
          <w:ilvl w:val="0"/>
          <w:numId w:val="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continuing Default in the payment of the principal, premium, if any, or interest on any Note held by a non-consenting Holder (including in connection with a Change of Control Offer); and</w:t>
      </w:r>
    </w:p>
    <w:p>
      <w:pPr>
        <w:spacing w:after="0" w:line="146" w:lineRule="exact"/>
        <w:rPr>
          <w:rFonts w:ascii="Times New Roman" w:cs="Times New Roman" w:eastAsia="Times New Roman" w:hAnsi="Times New Roman"/>
          <w:sz w:val="20"/>
          <w:szCs w:val="20"/>
          <w:color w:val="010000"/>
        </w:rPr>
      </w:pPr>
    </w:p>
    <w:p>
      <w:pPr>
        <w:ind w:left="1300" w:right="280" w:firstLine="652"/>
        <w:spacing w:after="0" w:line="283" w:lineRule="auto"/>
        <w:tabs>
          <w:tab w:leader="none" w:pos="2376" w:val="left"/>
        </w:tabs>
        <w:numPr>
          <w:ilvl w:val="0"/>
          <w:numId w:val="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Default with respect to a provision that under Section 9.02 cannot be amended without the consent of each Holder affected,</w:t>
      </w:r>
    </w:p>
    <w:p>
      <w:pPr>
        <w:spacing w:after="0" w:line="142"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subject to Section 6.02, the Holders of a majority in aggregate principal amount of the then outstanding Notes may rescind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6.05</w:t>
      </w:r>
      <w:r>
        <w:rPr>
          <w:sz w:val="20"/>
          <w:szCs w:val="20"/>
          <w:color w:val="auto"/>
        </w:rPr>
        <w:tab/>
      </w:r>
      <w:r>
        <w:rPr>
          <w:rFonts w:ascii="Times New Roman" w:cs="Times New Roman" w:eastAsia="Times New Roman" w:hAnsi="Times New Roman"/>
          <w:sz w:val="19"/>
          <w:szCs w:val="19"/>
          <w:u w:val="single" w:color="auto"/>
          <w:color w:val="auto"/>
        </w:rPr>
        <w:t>Control by Majority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1296"/>
        <w:spacing w:after="0" w:line="276" w:lineRule="auto"/>
        <w:rPr>
          <w:sz w:val="20"/>
          <w:szCs w:val="20"/>
          <w:color w:val="auto"/>
        </w:rPr>
      </w:pPr>
      <w:r>
        <w:rPr>
          <w:rFonts w:ascii="Times New Roman" w:cs="Times New Roman" w:eastAsia="Times New Roman" w:hAnsi="Times New Roman"/>
          <w:sz w:val="19"/>
          <w:szCs w:val="19"/>
          <w:color w:val="auto"/>
        </w:rPr>
        <w:t>The Holders of a majority in aggregate principal amount of the outstanding Notes may direct the time, method and place of conducting any proceeding for any remedy available to the Trustee or of exercising any trust or power conferred on the Trustee. However, the Trustee may refuse to follow any direction that conflicts with law, this Indenture, the Notes or any Subsidiary Guarantee, or that the Trustee determines in good faith is unduly prejudicial to the rights of any other Holder or that would involve the Trustee in personal liability.</w:t>
      </w:r>
    </w:p>
    <w:p>
      <w:pPr>
        <w:spacing w:after="0" w:line="14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6.06</w:t>
      </w:r>
      <w:r>
        <w:rPr>
          <w:sz w:val="20"/>
          <w:szCs w:val="20"/>
          <w:color w:val="auto"/>
        </w:rPr>
        <w:tab/>
      </w:r>
      <w:r>
        <w:rPr>
          <w:rFonts w:ascii="Times New Roman" w:cs="Times New Roman" w:eastAsia="Times New Roman" w:hAnsi="Times New Roman"/>
          <w:sz w:val="19"/>
          <w:szCs w:val="19"/>
          <w:u w:val="single" w:color="auto"/>
          <w:color w:val="auto"/>
        </w:rPr>
        <w:t>Limitation on Suits</w:t>
      </w:r>
      <w:r>
        <w:rPr>
          <w:rFonts w:ascii="Times New Roman" w:cs="Times New Roman" w:eastAsia="Times New Roman" w:hAnsi="Times New Roman"/>
          <w:sz w:val="19"/>
          <w:szCs w:val="19"/>
          <w:color w:val="auto"/>
        </w:rPr>
        <w:t>.</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 xml:space="preserve">Subject to Section 6.07, no Holder may pursue any remedy with respect to this Indenture or the Notes </w:t>
      </w:r>
      <w:r>
        <w:rPr>
          <w:rFonts w:ascii="Times New Roman" w:cs="Times New Roman" w:eastAsia="Times New Roman" w:hAnsi="Times New Roman"/>
          <w:sz w:val="20"/>
          <w:szCs w:val="20"/>
          <w:i w:val="1"/>
          <w:iCs w:val="1"/>
          <w:color w:val="auto"/>
        </w:rPr>
        <w:t>unless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ind w:left="2380" w:hanging="428"/>
        <w:spacing w:after="0"/>
        <w:tabs>
          <w:tab w:leader="none" w:pos="2380" w:val="left"/>
        </w:tabs>
        <w:numPr>
          <w:ilvl w:val="0"/>
          <w:numId w:val="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such Holder has previously given the Trustee notice that an Event of Default is continuing;</w:t>
      </w:r>
    </w:p>
    <w:p>
      <w:pPr>
        <w:spacing w:after="0" w:line="229" w:lineRule="exact"/>
        <w:rPr>
          <w:rFonts w:ascii="Times New Roman" w:cs="Times New Roman" w:eastAsia="Times New Roman" w:hAnsi="Times New Roman"/>
          <w:sz w:val="20"/>
          <w:szCs w:val="20"/>
          <w:color w:val="010000"/>
        </w:rPr>
      </w:pPr>
    </w:p>
    <w:p>
      <w:pPr>
        <w:ind w:left="1300" w:right="380" w:firstLine="652"/>
        <w:spacing w:after="0" w:line="269" w:lineRule="auto"/>
        <w:tabs>
          <w:tab w:leader="none" w:pos="2376" w:val="left"/>
        </w:tabs>
        <w:numPr>
          <w:ilvl w:val="0"/>
          <w:numId w:val="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Holders of at least 25% in aggregate principal amount of the then outstanding Notes have requested the Trustee to pursue the remedy;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20"/>
          </w:cols>
          <w:pgMar w:left="320" w:top="1251" w:right="359" w:bottom="1440" w:gutter="0" w:footer="0" w:header="0"/>
        </w:sectPr>
      </w:pPr>
    </w:p>
    <w:bookmarkStart w:id="43" w:name="page44"/>
    <w:bookmarkEnd w:id="43"/>
    <w:p>
      <w:pPr>
        <w:ind w:left="1300" w:right="140" w:firstLine="652"/>
        <w:spacing w:after="0" w:line="283" w:lineRule="auto"/>
        <w:tabs>
          <w:tab w:leader="none" w:pos="2376" w:val="left"/>
        </w:tabs>
        <w:numPr>
          <w:ilvl w:val="0"/>
          <w:numId w:val="5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such Holders have offered the Trustee security or indemnity reasonably satisfactory to the Trustee against any loss, liability or expense;</w:t>
      </w:r>
    </w:p>
    <w:p>
      <w:pPr>
        <w:spacing w:after="0" w:line="146" w:lineRule="exact"/>
        <w:rPr>
          <w:rFonts w:ascii="Times New Roman" w:cs="Times New Roman" w:eastAsia="Times New Roman" w:hAnsi="Times New Roman"/>
          <w:sz w:val="20"/>
          <w:szCs w:val="20"/>
          <w:color w:val="010000"/>
        </w:rPr>
      </w:pPr>
    </w:p>
    <w:p>
      <w:pPr>
        <w:ind w:left="1300" w:right="220" w:firstLine="652"/>
        <w:spacing w:after="0" w:line="283" w:lineRule="auto"/>
        <w:tabs>
          <w:tab w:leader="none" w:pos="2376" w:val="left"/>
        </w:tabs>
        <w:numPr>
          <w:ilvl w:val="0"/>
          <w:numId w:val="5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Trustee has not complied with such request within 60 days after the receipt of the request and the offer of security or indemnity; and</w:t>
      </w:r>
    </w:p>
    <w:p>
      <w:pPr>
        <w:spacing w:after="0" w:line="146" w:lineRule="exact"/>
        <w:rPr>
          <w:rFonts w:ascii="Times New Roman" w:cs="Times New Roman" w:eastAsia="Times New Roman" w:hAnsi="Times New Roman"/>
          <w:sz w:val="20"/>
          <w:szCs w:val="20"/>
          <w:color w:val="010000"/>
        </w:rPr>
      </w:pPr>
    </w:p>
    <w:p>
      <w:pPr>
        <w:ind w:left="1300" w:right="540" w:firstLine="652"/>
        <w:spacing w:after="0" w:line="310" w:lineRule="auto"/>
        <w:tabs>
          <w:tab w:leader="none" w:pos="2376" w:val="left"/>
        </w:tabs>
        <w:numPr>
          <w:ilvl w:val="0"/>
          <w:numId w:val="5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Holders of a majority in aggregate principal amount of the then outstanding Notes have not given the Trustee a direction that, in the opinion of the Trustee, is inconsistent with such request within such 60-day period.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Holder may not use this Indenture to prejudice the rights of another Holder or to obtain a preference or priority over another Holder.</w:t>
      </w:r>
    </w:p>
    <w:p>
      <w:pPr>
        <w:spacing w:after="0" w:line="21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6.07</w:t>
      </w:r>
      <w:r>
        <w:rPr>
          <w:sz w:val="20"/>
          <w:szCs w:val="20"/>
          <w:color w:val="auto"/>
        </w:rPr>
        <w:tab/>
      </w:r>
      <w:r>
        <w:rPr>
          <w:rFonts w:ascii="Times New Roman" w:cs="Times New Roman" w:eastAsia="Times New Roman" w:hAnsi="Times New Roman"/>
          <w:sz w:val="19"/>
          <w:szCs w:val="19"/>
          <w:u w:val="single" w:color="auto"/>
          <w:color w:val="auto"/>
        </w:rPr>
        <w:t>Rights of Holders to Receive Payment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60" w:firstLine="1296"/>
        <w:spacing w:after="0" w:line="258" w:lineRule="auto"/>
        <w:rPr>
          <w:sz w:val="20"/>
          <w:szCs w:val="20"/>
          <w:color w:val="auto"/>
        </w:rPr>
      </w:pPr>
      <w:r>
        <w:rPr>
          <w:rFonts w:ascii="Times New Roman" w:cs="Times New Roman" w:eastAsia="Times New Roman" w:hAnsi="Times New Roman"/>
          <w:sz w:val="20"/>
          <w:szCs w:val="20"/>
          <w:color w:val="auto"/>
        </w:rPr>
        <w:t>Notwithstanding any other provision of this Indenture, the right of any Holder to receive payment of principal, premium, if any, and interest on its Note, on or after the respective due dates expressed or provided for in such Note (including in connection with a Change of Control Offer), or to bring suit for the enforcement of any such payment on or after such respective dates, shall not be impaired or affected without the consent of such Holder.</w:t>
      </w:r>
    </w:p>
    <w:p>
      <w:pPr>
        <w:spacing w:after="0" w:line="15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6.08</w:t>
      </w:r>
      <w:r>
        <w:rPr>
          <w:sz w:val="20"/>
          <w:szCs w:val="20"/>
          <w:color w:val="auto"/>
        </w:rPr>
        <w:tab/>
      </w:r>
      <w:r>
        <w:rPr>
          <w:rFonts w:ascii="Times New Roman" w:cs="Times New Roman" w:eastAsia="Times New Roman" w:hAnsi="Times New Roman"/>
          <w:sz w:val="19"/>
          <w:szCs w:val="19"/>
          <w:u w:val="single" w:color="auto"/>
          <w:color w:val="auto"/>
        </w:rPr>
        <w:t>Collection Suit by Trustee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1296"/>
        <w:spacing w:after="0" w:line="257" w:lineRule="auto"/>
        <w:rPr>
          <w:sz w:val="20"/>
          <w:szCs w:val="20"/>
          <w:color w:val="auto"/>
        </w:rPr>
      </w:pPr>
      <w:r>
        <w:rPr>
          <w:rFonts w:ascii="Times New Roman" w:cs="Times New Roman" w:eastAsia="Times New Roman" w:hAnsi="Times New Roman"/>
          <w:sz w:val="20"/>
          <w:szCs w:val="20"/>
          <w:color w:val="auto"/>
        </w:rPr>
        <w:t>If an Event of Default specified in Section 6.01(a) or (b) occurs and is continuing, the Trustee may recover judgment in its own name and as trustee of an express trust against the Company and any other obligor on the Notes for the whole amount of principal, premium, if any, and interest remaining unpaid on the Notes, together with interest on overdue principal and, to the extent lawful, interest and such further amount as shall be sufficient to cover the costs and expenses of collection, including the reasonable compensation, expenses, disbursements and advances of the Trustee and its agents and counsel.</w:t>
      </w:r>
    </w:p>
    <w:p>
      <w:pPr>
        <w:spacing w:after="0" w:line="15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6.09</w:t>
      </w:r>
      <w:r>
        <w:rPr>
          <w:sz w:val="20"/>
          <w:szCs w:val="20"/>
          <w:color w:val="auto"/>
        </w:rPr>
        <w:tab/>
      </w:r>
      <w:r>
        <w:rPr>
          <w:rFonts w:ascii="Times New Roman" w:cs="Times New Roman" w:eastAsia="Times New Roman" w:hAnsi="Times New Roman"/>
          <w:sz w:val="19"/>
          <w:szCs w:val="19"/>
          <w:u w:val="single" w:color="auto"/>
          <w:color w:val="auto"/>
        </w:rPr>
        <w:t>Restoration of Rights and Remedies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160" w:firstLine="1296"/>
        <w:spacing w:after="0" w:line="253" w:lineRule="auto"/>
        <w:rPr>
          <w:sz w:val="20"/>
          <w:szCs w:val="20"/>
          <w:color w:val="auto"/>
        </w:rPr>
      </w:pPr>
      <w:r>
        <w:rPr>
          <w:rFonts w:ascii="Times New Roman" w:cs="Times New Roman" w:eastAsia="Times New Roman" w:hAnsi="Times New Roman"/>
          <w:sz w:val="20"/>
          <w:szCs w:val="20"/>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proceedings, the Company, the Subsidiary Guarantors, the Trustee and the Holders shall be restored severally and respectively to their former positions hereunder and thereafter all rights and remedies of the Trustee and the Holders shall continue as though no such proceeding has been instituted.</w:t>
      </w:r>
    </w:p>
    <w:p>
      <w:pPr>
        <w:spacing w:after="0" w:line="165"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6.10</w:t>
      </w:r>
      <w:r>
        <w:rPr>
          <w:sz w:val="20"/>
          <w:szCs w:val="20"/>
          <w:color w:val="auto"/>
        </w:rPr>
        <w:tab/>
      </w:r>
      <w:r>
        <w:rPr>
          <w:rFonts w:ascii="Times New Roman" w:cs="Times New Roman" w:eastAsia="Times New Roman" w:hAnsi="Times New Roman"/>
          <w:sz w:val="19"/>
          <w:szCs w:val="19"/>
          <w:u w:val="single" w:color="auto"/>
          <w:color w:val="auto"/>
        </w:rPr>
        <w:t>Rights and Remedies Cumulative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20"/>
          <w:szCs w:val="20"/>
          <w:color w:val="auto"/>
        </w:rPr>
        <w:t>Except as otherwise provided with respect to the replacement or payment of mutilated, destroyed, lost or stolen Notes in Section 2.07, no right or remedy herein conferred upon or reserved to the Trustee or to the Holders is intended to be exclusive of any other right or remedy, and every right and remedy are, to the extent permitted by law,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20"/>
          </w:cols>
          <w:pgMar w:left="320" w:top="1251" w:right="359" w:bottom="1440" w:gutter="0" w:footer="0" w:header="0"/>
        </w:sectPr>
      </w:pPr>
    </w:p>
    <w:bookmarkStart w:id="44" w:name="page45"/>
    <w:bookmarkEnd w:id="44"/>
    <w:p>
      <w:pPr>
        <w:spacing w:after="0"/>
        <w:tabs>
          <w:tab w:leader="none" w:pos="1160" w:val="left"/>
        </w:tabs>
        <w:rPr>
          <w:sz w:val="20"/>
          <w:szCs w:val="20"/>
          <w:color w:val="auto"/>
        </w:rPr>
      </w:pPr>
      <w:r>
        <w:rPr>
          <w:rFonts w:ascii="Times New Roman" w:cs="Times New Roman" w:eastAsia="Times New Roman" w:hAnsi="Times New Roman"/>
          <w:sz w:val="20"/>
          <w:szCs w:val="20"/>
          <w:color w:val="auto"/>
        </w:rPr>
        <w:t>Section 6.11</w:t>
      </w:r>
      <w:r>
        <w:rPr>
          <w:sz w:val="20"/>
          <w:szCs w:val="20"/>
          <w:color w:val="auto"/>
        </w:rPr>
        <w:tab/>
      </w:r>
      <w:r>
        <w:rPr>
          <w:rFonts w:ascii="Times New Roman" w:cs="Times New Roman" w:eastAsia="Times New Roman" w:hAnsi="Times New Roman"/>
          <w:sz w:val="19"/>
          <w:szCs w:val="19"/>
          <w:u w:val="single" w:color="auto"/>
          <w:color w:val="auto"/>
        </w:rPr>
        <w:t>Delay or Omission Not Waiver</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20"/>
          <w:szCs w:val="20"/>
          <w:color w:val="auto"/>
        </w:rPr>
        <w:t>No delay or omission of the Trustee or of any Holder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7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6.12</w:t>
      </w:r>
      <w:r>
        <w:rPr>
          <w:sz w:val="20"/>
          <w:szCs w:val="20"/>
          <w:color w:val="auto"/>
        </w:rPr>
        <w:tab/>
      </w:r>
      <w:r>
        <w:rPr>
          <w:rFonts w:ascii="Times New Roman" w:cs="Times New Roman" w:eastAsia="Times New Roman" w:hAnsi="Times New Roman"/>
          <w:sz w:val="19"/>
          <w:szCs w:val="19"/>
          <w:u w:val="single" w:color="auto"/>
          <w:color w:val="auto"/>
        </w:rPr>
        <w:t>Trustee May File Proofs of Claim</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1296"/>
        <w:spacing w:after="0" w:line="264" w:lineRule="auto"/>
        <w:rPr>
          <w:sz w:val="20"/>
          <w:szCs w:val="20"/>
          <w:color w:val="auto"/>
        </w:rPr>
      </w:pPr>
      <w:r>
        <w:rPr>
          <w:rFonts w:ascii="Times New Roman" w:cs="Times New Roman" w:eastAsia="Times New Roman" w:hAnsi="Times New Roman"/>
          <w:sz w:val="19"/>
          <w:szCs w:val="19"/>
          <w:color w:val="auto"/>
        </w:rPr>
        <w:t>The Trustee may file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Company (or any other obligor upon the Notes, including the Subsidiary Guarantors), its creditors or its property and is entitled and empowered to participate as a member in any official committee of creditors appointed in such matter and to collect, receive and distribute any money or other property payable or deliverable on any such claims.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and its agents and counsel, and any other amounts due the Trustee under Section 7.06. To the extent that the payment of any such compensation, expenses, disbursements and advances of the Trustee, its agents and counsel, and any other amounts due the Trustee under Section 7.06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6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6.13</w:t>
      </w:r>
      <w:r>
        <w:rPr>
          <w:sz w:val="20"/>
          <w:szCs w:val="20"/>
          <w:color w:val="auto"/>
        </w:rPr>
        <w:tab/>
      </w:r>
      <w:r>
        <w:rPr>
          <w:rFonts w:ascii="Times New Roman" w:cs="Times New Roman" w:eastAsia="Times New Roman" w:hAnsi="Times New Roman"/>
          <w:sz w:val="19"/>
          <w:szCs w:val="19"/>
          <w:u w:val="single" w:color="auto"/>
          <w:color w:val="auto"/>
        </w:rPr>
        <w:t>Priorities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If the Trustee collects any money or property pursuant to this Article 6, it shall pay out the money in the following order:</w:t>
      </w:r>
    </w:p>
    <w:p>
      <w:pPr>
        <w:spacing w:after="0" w:line="216" w:lineRule="exact"/>
        <w:rPr>
          <w:sz w:val="20"/>
          <w:szCs w:val="20"/>
          <w:color w:val="auto"/>
        </w:rPr>
      </w:pPr>
    </w:p>
    <w:p>
      <w:pPr>
        <w:ind w:left="1300" w:right="20" w:firstLine="652"/>
        <w:spacing w:after="0" w:line="261" w:lineRule="auto"/>
        <w:tabs>
          <w:tab w:leader="none" w:pos="2376" w:val="left"/>
        </w:tabs>
        <w:numPr>
          <w:ilvl w:val="0"/>
          <w:numId w:val="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the Trustee and its agents and attorneys for amounts due under Section 7.06, including payment of all reasonable compensation, expenses and liabilities incurred, and all advances made, by the Trustee and the costs and expenses of collection;</w:t>
      </w:r>
    </w:p>
    <w:p>
      <w:pPr>
        <w:spacing w:after="0" w:line="167" w:lineRule="exact"/>
        <w:rPr>
          <w:rFonts w:ascii="Times New Roman" w:cs="Times New Roman" w:eastAsia="Times New Roman" w:hAnsi="Times New Roman"/>
          <w:sz w:val="20"/>
          <w:szCs w:val="20"/>
          <w:color w:val="010000"/>
        </w:rPr>
      </w:pPr>
    </w:p>
    <w:p>
      <w:pPr>
        <w:jc w:val="both"/>
        <w:ind w:left="1300" w:right="20" w:firstLine="652"/>
        <w:spacing w:after="0" w:line="268" w:lineRule="auto"/>
        <w:tabs>
          <w:tab w:leader="none" w:pos="2376" w:val="left"/>
        </w:tabs>
        <w:numPr>
          <w:ilvl w:val="0"/>
          <w:numId w:val="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Holders for amounts due and unpaid on the Notes for principal, premium, if any, and interest ratably, without preference or priority of any kind, according to the amounts due and payable on the Notes for principal, premium, if any, and interest, respectively; and</w:t>
      </w:r>
    </w:p>
    <w:p>
      <w:pPr>
        <w:spacing w:after="0" w:line="161" w:lineRule="exact"/>
        <w:rPr>
          <w:rFonts w:ascii="Times New Roman" w:cs="Times New Roman" w:eastAsia="Times New Roman" w:hAnsi="Times New Roman"/>
          <w:sz w:val="20"/>
          <w:szCs w:val="20"/>
          <w:color w:val="010000"/>
        </w:rPr>
      </w:pPr>
    </w:p>
    <w:p>
      <w:pPr>
        <w:ind w:left="1300" w:right="660" w:firstLine="652"/>
        <w:spacing w:after="0" w:line="283" w:lineRule="auto"/>
        <w:tabs>
          <w:tab w:leader="none" w:pos="2376" w:val="left"/>
        </w:tabs>
        <w:numPr>
          <w:ilvl w:val="0"/>
          <w:numId w:val="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the Company or to such party as a court of competent jurisdiction shall direct, including a Subsidiary Guarantor, if applicable.</w:t>
      </w:r>
    </w:p>
    <w:p>
      <w:pPr>
        <w:spacing w:after="0" w:line="146"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20"/>
          <w:szCs w:val="20"/>
          <w:color w:val="auto"/>
        </w:rPr>
        <w:t>The Trustee may fix a record date and payment date for any payment to Holders pursuant to this Section 6.13. Promptly after any record date is set pursuant to this Section 6.13, the Trustee shall cause notice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25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color w:val="auto"/>
        </w:rPr>
        <w:t>such record date and payment date to be given to the Company and to each Holder in the manner set forth in Section 12.01.</w:t>
      </w:r>
    </w:p>
    <w:p>
      <w:pPr>
        <w:spacing w:after="0" w:line="22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6.14</w:t>
      </w:r>
      <w:r>
        <w:rPr>
          <w:sz w:val="20"/>
          <w:szCs w:val="20"/>
          <w:color w:val="auto"/>
        </w:rPr>
        <w:tab/>
      </w:r>
      <w:r>
        <w:rPr>
          <w:rFonts w:ascii="Times New Roman" w:cs="Times New Roman" w:eastAsia="Times New Roman" w:hAnsi="Times New Roman"/>
          <w:sz w:val="19"/>
          <w:szCs w:val="19"/>
          <w:u w:val="single" w:color="auto"/>
          <w:color w:val="auto"/>
        </w:rPr>
        <w:t>Undertaking for Costs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20"/>
          <w:szCs w:val="20"/>
          <w:color w:val="auto"/>
        </w:rPr>
        <w:t>In any suit for the enforcement of any right or remedy under this Indenture or in any suit against the Trustee for any action taken or omitted by it as a Trustee, a court in its discretion may require the filing by any party litigant in such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6.14 does not apply to a suit by the Trustee, a suit by a Holder pursuant to Section 6.07, or a suit by Holders of more than 10% in aggregate principal amount of the outstanding Notes.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ARTICLE 7</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TRUSTEE</w:t>
      </w:r>
    </w:p>
    <w:p>
      <w:pPr>
        <w:spacing w:after="0" w:line="22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7.01</w:t>
      </w:r>
      <w:r>
        <w:rPr>
          <w:sz w:val="20"/>
          <w:szCs w:val="20"/>
          <w:color w:val="auto"/>
        </w:rPr>
        <w:tab/>
      </w:r>
      <w:r>
        <w:rPr>
          <w:rFonts w:ascii="Times New Roman" w:cs="Times New Roman" w:eastAsia="Times New Roman" w:hAnsi="Times New Roman"/>
          <w:sz w:val="19"/>
          <w:szCs w:val="19"/>
          <w:u w:val="single" w:color="auto"/>
          <w:color w:val="auto"/>
        </w:rPr>
        <w:t>Duties of Trustee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right="120" w:firstLine="1304"/>
        <w:spacing w:after="0" w:line="261" w:lineRule="auto"/>
        <w:tabs>
          <w:tab w:leader="none" w:pos="1713"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Event of Default has occurred and is continuing, the Trustee will exercise such of the rights and powers vested in it by this Indenture, and use the same degree of care in its exercise, as a prudent person would exercise or use under the circumstances in the conduct of such person’s own affairs.</w:t>
      </w:r>
    </w:p>
    <w:p>
      <w:pPr>
        <w:spacing w:after="0" w:line="18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during the continuance of an Event of Default:</w:t>
      </w:r>
    </w:p>
    <w:p>
      <w:pPr>
        <w:spacing w:after="0" w:line="229" w:lineRule="exact"/>
        <w:rPr>
          <w:rFonts w:ascii="Times New Roman" w:cs="Times New Roman" w:eastAsia="Times New Roman" w:hAnsi="Times New Roman"/>
          <w:sz w:val="20"/>
          <w:szCs w:val="20"/>
          <w:color w:val="auto"/>
        </w:rPr>
      </w:pPr>
    </w:p>
    <w:p>
      <w:pPr>
        <w:ind w:left="1300" w:right="160" w:firstLine="652"/>
        <w:spacing w:after="0" w:line="261" w:lineRule="auto"/>
        <w:tabs>
          <w:tab w:leader="none" w:pos="2376" w:val="left"/>
        </w:tabs>
        <w:numPr>
          <w:ilvl w:val="1"/>
          <w:numId w:val="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67" w:lineRule="exact"/>
        <w:rPr>
          <w:rFonts w:ascii="Times New Roman" w:cs="Times New Roman" w:eastAsia="Times New Roman" w:hAnsi="Times New Roman"/>
          <w:sz w:val="20"/>
          <w:szCs w:val="20"/>
          <w:color w:val="010000"/>
        </w:rPr>
      </w:pPr>
    </w:p>
    <w:p>
      <w:pPr>
        <w:ind w:left="1300" w:firstLine="652"/>
        <w:spacing w:after="0" w:line="257" w:lineRule="auto"/>
        <w:tabs>
          <w:tab w:leader="none" w:pos="2376" w:val="left"/>
        </w:tabs>
        <w:numPr>
          <w:ilvl w:val="1"/>
          <w:numId w:val="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in the case of any such certificates or opinions which by any provision hereof are specifically required to be furnished to the Trustee, the Trustee shall examine the certificates and opinions to determine whether or not they conform to the requirements of this Indenture.</w:t>
      </w:r>
    </w:p>
    <w:p>
      <w:pPr>
        <w:spacing w:after="0" w:line="172" w:lineRule="exact"/>
        <w:rPr>
          <w:rFonts w:ascii="Times New Roman" w:cs="Times New Roman" w:eastAsia="Times New Roman" w:hAnsi="Times New Roman"/>
          <w:sz w:val="20"/>
          <w:szCs w:val="20"/>
          <w:color w:val="010000"/>
        </w:rPr>
      </w:pPr>
    </w:p>
    <w:p>
      <w:pPr>
        <w:ind w:right="120" w:firstLine="1304"/>
        <w:spacing w:after="0" w:line="283" w:lineRule="auto"/>
        <w:tabs>
          <w:tab w:leader="none" w:pos="171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not be relieved from liabilities for its own negligent action, its own negligent failure to act, or its own willful misconduct, except that:</w:t>
      </w:r>
    </w:p>
    <w:p>
      <w:pPr>
        <w:spacing w:after="0" w:line="159" w:lineRule="exact"/>
        <w:rPr>
          <w:rFonts w:ascii="Times New Roman" w:cs="Times New Roman" w:eastAsia="Times New Roman" w:hAnsi="Times New Roman"/>
          <w:sz w:val="20"/>
          <w:szCs w:val="20"/>
          <w:color w:val="auto"/>
        </w:rPr>
      </w:pPr>
    </w:p>
    <w:p>
      <w:pPr>
        <w:ind w:left="2380" w:hanging="428"/>
        <w:spacing w:after="0"/>
        <w:tabs>
          <w:tab w:leader="none" w:pos="2380" w:val="left"/>
        </w:tabs>
        <w:numPr>
          <w:ilvl w:val="1"/>
          <w:numId w:val="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this Section 7.01(c) does not limit the effect of Section 7.01(b);</w:t>
      </w:r>
    </w:p>
    <w:p>
      <w:pPr>
        <w:spacing w:after="0" w:line="215" w:lineRule="exact"/>
        <w:rPr>
          <w:rFonts w:ascii="Times New Roman" w:cs="Times New Roman" w:eastAsia="Times New Roman" w:hAnsi="Times New Roman"/>
          <w:sz w:val="20"/>
          <w:szCs w:val="20"/>
          <w:color w:val="010000"/>
        </w:rPr>
      </w:pPr>
    </w:p>
    <w:p>
      <w:pPr>
        <w:ind w:left="1300" w:right="160" w:firstLine="652"/>
        <w:spacing w:after="0" w:line="283" w:lineRule="auto"/>
        <w:tabs>
          <w:tab w:leader="none" w:pos="2376" w:val="left"/>
        </w:tabs>
        <w:numPr>
          <w:ilvl w:val="1"/>
          <w:numId w:val="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Trustee shall not be liable for any error of judgment made in good faith by a Responsible Officer, unless it is proved in a court of competent jurisdiction that the Trustee was negligent in ascertaining the pertinent facts;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251" w:right="339" w:bottom="1440" w:gutter="0" w:footer="0" w:header="0"/>
        </w:sectPr>
      </w:pPr>
    </w:p>
    <w:bookmarkStart w:id="46" w:name="page47"/>
    <w:bookmarkEnd w:id="46"/>
    <w:p>
      <w:pPr>
        <w:ind w:left="1300" w:right="340" w:firstLine="652"/>
        <w:spacing w:after="0" w:line="283" w:lineRule="auto"/>
        <w:tabs>
          <w:tab w:leader="none" w:pos="2376" w:val="left"/>
        </w:tabs>
        <w:numPr>
          <w:ilvl w:val="1"/>
          <w:numId w:val="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Trustee shall not be liable with respect to any action it takes or omits to take in good faith in accordance with a direction received by it pursuant to Section 6.02 or Section 6.05.</w:t>
      </w:r>
    </w:p>
    <w:p>
      <w:pPr>
        <w:spacing w:after="0" w:line="146" w:lineRule="exact"/>
        <w:rPr>
          <w:rFonts w:ascii="Times New Roman" w:cs="Times New Roman" w:eastAsia="Times New Roman" w:hAnsi="Times New Roman"/>
          <w:sz w:val="20"/>
          <w:szCs w:val="20"/>
          <w:color w:val="010000"/>
        </w:rPr>
      </w:pPr>
    </w:p>
    <w:p>
      <w:pPr>
        <w:ind w:right="100" w:firstLine="1304"/>
        <w:spacing w:after="0" w:line="283" w:lineRule="auto"/>
        <w:tabs>
          <w:tab w:leader="none" w:pos="1721"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or not therein expressly so provided, every provision of this Indenture that in any way relates to the Trustee is subject to Sections 7.01(a) through (c).</w:t>
      </w:r>
    </w:p>
    <w:p>
      <w:pPr>
        <w:spacing w:after="0" w:line="146" w:lineRule="exact"/>
        <w:rPr>
          <w:rFonts w:ascii="Times New Roman" w:cs="Times New Roman" w:eastAsia="Times New Roman" w:hAnsi="Times New Roman"/>
          <w:sz w:val="20"/>
          <w:szCs w:val="20"/>
          <w:color w:val="auto"/>
        </w:rPr>
      </w:pPr>
    </w:p>
    <w:p>
      <w:pPr>
        <w:ind w:right="320" w:firstLine="1304"/>
        <w:spacing w:after="0" w:line="258" w:lineRule="auto"/>
        <w:tabs>
          <w:tab w:leader="none" w:pos="171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this Article 7, if an Event of Default occurs and is continuing, the Trustee will be under no obligation to exercise any of the rights or powers under this Indenture, the Notes and the Subsidiary Guarantees at the request or direction of any of the Holders unless such Holders have offered to the Trustee indemnity or security reasonably satisfactory to it against any loss, liability or expense.</w:t>
      </w:r>
    </w:p>
    <w:p>
      <w:pPr>
        <w:spacing w:after="0" w:line="185" w:lineRule="exact"/>
        <w:rPr>
          <w:rFonts w:ascii="Times New Roman" w:cs="Times New Roman" w:eastAsia="Times New Roman" w:hAnsi="Times New Roman"/>
          <w:sz w:val="20"/>
          <w:szCs w:val="20"/>
          <w:color w:val="auto"/>
        </w:rPr>
      </w:pPr>
    </w:p>
    <w:p>
      <w:pPr>
        <w:ind w:right="140" w:firstLine="1304"/>
        <w:spacing w:after="0" w:line="269" w:lineRule="auto"/>
        <w:tabs>
          <w:tab w:leader="none" w:pos="168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7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7.02</w:t>
      </w:r>
      <w:r>
        <w:rPr>
          <w:sz w:val="20"/>
          <w:szCs w:val="20"/>
          <w:color w:val="auto"/>
        </w:rPr>
        <w:tab/>
      </w:r>
      <w:r>
        <w:rPr>
          <w:rFonts w:ascii="Times New Roman" w:cs="Times New Roman" w:eastAsia="Times New Roman" w:hAnsi="Times New Roman"/>
          <w:sz w:val="19"/>
          <w:szCs w:val="19"/>
          <w:u w:val="single" w:color="auto"/>
          <w:color w:val="auto"/>
        </w:rPr>
        <w:t>Rights of Trustee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120" w:firstLine="1304"/>
        <w:spacing w:after="0" w:line="253" w:lineRule="auto"/>
        <w:tabs>
          <w:tab w:leader="none" w:pos="171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conclusively rely upon any document believed by it to be genuine and to have been signed or presented by the proper Person. The Trustee need not investigate any fact or matter stated in the document, but the Trustee, in its discretion, may make such further inquiry or investigation into such facts or matters as it may see fit, and, if the Trustee shall determine in good faith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178" w:lineRule="exact"/>
        <w:rPr>
          <w:rFonts w:ascii="Times New Roman" w:cs="Times New Roman" w:eastAsia="Times New Roman" w:hAnsi="Times New Roman"/>
          <w:sz w:val="20"/>
          <w:szCs w:val="20"/>
          <w:color w:val="auto"/>
        </w:rPr>
      </w:pPr>
    </w:p>
    <w:p>
      <w:pPr>
        <w:ind w:firstLine="1304"/>
        <w:spacing w:after="0" w:line="253" w:lineRule="auto"/>
        <w:tabs>
          <w:tab w:leader="none" w:pos="1725"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Before the Trustee acts or refrains from acting, it may require an Officer’s Certificate or an Opinion of Counsel or both subject to the other provisions of this Indenture. The Trustee shall not be liable for any action it takes or omits to take in good faith in reliance on such Officer’s Certificate or Opinion of Counsel. The Trustee may consult with counsel of its selection and the advice of such counsel or any Opinion of Counsel shall be full and complete authorization and protection from liability in respect of any action taken, suffered or omitted by it hereunder in good faith and in reliance thereon.</w:t>
      </w:r>
    </w:p>
    <w:p>
      <w:pPr>
        <w:spacing w:after="0" w:line="191" w:lineRule="exact"/>
        <w:rPr>
          <w:rFonts w:ascii="Times New Roman" w:cs="Times New Roman" w:eastAsia="Times New Roman" w:hAnsi="Times New Roman"/>
          <w:sz w:val="20"/>
          <w:szCs w:val="20"/>
          <w:color w:val="auto"/>
        </w:rPr>
      </w:pPr>
    </w:p>
    <w:p>
      <w:pPr>
        <w:ind w:right="220" w:firstLine="1304"/>
        <w:spacing w:after="0" w:line="283" w:lineRule="auto"/>
        <w:tabs>
          <w:tab w:leader="none" w:pos="171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act through its attorneys and agents and shall not be responsible for the misconduct or negligence of any agent or attorney appointed with due care.</w:t>
      </w:r>
    </w:p>
    <w:p>
      <w:pPr>
        <w:spacing w:after="0" w:line="146" w:lineRule="exact"/>
        <w:rPr>
          <w:rFonts w:ascii="Times New Roman" w:cs="Times New Roman" w:eastAsia="Times New Roman" w:hAnsi="Times New Roman"/>
          <w:sz w:val="20"/>
          <w:szCs w:val="20"/>
          <w:color w:val="auto"/>
        </w:rPr>
      </w:pPr>
    </w:p>
    <w:p>
      <w:pPr>
        <w:ind w:right="260" w:firstLine="1304"/>
        <w:spacing w:after="0" w:line="283" w:lineRule="auto"/>
        <w:tabs>
          <w:tab w:leader="none" w:pos="1721"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liable for any action it takes or omits to take in good faith that it believes to be authorized or within the rights or powers conferred upon it by this Indenture.</w:t>
      </w:r>
    </w:p>
    <w:p>
      <w:pPr>
        <w:spacing w:after="0" w:line="146" w:lineRule="exact"/>
        <w:rPr>
          <w:rFonts w:ascii="Times New Roman" w:cs="Times New Roman" w:eastAsia="Times New Roman" w:hAnsi="Times New Roman"/>
          <w:sz w:val="20"/>
          <w:szCs w:val="20"/>
          <w:color w:val="auto"/>
        </w:rPr>
      </w:pPr>
    </w:p>
    <w:p>
      <w:pPr>
        <w:ind w:right="60" w:firstLine="1304"/>
        <w:spacing w:after="0" w:line="283" w:lineRule="auto"/>
        <w:tabs>
          <w:tab w:leader="none" w:pos="171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specifically provided in this Indenture, any demand, request, direction or notice from the Company or a Subsidiary Guarantor shall be sufficient if signed by an Officer of the Company or such Subsidiary Guarantor.</w:t>
      </w:r>
    </w:p>
    <w:p>
      <w:pPr>
        <w:spacing w:after="0" w:line="159" w:lineRule="exact"/>
        <w:rPr>
          <w:rFonts w:ascii="Times New Roman" w:cs="Times New Roman" w:eastAsia="Times New Roman" w:hAnsi="Times New Roman"/>
          <w:sz w:val="20"/>
          <w:szCs w:val="20"/>
          <w:color w:val="auto"/>
        </w:rPr>
      </w:pPr>
    </w:p>
    <w:p>
      <w:pPr>
        <w:ind w:right="220" w:firstLine="1304"/>
        <w:spacing w:after="0" w:line="254" w:lineRule="auto"/>
        <w:tabs>
          <w:tab w:leader="none" w:pos="1692"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provisions of this Indenture shall require the Trustee to expend or risk its own funds or otherwise to incur any liability, financial or otherwise, in the performance of any of its duties hereunder, or in the exercise of any of its rights or powers if it shall have reasonable grounds for believing that repayment of such funds or indemnity reasonably satisfactory to it against such risk or liability is not assured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251" w:right="339" w:bottom="1440" w:gutter="0" w:footer="0" w:header="0"/>
        </w:sectPr>
      </w:pPr>
    </w:p>
    <w:bookmarkStart w:id="47" w:name="page48"/>
    <w:bookmarkEnd w:id="47"/>
    <w:p>
      <w:pPr>
        <w:ind w:right="160" w:firstLine="1304"/>
        <w:spacing w:after="0" w:line="258" w:lineRule="auto"/>
        <w:tabs>
          <w:tab w:leader="none" w:pos="1721"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deemed to have notice or knowledge of any Default or Event of Default unless a Responsible Officer of the Trustee has actual knowledge thereof (in the case of a payment Default or Event of Default) or unless written notice of any event which is in fact such a Default or Event of Default is received by a Responsible Officer of the Trustee at the Corporate Trust Office of the Trustee, and such notice references the existence of a Default or Event of Default, the Notes and this Indenture.</w:t>
      </w:r>
    </w:p>
    <w:p>
      <w:pPr>
        <w:spacing w:after="0" w:line="172" w:lineRule="exact"/>
        <w:rPr>
          <w:rFonts w:ascii="Times New Roman" w:cs="Times New Roman" w:eastAsia="Times New Roman" w:hAnsi="Times New Roman"/>
          <w:sz w:val="20"/>
          <w:szCs w:val="20"/>
          <w:color w:val="auto"/>
        </w:rPr>
      </w:pPr>
    </w:p>
    <w:p>
      <w:pPr>
        <w:ind w:right="80" w:firstLine="1304"/>
        <w:spacing w:after="0" w:line="268" w:lineRule="auto"/>
        <w:tabs>
          <w:tab w:leader="none" w:pos="1725"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161" w:lineRule="exact"/>
        <w:rPr>
          <w:rFonts w:ascii="Times New Roman" w:cs="Times New Roman" w:eastAsia="Times New Roman" w:hAnsi="Times New Roman"/>
          <w:sz w:val="20"/>
          <w:szCs w:val="20"/>
          <w:color w:val="auto"/>
        </w:rPr>
      </w:pPr>
    </w:p>
    <w:p>
      <w:pPr>
        <w:ind w:right="100" w:firstLine="1304"/>
        <w:spacing w:after="0" w:line="261" w:lineRule="auto"/>
        <w:tabs>
          <w:tab w:leader="none" w:pos="1677"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81" w:lineRule="exact"/>
        <w:rPr>
          <w:rFonts w:ascii="Times New Roman" w:cs="Times New Roman" w:eastAsia="Times New Roman" w:hAnsi="Times New Roman"/>
          <w:sz w:val="20"/>
          <w:szCs w:val="20"/>
          <w:color w:val="auto"/>
        </w:rPr>
      </w:pPr>
    </w:p>
    <w:p>
      <w:pPr>
        <w:ind w:right="20" w:firstLine="1304"/>
        <w:spacing w:after="0" w:line="258" w:lineRule="auto"/>
        <w:tabs>
          <w:tab w:leader="none" w:pos="1677"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request that the Company deliver an Officer’s Certificate setting forth the names of individuals 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72"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required to give any bond or surety in respect of the performance of its powers and duties</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hereunder.</w:t>
      </w:r>
    </w:p>
    <w:p>
      <w:pPr>
        <w:spacing w:after="0" w:line="21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7.03</w:t>
      </w:r>
      <w:r>
        <w:rPr>
          <w:sz w:val="20"/>
          <w:szCs w:val="20"/>
          <w:color w:val="auto"/>
        </w:rPr>
        <w:tab/>
      </w:r>
      <w:r>
        <w:rPr>
          <w:rFonts w:ascii="Times New Roman" w:cs="Times New Roman" w:eastAsia="Times New Roman" w:hAnsi="Times New Roman"/>
          <w:sz w:val="19"/>
          <w:szCs w:val="19"/>
          <w:u w:val="single" w:color="auto"/>
          <w:color w:val="auto"/>
        </w:rPr>
        <w:t>Individual Rights of Trustee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200" w:firstLine="1296"/>
        <w:spacing w:after="0" w:line="258" w:lineRule="auto"/>
        <w:rPr>
          <w:sz w:val="20"/>
          <w:szCs w:val="20"/>
          <w:color w:val="auto"/>
        </w:rPr>
      </w:pPr>
      <w:r>
        <w:rPr>
          <w:rFonts w:ascii="Times New Roman" w:cs="Times New Roman" w:eastAsia="Times New Roman" w:hAnsi="Times New Roman"/>
          <w:sz w:val="20"/>
          <w:szCs w:val="20"/>
          <w:color w:val="auto"/>
        </w:rPr>
        <w:t>The Trustee or any Agent in its individual or any other capacity may become the owner or pledgee of Notes and may otherwise deal with the Company or any Affiliate of the Company with the same rights it would have if it were not Trustee or such Agent. However, in the event that the Trustee acquires any conflicting interest, it must eliminate such conflict within 90 days or resign. Any Agent may do the same with like rights and duties. The Trustee is also subject to Sections 7.08 and 7.09.</w:t>
      </w:r>
    </w:p>
    <w:p>
      <w:pPr>
        <w:spacing w:after="0" w:line="15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7.04</w:t>
      </w:r>
      <w:r>
        <w:rPr>
          <w:sz w:val="20"/>
          <w:szCs w:val="20"/>
          <w:color w:val="auto"/>
        </w:rPr>
        <w:tab/>
      </w:r>
      <w:r>
        <w:rPr>
          <w:rFonts w:ascii="Times New Roman" w:cs="Times New Roman" w:eastAsia="Times New Roman" w:hAnsi="Times New Roman"/>
          <w:sz w:val="19"/>
          <w:szCs w:val="19"/>
          <w:u w:val="single" w:color="auto"/>
          <w:color w:val="auto"/>
        </w:rPr>
        <w:t>Trustee’s Disclaimer</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1296"/>
        <w:spacing w:after="0" w:line="270" w:lineRule="auto"/>
        <w:rPr>
          <w:sz w:val="20"/>
          <w:szCs w:val="20"/>
          <w:color w:val="auto"/>
        </w:rPr>
      </w:pPr>
      <w:r>
        <w:rPr>
          <w:rFonts w:ascii="Times New Roman" w:cs="Times New Roman" w:eastAsia="Times New Roman" w:hAnsi="Times New Roman"/>
          <w:sz w:val="19"/>
          <w:szCs w:val="19"/>
          <w:color w:val="auto"/>
        </w:rPr>
        <w:t>The Trustee shall not be responsible for and makes no representation as to the validity or adequacy of this Indenture or the Notes, it shall not be accountable for the Company’s use of the proceeds from the Notes or any money paid to the Company or upon the Company’s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 on the Notes.</w:t>
      </w:r>
    </w:p>
    <w:p>
      <w:pPr>
        <w:spacing w:after="0" w:line="14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auto"/>
        </w:rPr>
        <w:t>Section 7.05</w:t>
      </w:r>
      <w:r>
        <w:rPr>
          <w:sz w:val="20"/>
          <w:szCs w:val="20"/>
          <w:color w:val="auto"/>
        </w:rPr>
        <w:tab/>
      </w:r>
      <w:r>
        <w:rPr>
          <w:rFonts w:ascii="Times New Roman" w:cs="Times New Roman" w:eastAsia="Times New Roman" w:hAnsi="Times New Roman"/>
          <w:sz w:val="19"/>
          <w:szCs w:val="19"/>
          <w:u w:val="single" w:color="auto"/>
          <w:color w:val="auto"/>
        </w:rPr>
        <w:t>Notice of Defaults</w:t>
      </w:r>
    </w:p>
    <w:p>
      <w:pPr>
        <w:spacing w:after="0" w:line="229" w:lineRule="exact"/>
        <w:rPr>
          <w:sz w:val="20"/>
          <w:szCs w:val="20"/>
          <w:color w:val="auto"/>
        </w:rPr>
      </w:pPr>
    </w:p>
    <w:p>
      <w:pPr>
        <w:ind w:right="220" w:firstLine="1296"/>
        <w:spacing w:after="0" w:line="258" w:lineRule="auto"/>
        <w:rPr>
          <w:sz w:val="20"/>
          <w:szCs w:val="20"/>
          <w:color w:val="auto"/>
        </w:rPr>
      </w:pPr>
      <w:r>
        <w:rPr>
          <w:rFonts w:ascii="Times New Roman" w:cs="Times New Roman" w:eastAsia="Times New Roman" w:hAnsi="Times New Roman"/>
          <w:sz w:val="20"/>
          <w:szCs w:val="20"/>
          <w:color w:val="auto"/>
        </w:rPr>
        <w:t>If a Default occurs and is continuing and a Responsible Officer of the Trustee has actual knowledge (in the case of a payment) or has received written notice of such Default, the Trustee will mail to each Holder a notice of the Default within 90 days after it occurs. Except in the case of an Event of Default specified in clauses (1) or (2) of Section 6.01, the Trustee may withhold from the Holders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25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0"/>
          <w:szCs w:val="20"/>
          <w:color w:val="auto"/>
        </w:rPr>
        <w:t>of any continuing Default if the Trustee determines in good faith that withholding the notice is not opposed to the interest of the Holders.</w:t>
      </w:r>
    </w:p>
    <w:p>
      <w:pPr>
        <w:spacing w:after="0" w:line="20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7.06</w:t>
      </w:r>
      <w:r>
        <w:rPr>
          <w:sz w:val="20"/>
          <w:szCs w:val="20"/>
          <w:color w:val="auto"/>
        </w:rPr>
        <w:tab/>
      </w:r>
      <w:r>
        <w:rPr>
          <w:rFonts w:ascii="Times New Roman" w:cs="Times New Roman" w:eastAsia="Times New Roman" w:hAnsi="Times New Roman"/>
          <w:sz w:val="19"/>
          <w:szCs w:val="19"/>
          <w:u w:val="single" w:color="auto"/>
          <w:color w:val="auto"/>
        </w:rPr>
        <w:t>Compensation and Indemnity</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40" w:firstLine="1304"/>
        <w:spacing w:after="0" w:line="253" w:lineRule="auto"/>
        <w:tabs>
          <w:tab w:leader="none" w:pos="171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the Subsidiary Guarantors, jointly and severally, shall pay to the Trustee from time to time such compensation for its acceptance of this Indenture and services hereunder as the parties shall agree in writing from time to time. The Trustee’s compensation shall not be limited by any law on compensation of a trustee of an express trust. The Company shall reimburse the Trustee promptly upon request for all reasonable disbursements, advances and expenses incurred or made by it in addition to the compensation for its services. Such expenses shall include the reasonable compensation, disbursements and expenses of the Trustee’s agents and counsel. The Trustee shall provide the Company reasonable notice of any expenditure not in the ordinary course of business.</w:t>
      </w:r>
    </w:p>
    <w:p>
      <w:pPr>
        <w:spacing w:after="0" w:line="178" w:lineRule="exact"/>
        <w:rPr>
          <w:rFonts w:ascii="Times New Roman" w:cs="Times New Roman" w:eastAsia="Times New Roman" w:hAnsi="Times New Roman"/>
          <w:sz w:val="20"/>
          <w:szCs w:val="20"/>
          <w:color w:val="auto"/>
        </w:rPr>
      </w:pPr>
    </w:p>
    <w:p>
      <w:pPr>
        <w:ind w:right="20" w:firstLine="1304"/>
        <w:spacing w:after="0" w:line="250" w:lineRule="auto"/>
        <w:tabs>
          <w:tab w:leader="none" w:pos="1721"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the Subsidiary Guarantors, jointly and severally, shall indemnify the Trustee (which for purposes of this Section 7.06(b) shall include its officers, directors, employees and agents) for, and hold each of the Trustee and any predecessor harmless against, any and all loss, damage, claims, liability or expense (including attorneys’ fees and expenses) incurred by it in connection with the acceptance or administration of this trust and the performance of its duties hereunder (including the costs and expenses of enforcing this Indenture against the Company or any Subsidiary Guarantor (including this Section 7.06)) or defending itself against any claim whether asserted by any Holder, the Company or any Subsidiary Guarantor, or liability in connection with the acceptance, exercise or performance of any of its powers or duties hereunder). The Trustee shall notify the Company promptly of any claim for which it may seek indemnity. Failure by the Trustee to so notify the Company shall not relieve the Company of its obligations hereunder. The Company shall defend the claim and the Trustee may have separate counsel and the Company shall pay the fees and expenses of such counsel. The Company need not reimburse any expense or indemnify against any loss, liability or expense incurred by the Trustee through the Trustee’s own willful misconduct, negligence or bad faith.</w:t>
      </w:r>
    </w:p>
    <w:p>
      <w:pPr>
        <w:spacing w:after="0" w:line="199" w:lineRule="exact"/>
        <w:rPr>
          <w:rFonts w:ascii="Times New Roman" w:cs="Times New Roman" w:eastAsia="Times New Roman" w:hAnsi="Times New Roman"/>
          <w:sz w:val="20"/>
          <w:szCs w:val="20"/>
          <w:color w:val="auto"/>
        </w:rPr>
      </w:pPr>
    </w:p>
    <w:p>
      <w:pPr>
        <w:ind w:firstLine="1304"/>
        <w:spacing w:after="0" w:line="283" w:lineRule="auto"/>
        <w:tabs>
          <w:tab w:leader="none" w:pos="171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the Company and the Subsidiary Guarantors under this Section 7.06 shall survive the satisfaction and discharge of this Indenture or the earlier resignation or removal of the Trustee.</w:t>
      </w:r>
    </w:p>
    <w:p>
      <w:pPr>
        <w:spacing w:after="0" w:line="146" w:lineRule="exact"/>
        <w:rPr>
          <w:rFonts w:ascii="Times New Roman" w:cs="Times New Roman" w:eastAsia="Times New Roman" w:hAnsi="Times New Roman"/>
          <w:sz w:val="20"/>
          <w:szCs w:val="20"/>
          <w:color w:val="auto"/>
        </w:rPr>
      </w:pPr>
    </w:p>
    <w:p>
      <w:pPr>
        <w:jc w:val="both"/>
        <w:ind w:right="40" w:firstLine="1304"/>
        <w:spacing w:after="0" w:line="261" w:lineRule="auto"/>
        <w:tabs>
          <w:tab w:leader="none" w:pos="1721"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secure the payment obligations of the Company and the Subsidiary Guarantors in this Section 7.06, the Trustee shall have a Lien prior to the Notes on all money or property held or collected by the Trustee, except that held in trust to pay principal and interest on particular Notes. Such Lien shall survive the satisfaction and discharge of this Indenture.</w:t>
      </w:r>
    </w:p>
    <w:p>
      <w:pPr>
        <w:spacing w:after="0" w:line="181" w:lineRule="exact"/>
        <w:rPr>
          <w:rFonts w:ascii="Times New Roman" w:cs="Times New Roman" w:eastAsia="Times New Roman" w:hAnsi="Times New Roman"/>
          <w:sz w:val="20"/>
          <w:szCs w:val="20"/>
          <w:color w:val="auto"/>
        </w:rPr>
      </w:pPr>
    </w:p>
    <w:p>
      <w:pPr>
        <w:ind w:right="140" w:firstLine="1304"/>
        <w:spacing w:after="0" w:line="261" w:lineRule="auto"/>
        <w:tabs>
          <w:tab w:leader="none" w:pos="171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the Trustee incurs expenses or renders services after an Event of Default specified in Section 6.01(g) occurs, the expenses and the compensation for the services (including the fees and expenses of its agents and counsel) are intended to constitute expenses of administration under any Bankruptcy Law.</w:t>
      </w:r>
    </w:p>
    <w:p>
      <w:pPr>
        <w:spacing w:after="0" w:line="18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7.07</w:t>
      </w:r>
      <w:r>
        <w:rPr>
          <w:sz w:val="20"/>
          <w:szCs w:val="20"/>
          <w:color w:val="auto"/>
        </w:rPr>
        <w:tab/>
      </w:r>
      <w:r>
        <w:rPr>
          <w:rFonts w:ascii="Times New Roman" w:cs="Times New Roman" w:eastAsia="Times New Roman" w:hAnsi="Times New Roman"/>
          <w:sz w:val="19"/>
          <w:szCs w:val="19"/>
          <w:u w:val="single" w:color="auto"/>
          <w:color w:val="auto"/>
        </w:rPr>
        <w:t>Replacement of Trustee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right="220" w:firstLine="1304"/>
        <w:spacing w:after="0" w:line="258" w:lineRule="auto"/>
        <w:tabs>
          <w:tab w:leader="none" w:pos="1703"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resignation or removal of the Trustee and appointment of a successor Trustee shall become effective only upon the successor Trustee’s acceptance of appointment as provided in this Section 7.07. The Trustee may resign in writing at any time by giving 30 days’ prior notice of such resignation to the Company and be discharged from the trust hereby created by so notifying the Company. The Holders of a majority in aggregate principal amount of the then outstanding Notes may remove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25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0"/>
          <w:szCs w:val="20"/>
          <w:color w:val="auto"/>
        </w:rPr>
        <w:t>Trustee by so notifying the Trustee and the Company in writing. The Company may remove the Trustee if:</w:t>
      </w:r>
    </w:p>
    <w:p>
      <w:pPr>
        <w:spacing w:after="0" w:line="229" w:lineRule="exact"/>
        <w:rPr>
          <w:sz w:val="20"/>
          <w:szCs w:val="20"/>
          <w:color w:val="auto"/>
        </w:rPr>
      </w:pPr>
    </w:p>
    <w:p>
      <w:pPr>
        <w:ind w:left="2380" w:hanging="428"/>
        <w:spacing w:after="0"/>
        <w:tabs>
          <w:tab w:leader="none" w:pos="2380" w:val="left"/>
        </w:tabs>
        <w:numPr>
          <w:ilvl w:val="1"/>
          <w:numId w:val="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Trustee fails to comply with Section 7.09;</w:t>
      </w:r>
    </w:p>
    <w:p>
      <w:pPr>
        <w:spacing w:after="0" w:line="215" w:lineRule="exact"/>
        <w:rPr>
          <w:rFonts w:ascii="Times New Roman" w:cs="Times New Roman" w:eastAsia="Times New Roman" w:hAnsi="Times New Roman"/>
          <w:sz w:val="20"/>
          <w:szCs w:val="20"/>
          <w:color w:val="010000"/>
        </w:rPr>
      </w:pPr>
    </w:p>
    <w:p>
      <w:pPr>
        <w:ind w:left="1300" w:right="280" w:firstLine="652"/>
        <w:spacing w:after="0" w:line="283" w:lineRule="auto"/>
        <w:tabs>
          <w:tab w:leader="none" w:pos="2376" w:val="left"/>
        </w:tabs>
        <w:numPr>
          <w:ilvl w:val="1"/>
          <w:numId w:val="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Trustee is adjudged a bankrupt or an insolvent or an order for relief is entered with respect to the Trustee under any Bankruptcy Law;</w:t>
      </w:r>
    </w:p>
    <w:p>
      <w:pPr>
        <w:spacing w:after="0" w:line="146" w:lineRule="exact"/>
        <w:rPr>
          <w:rFonts w:ascii="Times New Roman" w:cs="Times New Roman" w:eastAsia="Times New Roman" w:hAnsi="Times New Roman"/>
          <w:sz w:val="20"/>
          <w:szCs w:val="20"/>
          <w:color w:val="010000"/>
        </w:rPr>
      </w:pPr>
    </w:p>
    <w:p>
      <w:pPr>
        <w:ind w:left="2380" w:hanging="428"/>
        <w:spacing w:after="0"/>
        <w:tabs>
          <w:tab w:leader="none" w:pos="2380" w:val="left"/>
        </w:tabs>
        <w:numPr>
          <w:ilvl w:val="1"/>
          <w:numId w:val="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receiver or public officer takes charge of the Trustee or its property; or</w:t>
      </w:r>
    </w:p>
    <w:p>
      <w:pPr>
        <w:spacing w:after="0" w:line="229" w:lineRule="exact"/>
        <w:rPr>
          <w:rFonts w:ascii="Times New Roman" w:cs="Times New Roman" w:eastAsia="Times New Roman" w:hAnsi="Times New Roman"/>
          <w:sz w:val="20"/>
          <w:szCs w:val="20"/>
          <w:color w:val="010000"/>
        </w:rPr>
      </w:pPr>
    </w:p>
    <w:p>
      <w:pPr>
        <w:ind w:left="2380" w:hanging="428"/>
        <w:spacing w:after="0"/>
        <w:tabs>
          <w:tab w:leader="none" w:pos="2380" w:val="left"/>
        </w:tabs>
        <w:numPr>
          <w:ilvl w:val="1"/>
          <w:numId w:val="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Trustee becomes incapable of acting.</w:t>
      </w:r>
    </w:p>
    <w:p>
      <w:pPr>
        <w:spacing w:after="0" w:line="229" w:lineRule="exact"/>
        <w:rPr>
          <w:rFonts w:ascii="Times New Roman" w:cs="Times New Roman" w:eastAsia="Times New Roman" w:hAnsi="Times New Roman"/>
          <w:sz w:val="20"/>
          <w:szCs w:val="20"/>
          <w:color w:val="010000"/>
        </w:rPr>
      </w:pPr>
    </w:p>
    <w:p>
      <w:pPr>
        <w:ind w:right="180" w:firstLine="1304"/>
        <w:spacing w:after="0" w:line="254" w:lineRule="auto"/>
        <w:tabs>
          <w:tab w:leader="none" w:pos="1725"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Trustee resigns or is removed or if a vacancy exists in the office of Trustee for any reason, the Company shall promptly appoint a successor Trustee. Within one year after the successor Trustee takes office, the Holders of a majority in aggregate principal amount of the then outstanding Notes may remove the successor Trustee to replace it with another successor Trustee appointed by the Company.</w:t>
      </w:r>
    </w:p>
    <w:p>
      <w:pPr>
        <w:spacing w:after="0" w:line="187" w:lineRule="exact"/>
        <w:rPr>
          <w:rFonts w:ascii="Times New Roman" w:cs="Times New Roman" w:eastAsia="Times New Roman" w:hAnsi="Times New Roman"/>
          <w:sz w:val="20"/>
          <w:szCs w:val="20"/>
          <w:color w:val="auto"/>
        </w:rPr>
      </w:pPr>
    </w:p>
    <w:p>
      <w:pPr>
        <w:ind w:firstLine="1304"/>
        <w:spacing w:after="0" w:line="261" w:lineRule="auto"/>
        <w:tabs>
          <w:tab w:leader="none" w:pos="1713"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successor Trustee does not take office within 30 days after the retiring Trustee resigns or is removed, the retiring Trustee (at the Company’s expense), the Company or the Holders of at least 10% in aggregate principal amount of the then outstanding Notes may petition any court of competent jurisdiction for the appointment of a successor Trustee.</w:t>
      </w:r>
    </w:p>
    <w:p>
      <w:pPr>
        <w:spacing w:after="0" w:line="181" w:lineRule="exact"/>
        <w:rPr>
          <w:rFonts w:ascii="Times New Roman" w:cs="Times New Roman" w:eastAsia="Times New Roman" w:hAnsi="Times New Roman"/>
          <w:sz w:val="20"/>
          <w:szCs w:val="20"/>
          <w:color w:val="auto"/>
        </w:rPr>
      </w:pPr>
    </w:p>
    <w:p>
      <w:pPr>
        <w:ind w:right="60" w:firstLine="1304"/>
        <w:spacing w:after="0" w:line="261" w:lineRule="auto"/>
        <w:tabs>
          <w:tab w:leader="none" w:pos="1725"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Trustee, after written request by any Holder who has been a Holder for at least six months, fails to comply with Section 7.09, such Holder may petition any court of competent jurisdiction for the removal of the Trustee and the appointment of a successor Trustee.</w:t>
      </w:r>
    </w:p>
    <w:p>
      <w:pPr>
        <w:spacing w:after="0" w:line="181" w:lineRule="exact"/>
        <w:rPr>
          <w:rFonts w:ascii="Times New Roman" w:cs="Times New Roman" w:eastAsia="Times New Roman" w:hAnsi="Times New Roman"/>
          <w:sz w:val="20"/>
          <w:szCs w:val="20"/>
          <w:color w:val="auto"/>
        </w:rPr>
      </w:pPr>
    </w:p>
    <w:p>
      <w:pPr>
        <w:ind w:right="300" w:firstLine="1304"/>
        <w:spacing w:after="0" w:line="266" w:lineRule="auto"/>
        <w:tabs>
          <w:tab w:leader="none" w:pos="1703"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successor Trustee shall deliver a written acceptance of its appointment to the retiring Trustee and to the Company. Thereupon, the resignation or removal of the retiring Trustee shall become effective, and the successor Trustee shall have all the rights, powers and duties of the Trustee under this Indenture. The successor Trustee shall mail a notice of its succession to Holders. The retiring Trustee shall promptly transfer all property held by it as Trustee to the successor Trustee;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all sums owing to the Trustee hereunder have been paid and such transfer shall be subject to the Lien provided for in Section 7.06. Notwithstanding replacement of the Trustee pursuant to this Section 7.07, the Company’s obligations under Section 7.06 shall continue for the benefit of the retiring Trustee.</w:t>
      </w:r>
    </w:p>
    <w:p>
      <w:pPr>
        <w:spacing w:after="0" w:line="180" w:lineRule="exact"/>
        <w:rPr>
          <w:rFonts w:ascii="Times New Roman" w:cs="Times New Roman" w:eastAsia="Times New Roman" w:hAnsi="Times New Roman"/>
          <w:sz w:val="19"/>
          <w:szCs w:val="19"/>
          <w:color w:val="auto"/>
        </w:rPr>
      </w:pPr>
    </w:p>
    <w:p>
      <w:pPr>
        <w:ind w:left="1680" w:hanging="376"/>
        <w:spacing w:after="0"/>
        <w:tabs>
          <w:tab w:leader="none" w:pos="16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used in this Section 7.07, the term “Trustee” shall also include each Agent.</w:t>
      </w:r>
    </w:p>
    <w:p>
      <w:pPr>
        <w:spacing w:after="0" w:line="22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7.08</w:t>
      </w:r>
      <w:r>
        <w:rPr>
          <w:sz w:val="20"/>
          <w:szCs w:val="20"/>
          <w:color w:val="auto"/>
        </w:rPr>
        <w:tab/>
      </w:r>
      <w:r>
        <w:rPr>
          <w:rFonts w:ascii="Times New Roman" w:cs="Times New Roman" w:eastAsia="Times New Roman" w:hAnsi="Times New Roman"/>
          <w:sz w:val="19"/>
          <w:szCs w:val="19"/>
          <w:u w:val="single" w:color="auto"/>
          <w:color w:val="auto"/>
        </w:rPr>
        <w:t>Successor Trustee by Merger, etc.</w:t>
      </w:r>
    </w:p>
    <w:p>
      <w:pPr>
        <w:spacing w:after="0" w:line="216"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20"/>
          <w:szCs w:val="20"/>
          <w:color w:val="auto"/>
        </w:rPr>
        <w:t>If the Trustee consolidates, merges or converts into, or transfers all or substantially all of its corporate trust business to, another corporation or national banking association, the successor corporation or national banking association without any further act shall be the successor Trustee, subject to Section 7.09.</w:t>
      </w:r>
    </w:p>
    <w:p>
      <w:pPr>
        <w:spacing w:after="0" w:line="16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7.09</w:t>
      </w:r>
      <w:r>
        <w:rPr>
          <w:sz w:val="20"/>
          <w:szCs w:val="20"/>
          <w:color w:val="auto"/>
        </w:rPr>
        <w:tab/>
      </w:r>
      <w:r>
        <w:rPr>
          <w:rFonts w:ascii="Times New Roman" w:cs="Times New Roman" w:eastAsia="Times New Roman" w:hAnsi="Times New Roman"/>
          <w:sz w:val="19"/>
          <w:szCs w:val="19"/>
          <w:u w:val="single" w:color="auto"/>
          <w:color w:val="auto"/>
        </w:rPr>
        <w:t>Eligibility; Disqualification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20"/>
          <w:szCs w:val="20"/>
          <w:color w:val="auto"/>
        </w:rPr>
        <w:t>There shall at all times be a Trustee hereunder that is a corporation or national banking association organized and doing business under the laws of the United States or of any state thereof that is authorized under such laws to exercise corporate trustee power, that is subject to supervision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20"/>
          </w:cols>
          <w:pgMar w:left="320" w:top="1251" w:right="359" w:bottom="1440" w:gutter="0" w:footer="0" w:header="0"/>
        </w:sectPr>
      </w:pPr>
    </w:p>
    <w:bookmarkStart w:id="50" w:name="page51"/>
    <w:bookmarkEnd w:id="50"/>
    <w:p>
      <w:pPr>
        <w:ind w:right="200"/>
        <w:spacing w:after="0" w:line="283" w:lineRule="auto"/>
        <w:rPr>
          <w:sz w:val="20"/>
          <w:szCs w:val="20"/>
          <w:color w:val="auto"/>
        </w:rPr>
      </w:pPr>
      <w:r>
        <w:rPr>
          <w:rFonts w:ascii="Times New Roman" w:cs="Times New Roman" w:eastAsia="Times New Roman" w:hAnsi="Times New Roman"/>
          <w:sz w:val="20"/>
          <w:szCs w:val="20"/>
          <w:color w:val="auto"/>
        </w:rPr>
        <w:t>examination by federal or state authorities and that has a combined capital and surplus of at least $50,000,000 as set forth in its most recent published annual report of condition.</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ARTICLE 8</w:t>
      </w:r>
    </w:p>
    <w:p>
      <w:pPr>
        <w:spacing w:after="0" w:line="24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LEGAL DEFEASANCE AND COVENANT DEFEASANCE</w:t>
      </w:r>
    </w:p>
    <w:p>
      <w:pPr>
        <w:spacing w:after="0" w:line="21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8.01</w:t>
      </w:r>
      <w:r>
        <w:rPr>
          <w:sz w:val="20"/>
          <w:szCs w:val="20"/>
          <w:color w:val="auto"/>
        </w:rPr>
        <w:tab/>
      </w:r>
      <w:r>
        <w:rPr>
          <w:rFonts w:ascii="Times New Roman" w:cs="Times New Roman" w:eastAsia="Times New Roman" w:hAnsi="Times New Roman"/>
          <w:sz w:val="19"/>
          <w:szCs w:val="19"/>
          <w:u w:val="single" w:color="auto"/>
          <w:color w:val="auto"/>
        </w:rPr>
        <w:t>Option to Effect Legal Defeasance or Covenant Defeasance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160" w:firstLine="1296"/>
        <w:spacing w:after="0" w:line="283" w:lineRule="auto"/>
        <w:rPr>
          <w:sz w:val="20"/>
          <w:szCs w:val="20"/>
          <w:color w:val="auto"/>
        </w:rPr>
      </w:pPr>
      <w:r>
        <w:rPr>
          <w:rFonts w:ascii="Times New Roman" w:cs="Times New Roman" w:eastAsia="Times New Roman" w:hAnsi="Times New Roman"/>
          <w:sz w:val="20"/>
          <w:szCs w:val="20"/>
          <w:color w:val="auto"/>
        </w:rPr>
        <w:t>The Company may, at its option and at any time, elect to have either Section 8.02 or Section 8.03 applied to all outstanding Notes upon compliance with the conditions set forth below in this Article 8.</w:t>
      </w:r>
    </w:p>
    <w:p>
      <w:pPr>
        <w:spacing w:after="0" w:line="13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8.02</w:t>
      </w:r>
      <w:r>
        <w:rPr>
          <w:sz w:val="20"/>
          <w:szCs w:val="20"/>
          <w:color w:val="auto"/>
        </w:rPr>
        <w:tab/>
      </w:r>
      <w:r>
        <w:rPr>
          <w:rFonts w:ascii="Times New Roman" w:cs="Times New Roman" w:eastAsia="Times New Roman" w:hAnsi="Times New Roman"/>
          <w:sz w:val="19"/>
          <w:szCs w:val="19"/>
          <w:u w:val="single" w:color="auto"/>
          <w:color w:val="auto"/>
        </w:rPr>
        <w:t>Legal Defeasance and Discharge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1304"/>
        <w:spacing w:after="0" w:line="252" w:lineRule="auto"/>
        <w:tabs>
          <w:tab w:leader="none" w:pos="1713"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Company’s exercise under Section 8.01 of the option applicable to this Section 8.02, the Company and the Subsidiary Guarantors shall, subject to the satisfaction of the conditions set forth in Section 8.04, be deemed to have been discharged from their obligations with respect to the Indenture, all outstanding Notes and Subsidiary Guarantees on the date the conditions set forth below are satisfied (“</w:t>
      </w:r>
      <w:r>
        <w:rPr>
          <w:rFonts w:ascii="Times New Roman" w:cs="Times New Roman" w:eastAsia="Times New Roman" w:hAnsi="Times New Roman"/>
          <w:sz w:val="20"/>
          <w:szCs w:val="20"/>
          <w:i w:val="1"/>
          <w:iCs w:val="1"/>
          <w:color w:val="auto"/>
        </w:rPr>
        <w:t>Legal Defeasance</w:t>
      </w:r>
      <w:r>
        <w:rPr>
          <w:rFonts w:ascii="Times New Roman" w:cs="Times New Roman" w:eastAsia="Times New Roman" w:hAnsi="Times New Roman"/>
          <w:sz w:val="20"/>
          <w:szCs w:val="20"/>
          <w:color w:val="auto"/>
        </w:rPr>
        <w:t>”). For this purpose, Legal Defeasance means that the Company shall be deemed to have paid and discharged the entire Indebtedness represented by the outstanding Notes, which shall thereafter be deemed to be “outstanding” only for the purposes of Section 8.05 and the other Sections of this Indenture referred to in clauses (1) through (4) of this Section 8.02(a), and to have satisfied all of its other obligations under such Notes and this Indenture, including that of the Subsidiary Guarantors (and the Trustee, on demand of and at the expense of the Company, shall execute proper instruments acknowledging the same), except for the following provisions which shall survive until otherwise terminated or discharged hereunder:</w:t>
      </w:r>
    </w:p>
    <w:p>
      <w:pPr>
        <w:spacing w:after="0" w:line="189" w:lineRule="exact"/>
        <w:rPr>
          <w:rFonts w:ascii="Times New Roman" w:cs="Times New Roman" w:eastAsia="Times New Roman" w:hAnsi="Times New Roman"/>
          <w:sz w:val="20"/>
          <w:szCs w:val="20"/>
          <w:color w:val="auto"/>
        </w:rPr>
      </w:pPr>
    </w:p>
    <w:p>
      <w:pPr>
        <w:ind w:left="1300" w:right="80" w:firstLine="652"/>
        <w:spacing w:after="0" w:line="269" w:lineRule="auto"/>
        <w:tabs>
          <w:tab w:leader="none" w:pos="2376" w:val="left"/>
        </w:tabs>
        <w:numPr>
          <w:ilvl w:val="1"/>
          <w:numId w:val="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rights of Holders to receive payments in respect of the principal, premium, if any, and interest on the Notes when such payments are due, solely out of the trust created pursuant to this Indenture referred to in Section 8.04;</w:t>
      </w:r>
    </w:p>
    <w:p>
      <w:pPr>
        <w:spacing w:after="0" w:line="172" w:lineRule="exact"/>
        <w:rPr>
          <w:rFonts w:ascii="Times New Roman" w:cs="Times New Roman" w:eastAsia="Times New Roman" w:hAnsi="Times New Roman"/>
          <w:sz w:val="20"/>
          <w:szCs w:val="20"/>
          <w:color w:val="010000"/>
        </w:rPr>
      </w:pPr>
    </w:p>
    <w:p>
      <w:pPr>
        <w:ind w:left="1300" w:right="20" w:firstLine="652"/>
        <w:spacing w:after="0" w:line="261" w:lineRule="auto"/>
        <w:tabs>
          <w:tab w:leader="none" w:pos="2376" w:val="left"/>
        </w:tabs>
        <w:numPr>
          <w:ilvl w:val="1"/>
          <w:numId w:val="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Company’s obligations with respect to the Notes concerning issuing temporary Notes, registration of Notes, mutilated, destroyed, lost or stolen Notes and the maintenance of an office or agency for payment and money for Note payments held in trust;</w:t>
      </w:r>
    </w:p>
    <w:p>
      <w:pPr>
        <w:spacing w:after="0" w:line="181" w:lineRule="exact"/>
        <w:rPr>
          <w:rFonts w:ascii="Times New Roman" w:cs="Times New Roman" w:eastAsia="Times New Roman" w:hAnsi="Times New Roman"/>
          <w:sz w:val="20"/>
          <w:szCs w:val="20"/>
          <w:color w:val="010000"/>
        </w:rPr>
      </w:pPr>
    </w:p>
    <w:p>
      <w:pPr>
        <w:ind w:left="1300" w:right="240" w:firstLine="652"/>
        <w:spacing w:after="0" w:line="269" w:lineRule="auto"/>
        <w:tabs>
          <w:tab w:leader="none" w:pos="2376" w:val="left"/>
        </w:tabs>
        <w:numPr>
          <w:ilvl w:val="1"/>
          <w:numId w:val="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rights, powers, trusts, duties and immunities of the Trustee, and the Company’s obligations in connection therewith; and</w:t>
      </w:r>
    </w:p>
    <w:p>
      <w:pPr>
        <w:spacing w:after="0" w:line="172" w:lineRule="exact"/>
        <w:rPr>
          <w:rFonts w:ascii="Times New Roman" w:cs="Times New Roman" w:eastAsia="Times New Roman" w:hAnsi="Times New Roman"/>
          <w:sz w:val="20"/>
          <w:szCs w:val="20"/>
          <w:color w:val="010000"/>
        </w:rPr>
      </w:pPr>
    </w:p>
    <w:p>
      <w:pPr>
        <w:ind w:left="2380" w:hanging="428"/>
        <w:spacing w:after="0"/>
        <w:tabs>
          <w:tab w:leader="none" w:pos="2380" w:val="left"/>
        </w:tabs>
        <w:numPr>
          <w:ilvl w:val="1"/>
          <w:numId w:val="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this Section 8.02.</w:t>
      </w:r>
    </w:p>
    <w:p>
      <w:pPr>
        <w:spacing w:after="0" w:line="229" w:lineRule="exact"/>
        <w:rPr>
          <w:rFonts w:ascii="Times New Roman" w:cs="Times New Roman" w:eastAsia="Times New Roman" w:hAnsi="Times New Roman"/>
          <w:sz w:val="20"/>
          <w:szCs w:val="20"/>
          <w:color w:val="010000"/>
        </w:rPr>
      </w:pPr>
    </w:p>
    <w:p>
      <w:pPr>
        <w:ind w:right="600" w:firstLine="1304"/>
        <w:spacing w:after="0" w:line="269" w:lineRule="auto"/>
        <w:tabs>
          <w:tab w:leader="none" w:pos="1725"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Company’s exercise of its Legal Defeasance option, payment of the Notes may not be accelerated because of an Event of Default.</w:t>
      </w:r>
    </w:p>
    <w:p>
      <w:pPr>
        <w:spacing w:after="0" w:line="172" w:lineRule="exact"/>
        <w:rPr>
          <w:rFonts w:ascii="Times New Roman" w:cs="Times New Roman" w:eastAsia="Times New Roman" w:hAnsi="Times New Roman"/>
          <w:sz w:val="20"/>
          <w:szCs w:val="20"/>
          <w:color w:val="auto"/>
        </w:rPr>
      </w:pPr>
    </w:p>
    <w:p>
      <w:pPr>
        <w:ind w:right="20" w:firstLine="1304"/>
        <w:spacing w:after="0" w:line="269" w:lineRule="auto"/>
        <w:tabs>
          <w:tab w:leader="none" w:pos="1713"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compliance with this Article 8, the Company may exercise its option under this Section 8.02 notwithstanding the prior exercise of its option under Section 8.03.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20"/>
          </w:cols>
          <w:pgMar w:left="320" w:top="1251" w:right="359" w:bottom="1440" w:gutter="0" w:footer="0" w:header="0"/>
        </w:sectPr>
      </w:pPr>
    </w:p>
    <w:bookmarkStart w:id="51" w:name="page52"/>
    <w:bookmarkEnd w:id="51"/>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8.03</w:t>
      </w:r>
      <w:r>
        <w:rPr>
          <w:sz w:val="20"/>
          <w:szCs w:val="20"/>
          <w:color w:val="auto"/>
        </w:rPr>
        <w:tab/>
      </w:r>
      <w:r>
        <w:rPr>
          <w:rFonts w:ascii="Times New Roman" w:cs="Times New Roman" w:eastAsia="Times New Roman" w:hAnsi="Times New Roman"/>
          <w:sz w:val="19"/>
          <w:szCs w:val="19"/>
          <w:u w:val="single" w:color="auto"/>
          <w:color w:val="auto"/>
        </w:rPr>
        <w:t>Covenant Defeasance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1296"/>
        <w:spacing w:after="0" w:line="248" w:lineRule="auto"/>
        <w:rPr>
          <w:sz w:val="20"/>
          <w:szCs w:val="20"/>
          <w:color w:val="auto"/>
        </w:rPr>
      </w:pPr>
      <w:r>
        <w:rPr>
          <w:rFonts w:ascii="Times New Roman" w:cs="Times New Roman" w:eastAsia="Times New Roman" w:hAnsi="Times New Roman"/>
          <w:sz w:val="20"/>
          <w:szCs w:val="20"/>
          <w:color w:val="auto"/>
        </w:rPr>
        <w:t>Upon the Company’s exercise under Section 8.01 of the option applicable to this Section 8.03, the Company and the Subsidiary Guarantors shall, subject to the satisfaction of the conditions set forth in Section 8.04, be released from their obligations under the covenants contained in Sections 4.03, 4.05, 4.06, 4.07, 4.08 and 4.09, with respect to the outstanding Notes, and the Subsidiary Guarantors shall be deemed to have been discharged from their obligations with respect to all Subsidiary Guarantees, on and after the date the conditions set forth in Section 8.04 are satisfied (“</w:t>
      </w:r>
      <w:r>
        <w:rPr>
          <w:rFonts w:ascii="Times New Roman" w:cs="Times New Roman" w:eastAsia="Times New Roman" w:hAnsi="Times New Roman"/>
          <w:sz w:val="20"/>
          <w:szCs w:val="20"/>
          <w:i w:val="1"/>
          <w:iCs w:val="1"/>
          <w:color w:val="auto"/>
        </w:rPr>
        <w:t>Covenant Defeasance</w:t>
      </w:r>
      <w:r>
        <w:rPr>
          <w:rFonts w:ascii="Times New Roman" w:cs="Times New Roman" w:eastAsia="Times New Roman" w:hAnsi="Times New Roman"/>
          <w:sz w:val="20"/>
          <w:szCs w:val="20"/>
          <w:color w:val="auto"/>
        </w:rPr>
        <w:t>”),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this Indenture and the outstanding Notes, the Company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but, except as specified above, the remainder of this Indenture and such Notes shall be unaffected thereby. In addition, upon the Company’s exercise under Section 8.01 of the option applicable to this Section 8.03, subject to the satisfaction of the conditions set forth in Section 8.04, an Event of Default specified in Section 6.01(c) that resulted solely from the failure of the Company to comply with Section 5.01, Sections 6.01(d) (only with respect to covenants that are released as a result of such Covenant Defeasance), 6.01(e) (only with respect to covenants that are released as a result of such Covenant Defeasance), 6.01(f), 6.01(g), 6.01(h) (solely with respect to Significant Subsidiaries or any group of Subsidiaries that, taken together (as of the date of the latest audited financial statements of the Company and its Subsidiaries) would constitute a Significant Subsidiary), and 6.01(i), in each case, shall not constitute an Event of Default.</w:t>
      </w:r>
    </w:p>
    <w:p>
      <w:pPr>
        <w:spacing w:after="0" w:line="19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8.04</w:t>
      </w:r>
      <w:r>
        <w:rPr>
          <w:sz w:val="20"/>
          <w:szCs w:val="20"/>
          <w:color w:val="auto"/>
        </w:rPr>
        <w:tab/>
      </w:r>
      <w:r>
        <w:rPr>
          <w:rFonts w:ascii="Times New Roman" w:cs="Times New Roman" w:eastAsia="Times New Roman" w:hAnsi="Times New Roman"/>
          <w:sz w:val="19"/>
          <w:szCs w:val="19"/>
          <w:u w:val="single" w:color="auto"/>
          <w:color w:val="auto"/>
        </w:rPr>
        <w:t>Conditions to Legal or Covenant Defeasance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260" w:firstLine="1304"/>
        <w:spacing w:after="0" w:line="283" w:lineRule="auto"/>
        <w:tabs>
          <w:tab w:leader="none" w:pos="171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shall be the conditions to the exercise of either the Legal Defeasance option under Section 8.02 or the Covenant Defeasance option under Section 8.03 with respect to the Notes:</w:t>
      </w:r>
    </w:p>
    <w:p>
      <w:pPr>
        <w:spacing w:after="0" w:line="146" w:lineRule="exact"/>
        <w:rPr>
          <w:rFonts w:ascii="Times New Roman" w:cs="Times New Roman" w:eastAsia="Times New Roman" w:hAnsi="Times New Roman"/>
          <w:sz w:val="20"/>
          <w:szCs w:val="20"/>
          <w:color w:val="auto"/>
        </w:rPr>
      </w:pPr>
    </w:p>
    <w:p>
      <w:pPr>
        <w:ind w:left="1300" w:right="220" w:firstLine="652"/>
        <w:spacing w:after="0" w:line="257" w:lineRule="auto"/>
        <w:tabs>
          <w:tab w:leader="none" w:pos="2376" w:val="left"/>
        </w:tabs>
        <w:numPr>
          <w:ilvl w:val="1"/>
          <w:numId w:val="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must irrevocably deposit with the Trustee money or U.S. Government Obligations or a combination thereof, in such amounts as will be sufficient, without any reinvestment of interest to pay the principal, premium, if any, and interest due on the outstanding Notes on the Stated Maturity or on the applicable redemption date, as the case may be, and the Company must specify whether the Notes are being defeased to maturity or to a particular redemption date;</w:t>
      </w:r>
    </w:p>
    <w:p>
      <w:pPr>
        <w:spacing w:after="0" w:line="172" w:lineRule="exact"/>
        <w:rPr>
          <w:rFonts w:ascii="Times New Roman" w:cs="Times New Roman" w:eastAsia="Times New Roman" w:hAnsi="Times New Roman"/>
          <w:sz w:val="20"/>
          <w:szCs w:val="20"/>
          <w:color w:val="010000"/>
        </w:rPr>
      </w:pPr>
    </w:p>
    <w:p>
      <w:pPr>
        <w:ind w:left="1300" w:right="140" w:firstLine="652"/>
        <w:spacing w:after="0" w:line="283" w:lineRule="auto"/>
        <w:tabs>
          <w:tab w:leader="none" w:pos="2376" w:val="left"/>
        </w:tabs>
        <w:numPr>
          <w:ilvl w:val="1"/>
          <w:numId w:val="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case of Legal Defeasance, the Company has delivered to the Trustee an Opinion of Counsel reasonably acceptable to the Trustee confirming that, subject to customary assumptions and exclusions,</w:t>
      </w:r>
    </w:p>
    <w:p>
      <w:pPr>
        <w:spacing w:after="0" w:line="146" w:lineRule="exact"/>
        <w:rPr>
          <w:sz w:val="20"/>
          <w:szCs w:val="20"/>
          <w:color w:val="auto"/>
        </w:rPr>
      </w:pPr>
    </w:p>
    <w:p>
      <w:pPr>
        <w:ind w:left="2420" w:hanging="468"/>
        <w:spacing w:after="0"/>
        <w:tabs>
          <w:tab w:leader="none" w:pos="2420" w:val="left"/>
        </w:tabs>
        <w:numPr>
          <w:ilvl w:val="0"/>
          <w:numId w:val="7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has received from, or there has been published by, the U.S. Internal Revenue Service a ruling, or</w:t>
      </w:r>
    </w:p>
    <w:p>
      <w:pPr>
        <w:spacing w:after="0" w:line="240" w:lineRule="exact"/>
        <w:rPr>
          <w:rFonts w:ascii="Times New Roman" w:cs="Times New Roman" w:eastAsia="Times New Roman" w:hAnsi="Times New Roman"/>
          <w:sz w:val="19"/>
          <w:szCs w:val="19"/>
          <w:color w:val="010000"/>
        </w:rPr>
      </w:pPr>
    </w:p>
    <w:p>
      <w:pPr>
        <w:ind w:left="2420" w:hanging="468"/>
        <w:spacing w:after="0"/>
        <w:tabs>
          <w:tab w:leader="none" w:pos="2420" w:val="left"/>
        </w:tabs>
        <w:numPr>
          <w:ilvl w:val="0"/>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since the Issue Date, there has been a change in the applicable U.S. federal income tax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180"/>
          </w:cols>
          <w:pgMar w:left="320" w:top="1251" w:right="399" w:bottom="1440" w:gutter="0" w:footer="0" w:header="0"/>
        </w:sectPr>
      </w:pPr>
    </w:p>
    <w:bookmarkStart w:id="52" w:name="page53"/>
    <w:bookmarkEnd w:id="52"/>
    <w:p>
      <w:pPr>
        <w:ind w:left="660" w:right="120"/>
        <w:spacing w:after="0" w:line="258" w:lineRule="auto"/>
        <w:rPr>
          <w:sz w:val="20"/>
          <w:szCs w:val="20"/>
          <w:color w:val="auto"/>
        </w:rPr>
      </w:pPr>
      <w:r>
        <w:rPr>
          <w:rFonts w:ascii="Times New Roman" w:cs="Times New Roman" w:eastAsia="Times New Roman" w:hAnsi="Times New Roman"/>
          <w:sz w:val="20"/>
          <w:szCs w:val="20"/>
          <w:color w:val="auto"/>
        </w:rPr>
        <w:t>in either case to the effect that, and based thereon such Opinion of Counsel will confirm that the Holders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172" w:lineRule="exact"/>
        <w:rPr>
          <w:sz w:val="20"/>
          <w:szCs w:val="20"/>
          <w:color w:val="auto"/>
        </w:rPr>
      </w:pPr>
    </w:p>
    <w:p>
      <w:pPr>
        <w:ind w:left="1300" w:right="120" w:firstLine="652"/>
        <w:spacing w:after="0" w:line="257" w:lineRule="auto"/>
        <w:tabs>
          <w:tab w:leader="none" w:pos="2376" w:val="left"/>
        </w:tabs>
        <w:numPr>
          <w:ilvl w:val="0"/>
          <w:numId w:val="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case of Covenant Defeasance, the Company has delivered to the Trustee an Opinion of Counsel reasonably acceptable to the Trustee confirming that, subject to customary assumptions and exclusions, the Holders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172" w:lineRule="exact"/>
        <w:rPr>
          <w:rFonts w:ascii="Times New Roman" w:cs="Times New Roman" w:eastAsia="Times New Roman" w:hAnsi="Times New Roman"/>
          <w:sz w:val="20"/>
          <w:szCs w:val="20"/>
          <w:color w:val="010000"/>
        </w:rPr>
      </w:pPr>
    </w:p>
    <w:p>
      <w:pPr>
        <w:ind w:left="1300" w:right="100" w:firstLine="652"/>
        <w:spacing w:after="0" w:line="253" w:lineRule="auto"/>
        <w:tabs>
          <w:tab w:leader="none" w:pos="2376" w:val="left"/>
        </w:tabs>
        <w:numPr>
          <w:ilvl w:val="0"/>
          <w:numId w:val="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Default or Event of Default has occurred and is continuing on the date of such deposit or will occur as a result of such deposit (other than a Default or an Event of Default resulting from the borrowing of funds to be applied to make such deposit and any similar and simultaneous deposit relating to other Indebtedness and, in each case, the granting of Liens in connection therewith) and the deposit will not result in a breach or violation of, or constitute a default under, the Credit Agreement or any other material agreement or material instrument (other than this Indenture) to which the Company or any Subsidiary Guarantor is a party or by which the Company or any Subsidiary Guarantor is bound;</w:t>
      </w:r>
    </w:p>
    <w:p>
      <w:pPr>
        <w:spacing w:after="0" w:line="192" w:lineRule="exact"/>
        <w:rPr>
          <w:rFonts w:ascii="Times New Roman" w:cs="Times New Roman" w:eastAsia="Times New Roman" w:hAnsi="Times New Roman"/>
          <w:sz w:val="20"/>
          <w:szCs w:val="20"/>
          <w:color w:val="010000"/>
        </w:rPr>
      </w:pPr>
    </w:p>
    <w:p>
      <w:pPr>
        <w:ind w:left="1300" w:right="180" w:firstLine="652"/>
        <w:spacing w:after="0" w:line="261" w:lineRule="auto"/>
        <w:tabs>
          <w:tab w:leader="none" w:pos="2376" w:val="left"/>
        </w:tabs>
        <w:numPr>
          <w:ilvl w:val="0"/>
          <w:numId w:val="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has delivered to the Trustee an Officer’s Certificate stating that the deposit was not made by the Company with the intent of defeating, hindering, delaying or defrauding any creditors of the Company, any Subsidiary Guarantor or others;</w:t>
      </w:r>
    </w:p>
    <w:p>
      <w:pPr>
        <w:spacing w:after="0" w:line="181" w:lineRule="exact"/>
        <w:rPr>
          <w:rFonts w:ascii="Times New Roman" w:cs="Times New Roman" w:eastAsia="Times New Roman" w:hAnsi="Times New Roman"/>
          <w:sz w:val="20"/>
          <w:szCs w:val="20"/>
          <w:color w:val="010000"/>
        </w:rPr>
      </w:pPr>
    </w:p>
    <w:p>
      <w:pPr>
        <w:ind w:left="1300" w:firstLine="652"/>
        <w:spacing w:after="0" w:line="261" w:lineRule="auto"/>
        <w:tabs>
          <w:tab w:leader="none" w:pos="2376" w:val="left"/>
        </w:tabs>
        <w:numPr>
          <w:ilvl w:val="0"/>
          <w:numId w:val="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has delivered to the Trustee an Officer’s Certificate and an Opinion of Counsel (which Opinion of Counsel may be subject to customary assumptions and exclusions), each stating that all conditions precedent relating to the Legal Defeasance or the Covenant Defeasance, as the case may be, have been complied with; and</w:t>
      </w:r>
    </w:p>
    <w:p>
      <w:pPr>
        <w:spacing w:after="0" w:line="167" w:lineRule="exact"/>
        <w:rPr>
          <w:rFonts w:ascii="Times New Roman" w:cs="Times New Roman" w:eastAsia="Times New Roman" w:hAnsi="Times New Roman"/>
          <w:sz w:val="20"/>
          <w:szCs w:val="20"/>
          <w:color w:val="010000"/>
        </w:rPr>
      </w:pPr>
    </w:p>
    <w:p>
      <w:pPr>
        <w:jc w:val="both"/>
        <w:ind w:left="1300" w:right="380" w:firstLine="652"/>
        <w:spacing w:after="0" w:line="268" w:lineRule="auto"/>
        <w:tabs>
          <w:tab w:leader="none" w:pos="2376" w:val="left"/>
        </w:tabs>
        <w:numPr>
          <w:ilvl w:val="0"/>
          <w:numId w:val="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has delivered irrevocable instructions to the Trustee to apply the deposited money toward the payment of the Notes at maturity or the redemption date, as the case may be (which instructions may be contained in the Officer’s Certificate referred to in clause (6) above).</w:t>
      </w:r>
    </w:p>
    <w:p>
      <w:pPr>
        <w:spacing w:after="0" w:line="16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8.05</w:t>
      </w:r>
      <w:r>
        <w:rPr>
          <w:sz w:val="20"/>
          <w:szCs w:val="20"/>
          <w:color w:val="auto"/>
        </w:rPr>
        <w:tab/>
      </w:r>
      <w:r>
        <w:rPr>
          <w:rFonts w:ascii="Times New Roman" w:cs="Times New Roman" w:eastAsia="Times New Roman" w:hAnsi="Times New Roman"/>
          <w:sz w:val="19"/>
          <w:szCs w:val="19"/>
          <w:u w:val="single" w:color="auto"/>
          <w:color w:val="auto"/>
        </w:rPr>
        <w:t>Deposited Money and U.S. Government Obligations to Be Held in Trust; Other Miscellaneous Provisions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100" w:firstLine="1304"/>
        <w:spacing w:after="0" w:line="253" w:lineRule="auto"/>
        <w:tabs>
          <w:tab w:leader="none" w:pos="1713"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8.06, all money and U.S. Government Obligations (including the proceeds thereof) deposited with the Trustee pursuant to Section 8.04 in respect of the outstanding Notes shall be held in trust and applied by the Trustee, in accordance with the provisions of such Notes and this Indenture, to the payment, either directly or through any Paying Agent (including the Company or a Subsidiary Guarantor acting as Paying Agent) as the Trustee may determine, to the Holders of all sums due and to become due thereon in respect of principal, premium, if any, and interest on the Notes, but such money need not be segregated from other funds except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251" w:right="339" w:bottom="1440" w:gutter="0" w:footer="0" w:header="0"/>
        </w:sectPr>
      </w:pPr>
    </w:p>
    <w:bookmarkStart w:id="53" w:name="page54"/>
    <w:bookmarkEnd w:id="53"/>
    <w:p>
      <w:pPr>
        <w:ind w:right="220" w:firstLine="1304"/>
        <w:spacing w:after="0" w:line="261" w:lineRule="auto"/>
        <w:tabs>
          <w:tab w:leader="none" w:pos="1721"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pay and indemnify the Trustee against any tax, fee or other charge imposed on or assessed against the cash or U.S. Government Obligations deposited pursuant to Section 8.04 or the principal and interest received in respect thereof other than any such tax, fee or other charge which by law is for the account of the Holders.</w:t>
      </w:r>
    </w:p>
    <w:p>
      <w:pPr>
        <w:spacing w:after="0" w:line="181" w:lineRule="exact"/>
        <w:rPr>
          <w:rFonts w:ascii="Times New Roman" w:cs="Times New Roman" w:eastAsia="Times New Roman" w:hAnsi="Times New Roman"/>
          <w:sz w:val="20"/>
          <w:szCs w:val="20"/>
          <w:color w:val="auto"/>
        </w:rPr>
      </w:pPr>
    </w:p>
    <w:p>
      <w:pPr>
        <w:ind w:firstLine="1304"/>
        <w:spacing w:after="0" w:line="253" w:lineRule="auto"/>
        <w:tabs>
          <w:tab w:leader="none" w:pos="1703"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Anything in this Article 8 to the contrary notwithstanding, the Trustee will deliver or pay to the Company from time to time upon the request of the Company any money or U.S. Government Obligations held by it as provided in Section 8.04 which, in the opinion of an Independent Financial Advisor expressed in a written certification thereof delivered to the Trustee (which may be the opinion delivered under Section 8.04(a)), are in excess of the amount thereof that would then be required to be deposited to effect an equivalent Legal Defeasance or Covenant Defeasance.</w:t>
      </w:r>
    </w:p>
    <w:p>
      <w:pPr>
        <w:spacing w:after="0" w:line="19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8.06</w:t>
      </w:r>
      <w:r>
        <w:rPr>
          <w:sz w:val="20"/>
          <w:szCs w:val="20"/>
          <w:color w:val="auto"/>
        </w:rPr>
        <w:tab/>
      </w:r>
      <w:r>
        <w:rPr>
          <w:rFonts w:ascii="Times New Roman" w:cs="Times New Roman" w:eastAsia="Times New Roman" w:hAnsi="Times New Roman"/>
          <w:sz w:val="19"/>
          <w:szCs w:val="19"/>
          <w:u w:val="single" w:color="auto"/>
          <w:color w:val="auto"/>
        </w:rPr>
        <w:t>Repayment to the Company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40" w:firstLine="1296"/>
        <w:spacing w:after="0" w:line="252" w:lineRule="auto"/>
        <w:rPr>
          <w:sz w:val="20"/>
          <w:szCs w:val="20"/>
          <w:color w:val="auto"/>
        </w:rPr>
      </w:pPr>
      <w:r>
        <w:rPr>
          <w:rFonts w:ascii="Times New Roman" w:cs="Times New Roman" w:eastAsia="Times New Roman" w:hAnsi="Times New Roman"/>
          <w:sz w:val="20"/>
          <w:szCs w:val="20"/>
          <w:color w:val="auto"/>
        </w:rPr>
        <w:t xml:space="preserve">Subject to any applicable abandoned property law, any money deposited with the Trustee or any Paying Agent, or then held by the Company, in trust for the payment of the principal, premium, if any, or interest on any Note and remaining unclaimed for two years after such principal, premium, if any, or interest has become due and payable shall be paid to the Company on its request or (if then held by the Company) shall be discharged from such trust; and the Holder of such Note shall thereafter look only to the Company for payment thereof, and all liability of the Trustee or such Paying Agent with respect to such trust money, and all liability of the Company as trustee thereof, shall thereupon cease;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the Trustee or such Paying Agent, before being required to make any such repayment, may at the expense of the Company cause to be published once, in </w:t>
      </w:r>
      <w:r>
        <w:rPr>
          <w:rFonts w:ascii="Times New Roman" w:cs="Times New Roman" w:eastAsia="Times New Roman" w:hAnsi="Times New Roman"/>
          <w:sz w:val="20"/>
          <w:szCs w:val="20"/>
          <w:u w:val="single" w:color="auto"/>
          <w:color w:val="auto"/>
        </w:rPr>
        <w:t>The New York Times</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The Wall Street Journal</w:t>
      </w:r>
      <w:r>
        <w:rPr>
          <w:rFonts w:ascii="Times New Roman" w:cs="Times New Roman" w:eastAsia="Times New Roman" w:hAnsi="Times New Roman"/>
          <w:sz w:val="20"/>
          <w:szCs w:val="20"/>
          <w:color w:val="auto"/>
        </w:rPr>
        <w:t xml:space="preserve"> (national edition), notice that such money remains unclaimed and that, after a date specified therein, which shall not be less than 30 days from the date of such notification or publication, any unclaimed balance of such money then remaining shall be repaid to the Company.</w:t>
      </w:r>
    </w:p>
    <w:p>
      <w:pPr>
        <w:spacing w:after="0" w:line="16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8.07</w:t>
      </w:r>
      <w:r>
        <w:rPr>
          <w:sz w:val="20"/>
          <w:szCs w:val="20"/>
          <w:color w:val="auto"/>
        </w:rPr>
        <w:tab/>
      </w:r>
      <w:r>
        <w:rPr>
          <w:rFonts w:ascii="Times New Roman" w:cs="Times New Roman" w:eastAsia="Times New Roman" w:hAnsi="Times New Roman"/>
          <w:sz w:val="19"/>
          <w:szCs w:val="19"/>
          <w:u w:val="single" w:color="auto"/>
          <w:color w:val="auto"/>
        </w:rPr>
        <w:t>Reinstatement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140" w:firstLine="1296"/>
        <w:spacing w:after="0" w:line="251" w:lineRule="auto"/>
        <w:rPr>
          <w:sz w:val="20"/>
          <w:szCs w:val="20"/>
          <w:color w:val="auto"/>
        </w:rPr>
      </w:pPr>
      <w:r>
        <w:rPr>
          <w:rFonts w:ascii="Times New Roman" w:cs="Times New Roman" w:eastAsia="Times New Roman" w:hAnsi="Times New Roman"/>
          <w:sz w:val="20"/>
          <w:szCs w:val="20"/>
          <w:color w:val="auto"/>
        </w:rPr>
        <w:t xml:space="preserve">If the Trustee or Paying Agent is unable to apply any U.S. dollars or U.S. Government Obligations in accordance with Section 8.02 or Section 8.03, as the case may be, by reason of any order or judgment of any court or governmental authority enjoining, restraining or otherwise prohibiting such application, then the Company’s and the Subsidiary Guarantors’ obligations under this Indenture, the Notes and the Subsidiary Guarantees shall be revived and reinstated as though no deposit had occurred pursuant to Section 8.02 or Section 8.03 until such time as the Trustee or Paying Agent is permitted to apply all such money in accordance with Section 8.02 or Section 8.03, as the case may be;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Company makes any payment of principal, premium, if any, or interest on any Note following the reinstatement of its obligations, the Company shall be subrogated to the rights of the Holders to receive such payment from the money held by the Trustee or Paying Agent.</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ARTICLE 9</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AMENDMENT, SUPPLEMENT AND WAIVER</w:t>
      </w:r>
    </w:p>
    <w:p>
      <w:pPr>
        <w:spacing w:after="0" w:line="22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9.01</w:t>
      </w:r>
      <w:r>
        <w:rPr>
          <w:sz w:val="20"/>
          <w:szCs w:val="20"/>
          <w:color w:val="auto"/>
        </w:rPr>
        <w:tab/>
      </w:r>
      <w:r>
        <w:rPr>
          <w:rFonts w:ascii="Times New Roman" w:cs="Times New Roman" w:eastAsia="Times New Roman" w:hAnsi="Times New Roman"/>
          <w:sz w:val="19"/>
          <w:szCs w:val="19"/>
          <w:u w:val="single" w:color="auto"/>
          <w:color w:val="auto"/>
        </w:rPr>
        <w:t>Without Consent of Holders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420" w:firstLine="1304"/>
        <w:spacing w:after="0" w:line="283" w:lineRule="auto"/>
        <w:tabs>
          <w:tab w:leader="none" w:pos="1713"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Section 9.02, without the consent of any Holder, the Company, the Subsidiary Guarantors and the Trustee may amend this Indenture, the Notes and the Subsidiary Guarantees to:</w:t>
      </w:r>
    </w:p>
    <w:p>
      <w:pPr>
        <w:spacing w:after="0" w:line="146" w:lineRule="exact"/>
        <w:rPr>
          <w:rFonts w:ascii="Times New Roman" w:cs="Times New Roman" w:eastAsia="Times New Roman" w:hAnsi="Times New Roman"/>
          <w:sz w:val="20"/>
          <w:szCs w:val="20"/>
          <w:color w:val="auto"/>
        </w:rPr>
      </w:pPr>
    </w:p>
    <w:p>
      <w:pPr>
        <w:ind w:left="2380" w:hanging="428"/>
        <w:spacing w:after="0"/>
        <w:tabs>
          <w:tab w:leader="none" w:pos="2380" w:val="left"/>
        </w:tabs>
        <w:numPr>
          <w:ilvl w:val="1"/>
          <w:numId w:val="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cure any ambiguity, omission, defect or inconsistency;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20"/>
          </w:cols>
          <w:pgMar w:left="320" w:top="1251" w:right="359" w:bottom="1440" w:gutter="0" w:footer="0" w:header="0"/>
        </w:sectPr>
      </w:pPr>
    </w:p>
    <w:bookmarkStart w:id="54" w:name="page55"/>
    <w:bookmarkEnd w:id="54"/>
    <w:p>
      <w:pPr>
        <w:ind w:left="1300" w:right="460" w:firstLine="652"/>
        <w:spacing w:after="0" w:line="261" w:lineRule="auto"/>
        <w:tabs>
          <w:tab w:leader="none" w:pos="2376" w:val="left"/>
        </w:tabs>
        <w:numPr>
          <w:ilvl w:val="0"/>
          <w:numId w:val="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provide for the assumption by a successor corporation, limited liability company, partnership or similar entity, of the obligations of the Company or any Subsidiary Guarantor under this Indenture, the Notes or a Subsidiary Guarantee, as applicable, or to provide for the addition of a co-issuer of the Notes;</w:t>
      </w:r>
    </w:p>
    <w:p>
      <w:pPr>
        <w:spacing w:after="0" w:line="177" w:lineRule="exact"/>
        <w:rPr>
          <w:rFonts w:ascii="Times New Roman" w:cs="Times New Roman" w:eastAsia="Times New Roman" w:hAnsi="Times New Roman"/>
          <w:sz w:val="20"/>
          <w:szCs w:val="20"/>
          <w:color w:val="010000"/>
        </w:rPr>
      </w:pPr>
    </w:p>
    <w:p>
      <w:pPr>
        <w:ind w:left="1300" w:right="320" w:firstLine="652"/>
        <w:spacing w:after="0" w:line="263" w:lineRule="auto"/>
        <w:tabs>
          <w:tab w:leader="none" w:pos="2376" w:val="left"/>
        </w:tabs>
        <w:numPr>
          <w:ilvl w:val="0"/>
          <w:numId w:val="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provide for uncertificated Notes in addition to or in place of certificated Notes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uncertificated Notes are issued in registered form for purposes of Section 163(f) of the Code, or in a manner such that the uncertificated Notes are described in Section 163(f)(2)(B) of the Code);</w:t>
      </w:r>
    </w:p>
    <w:p>
      <w:pPr>
        <w:spacing w:after="0" w:line="179" w:lineRule="exact"/>
        <w:rPr>
          <w:rFonts w:ascii="Times New Roman" w:cs="Times New Roman" w:eastAsia="Times New Roman" w:hAnsi="Times New Roman"/>
          <w:sz w:val="20"/>
          <w:szCs w:val="20"/>
          <w:color w:val="010000"/>
        </w:rPr>
      </w:pPr>
    </w:p>
    <w:p>
      <w:pPr>
        <w:ind w:left="1300" w:right="40" w:firstLine="652"/>
        <w:spacing w:after="0" w:line="269" w:lineRule="auto"/>
        <w:tabs>
          <w:tab w:leader="none" w:pos="2376" w:val="left"/>
        </w:tabs>
        <w:numPr>
          <w:ilvl w:val="0"/>
          <w:numId w:val="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add Subsidiary Guarantees with respect to the Notes in accordance with this Indenture or to secure the Notes or a Subsidiary Guarantee;</w:t>
      </w:r>
    </w:p>
    <w:p>
      <w:pPr>
        <w:spacing w:after="0" w:line="172" w:lineRule="exact"/>
        <w:rPr>
          <w:rFonts w:ascii="Times New Roman" w:cs="Times New Roman" w:eastAsia="Times New Roman" w:hAnsi="Times New Roman"/>
          <w:sz w:val="20"/>
          <w:szCs w:val="20"/>
          <w:color w:val="010000"/>
        </w:rPr>
      </w:pPr>
    </w:p>
    <w:p>
      <w:pPr>
        <w:ind w:left="1300" w:right="140" w:firstLine="652"/>
        <w:spacing w:after="0" w:line="269" w:lineRule="auto"/>
        <w:tabs>
          <w:tab w:leader="none" w:pos="2376" w:val="left"/>
        </w:tabs>
        <w:numPr>
          <w:ilvl w:val="0"/>
          <w:numId w:val="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add to the covenants of the Company for the benefit of the Holders of the Notes or to surrender any right or power conferred upon the Company or any Subsidiary Guarantor;</w:t>
      </w:r>
    </w:p>
    <w:p>
      <w:pPr>
        <w:spacing w:after="0" w:line="172" w:lineRule="exact"/>
        <w:rPr>
          <w:rFonts w:ascii="Times New Roman" w:cs="Times New Roman" w:eastAsia="Times New Roman" w:hAnsi="Times New Roman"/>
          <w:sz w:val="20"/>
          <w:szCs w:val="20"/>
          <w:color w:val="010000"/>
        </w:rPr>
      </w:pPr>
    </w:p>
    <w:p>
      <w:pPr>
        <w:ind w:left="2380" w:hanging="428"/>
        <w:spacing w:after="0"/>
        <w:tabs>
          <w:tab w:leader="none" w:pos="2380" w:val="left"/>
        </w:tabs>
        <w:numPr>
          <w:ilvl w:val="0"/>
          <w:numId w:val="7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to make any change that does not adversely affect in any material respect the rights of any Holder of the Notes;</w:t>
      </w:r>
    </w:p>
    <w:p>
      <w:pPr>
        <w:spacing w:after="0" w:line="240" w:lineRule="exact"/>
        <w:rPr>
          <w:rFonts w:ascii="Times New Roman" w:cs="Times New Roman" w:eastAsia="Times New Roman" w:hAnsi="Times New Roman"/>
          <w:sz w:val="19"/>
          <w:szCs w:val="19"/>
          <w:color w:val="010000"/>
        </w:rPr>
      </w:pPr>
    </w:p>
    <w:p>
      <w:pPr>
        <w:ind w:left="1300" w:right="160" w:firstLine="652"/>
        <w:spacing w:after="0" w:line="269" w:lineRule="auto"/>
        <w:tabs>
          <w:tab w:leader="none" w:pos="2376" w:val="left"/>
        </w:tabs>
        <w:numPr>
          <w:ilvl w:val="0"/>
          <w:numId w:val="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conform the text of this Indenture, the Notes or any Subsidiary Guarantee to any provision contained in the “Description of the Notes” section of the Offering Memorandum;</w:t>
      </w:r>
    </w:p>
    <w:p>
      <w:pPr>
        <w:spacing w:after="0" w:line="172" w:lineRule="exact"/>
        <w:rPr>
          <w:rFonts w:ascii="Times New Roman" w:cs="Times New Roman" w:eastAsia="Times New Roman" w:hAnsi="Times New Roman"/>
          <w:sz w:val="20"/>
          <w:szCs w:val="20"/>
          <w:color w:val="010000"/>
        </w:rPr>
      </w:pPr>
    </w:p>
    <w:p>
      <w:pPr>
        <w:jc w:val="both"/>
        <w:ind w:left="1300" w:right="420" w:firstLine="652"/>
        <w:spacing w:after="0" w:line="258" w:lineRule="auto"/>
        <w:tabs>
          <w:tab w:leader="none" w:pos="2376" w:val="left"/>
        </w:tabs>
        <w:numPr>
          <w:ilvl w:val="0"/>
          <w:numId w:val="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to make any amendment to the provisions of this Indenture relating to the transfer and legending of Notes;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(a) compliance with this Indenture as so amended would not result in Notes being transferred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violation of the Securities Act or any other applicable securities law and (b) such amendment does not materially and adversely affect the rights of Holders to transfer Notes;</w:t>
      </w:r>
    </w:p>
    <w:p>
      <w:pPr>
        <w:spacing w:after="0" w:line="172" w:lineRule="exact"/>
        <w:rPr>
          <w:rFonts w:ascii="Times New Roman" w:cs="Times New Roman" w:eastAsia="Times New Roman" w:hAnsi="Times New Roman"/>
          <w:sz w:val="20"/>
          <w:szCs w:val="20"/>
          <w:color w:val="010000"/>
        </w:rPr>
      </w:pPr>
    </w:p>
    <w:p>
      <w:pPr>
        <w:ind w:left="1300" w:right="380" w:firstLine="652"/>
        <w:spacing w:after="0" w:line="283" w:lineRule="auto"/>
        <w:tabs>
          <w:tab w:leader="none" w:pos="2376" w:val="left"/>
        </w:tabs>
        <w:numPr>
          <w:ilvl w:val="0"/>
          <w:numId w:val="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evidence and provide for the acceptance of appointment under this Indenture by a successor trustee or to comply with the rules of any applicable securities depository;</w:t>
      </w:r>
    </w:p>
    <w:p>
      <w:pPr>
        <w:spacing w:after="0" w:line="146" w:lineRule="exact"/>
        <w:rPr>
          <w:rFonts w:ascii="Times New Roman" w:cs="Times New Roman" w:eastAsia="Times New Roman" w:hAnsi="Times New Roman"/>
          <w:sz w:val="20"/>
          <w:szCs w:val="20"/>
          <w:color w:val="010000"/>
        </w:rPr>
      </w:pPr>
    </w:p>
    <w:p>
      <w:pPr>
        <w:ind w:left="2480" w:hanging="528"/>
        <w:spacing w:after="0"/>
        <w:tabs>
          <w:tab w:leader="none" w:pos="2480" w:val="left"/>
        </w:tabs>
        <w:numPr>
          <w:ilvl w:val="0"/>
          <w:numId w:val="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release any Lien securing the Notes as provided for in Section 4.06(c); or</w:t>
      </w:r>
    </w:p>
    <w:p>
      <w:pPr>
        <w:spacing w:after="0" w:line="229" w:lineRule="exact"/>
        <w:rPr>
          <w:rFonts w:ascii="Times New Roman" w:cs="Times New Roman" w:eastAsia="Times New Roman" w:hAnsi="Times New Roman"/>
          <w:sz w:val="20"/>
          <w:szCs w:val="20"/>
          <w:color w:val="010000"/>
        </w:rPr>
      </w:pPr>
    </w:p>
    <w:p>
      <w:pPr>
        <w:ind w:left="2480" w:hanging="528"/>
        <w:spacing w:after="0"/>
        <w:tabs>
          <w:tab w:leader="none" w:pos="2480" w:val="left"/>
        </w:tabs>
        <w:numPr>
          <w:ilvl w:val="0"/>
          <w:numId w:val="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provide for the issuance of Additional Notes (except as may be limited by Section 4.06).</w:t>
      </w:r>
    </w:p>
    <w:p>
      <w:pPr>
        <w:spacing w:after="0" w:line="21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9.02</w:t>
      </w:r>
      <w:r>
        <w:rPr>
          <w:sz w:val="20"/>
          <w:szCs w:val="20"/>
          <w:color w:val="auto"/>
        </w:rPr>
        <w:tab/>
      </w:r>
      <w:r>
        <w:rPr>
          <w:rFonts w:ascii="Times New Roman" w:cs="Times New Roman" w:eastAsia="Times New Roman" w:hAnsi="Times New Roman"/>
          <w:sz w:val="19"/>
          <w:szCs w:val="19"/>
          <w:u w:val="single" w:color="auto"/>
          <w:color w:val="auto"/>
        </w:rPr>
        <w:t>With Consent of Holders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1304"/>
        <w:spacing w:after="0" w:line="253" w:lineRule="auto"/>
        <w:tabs>
          <w:tab w:leader="none" w:pos="1713"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in Section 9.01 and this Section 9.02, the Company, the Subsidiary Guarantors and the Trustee may amend or supplement this Indenture, the Notes and the Subsidiary Guarantees with the consent of the Holders of a majority in aggregate principal amount of the Notes then outstanding (including consents obtained in connection with a tender offer or exchange offer for the Notes or in connection with the issuance of Additional Notes) and any past Default or compliance with any provision may also be waived with the consent of the holders of a majority in aggregate principal amount of the Notes then outstanding. However, without the consent of each holder of an outstanding Note affected thereby, an amendment or waiver may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20"/>
          </w:cols>
          <w:pgMar w:left="320" w:top="1251" w:right="359" w:bottom="1440" w:gutter="0" w:footer="0" w:header="0"/>
        </w:sectPr>
      </w:pPr>
    </w:p>
    <w:bookmarkStart w:id="55" w:name="page56"/>
    <w:bookmarkEnd w:id="55"/>
    <w:p>
      <w:pPr>
        <w:ind w:left="2380" w:hanging="428"/>
        <w:spacing w:after="0"/>
        <w:tabs>
          <w:tab w:leader="none" w:pos="2380" w:val="left"/>
        </w:tabs>
        <w:numPr>
          <w:ilvl w:val="1"/>
          <w:numId w:val="7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make any change in the percentage of the principal amount of Notes required for amendments or waivers;</w:t>
      </w:r>
    </w:p>
    <w:p>
      <w:pPr>
        <w:spacing w:after="0" w:line="229" w:lineRule="exact"/>
        <w:rPr>
          <w:rFonts w:ascii="Times New Roman" w:cs="Times New Roman" w:eastAsia="Times New Roman" w:hAnsi="Times New Roman"/>
          <w:sz w:val="20"/>
          <w:szCs w:val="20"/>
          <w:color w:val="010000"/>
        </w:rPr>
      </w:pPr>
    </w:p>
    <w:p>
      <w:pPr>
        <w:ind w:left="2380" w:hanging="428"/>
        <w:spacing w:after="0"/>
        <w:tabs>
          <w:tab w:leader="none" w:pos="2380" w:val="left"/>
        </w:tabs>
        <w:numPr>
          <w:ilvl w:val="1"/>
          <w:numId w:val="7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reduce the rate of or extend the time for payment of interest on any Note;</w:t>
      </w:r>
    </w:p>
    <w:p>
      <w:pPr>
        <w:spacing w:after="0" w:line="215" w:lineRule="exact"/>
        <w:rPr>
          <w:rFonts w:ascii="Times New Roman" w:cs="Times New Roman" w:eastAsia="Times New Roman" w:hAnsi="Times New Roman"/>
          <w:sz w:val="20"/>
          <w:szCs w:val="20"/>
          <w:color w:val="010000"/>
        </w:rPr>
      </w:pPr>
    </w:p>
    <w:p>
      <w:pPr>
        <w:ind w:left="2380" w:hanging="428"/>
        <w:spacing w:after="0"/>
        <w:tabs>
          <w:tab w:leader="none" w:pos="2380" w:val="left"/>
        </w:tabs>
        <w:numPr>
          <w:ilvl w:val="1"/>
          <w:numId w:val="7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reduce the principal of or change the Stated Maturity of any Note;</w:t>
      </w:r>
    </w:p>
    <w:p>
      <w:pPr>
        <w:spacing w:after="0" w:line="229" w:lineRule="exact"/>
        <w:rPr>
          <w:rFonts w:ascii="Times New Roman" w:cs="Times New Roman" w:eastAsia="Times New Roman" w:hAnsi="Times New Roman"/>
          <w:sz w:val="20"/>
          <w:szCs w:val="20"/>
          <w:color w:val="010000"/>
        </w:rPr>
      </w:pPr>
    </w:p>
    <w:p>
      <w:pPr>
        <w:ind w:left="1300" w:right="80" w:firstLine="652"/>
        <w:spacing w:after="0" w:line="281" w:lineRule="auto"/>
        <w:tabs>
          <w:tab w:leader="none" w:pos="2376" w:val="left"/>
        </w:tabs>
        <w:numPr>
          <w:ilvl w:val="1"/>
          <w:numId w:val="7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reduce the amount payable upon the redemption or repurchase of any Note or, in respect of an optional redemption, the times at which any Note may be redeemed (other than provisions specifying the notice periods for effecting a redemption, which may be amended by Holders of at least a majority in principal amount of the Notes then outstanding);</w:t>
      </w:r>
    </w:p>
    <w:p>
      <w:pPr>
        <w:spacing w:after="0" w:line="164" w:lineRule="exact"/>
        <w:rPr>
          <w:rFonts w:ascii="Times New Roman" w:cs="Times New Roman" w:eastAsia="Times New Roman" w:hAnsi="Times New Roman"/>
          <w:sz w:val="19"/>
          <w:szCs w:val="19"/>
          <w:color w:val="010000"/>
        </w:rPr>
      </w:pPr>
    </w:p>
    <w:p>
      <w:pPr>
        <w:ind w:left="2380" w:hanging="428"/>
        <w:spacing w:after="0"/>
        <w:tabs>
          <w:tab w:leader="none" w:pos="2380" w:val="left"/>
        </w:tabs>
        <w:numPr>
          <w:ilvl w:val="1"/>
          <w:numId w:val="7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make any Note payable in money other than that stated in the Note;</w:t>
      </w:r>
    </w:p>
    <w:p>
      <w:pPr>
        <w:spacing w:after="0" w:line="215" w:lineRule="exact"/>
        <w:rPr>
          <w:rFonts w:ascii="Times New Roman" w:cs="Times New Roman" w:eastAsia="Times New Roman" w:hAnsi="Times New Roman"/>
          <w:sz w:val="20"/>
          <w:szCs w:val="20"/>
          <w:color w:val="010000"/>
        </w:rPr>
      </w:pPr>
    </w:p>
    <w:p>
      <w:pPr>
        <w:jc w:val="both"/>
        <w:ind w:left="1300" w:right="300" w:firstLine="652"/>
        <w:spacing w:after="0" w:line="261" w:lineRule="auto"/>
        <w:tabs>
          <w:tab w:leader="none" w:pos="2376" w:val="left"/>
        </w:tabs>
        <w:numPr>
          <w:ilvl w:val="1"/>
          <w:numId w:val="7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impair the right of any Holder of the Notes to receive payment of principal of and interest on such Holder’s Notes on or after the due dates therefor or to institute suit for the enforcement of any payment on or with respect to such Holder’s Notes;</w:t>
      </w:r>
    </w:p>
    <w:p>
      <w:pPr>
        <w:spacing w:after="0" w:line="181" w:lineRule="exact"/>
        <w:rPr>
          <w:rFonts w:ascii="Times New Roman" w:cs="Times New Roman" w:eastAsia="Times New Roman" w:hAnsi="Times New Roman"/>
          <w:sz w:val="20"/>
          <w:szCs w:val="20"/>
          <w:color w:val="010000"/>
        </w:rPr>
      </w:pPr>
    </w:p>
    <w:p>
      <w:pPr>
        <w:ind w:left="1300" w:right="420" w:firstLine="652"/>
        <w:spacing w:after="0" w:line="283" w:lineRule="auto"/>
        <w:tabs>
          <w:tab w:leader="none" w:pos="2376" w:val="left"/>
        </w:tabs>
        <w:numPr>
          <w:ilvl w:val="1"/>
          <w:numId w:val="7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after the time an offer to purchase is required to have been made, reduce the purchase amount or purchase price, or extend the latest expiration date or purchase date thereunder; or</w:t>
      </w:r>
    </w:p>
    <w:p>
      <w:pPr>
        <w:spacing w:after="0" w:line="146" w:lineRule="exact"/>
        <w:rPr>
          <w:rFonts w:ascii="Times New Roman" w:cs="Times New Roman" w:eastAsia="Times New Roman" w:hAnsi="Times New Roman"/>
          <w:sz w:val="20"/>
          <w:szCs w:val="20"/>
          <w:color w:val="010000"/>
        </w:rPr>
      </w:pPr>
    </w:p>
    <w:p>
      <w:pPr>
        <w:ind w:right="200" w:firstLine="1952"/>
        <w:spacing w:after="0" w:line="471" w:lineRule="auto"/>
        <w:tabs>
          <w:tab w:leader="none" w:pos="2372" w:val="left"/>
        </w:tabs>
        <w:numPr>
          <w:ilvl w:val="1"/>
          <w:numId w:val="7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make any change in the ranking or priority of any Note that would adversely affect the Holders of the Notes. Section 9.03 </w:t>
      </w:r>
      <w:r>
        <w:rPr>
          <w:rFonts w:ascii="Times New Roman" w:cs="Times New Roman" w:eastAsia="Times New Roman" w:hAnsi="Times New Roman"/>
          <w:sz w:val="20"/>
          <w:szCs w:val="20"/>
          <w:u w:val="single" w:color="auto"/>
          <w:color w:val="auto"/>
        </w:rPr>
        <w:t>Revocation and Effect of Consents</w:t>
      </w:r>
      <w:r>
        <w:rPr>
          <w:rFonts w:ascii="Times New Roman" w:cs="Times New Roman" w:eastAsia="Times New Roman" w:hAnsi="Times New Roman"/>
          <w:sz w:val="20"/>
          <w:szCs w:val="20"/>
          <w:color w:val="auto"/>
        </w:rPr>
        <w:t>.</w:t>
      </w:r>
    </w:p>
    <w:p>
      <w:pPr>
        <w:spacing w:after="0" w:line="1" w:lineRule="exact"/>
        <w:rPr>
          <w:rFonts w:ascii="Times New Roman" w:cs="Times New Roman" w:eastAsia="Times New Roman" w:hAnsi="Times New Roman"/>
          <w:sz w:val="20"/>
          <w:szCs w:val="20"/>
          <w:color w:val="010000"/>
        </w:rPr>
      </w:pPr>
    </w:p>
    <w:p>
      <w:pPr>
        <w:ind w:right="40" w:firstLine="1304"/>
        <w:spacing w:after="0" w:line="253" w:lineRule="auto"/>
        <w:tabs>
          <w:tab w:leader="none" w:pos="1713"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waiver, supplement or amendment becomes effective. An amendment, supplement or waiver becomes effective in accordance with its terms and thereafter binds every Holder.</w:t>
      </w:r>
    </w:p>
    <w:p>
      <w:pPr>
        <w:spacing w:after="0" w:line="192" w:lineRule="exact"/>
        <w:rPr>
          <w:rFonts w:ascii="Times New Roman" w:cs="Times New Roman" w:eastAsia="Times New Roman" w:hAnsi="Times New Roman"/>
          <w:sz w:val="20"/>
          <w:szCs w:val="20"/>
          <w:color w:val="auto"/>
        </w:rPr>
      </w:pPr>
    </w:p>
    <w:p>
      <w:pPr>
        <w:ind w:right="820" w:firstLine="1304"/>
        <w:spacing w:after="0" w:line="269" w:lineRule="auto"/>
        <w:tabs>
          <w:tab w:leader="none" w:pos="1721"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but shall not be obligated to, fix a record date pursuant to Section 1.04 for the purpose of determining the Holders entitled to consent to any amendment, supplement or waiver.</w:t>
      </w:r>
    </w:p>
    <w:p>
      <w:pPr>
        <w:spacing w:after="0" w:line="17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9.04</w:t>
      </w:r>
      <w:r>
        <w:rPr>
          <w:sz w:val="20"/>
          <w:szCs w:val="20"/>
          <w:color w:val="auto"/>
        </w:rPr>
        <w:tab/>
      </w:r>
      <w:r>
        <w:rPr>
          <w:rFonts w:ascii="Times New Roman" w:cs="Times New Roman" w:eastAsia="Times New Roman" w:hAnsi="Times New Roman"/>
          <w:sz w:val="19"/>
          <w:szCs w:val="19"/>
          <w:u w:val="single" w:color="auto"/>
          <w:color w:val="auto"/>
        </w:rPr>
        <w:t>Notation on or Exchange of Notes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20" w:firstLine="1304"/>
        <w:spacing w:after="0" w:line="261" w:lineRule="auto"/>
        <w:tabs>
          <w:tab w:leader="none" w:pos="171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place an appropriate notation about an amendment, supplement or waiver on any Note thereafter authenticated. The Company in exchange for all Notes may issue and the Trustee shall, upon receipt of an Authentication Order, authenticate new Notes that reflect the amendment, supplement or waiver.</w:t>
      </w:r>
    </w:p>
    <w:p>
      <w:pPr>
        <w:spacing w:after="0" w:line="167" w:lineRule="exact"/>
        <w:rPr>
          <w:rFonts w:ascii="Times New Roman" w:cs="Times New Roman" w:eastAsia="Times New Roman" w:hAnsi="Times New Roman"/>
          <w:sz w:val="20"/>
          <w:szCs w:val="20"/>
          <w:color w:val="auto"/>
        </w:rPr>
      </w:pPr>
    </w:p>
    <w:p>
      <w:pPr>
        <w:ind w:firstLine="1304"/>
        <w:spacing w:after="0" w:line="283" w:lineRule="auto"/>
        <w:tabs>
          <w:tab w:leader="none" w:pos="1725"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make the appropriate notation or issue a new Note shall not affect the validity and effect of such amendment, supplement or 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180"/>
          </w:cols>
          <w:pgMar w:left="320" w:top="1251" w:right="399" w:bottom="1440" w:gutter="0" w:footer="0" w:header="0"/>
        </w:sectPr>
      </w:pPr>
    </w:p>
    <w:bookmarkStart w:id="56" w:name="page57"/>
    <w:bookmarkEnd w:id="56"/>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9.05</w:t>
      </w:r>
      <w:r>
        <w:rPr>
          <w:sz w:val="20"/>
          <w:szCs w:val="20"/>
          <w:color w:val="auto"/>
        </w:rPr>
        <w:tab/>
      </w:r>
      <w:r>
        <w:rPr>
          <w:rFonts w:ascii="Times New Roman" w:cs="Times New Roman" w:eastAsia="Times New Roman" w:hAnsi="Times New Roman"/>
          <w:sz w:val="19"/>
          <w:szCs w:val="19"/>
          <w:u w:val="single" w:color="auto"/>
          <w:color w:val="auto"/>
        </w:rPr>
        <w:t>Trustee to Sign Amendments, etc.</w:t>
      </w:r>
    </w:p>
    <w:p>
      <w:pPr>
        <w:spacing w:after="0" w:line="229" w:lineRule="exact"/>
        <w:rPr>
          <w:sz w:val="20"/>
          <w:szCs w:val="20"/>
          <w:color w:val="auto"/>
        </w:rPr>
      </w:pPr>
    </w:p>
    <w:p>
      <w:pPr>
        <w:ind w:firstLine="1304"/>
        <w:spacing w:after="0" w:line="251" w:lineRule="auto"/>
        <w:tabs>
          <w:tab w:leader="none" w:pos="171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sign any amendment, supplement or waiver authorized pursuant to this Article 9 if the amendment, supplement or waiver does not adversely affect the rights, duties, liabilities or immunities of the Trustee. In executing any amendment, supplement or waiver, the Trustee shall be entitled to receive and (subject to Section 7.01) shall be fully protected in relying upon, in addition to the documents required by Section 12.02, an Officer’s Certificate and an Opinion of Counsel stating that the execution of such amendment, supplement or waiver is authorized or permitted by this Indenture and that such amendment, supplement or waiver is the legal, valid and binding obligation of the Company and any Subsidiary Guarantor party thereto, enforceable against them in accordance with its terms, subject to customary exceptions, and complies with the provisions hereof.</w:t>
      </w:r>
    </w:p>
    <w:p>
      <w:pPr>
        <w:spacing w:after="0" w:line="19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9.06</w:t>
      </w:r>
      <w:r>
        <w:rPr>
          <w:sz w:val="20"/>
          <w:szCs w:val="20"/>
          <w:color w:val="auto"/>
        </w:rPr>
        <w:tab/>
      </w:r>
      <w:r>
        <w:rPr>
          <w:rFonts w:ascii="Times New Roman" w:cs="Times New Roman" w:eastAsia="Times New Roman" w:hAnsi="Times New Roman"/>
          <w:sz w:val="19"/>
          <w:szCs w:val="19"/>
          <w:u w:val="single" w:color="auto"/>
          <w:color w:val="auto"/>
        </w:rPr>
        <w:t>Payment for Consent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80" w:firstLine="1296"/>
        <w:spacing w:after="0" w:line="253" w:lineRule="auto"/>
        <w:rPr>
          <w:sz w:val="20"/>
          <w:szCs w:val="20"/>
          <w:color w:val="auto"/>
        </w:rPr>
      </w:pPr>
      <w:r>
        <w:rPr>
          <w:rFonts w:ascii="Times New Roman" w:cs="Times New Roman" w:eastAsia="Times New Roman" w:hAnsi="Times New Roman"/>
          <w:sz w:val="20"/>
          <w:szCs w:val="20"/>
          <w:color w:val="auto"/>
        </w:rPr>
        <w:t xml:space="preserve">The Company will not, and will not permit any of its Subsidiaries to, directly or indirectly, pay or cause to be paid any consideration to or for the benefit of any Holder for or as an inducement to any consent, waiver or amendment of any of the terms or provisions of this Indenture or the Notes unless such consideration is offered to all Holders and is paid to all Holders that consent, waive or agree to amend in the time frame set forth in the solicitation documents relating to such consent, waiver or amendment;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such consents, waivers or amendments are sought in connection with an exchange offer where participation in such exchange offer is limited to Holders who are “qualified institutional buyers” as defined in Rule 144A under the Securities Act, or non-U.S. persons, within the meaning given to such term in Regulation S under the Securities Act, then such consideration need only be offered to all Holders to whom the exchange offer is made and to be paid to all such Holders that consent, waive or agree to amend in such time frame.</w:t>
      </w:r>
    </w:p>
    <w:p>
      <w:pPr>
        <w:spacing w:after="0" w:line="167"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Section 9.07</w:t>
      </w:r>
      <w:r>
        <w:rPr>
          <w:sz w:val="20"/>
          <w:szCs w:val="20"/>
          <w:color w:val="auto"/>
        </w:rPr>
        <w:tab/>
      </w:r>
      <w:r>
        <w:rPr>
          <w:rFonts w:ascii="Times New Roman" w:cs="Times New Roman" w:eastAsia="Times New Roman" w:hAnsi="Times New Roman"/>
          <w:sz w:val="19"/>
          <w:szCs w:val="19"/>
          <w:u w:val="single" w:color="auto"/>
          <w:color w:val="auto"/>
        </w:rPr>
        <w:t>Notice of Amendments, etc</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0"/>
          <w:szCs w:val="20"/>
          <w:color w:val="auto"/>
        </w:rPr>
        <w:t>After an amendment, supplement or waiver under this Article 9 becomes effective, the Company shall send electronically or by mail to the Holders of Notes affected thereby a notice briefly describing the amendment, supplement or waiver. Any failure of the Company to send electronically or mail such notice, or any defect therein, shall not, however, in any way impair or affect the validity of any such amended or supplemental indenture or waiver.</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ARTICLE 10</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GUARANTEES</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10.01</w:t>
      </w:r>
      <w:r>
        <w:rPr>
          <w:sz w:val="20"/>
          <w:szCs w:val="20"/>
          <w:color w:val="auto"/>
        </w:rPr>
        <w:tab/>
      </w:r>
      <w:r>
        <w:rPr>
          <w:rFonts w:ascii="Times New Roman" w:cs="Times New Roman" w:eastAsia="Times New Roman" w:hAnsi="Times New Roman"/>
          <w:sz w:val="19"/>
          <w:szCs w:val="19"/>
          <w:u w:val="single" w:color="auto"/>
          <w:color w:val="auto"/>
        </w:rPr>
        <w:t>Guarantee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1304"/>
        <w:spacing w:after="0" w:line="252" w:lineRule="auto"/>
        <w:tabs>
          <w:tab w:leader="none" w:pos="1713"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this Article 10, each of the Subsidiary Guarantors hereby, jointly and severally, irrevocably and unconditionally guarantees, on a senior unsecured basis, to each Holder and to the Trustee and its successors and assigns, irrespective of the validity and enforceability of this Indenture, the Notes or the obligations of the Company hereunder or thereunder, that: (1) the principal, premium, if any, and interest on the Notes shall be promptly paid in full when due, whether at Stated Maturity, by acceleration, redemption or otherwise, and interest on the overdue principal and interest on the Notes, if any, if lawful, and all other Obligations of the Company to the Holders or the Trustee hereunder or under the Notes shall be promptly paid in full or performed, all in accordance with the terms hereof and thereof; and (2) in case of any extension of time of payment or renewal of any Notes or any of such other obligations, that same shall be promptly paid in full when due or performed in accordance with the terms of the extension or renewal, whether at Stated Maturity, by acceleration or otherwise, collectively,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20"/>
          </w:cols>
          <w:pgMar w:left="320" w:top="1251" w:right="359" w:bottom="1440" w:gutter="0" w:footer="0" w:header="0"/>
        </w:sectPr>
      </w:pPr>
    </w:p>
    <w:bookmarkStart w:id="57" w:name="page58"/>
    <w:bookmarkEnd w:id="57"/>
    <w:p>
      <w:pPr>
        <w:jc w:val="both"/>
        <w:ind w:right="12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Guaranteed Obligations</w:t>
      </w:r>
      <w:r>
        <w:rPr>
          <w:rFonts w:ascii="Times New Roman" w:cs="Times New Roman" w:eastAsia="Times New Roman" w:hAnsi="Times New Roman"/>
          <w:sz w:val="20"/>
          <w:szCs w:val="20"/>
          <w:color w:val="auto"/>
        </w:rPr>
        <w:t>”. Failing payment by the Company when due of any amount so guaranteed or any performance so guaranteed for whatever reason, the Subsidiary Guarantors shall be jointly and severally obligated to pay the same immediately. Each Subsidiary Guarantor agrees that this is a guarantee of payment and not a guarantee of collection.</w:t>
      </w:r>
    </w:p>
    <w:p>
      <w:pPr>
        <w:spacing w:after="0" w:line="179" w:lineRule="exact"/>
        <w:rPr>
          <w:sz w:val="20"/>
          <w:szCs w:val="20"/>
          <w:color w:val="auto"/>
        </w:rPr>
      </w:pPr>
    </w:p>
    <w:p>
      <w:pPr>
        <w:ind w:right="180" w:firstLine="1304"/>
        <w:spacing w:after="0" w:line="251" w:lineRule="auto"/>
        <w:tabs>
          <w:tab w:leader="none" w:pos="1721"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Subsidiary Guarantors hereby agree that their obligations hereunder shall be unconditional, irrespective of the validity, regularity or enforceability of the Notes or this Indenture, the absence of any action to enforce the same, any waiver or consent by any Holder with respect to any provisions hereof or thereof, the recovery of any judgment against the Company, any action to enforce the same or any other circumstance which might otherwise constitute a legal or equitable discharge or defense of a guarantor. Each Subsidiary Guarantor hereby waives diligence, presentment, demand of payment, filing of claims with a court in the event of insolvency or bankruptcy of the Company, any right to require a proceeding first against the Company, protest, notice and all demands whatsoever and covenants that this Subsidiary Guarantee shall not be discharged except by complete performance of the obligations contained in the Notes and this Indenture, or pursuant to Section 10.06.</w:t>
      </w:r>
    </w:p>
    <w:p>
      <w:pPr>
        <w:spacing w:after="0" w:line="195" w:lineRule="exact"/>
        <w:rPr>
          <w:rFonts w:ascii="Times New Roman" w:cs="Times New Roman" w:eastAsia="Times New Roman" w:hAnsi="Times New Roman"/>
          <w:sz w:val="20"/>
          <w:szCs w:val="20"/>
          <w:color w:val="auto"/>
        </w:rPr>
      </w:pPr>
    </w:p>
    <w:p>
      <w:pPr>
        <w:ind w:right="260" w:firstLine="1304"/>
        <w:spacing w:after="0" w:line="295" w:lineRule="auto"/>
        <w:tabs>
          <w:tab w:leader="none" w:pos="1713"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Subsidiary Guarantors also agrees, jointly and severally, to pay any and all costs and expenses (including reasonable attorneys’ fees and expenses) Incurred by the Trustee or any Holder in enforcing any rights under this Section 10.01.</w:t>
      </w:r>
    </w:p>
    <w:p>
      <w:pPr>
        <w:spacing w:after="0" w:line="151" w:lineRule="exact"/>
        <w:rPr>
          <w:rFonts w:ascii="Times New Roman" w:cs="Times New Roman" w:eastAsia="Times New Roman" w:hAnsi="Times New Roman"/>
          <w:sz w:val="19"/>
          <w:szCs w:val="19"/>
          <w:color w:val="auto"/>
        </w:rPr>
      </w:pPr>
    </w:p>
    <w:p>
      <w:pPr>
        <w:jc w:val="both"/>
        <w:ind w:firstLine="1304"/>
        <w:spacing w:after="0" w:line="281" w:lineRule="auto"/>
        <w:tabs>
          <w:tab w:leader="none" w:pos="1725"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Holder or the Trustee is required by any court or otherwise to return to the Company, the Subsidiary Guarantors or any custodian, trustee, liquidator or other similar official acting in relation to the Company or the Subsidiary Guarantors, any amount paid either to the Trustee or such Holder, this Subsidiary Guarantee, to the extent theretofore discharged, shall be reinstated in full force and effect.</w:t>
      </w:r>
    </w:p>
    <w:p>
      <w:pPr>
        <w:spacing w:after="0" w:line="164" w:lineRule="exact"/>
        <w:rPr>
          <w:rFonts w:ascii="Times New Roman" w:cs="Times New Roman" w:eastAsia="Times New Roman" w:hAnsi="Times New Roman"/>
          <w:sz w:val="19"/>
          <w:szCs w:val="19"/>
          <w:color w:val="auto"/>
        </w:rPr>
      </w:pPr>
    </w:p>
    <w:p>
      <w:pPr>
        <w:ind w:right="20" w:firstLine="1304"/>
        <w:spacing w:after="0" w:line="250" w:lineRule="auto"/>
        <w:tabs>
          <w:tab w:leader="none" w:pos="1713"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Subsidiary Guarantor agrees that it shall not be entitled to any right of subrogation in relation to the Holders in respect of any obligations guaranteed hereby until payment in full of all obligations guaranteed hereby. Each Subsidiary Guarantor further agrees that, as between the Subsidiary Guarantors, on the one hand, and the Holders and the Trustee, on the other hand, (1) the maturity of the obligations guaranteed hereby may be accelerated as provided in Article 6 for the purposes of this Subsidiary Guarantee, notwithstanding any stay, injunction or other prohibition preventing such acceleration in respect of the obligations guaranteed hereby, and (2) in the event of any declaration of acceleration of such obligations as provided in Article 6, such obligations (whether or not due and payable) shall forthwith become due and payable by the Subsidiary Guarantors for the purpose of this Subsidiary Guarantee. The Subsidiary Guarantors shall have the right to seek contribution from any non-paying Subsidiary Guarantor so long as the exercise of such right does not impair the rights of the Holders under the Subsidiary Guarantees.</w:t>
      </w:r>
    </w:p>
    <w:p>
      <w:pPr>
        <w:spacing w:after="0" w:line="192" w:lineRule="exact"/>
        <w:rPr>
          <w:rFonts w:ascii="Times New Roman" w:cs="Times New Roman" w:eastAsia="Times New Roman" w:hAnsi="Times New Roman"/>
          <w:sz w:val="20"/>
          <w:szCs w:val="20"/>
          <w:color w:val="auto"/>
        </w:rPr>
      </w:pPr>
    </w:p>
    <w:p>
      <w:pPr>
        <w:ind w:right="80" w:firstLine="1304"/>
        <w:spacing w:after="0" w:line="252" w:lineRule="auto"/>
        <w:tabs>
          <w:tab w:leader="none" w:pos="1692"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Subsidiary Guarantee shall remain in full force and effect and continue to be effective should any petition be filed by or against the Company for liquidation or reorganization, should the Company become insolvent or make an assignment for the benefit of creditors or should a receiver or trustee be appointed for all or any significant part of the Company’s assets, and shall, to the fullest extent permitted by law, continue to be effective or be reinstated, as the case may be, if at any time payment and performance of the Notes are, pursuant to applicable law, rescinded or reduced in amount, or must otherwise be restored or returned by any obligee on the Notes or the Subsidiary Guarantees, whether as a “voidable preference,” “fraudulent transfer” or otherwise, all as though such payment or performance had not been made. In the event that any payment or any part thereof, is rescinded, reduced, restored or returned, the Notes shall, to the fullest extent permitted by law, be reinstated and deemed reduced only by such amount paid and not so rescinded, reduced, restored or returned.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247" w:right="339" w:bottom="1440" w:gutter="0" w:footer="0" w:header="0"/>
        </w:sectPr>
      </w:pPr>
    </w:p>
    <w:bookmarkStart w:id="58" w:name="page59"/>
    <w:bookmarkEnd w:id="58"/>
    <w:p>
      <w:pPr>
        <w:ind w:right="240" w:firstLine="1304"/>
        <w:spacing w:after="0" w:line="283" w:lineRule="auto"/>
        <w:tabs>
          <w:tab w:leader="none" w:pos="1725"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 any provision of any Subsidiary Guarantee shall be invalid, illegal or unenforceable, the validity, legality and enforceability of the remaining provisions shall not in any way be affected or impaired thereby.</w:t>
      </w:r>
    </w:p>
    <w:p>
      <w:pPr>
        <w:spacing w:after="0" w:line="146" w:lineRule="exact"/>
        <w:rPr>
          <w:rFonts w:ascii="Times New Roman" w:cs="Times New Roman" w:eastAsia="Times New Roman" w:hAnsi="Times New Roman"/>
          <w:sz w:val="20"/>
          <w:szCs w:val="20"/>
          <w:color w:val="auto"/>
        </w:rPr>
      </w:pPr>
    </w:p>
    <w:p>
      <w:pPr>
        <w:ind w:right="160" w:firstLine="1304"/>
        <w:spacing w:after="0" w:line="283" w:lineRule="auto"/>
        <w:tabs>
          <w:tab w:leader="none" w:pos="1725"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payment to be made by a Subsidiary Guarantor in respect of its Subsidiary Guarantee shall be made without set-off, counterclaim, reduction or diminution of any kind or nature.</w:t>
      </w:r>
    </w:p>
    <w:p>
      <w:pPr>
        <w:spacing w:after="0" w:line="14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10.02</w:t>
      </w:r>
      <w:r>
        <w:rPr>
          <w:sz w:val="20"/>
          <w:szCs w:val="20"/>
          <w:color w:val="auto"/>
        </w:rPr>
        <w:tab/>
      </w:r>
      <w:r>
        <w:rPr>
          <w:rFonts w:ascii="Times New Roman" w:cs="Times New Roman" w:eastAsia="Times New Roman" w:hAnsi="Times New Roman"/>
          <w:sz w:val="19"/>
          <w:szCs w:val="19"/>
          <w:u w:val="single" w:color="auto"/>
          <w:color w:val="auto"/>
        </w:rPr>
        <w:t>Limitation on Subsidiary Guarantor Liability</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0"/>
          <w:szCs w:val="20"/>
          <w:color w:val="auto"/>
        </w:rPr>
        <w:t xml:space="preserve">Each Subsidiary Guarantor, and by its acceptance of Notes, each Holder, hereby confirms that it is the intention of all such parties that the Subsidiary Guarantee of such Subsidiary Guarantor not constitute a fraudulent conveyance or a fraudulent transfer for purposes of Bankruptcy Law, the Uniform Fraudulent Conveyance Act, the Uniform Fraudulent Transfer Act or any similar federal or state law to the extent applicable to any Subsidiary Guarantee. To effectuate the foregoing intention, the Trustee, the Holders and the Subsidiary Guarantors hereby irrevocably agree that the obligations of each Subsidiary Guarantor shall be limited to the maximum amount as will, after giving effect to such maximum amount and all other contingent and fixed liabilities of such Subsidiary Guarantor that are relevant under such laws and after giving effect to any collections from, rights to receive contribution from or payments made by or on behalf of any other Subsidiary Guarantor in respect of the obligations of such other Subsidiary Guarantor under this Article 10, result in the obligations of such Subsidiary Guarantor under its Subsidiary Guarantee not constituting a fraudulent conveyance or fraudulent transfer under applicable law. Each Subsidiary Guarantor that makes a payment under its Subsidiary Guarantee will be entitled upon payment in full of all Guaranteed Obligations under this Indenture to a contribution from each other Subsidiary Guarantor in an amount equal to such other Subsidiary Guarantor’s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portion of such payment based on the respective net assets of all the Subsidiary Guarantors at the time of such payment, determined in accordance with GAAP.</w:t>
      </w:r>
    </w:p>
    <w:p>
      <w:pPr>
        <w:spacing w:after="0" w:line="16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10.03</w:t>
      </w:r>
      <w:r>
        <w:rPr>
          <w:sz w:val="20"/>
          <w:szCs w:val="20"/>
          <w:color w:val="auto"/>
        </w:rPr>
        <w:tab/>
      </w:r>
      <w:r>
        <w:rPr>
          <w:rFonts w:ascii="Times New Roman" w:cs="Times New Roman" w:eastAsia="Times New Roman" w:hAnsi="Times New Roman"/>
          <w:sz w:val="19"/>
          <w:szCs w:val="19"/>
          <w:u w:val="single" w:color="auto"/>
          <w:color w:val="auto"/>
        </w:rPr>
        <w:t>Execution and Delivery</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480" w:firstLine="1304"/>
        <w:spacing w:after="0" w:line="283" w:lineRule="auto"/>
        <w:tabs>
          <w:tab w:leader="none" w:pos="171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evidence its Subsidiary Guarantee set forth in Section 10.01, each Subsidiary Guarantor hereby agrees that this Indenture shall be executed on behalf of such Subsidiary Guarantor by an Officer or person holding an equivalent title.</w:t>
      </w:r>
    </w:p>
    <w:p>
      <w:pPr>
        <w:spacing w:after="0" w:line="146" w:lineRule="exact"/>
        <w:rPr>
          <w:rFonts w:ascii="Times New Roman" w:cs="Times New Roman" w:eastAsia="Times New Roman" w:hAnsi="Times New Roman"/>
          <w:sz w:val="20"/>
          <w:szCs w:val="20"/>
          <w:color w:val="auto"/>
        </w:rPr>
      </w:pPr>
    </w:p>
    <w:p>
      <w:pPr>
        <w:ind w:right="260" w:firstLine="1304"/>
        <w:spacing w:after="0" w:line="283" w:lineRule="auto"/>
        <w:tabs>
          <w:tab w:leader="none" w:pos="1725"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Subsidiary Guarantor hereby agrees that its Subsidiary Guarantee set forth in Section 10.01 shall remain in full force and effect notwithstanding the absence of the endorsement of any notation of such Subsidiary Guarantee on the Notes.</w:t>
      </w:r>
    </w:p>
    <w:p>
      <w:pPr>
        <w:spacing w:after="0" w:line="146" w:lineRule="exact"/>
        <w:rPr>
          <w:rFonts w:ascii="Times New Roman" w:cs="Times New Roman" w:eastAsia="Times New Roman" w:hAnsi="Times New Roman"/>
          <w:sz w:val="20"/>
          <w:szCs w:val="20"/>
          <w:color w:val="auto"/>
        </w:rPr>
      </w:pPr>
    </w:p>
    <w:p>
      <w:pPr>
        <w:ind w:right="300" w:firstLine="1304"/>
        <w:spacing w:after="0" w:line="283" w:lineRule="auto"/>
        <w:tabs>
          <w:tab w:leader="none" w:pos="1713"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Officer whose signature is on this Indenture no longer holds that office at the time the Trustee authenticates the Note, the Subsidiary Guarantees shall be valid nevertheless.</w:t>
      </w:r>
    </w:p>
    <w:p>
      <w:pPr>
        <w:spacing w:after="0" w:line="159" w:lineRule="exact"/>
        <w:rPr>
          <w:rFonts w:ascii="Times New Roman" w:cs="Times New Roman" w:eastAsia="Times New Roman" w:hAnsi="Times New Roman"/>
          <w:sz w:val="20"/>
          <w:szCs w:val="20"/>
          <w:color w:val="auto"/>
        </w:rPr>
      </w:pPr>
    </w:p>
    <w:p>
      <w:pPr>
        <w:ind w:right="140" w:firstLine="1304"/>
        <w:spacing w:after="0" w:line="269" w:lineRule="auto"/>
        <w:tabs>
          <w:tab w:leader="none" w:pos="1721"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delivery of any Note by the Trustee, after the authentication thereof hereunder, shall constitute due delivery of the Subsidiary Guarantee set forth in this Indenture on behalf of the Subsidiary Guarantors.</w:t>
      </w:r>
    </w:p>
    <w:p>
      <w:pPr>
        <w:spacing w:after="0" w:line="17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10.04</w:t>
      </w:r>
      <w:r>
        <w:rPr>
          <w:sz w:val="20"/>
          <w:szCs w:val="20"/>
          <w:color w:val="auto"/>
        </w:rPr>
        <w:tab/>
      </w:r>
      <w:r>
        <w:rPr>
          <w:rFonts w:ascii="Times New Roman" w:cs="Times New Roman" w:eastAsia="Times New Roman" w:hAnsi="Times New Roman"/>
          <w:sz w:val="19"/>
          <w:szCs w:val="19"/>
          <w:u w:val="single" w:color="auto"/>
          <w:color w:val="auto"/>
        </w:rPr>
        <w:t>Subrogation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20"/>
          <w:szCs w:val="20"/>
          <w:color w:val="auto"/>
        </w:rPr>
        <w:t xml:space="preserve">Each Subsidiary Guarantor shall be subrogated to all rights of Holders against the Company in respect of any amounts paid by any Subsidiary Guarantor pursuant to the provisions of Section 10.01;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an Event of Default has occurred and is continuing, no Subsidiary Guarantor shall be entitled to enforce or receive any payments arising out of, or based upon, such right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20"/>
          </w:cols>
          <w:pgMar w:left="320" w:top="125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0"/>
          <w:szCs w:val="20"/>
          <w:color w:val="auto"/>
        </w:rPr>
        <w:t>subrogation until all amounts then due and payable by the Company under this Indenture or the Notes shall have been paid in full.</w:t>
      </w:r>
    </w:p>
    <w:p>
      <w:pPr>
        <w:spacing w:after="0" w:line="20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10.05</w:t>
      </w:r>
      <w:r>
        <w:rPr>
          <w:sz w:val="20"/>
          <w:szCs w:val="20"/>
          <w:color w:val="auto"/>
        </w:rPr>
        <w:tab/>
      </w:r>
      <w:r>
        <w:rPr>
          <w:rFonts w:ascii="Times New Roman" w:cs="Times New Roman" w:eastAsia="Times New Roman" w:hAnsi="Times New Roman"/>
          <w:sz w:val="19"/>
          <w:szCs w:val="19"/>
          <w:u w:val="single" w:color="auto"/>
          <w:color w:val="auto"/>
        </w:rPr>
        <w:t>Benefits Acknowledged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right="280" w:firstLine="1296"/>
        <w:spacing w:after="0" w:line="261" w:lineRule="auto"/>
        <w:rPr>
          <w:sz w:val="20"/>
          <w:szCs w:val="20"/>
          <w:color w:val="auto"/>
        </w:rPr>
      </w:pPr>
      <w:r>
        <w:rPr>
          <w:rFonts w:ascii="Times New Roman" w:cs="Times New Roman" w:eastAsia="Times New Roman" w:hAnsi="Times New Roman"/>
          <w:sz w:val="20"/>
          <w:szCs w:val="20"/>
          <w:color w:val="auto"/>
        </w:rPr>
        <w:t>Each Subsidiary Guarantor acknowledges that it will receive direct and indirect benefits from the financing arrangements contemplated by this Indenture and that the guarantee and waivers made by it pursuant to its Subsidiary Guarantee are knowingly made in contemplation of such benefits.</w:t>
      </w:r>
    </w:p>
    <w:p>
      <w:pPr>
        <w:spacing w:after="0" w:line="15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10.06</w:t>
      </w:r>
      <w:r>
        <w:rPr>
          <w:sz w:val="20"/>
          <w:szCs w:val="20"/>
          <w:color w:val="auto"/>
        </w:rPr>
        <w:tab/>
      </w:r>
      <w:r>
        <w:rPr>
          <w:rFonts w:ascii="Times New Roman" w:cs="Times New Roman" w:eastAsia="Times New Roman" w:hAnsi="Times New Roman"/>
          <w:sz w:val="19"/>
          <w:szCs w:val="19"/>
          <w:u w:val="single" w:color="auto"/>
          <w:color w:val="auto"/>
        </w:rPr>
        <w:t>Release of Subsidiary Guarantees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80" w:firstLine="1304"/>
        <w:spacing w:after="0" w:line="261" w:lineRule="auto"/>
        <w:tabs>
          <w:tab w:leader="none" w:pos="1703"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Subsidiary Guarantee by a Subsidiary Guarantor shall be automatically and unconditionally released and discharged, and no further action by such Subsidiary Guarantor, the Company or the Trustee shall be required for the release of such Subsidiary Guarantor’s Subsidiary Guarantee, upon:</w:t>
      </w:r>
    </w:p>
    <w:p>
      <w:pPr>
        <w:spacing w:after="0" w:line="181" w:lineRule="exact"/>
        <w:rPr>
          <w:rFonts w:ascii="Times New Roman" w:cs="Times New Roman" w:eastAsia="Times New Roman" w:hAnsi="Times New Roman"/>
          <w:sz w:val="20"/>
          <w:szCs w:val="20"/>
          <w:color w:val="auto"/>
        </w:rPr>
      </w:pPr>
    </w:p>
    <w:p>
      <w:pPr>
        <w:ind w:left="1300" w:firstLine="652"/>
        <w:spacing w:after="0" w:line="254" w:lineRule="auto"/>
        <w:tabs>
          <w:tab w:leader="none" w:pos="2376" w:val="left"/>
        </w:tabs>
        <w:numPr>
          <w:ilvl w:val="1"/>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the sale or other disposition of all of the Capital Stock or all or substantially all of the assets of such Subsidiary Guarantor, including by way of merger or consolidation, to a Person that is not (either before or after giving effect to such transaction) the Company or a Subsidiary, so long as such sale or other disposition does not violate Section 5.01 hereof;</w:t>
      </w:r>
    </w:p>
    <w:p>
      <w:pPr>
        <w:spacing w:after="0" w:line="187" w:lineRule="exact"/>
        <w:rPr>
          <w:sz w:val="20"/>
          <w:szCs w:val="20"/>
          <w:color w:val="auto"/>
        </w:rPr>
      </w:pPr>
    </w:p>
    <w:p>
      <w:pPr>
        <w:ind w:left="1300" w:right="60" w:firstLine="652"/>
        <w:spacing w:after="0" w:line="253" w:lineRule="auto"/>
        <w:tabs>
          <w:tab w:leader="none" w:pos="2376" w:val="left"/>
        </w:tabs>
        <w:numPr>
          <w:ilvl w:val="0"/>
          <w:numId w:val="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such Subsidiary Guarantor ceasing to be a guarantor or other obligor of Indebtedness under the Credit Agreement and any Material Indebtedness to which it is a party, other than a release or discharge through payment thereon;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if, at any time following such release, such Subsidiary Guarantor subsequently guarantees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otherwise becomes an obligor with respect to any Indebtedness of the Company under the Credit Agreement or any Material Indebtedness, then that Subsidiary Guarantor will be required to provide a Subsidiary Guarantee in accordance with Article 10 hereof; or</w:t>
      </w:r>
    </w:p>
    <w:p>
      <w:pPr>
        <w:spacing w:after="0" w:line="192" w:lineRule="exact"/>
        <w:rPr>
          <w:rFonts w:ascii="Times New Roman" w:cs="Times New Roman" w:eastAsia="Times New Roman" w:hAnsi="Times New Roman"/>
          <w:sz w:val="20"/>
          <w:szCs w:val="20"/>
          <w:color w:val="010000"/>
        </w:rPr>
      </w:pPr>
    </w:p>
    <w:p>
      <w:pPr>
        <w:ind w:left="1300" w:right="80" w:firstLine="652"/>
        <w:spacing w:after="0" w:line="269" w:lineRule="auto"/>
        <w:tabs>
          <w:tab w:leader="none" w:pos="2365" w:val="left"/>
        </w:tabs>
        <w:numPr>
          <w:ilvl w:val="0"/>
          <w:numId w:val="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exercising its legal defeasance option or its covenant defeasance option with respect to the Notes as described in Article 8 hereof;</w:t>
      </w:r>
    </w:p>
    <w:p>
      <w:pPr>
        <w:spacing w:after="0" w:line="172" w:lineRule="exact"/>
        <w:rPr>
          <w:rFonts w:ascii="Times New Roman" w:cs="Times New Roman" w:eastAsia="Times New Roman" w:hAnsi="Times New Roman"/>
          <w:sz w:val="20"/>
          <w:szCs w:val="20"/>
          <w:color w:val="010000"/>
        </w:rPr>
      </w:pPr>
    </w:p>
    <w:p>
      <w:pPr>
        <w:ind w:left="2380" w:hanging="428"/>
        <w:spacing w:after="0"/>
        <w:tabs>
          <w:tab w:leader="none" w:pos="2380" w:val="left"/>
        </w:tabs>
        <w:numPr>
          <w:ilvl w:val="0"/>
          <w:numId w:val="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satisfaction and discharge of the Notes as provided in Article 11 hereof; and</w:t>
      </w:r>
    </w:p>
    <w:p>
      <w:pPr>
        <w:spacing w:after="0" w:line="216" w:lineRule="exact"/>
        <w:rPr>
          <w:sz w:val="20"/>
          <w:szCs w:val="20"/>
          <w:color w:val="auto"/>
        </w:rPr>
      </w:pPr>
    </w:p>
    <w:p>
      <w:pPr>
        <w:ind w:left="1300" w:right="260" w:firstLine="652"/>
        <w:spacing w:after="0" w:line="283" w:lineRule="auto"/>
        <w:tabs>
          <w:tab w:leader="none" w:pos="2376" w:val="left"/>
        </w:tabs>
        <w:numPr>
          <w:ilvl w:val="0"/>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and such Subsidiary Guarantor delivering to the Trustee an Officer’s Certificate stating that all conditions provided for in the Indenture relating to such transaction have been complied with.</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ARTICLE 11</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SATISFACTION AND DISCHARGE</w:t>
      </w:r>
    </w:p>
    <w:p>
      <w:pPr>
        <w:spacing w:after="0" w:line="229"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color w:val="auto"/>
        </w:rPr>
        <w:t>Section 11.01</w:t>
      </w:r>
      <w:r>
        <w:rPr>
          <w:sz w:val="20"/>
          <w:szCs w:val="20"/>
          <w:color w:val="auto"/>
        </w:rPr>
        <w:tab/>
      </w:r>
      <w:r>
        <w:rPr>
          <w:rFonts w:ascii="Times New Roman" w:cs="Times New Roman" w:eastAsia="Times New Roman" w:hAnsi="Times New Roman"/>
          <w:sz w:val="19"/>
          <w:szCs w:val="19"/>
          <w:u w:val="single" w:color="auto"/>
          <w:color w:val="auto"/>
        </w:rPr>
        <w:t>Satisfaction and Discharge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720" w:hanging="416"/>
        <w:spacing w:after="0"/>
        <w:tabs>
          <w:tab w:leader="none" w:pos="172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Indenture will be discharged, and will cease to be of further effect as to all Notes, when either:</w:t>
      </w:r>
    </w:p>
    <w:p>
      <w:pPr>
        <w:spacing w:after="0" w:line="229" w:lineRule="exact"/>
        <w:rPr>
          <w:rFonts w:ascii="Times New Roman" w:cs="Times New Roman" w:eastAsia="Times New Roman" w:hAnsi="Times New Roman"/>
          <w:sz w:val="20"/>
          <w:szCs w:val="20"/>
          <w:color w:val="auto"/>
        </w:rPr>
      </w:pPr>
    </w:p>
    <w:p>
      <w:pPr>
        <w:jc w:val="both"/>
        <w:ind w:left="1300" w:right="380" w:firstLine="652"/>
        <w:spacing w:after="0" w:line="261" w:lineRule="auto"/>
        <w:tabs>
          <w:tab w:leader="none" w:pos="2376" w:val="left"/>
        </w:tabs>
        <w:numPr>
          <w:ilvl w:val="1"/>
          <w:numId w:val="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Notes that have been authenticated and delivered (except lost, stolen or destroyed Notes that have been replaced or paid and Notes for whose payment money has been deposited in trust) have been delivered to the Trustee for cancellation;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20"/>
          </w:cols>
          <w:pgMar w:left="320" w:top="1251" w:right="359" w:bottom="1440" w:gutter="0" w:footer="0" w:header="0"/>
        </w:sectPr>
      </w:pPr>
    </w:p>
    <w:bookmarkStart w:id="60" w:name="page61"/>
    <w:bookmarkEnd w:id="60"/>
    <w:p>
      <w:pPr>
        <w:ind w:left="1300" w:firstLine="652"/>
        <w:spacing w:after="0" w:line="252" w:lineRule="auto"/>
        <w:tabs>
          <w:tab w:leader="none" w:pos="2376" w:val="left"/>
        </w:tabs>
        <w:numPr>
          <w:ilvl w:val="0"/>
          <w:numId w:val="9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all Notes not theretofore delivered to the Trustee for cancellation have become due and payable by reason of the giving of a notice of redemption or otherwise, will become due and payable within one year or are to be called for redemption within one year under arrangements satisfactory to the Trustee for the giving of notice of redemption by the Trustee in the name, and at the expense, of the Company, and the Company or any Subsidiary Guarantor has irrevocably deposited or caused to be deposited with the Trustee, as trust funds in trust solely for the benefit of the Holders, cash in U.S. dollars, U.S. Government Obligations, or a combination thereof, in such amounts as will be sufficient, without consideration of any reinvestment of interest, to pay and discharge the entire Indebtedness on the Notes not theretofore delivered to the Trustee for cancellation for principal, premium, if any, and accrued interest to the date of maturity or redemption, as the case may be;</w:t>
      </w:r>
    </w:p>
    <w:p>
      <w:pPr>
        <w:spacing w:after="0" w:line="176" w:lineRule="exact"/>
        <w:rPr>
          <w:sz w:val="20"/>
          <w:szCs w:val="20"/>
          <w:color w:val="auto"/>
        </w:rPr>
      </w:pPr>
    </w:p>
    <w:p>
      <w:pPr>
        <w:ind w:left="1300" w:right="380" w:firstLine="652"/>
        <w:spacing w:after="0" w:line="283" w:lineRule="auto"/>
        <w:tabs>
          <w:tab w:leader="none" w:pos="2410" w:val="left"/>
        </w:tabs>
        <w:numPr>
          <w:ilvl w:val="1"/>
          <w:numId w:val="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or any Subsidiary Guarantor has paid or caused to be paid all sums payable by the Company under this Indenture; and</w:t>
      </w:r>
    </w:p>
    <w:p>
      <w:pPr>
        <w:spacing w:after="0" w:line="159" w:lineRule="exact"/>
        <w:rPr>
          <w:rFonts w:ascii="Times New Roman" w:cs="Times New Roman" w:eastAsia="Times New Roman" w:hAnsi="Times New Roman"/>
          <w:sz w:val="20"/>
          <w:szCs w:val="20"/>
          <w:color w:val="010000"/>
        </w:rPr>
      </w:pPr>
    </w:p>
    <w:p>
      <w:pPr>
        <w:ind w:left="1300" w:right="340" w:firstLine="652"/>
        <w:spacing w:after="0" w:line="269" w:lineRule="auto"/>
        <w:tabs>
          <w:tab w:leader="none" w:pos="2410" w:val="left"/>
        </w:tabs>
        <w:numPr>
          <w:ilvl w:val="1"/>
          <w:numId w:val="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has delivered irrevocable instructions to the Trustee to apply the deposited money toward the payment of the Notes at maturity or the redemption date, as the case may be.</w:t>
      </w:r>
    </w:p>
    <w:p>
      <w:pPr>
        <w:spacing w:after="0" w:line="172" w:lineRule="exact"/>
        <w:rPr>
          <w:rFonts w:ascii="Times New Roman" w:cs="Times New Roman" w:eastAsia="Times New Roman" w:hAnsi="Times New Roman"/>
          <w:sz w:val="20"/>
          <w:szCs w:val="20"/>
          <w:color w:val="010000"/>
        </w:rPr>
      </w:pPr>
    </w:p>
    <w:p>
      <w:pPr>
        <w:ind w:right="160" w:firstLine="1304"/>
        <w:spacing w:after="0" w:line="276" w:lineRule="auto"/>
        <w:tabs>
          <w:tab w:leader="none" w:pos="1725"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the Company shall deliver to the Trustee an Officer’s Certificate and an Opinion of Counsel (which Opinion of Counsel may be subject to customary assumptions and exclusions) each stating that all conditions precedent to satisfaction and discharge have been satisfied. Notwithstanding the satisfaction and discharge of this Indenture, if money shall have been deposited with the Trustee pursuant to subclause (A) of clause (2) of Section 11.01(a), the provisions of Section 11.02 and Section 8.06 shall survive.</w:t>
      </w:r>
    </w:p>
    <w:p>
      <w:pPr>
        <w:spacing w:after="0" w:line="156"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color w:val="auto"/>
        </w:rPr>
        <w:t>Section 11.02</w:t>
      </w:r>
      <w:r>
        <w:rPr>
          <w:sz w:val="20"/>
          <w:szCs w:val="20"/>
          <w:color w:val="auto"/>
        </w:rPr>
        <w:tab/>
      </w:r>
      <w:r>
        <w:rPr>
          <w:rFonts w:ascii="Times New Roman" w:cs="Times New Roman" w:eastAsia="Times New Roman" w:hAnsi="Times New Roman"/>
          <w:sz w:val="19"/>
          <w:szCs w:val="19"/>
          <w:u w:val="single" w:color="auto"/>
          <w:color w:val="auto"/>
        </w:rPr>
        <w:t>Application of Trust Money</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140" w:firstLine="1304"/>
        <w:spacing w:after="0" w:line="253" w:lineRule="auto"/>
        <w:tabs>
          <w:tab w:leader="none" w:pos="1713"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provisions of Section 8.06, all money deposited with the Trustee pursuant to Section 11.01 shall be held in trust and applied by it, in accordance with the provisions of the Notes and this Indenture, to the payment, either directly or through any Paying Agent (including the Company acting as its own Paying Agent) as the Trustee may determine, to the Persons entitled thereto, of the principal, premium, if any, and interest for whose payment such money has been deposited with the Trustee, but such money need not be segregated from other funds except to the extent required by law.</w:t>
      </w:r>
    </w:p>
    <w:p>
      <w:pPr>
        <w:spacing w:after="0" w:line="191" w:lineRule="exact"/>
        <w:rPr>
          <w:rFonts w:ascii="Times New Roman" w:cs="Times New Roman" w:eastAsia="Times New Roman" w:hAnsi="Times New Roman"/>
          <w:sz w:val="20"/>
          <w:szCs w:val="20"/>
          <w:color w:val="auto"/>
        </w:rPr>
      </w:pPr>
    </w:p>
    <w:p>
      <w:pPr>
        <w:ind w:right="200" w:firstLine="1304"/>
        <w:spacing w:after="0" w:line="251" w:lineRule="auto"/>
        <w:tabs>
          <w:tab w:leader="none" w:pos="1725"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Trustee or Paying Agent is unable to apply any money or U.S. Government Obligations in accordance with Section 11.01 by reason of any legal proceeding or by reason of any order or judgment of any court or governmental authority enjoining, restraining or otherwise prohibiting such application, the Company’s and any Subsidiary Guarantor’s obligations under this Indenture, the Notes and the Subsidiary Guarantees shall be revived and reinstated as though no deposit had occurred pursuant to Section 11.01;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Company has made any payment of principal, premium, if any, or interest on any Notes because of the reinstatement of its obligations, the Company shall be subrogated to the rights of the Holders of such Notes to receive such payment from the money or U.S. Government Obligations held by the Trustee or Paying Agent,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20"/>
          </w:cols>
          <w:pgMar w:left="320" w:top="1251" w:right="35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20"/>
          <w:szCs w:val="20"/>
          <w:color w:val="auto"/>
        </w:rPr>
        <w:t>ARTICLE 12</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MISCELLANEOUS</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12.01</w:t>
      </w:r>
      <w:r>
        <w:rPr>
          <w:sz w:val="20"/>
          <w:szCs w:val="20"/>
          <w:color w:val="auto"/>
        </w:rPr>
        <w:tab/>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720" w:hanging="416"/>
        <w:spacing w:after="0"/>
        <w:tabs>
          <w:tab w:leader="none" w:pos="172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or communication to the Company, any Subsidiary Guarantor or the Trustee is duly given if in writing and</w:t>
      </w:r>
    </w:p>
    <w:p>
      <w:pPr>
        <w:spacing w:after="0" w:line="21" w:lineRule="exact"/>
        <w:rPr>
          <w:rFonts w:ascii="Times New Roman" w:cs="Times New Roman" w:eastAsia="Times New Roman" w:hAnsi="Times New Roman"/>
          <w:sz w:val="20"/>
          <w:szCs w:val="20"/>
          <w:color w:val="auto"/>
        </w:rPr>
      </w:pPr>
    </w:p>
    <w:p>
      <w:pPr>
        <w:ind w:left="280" w:hanging="272"/>
        <w:spacing w:after="0"/>
        <w:tabs>
          <w:tab w:leader="none" w:pos="28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delivered in person, (2) mailed by first-class mail (certified or registered, return receipt requested), postage prepaid, or overnight air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courier guaranteeing next day delivery or (3) sent by facsimile (if applicable) or electronic transmission, to its address:</w:t>
      </w:r>
    </w:p>
    <w:p>
      <w:pPr>
        <w:spacing w:after="0" w:line="2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if to the Company or any Subsidiary Guarantor:</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c/o Graham Holdings Company</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1812 North Moore Street, Suite 2100, Arlington, VA 22209</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Fax No.: (703) 345-6545</w:t>
      </w:r>
    </w:p>
    <w:p>
      <w:pPr>
        <w:spacing w:after="0" w:line="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Email: Nicole.Maddrey@ghco.com</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Attention: Nicole M. Maddrey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with a copy to:</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Cravath, Swaine &amp; Moore LLP</w:t>
      </w:r>
    </w:p>
    <w:p>
      <w:pPr>
        <w:spacing w:after="0" w:line="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Two Manhattan West</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375 Ninth Avenue, New York, NY 10001</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Fax No: (212) 474-3700</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Email: ndorsey@cravath.com</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Attention: Nicholas A. Dorsey</w:t>
      </w:r>
    </w:p>
    <w:p>
      <w:pPr>
        <w:spacing w:after="0" w:line="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if to the Trustee:</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The Bank of New York Mellon Trust Company, N.A.</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311 S. Wacker Dr., FL 62, Chicago, IL 60606</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Attention: Corporate Trust Administrator</w:t>
      </w:r>
    </w:p>
    <w:p>
      <w:pPr>
        <w:spacing w:after="0" w:line="24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Company, any Subsidiary Guarantor or the Trustee, by like notice, may designate additional or different addresses for subsequent notices or communications.</w:t>
      </w:r>
    </w:p>
    <w:p>
      <w:pPr>
        <w:spacing w:after="0" w:line="146" w:lineRule="exact"/>
        <w:rPr>
          <w:sz w:val="20"/>
          <w:szCs w:val="20"/>
          <w:color w:val="auto"/>
        </w:rPr>
      </w:pPr>
    </w:p>
    <w:p>
      <w:pPr>
        <w:ind w:right="40" w:firstLine="1304"/>
        <w:spacing w:after="0" w:line="257" w:lineRule="auto"/>
        <w:tabs>
          <w:tab w:leader="none" w:pos="171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notices and communications (other than those sent to Holders) shall be deemed to have been duly given: at the time delivered by hand, if personally delivered; on the first date of which publication is made, if by publication; five calendar days after being deposited in the mail, postage prepaid, if mailed by first-class mail; the next Business Day after timely delivery to the courier, if mailed by overnight air courier guaranteeing next day delivery; when receipt acknowledged, if sent by facsimile or electronic transmission;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notice or communication delivered to the Trustee shall be deemed effective upon actual receipt thereof.</w:t>
      </w:r>
    </w:p>
    <w:p>
      <w:pPr>
        <w:spacing w:after="0" w:line="172" w:lineRule="exact"/>
        <w:rPr>
          <w:rFonts w:ascii="Times New Roman" w:cs="Times New Roman" w:eastAsia="Times New Roman" w:hAnsi="Times New Roman"/>
          <w:sz w:val="20"/>
          <w:szCs w:val="20"/>
          <w:color w:val="auto"/>
        </w:rPr>
      </w:pPr>
    </w:p>
    <w:p>
      <w:pPr>
        <w:jc w:val="both"/>
        <w:ind w:right="160" w:firstLine="1304"/>
        <w:spacing w:after="0" w:line="258" w:lineRule="auto"/>
        <w:tabs>
          <w:tab w:leader="none" w:pos="1713"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12.01(e), any notice or communication to a Holder shall be mailed by first-class mail (certified or registered, return receipt requested) or by overnight air courier guaranteeing next day delivery to its address shown on the Note Register or by such other delivery system as the Trustee agrees to accept. Failure to mail a notice or communication to a Holder or any defect in it shall not affect its sufficiency with respect to other Holders.</w:t>
      </w:r>
    </w:p>
    <w:p>
      <w:pPr>
        <w:spacing w:after="0" w:line="185" w:lineRule="exact"/>
        <w:rPr>
          <w:rFonts w:ascii="Times New Roman" w:cs="Times New Roman" w:eastAsia="Times New Roman" w:hAnsi="Times New Roman"/>
          <w:sz w:val="20"/>
          <w:szCs w:val="20"/>
          <w:color w:val="auto"/>
        </w:rPr>
      </w:pPr>
    </w:p>
    <w:p>
      <w:pPr>
        <w:ind w:firstLine="1304"/>
        <w:spacing w:after="0" w:line="261" w:lineRule="auto"/>
        <w:tabs>
          <w:tab w:leader="none" w:pos="1721"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w:t>
      </w:r>
    </w:p>
    <w:p>
      <w:pPr>
        <w:sectPr>
          <w:pgSz w:w="11900" w:h="16838" w:orient="portrait"/>
          <w:cols w:equalWidth="0" w:num="1">
            <w:col w:w="11220"/>
          </w:cols>
          <w:pgMar w:left="320" w:top="125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-51-</w:t>
      </w:r>
    </w:p>
    <w:p>
      <w:pPr>
        <w:sectPr>
          <w:pgSz w:w="11900" w:h="16838" w:orient="portrait"/>
          <w:cols w:equalWidth="0" w:num="1">
            <w:col w:w="11220"/>
          </w:cols>
          <w:pgMar w:left="320" w:top="1251" w:right="35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20"/>
          <w:szCs w:val="20"/>
          <w:color w:val="auto"/>
        </w:rPr>
        <w:t>Trustee, but such filing shall not be a condition precedent to the validity of any action taken in reliance upon such waiver.</w:t>
      </w:r>
    </w:p>
    <w:p>
      <w:pPr>
        <w:spacing w:after="0" w:line="229" w:lineRule="exact"/>
        <w:rPr>
          <w:sz w:val="20"/>
          <w:szCs w:val="20"/>
          <w:color w:val="auto"/>
        </w:rPr>
      </w:pPr>
    </w:p>
    <w:p>
      <w:pPr>
        <w:jc w:val="both"/>
        <w:ind w:right="160" w:firstLine="1304"/>
        <w:spacing w:after="0" w:line="261" w:lineRule="auto"/>
        <w:tabs>
          <w:tab w:leader="none" w:pos="1713"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herein, where this Indenture provides for notice of any event to any Holder of an interest in a Global Note (whether by mail or otherwise), such notice shall be sufficiently given if given to the Depositary for such Note (or its designee), according to the applicable procedures of such Depositary, if any, prescribed for the giving of such notice.</w:t>
      </w:r>
    </w:p>
    <w:p>
      <w:pPr>
        <w:spacing w:after="0" w:line="167" w:lineRule="exact"/>
        <w:rPr>
          <w:rFonts w:ascii="Times New Roman" w:cs="Times New Roman" w:eastAsia="Times New Roman" w:hAnsi="Times New Roman"/>
          <w:sz w:val="20"/>
          <w:szCs w:val="20"/>
          <w:color w:val="auto"/>
        </w:rPr>
      </w:pPr>
    </w:p>
    <w:p>
      <w:pPr>
        <w:ind w:left="1700" w:hanging="396"/>
        <w:spacing w:after="0"/>
        <w:tabs>
          <w:tab w:leader="none" w:pos="170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have the right to accept and act upon instructions, including funds transfer instructions</w:t>
      </w:r>
    </w:p>
    <w:p>
      <w:pPr>
        <w:spacing w:after="0" w:line="2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Instructions</w:t>
      </w:r>
      <w:r>
        <w:rPr>
          <w:rFonts w:ascii="Times New Roman" w:cs="Times New Roman" w:eastAsia="Times New Roman" w:hAnsi="Times New Roman"/>
          <w:sz w:val="19"/>
          <w:szCs w:val="19"/>
          <w:color w:val="auto"/>
        </w:rPr>
        <w:t xml:space="preserve">”) given pursuant to this Agreement and delivered using Electronic Means;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the Company shall provide to the Trustee an incumbency certificate listing officers with the authority to provide such Instructions (“</w:t>
      </w:r>
      <w:r>
        <w:rPr>
          <w:rFonts w:ascii="Times New Roman" w:cs="Times New Roman" w:eastAsia="Times New Roman" w:hAnsi="Times New Roman"/>
          <w:sz w:val="19"/>
          <w:szCs w:val="19"/>
          <w:i w:val="1"/>
          <w:iCs w:val="1"/>
          <w:color w:val="auto"/>
        </w:rPr>
        <w:t>Authorized Officers</w:t>
      </w:r>
      <w:r>
        <w:rPr>
          <w:rFonts w:ascii="Times New Roman" w:cs="Times New Roman" w:eastAsia="Times New Roman" w:hAnsi="Times New Roman"/>
          <w:sz w:val="19"/>
          <w:szCs w:val="19"/>
          <w:color w:val="auto"/>
        </w:rPr>
        <w:t>”) and containing specimen signatures of such Authorized Officers, which incumbency certificate shall be amended by the Company when a person is to be added or deleted from the listing. If the Company elects to give the Trustee Instructions using Electronic Means and the Trustee, in its discretion, elects to act upon such Instructions, the Trustee’s understanding of such Instructions shall be deemed controlling. The Company understands and agrees that the Trustee cannot determine the identity of the actual sender of such Instructions and that the Trustee shall conclusively presume that directions that purport to have been sent by an Authorized Officer listed on the incumbency certificate provided to them have been sent by such Authorized Officer. The Company shall be responsible for ensuring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The Trustee shall not be liable for any losses, costs or expenses arising directly or indirectly from the Trustee’s reliance upon, and compliance with such Instructions notwithstanding such Instructions conflict or are inconsistent with subsequent written instructions. The Company agrees: (i) to assume all risks arising out of the use of Electronic Means to submit Instructions to the Trustee and, including without limitation the risk of the Trustee acting on unauthorized Instructions, and the risk of interception and misuse by third parties; (ii) that they are fully informed of the protections and risks associated with the various methods of transmitting Instructions to the Trustee and that there may be more secure methods of transmitting Instructions than the method(s) selected by the Company;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w:t>
      </w:r>
    </w:p>
    <w:p>
      <w:pPr>
        <w:spacing w:after="0" w:line="187" w:lineRule="exact"/>
        <w:rPr>
          <w:sz w:val="20"/>
          <w:szCs w:val="20"/>
          <w:color w:val="auto"/>
        </w:rPr>
      </w:pPr>
    </w:p>
    <w:p>
      <w:pPr>
        <w:ind w:right="100" w:firstLine="1304"/>
        <w:spacing w:after="0" w:line="269" w:lineRule="auto"/>
        <w:tabs>
          <w:tab w:leader="none" w:pos="1725"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notice or communication is sent in the manner provided above within the time prescribed, it is duly given, whether or not the addressee receives it.</w:t>
      </w:r>
    </w:p>
    <w:p>
      <w:pPr>
        <w:spacing w:after="0" w:line="17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mails a notice or communication to Holders, it shall mail a copy to the Trustee and each Agent at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same time.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12.02</w:t>
      </w:r>
      <w:r>
        <w:rPr>
          <w:sz w:val="20"/>
          <w:szCs w:val="20"/>
          <w:color w:val="auto"/>
        </w:rPr>
        <w:tab/>
      </w:r>
      <w:r>
        <w:rPr>
          <w:rFonts w:ascii="Times New Roman" w:cs="Times New Roman" w:eastAsia="Times New Roman" w:hAnsi="Times New Roman"/>
          <w:sz w:val="19"/>
          <w:szCs w:val="19"/>
          <w:u w:val="single" w:color="auto"/>
          <w:color w:val="auto"/>
        </w:rPr>
        <w:t>Certificate and Opinion as to Conditions Precedent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Upon any request or application by the Company or any Subsidiary Guarantor to the Trustee to take any action under this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Indenture, the Company or such Subsidiary Guarantor, as the case may be, shall furnish to the Trustee:</w:t>
      </w:r>
    </w:p>
    <w:p>
      <w:pPr>
        <w:spacing w:after="0" w:line="200" w:lineRule="exact"/>
        <w:rPr>
          <w:sz w:val="20"/>
          <w:szCs w:val="20"/>
          <w:color w:val="auto"/>
        </w:rPr>
      </w:pPr>
    </w:p>
    <w:p>
      <w:pPr>
        <w:ind w:left="1300" w:right="280" w:firstLine="652"/>
        <w:spacing w:after="0" w:line="283" w:lineRule="auto"/>
        <w:tabs>
          <w:tab w:leader="none" w:pos="2376" w:val="left"/>
        </w:tabs>
        <w:numPr>
          <w:ilvl w:val="0"/>
          <w:numId w:val="10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 Officer’s Certificate in form and substance reasonably satisfactory to the Trustee (which shall include the statements set forth in Section 12.03) stating that,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20"/>
          </w:cols>
          <w:pgMar w:left="320" w:top="1251" w:right="359" w:bottom="1440" w:gutter="0" w:footer="0" w:header="0"/>
        </w:sectPr>
      </w:pPr>
    </w:p>
    <w:bookmarkStart w:id="63" w:name="page64"/>
    <w:bookmarkEnd w:id="63"/>
    <w:p>
      <w:pPr>
        <w:ind w:left="1300" w:right="480"/>
        <w:spacing w:after="0" w:line="283" w:lineRule="auto"/>
        <w:rPr>
          <w:sz w:val="20"/>
          <w:szCs w:val="20"/>
          <w:color w:val="auto"/>
        </w:rPr>
      </w:pPr>
      <w:r>
        <w:rPr>
          <w:rFonts w:ascii="Times New Roman" w:cs="Times New Roman" w:eastAsia="Times New Roman" w:hAnsi="Times New Roman"/>
          <w:sz w:val="20"/>
          <w:szCs w:val="20"/>
          <w:color w:val="auto"/>
        </w:rPr>
        <w:t>the opinion of the signer(s), all conditions precedent and covenants, if any, provided for in this Indenture relating to the proposed action have been complied with; and</w:t>
      </w:r>
    </w:p>
    <w:p>
      <w:pPr>
        <w:spacing w:after="0" w:line="146" w:lineRule="exact"/>
        <w:rPr>
          <w:sz w:val="20"/>
          <w:szCs w:val="20"/>
          <w:color w:val="auto"/>
        </w:rPr>
      </w:pPr>
    </w:p>
    <w:p>
      <w:pPr>
        <w:ind w:left="1300" w:firstLine="652"/>
        <w:spacing w:after="0" w:line="274" w:lineRule="auto"/>
        <w:tabs>
          <w:tab w:leader="none" w:pos="2376" w:val="left"/>
        </w:tabs>
        <w:numPr>
          <w:ilvl w:val="0"/>
          <w:numId w:val="10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an Opinion of Counsel in form and substance reasonably satisfactory to the Trustee (which shall include the statements set forth in Section 12.03) stating that, in the opinion of such counsel, all such conditions precedent and covenants have been complied with;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subject to Section 5.01(c), no Opinion of Counsel shall be required in connection with the addition of a Subsidiary Guarantor under this Indenture upon execution and delivery by such Subsidiary Guarantor and the Trustee of a supplemental indenture to this Indenture, the form of which is attached as Exhibit B.</w:t>
      </w:r>
    </w:p>
    <w:p>
      <w:pPr>
        <w:spacing w:after="0" w:line="15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12.03</w:t>
      </w:r>
      <w:r>
        <w:rPr>
          <w:sz w:val="20"/>
          <w:szCs w:val="20"/>
          <w:color w:val="auto"/>
        </w:rPr>
        <w:tab/>
      </w:r>
      <w:r>
        <w:rPr>
          <w:rFonts w:ascii="Times New Roman" w:cs="Times New Roman" w:eastAsia="Times New Roman" w:hAnsi="Times New Roman"/>
          <w:sz w:val="19"/>
          <w:szCs w:val="19"/>
          <w:u w:val="single" w:color="auto"/>
          <w:color w:val="auto"/>
        </w:rPr>
        <w:t>Statements Required in Certificate or Opinion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Each certificate or opinion with respect to compliance with a condition or covenant provided for in this Indenture shall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include:</w:t>
      </w:r>
    </w:p>
    <w:p>
      <w:pPr>
        <w:spacing w:after="0" w:line="194" w:lineRule="exact"/>
        <w:rPr>
          <w:sz w:val="20"/>
          <w:szCs w:val="20"/>
          <w:color w:val="auto"/>
        </w:rPr>
      </w:pPr>
    </w:p>
    <w:p>
      <w:pPr>
        <w:ind w:left="2380" w:hanging="428"/>
        <w:spacing w:after="0"/>
        <w:tabs>
          <w:tab w:leader="none" w:pos="2380" w:val="left"/>
        </w:tabs>
        <w:numPr>
          <w:ilvl w:val="0"/>
          <w:numId w:val="10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statement that the Person making such certificate or opinion has read such covenant or condition;</w:t>
      </w:r>
    </w:p>
    <w:p>
      <w:pPr>
        <w:spacing w:after="0" w:line="215" w:lineRule="exact"/>
        <w:rPr>
          <w:rFonts w:ascii="Times New Roman" w:cs="Times New Roman" w:eastAsia="Times New Roman" w:hAnsi="Times New Roman"/>
          <w:sz w:val="20"/>
          <w:szCs w:val="20"/>
          <w:color w:val="010000"/>
        </w:rPr>
      </w:pPr>
    </w:p>
    <w:p>
      <w:pPr>
        <w:ind w:left="1300" w:right="240" w:firstLine="652"/>
        <w:spacing w:after="0" w:line="283" w:lineRule="auto"/>
        <w:tabs>
          <w:tab w:leader="none" w:pos="2376" w:val="left"/>
        </w:tabs>
        <w:numPr>
          <w:ilvl w:val="0"/>
          <w:numId w:val="10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brief statement as to the nature and scope of the examination or investigation upon which the statements or opinions contained in such certificate or opinion are based;</w:t>
      </w:r>
    </w:p>
    <w:p>
      <w:pPr>
        <w:spacing w:after="0" w:line="146" w:lineRule="exact"/>
        <w:rPr>
          <w:rFonts w:ascii="Times New Roman" w:cs="Times New Roman" w:eastAsia="Times New Roman" w:hAnsi="Times New Roman"/>
          <w:sz w:val="20"/>
          <w:szCs w:val="20"/>
          <w:color w:val="010000"/>
        </w:rPr>
      </w:pPr>
    </w:p>
    <w:p>
      <w:pPr>
        <w:jc w:val="both"/>
        <w:ind w:left="1300" w:right="40" w:firstLine="652"/>
        <w:spacing w:after="0" w:line="258" w:lineRule="auto"/>
        <w:tabs>
          <w:tab w:leader="none" w:pos="2376" w:val="left"/>
        </w:tabs>
        <w:numPr>
          <w:ilvl w:val="0"/>
          <w:numId w:val="10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statement that, in the opinion of such Person, he or she has made such examination or investigation as is necessary to enable him or her to express an informed opinion as to whether or not such covenant or condition has been complied with (and, in the case of an Opinion of Counsel, may be limited to reliance on an Officer’s Certificate as to matters of fact); and</w:t>
      </w:r>
    </w:p>
    <w:p>
      <w:pPr>
        <w:spacing w:after="0" w:line="185" w:lineRule="exact"/>
        <w:rPr>
          <w:rFonts w:ascii="Times New Roman" w:cs="Times New Roman" w:eastAsia="Times New Roman" w:hAnsi="Times New Roman"/>
          <w:sz w:val="20"/>
          <w:szCs w:val="20"/>
          <w:color w:val="010000"/>
        </w:rPr>
      </w:pPr>
    </w:p>
    <w:p>
      <w:pPr>
        <w:ind w:left="2380" w:hanging="428"/>
        <w:spacing w:after="0"/>
        <w:tabs>
          <w:tab w:leader="none" w:pos="2380" w:val="left"/>
        </w:tabs>
        <w:numPr>
          <w:ilvl w:val="0"/>
          <w:numId w:val="10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statement as to whether or not, in the opinion of such Person, such condition or covenant has been complied</w:t>
      </w:r>
    </w:p>
    <w:p>
      <w:pPr>
        <w:spacing w:after="0" w:line="21" w:lineRule="exact"/>
        <w:rPr>
          <w:rFonts w:ascii="Times New Roman" w:cs="Times New Roman" w:eastAsia="Times New Roman" w:hAnsi="Times New Roman"/>
          <w:sz w:val="20"/>
          <w:szCs w:val="20"/>
          <w:color w:val="010000"/>
        </w:rPr>
      </w:pPr>
    </w:p>
    <w:p>
      <w:pPr>
        <w:ind w:left="130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w:t>
      </w:r>
    </w:p>
    <w:p>
      <w:pPr>
        <w:spacing w:after="0" w:line="20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12.04</w:t>
      </w:r>
      <w:r>
        <w:rPr>
          <w:sz w:val="20"/>
          <w:szCs w:val="20"/>
          <w:color w:val="auto"/>
        </w:rPr>
        <w:tab/>
      </w:r>
      <w:r>
        <w:rPr>
          <w:rFonts w:ascii="Times New Roman" w:cs="Times New Roman" w:eastAsia="Times New Roman" w:hAnsi="Times New Roman"/>
          <w:sz w:val="19"/>
          <w:szCs w:val="19"/>
          <w:u w:val="single" w:color="auto"/>
          <w:color w:val="auto"/>
        </w:rPr>
        <w:t>Rules by Trustee and Agents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200" w:firstLine="1296"/>
        <w:spacing w:after="0" w:line="269" w:lineRule="auto"/>
        <w:rPr>
          <w:sz w:val="20"/>
          <w:szCs w:val="20"/>
          <w:color w:val="auto"/>
        </w:rPr>
      </w:pPr>
      <w:r>
        <w:rPr>
          <w:rFonts w:ascii="Times New Roman" w:cs="Times New Roman" w:eastAsia="Times New Roman" w:hAnsi="Times New Roman"/>
          <w:sz w:val="20"/>
          <w:szCs w:val="20"/>
          <w:color w:val="auto"/>
        </w:rPr>
        <w:t>The Trustee may make reasonable rules for action by or at a meeting of Holders. The Registrar or Paying Agent may make reasonable rules and set reasonable requirements for its functions.</w:t>
      </w:r>
    </w:p>
    <w:p>
      <w:pPr>
        <w:spacing w:after="0" w:line="14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12.05</w:t>
      </w:r>
      <w:r>
        <w:rPr>
          <w:sz w:val="20"/>
          <w:szCs w:val="20"/>
          <w:color w:val="auto"/>
        </w:rPr>
        <w:tab/>
      </w:r>
      <w:r>
        <w:rPr>
          <w:rFonts w:ascii="Times New Roman" w:cs="Times New Roman" w:eastAsia="Times New Roman" w:hAnsi="Times New Roman"/>
          <w:sz w:val="19"/>
          <w:szCs w:val="19"/>
          <w:u w:val="single" w:color="auto"/>
          <w:color w:val="auto"/>
        </w:rPr>
        <w:t>No Personal Liability of Directors, Officers, Employees, Members, Partners and Stockholders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right="140" w:firstLine="1296"/>
        <w:spacing w:after="0" w:line="281" w:lineRule="auto"/>
        <w:rPr>
          <w:sz w:val="20"/>
          <w:szCs w:val="20"/>
          <w:color w:val="auto"/>
        </w:rPr>
      </w:pPr>
      <w:r>
        <w:rPr>
          <w:rFonts w:ascii="Times New Roman" w:cs="Times New Roman" w:eastAsia="Times New Roman" w:hAnsi="Times New Roman"/>
          <w:sz w:val="19"/>
          <w:szCs w:val="19"/>
          <w:color w:val="auto"/>
        </w:rPr>
        <w:t>No past, present or future director, officer, employee, incorporator, member, partner or stockholder of the Company or any Subsidiary Guarantor, as such, shall have any liability for any obligations of the Company or any Subsidiary Guarantor under the Notes, the Subsidiary Guarantees or this Indenture or for any claim based on, in respect of, or by reason of, such obligations or their creation.</w:t>
      </w:r>
    </w:p>
    <w:p>
      <w:pPr>
        <w:spacing w:after="0" w:line="137" w:lineRule="exact"/>
        <w:rPr>
          <w:sz w:val="20"/>
          <w:szCs w:val="20"/>
          <w:color w:val="auto"/>
        </w:rPr>
      </w:pPr>
    </w:p>
    <w:p>
      <w:pPr>
        <w:ind w:right="180" w:firstLine="1296"/>
        <w:spacing w:after="0" w:line="283" w:lineRule="auto"/>
        <w:rPr>
          <w:sz w:val="20"/>
          <w:szCs w:val="20"/>
          <w:color w:val="auto"/>
        </w:rPr>
      </w:pPr>
      <w:r>
        <w:rPr>
          <w:rFonts w:ascii="Times New Roman" w:cs="Times New Roman" w:eastAsia="Times New Roman" w:hAnsi="Times New Roman"/>
          <w:sz w:val="20"/>
          <w:szCs w:val="20"/>
          <w:color w:val="auto"/>
        </w:rPr>
        <w:t>Each Holder by accepting a Note waives and releases all such liability. The waiver and release are part of the consideration for issuance of the Notes.</w:t>
      </w:r>
    </w:p>
    <w:p>
      <w:pPr>
        <w:spacing w:after="0" w:line="13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12.06</w:t>
      </w:r>
      <w:r>
        <w:rPr>
          <w:sz w:val="20"/>
          <w:szCs w:val="20"/>
          <w:color w:val="auto"/>
        </w:rPr>
        <w:tab/>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880" w:firstLine="1296"/>
        <w:spacing w:after="0" w:line="269" w:lineRule="auto"/>
        <w:rPr>
          <w:sz w:val="20"/>
          <w:szCs w:val="20"/>
          <w:color w:val="auto"/>
        </w:rPr>
      </w:pPr>
      <w:r>
        <w:rPr>
          <w:rFonts w:ascii="Times New Roman" w:cs="Times New Roman" w:eastAsia="Times New Roman" w:hAnsi="Times New Roman"/>
          <w:sz w:val="20"/>
          <w:szCs w:val="20"/>
          <w:color w:val="auto"/>
        </w:rPr>
        <w:t>THIS INDENTURE, THE NOTES AND ANY SUBSIDIARY GUARANTEE WILL BE GOVERNED BY, AND CONSTRUED IN ACCORDANCE WITH, THE LAWS OF THE STATE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20"/>
          </w:cols>
          <w:pgMar w:left="320" w:top="1251" w:right="359" w:bottom="1440" w:gutter="0" w:footer="0" w:header="0"/>
        </w:sectPr>
      </w:pPr>
    </w:p>
    <w:bookmarkStart w:id="64" w:name="page65"/>
    <w:bookmarkEnd w:id="64"/>
    <w:p>
      <w:pPr>
        <w:ind w:right="40"/>
        <w:spacing w:after="0" w:line="265" w:lineRule="auto"/>
        <w:rPr>
          <w:sz w:val="20"/>
          <w:szCs w:val="20"/>
          <w:color w:val="auto"/>
        </w:rPr>
      </w:pPr>
      <w:r>
        <w:rPr>
          <w:rFonts w:ascii="Times New Roman" w:cs="Times New Roman" w:eastAsia="Times New Roman" w:hAnsi="Times New Roman"/>
          <w:sz w:val="19"/>
          <w:szCs w:val="19"/>
          <w:color w:val="auto"/>
        </w:rPr>
        <w:t>NEW YORK. THE COMPANY AND THE SUBSIDIARY GUARANTORS HEREBY SUBMIT TO THE JURISDICTION OF THE COURTS OF THE STATE OF NEW YORK SITTING IN THE BOROUGH OF MANHATTAN, THE CITY OF NEW YORK, AND OF THE UNITED STATES DISTRICT COURT FOR THE SOUTHERN DISTRICT OF NEW YORK, IN ANY ACTION OR PROCEEDING TO ENFORCE ANY OF THEIR OBLIGATIONS UNDER THIS INDENTURE OR WITH REGARD TO THE NOTES, AND AGREE NOT TO SEEK A TRANSFER OF ANY SUCH ACTION OR PROCEEDING ON THE BASIS OF INCONVENIENCE OF THE FORUM OR OTHERWISE (BUT THE COMPANY AND THE SUBSIDIARY GUARANTORS WILL NOT BE PREVENTED FROM REMOVING ANY SUCH ACTION OR PROCEEDING FROM A STATE COURT TO THE UNITED STATES DISTRICT COURT FOR THE SOUTHERN DISTRICT OF NEW YORK). THE COMPANY AND THE SUBSIDIARY GUARANTORS AGREE THAT PROCESS IN ANY SUCH ACTION OR PROCEEDING MAY BE SERVED UPON THEM BY REGISTERED MAIL OR IN ANY OTHER MANNER PERMITTED BY THE RULES OF THE COURT IN WHICH THE ACTION OR PROCEEDING IS BROUGHT.</w:t>
      </w:r>
    </w:p>
    <w:p>
      <w:pPr>
        <w:spacing w:after="0" w:line="12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12.07</w:t>
      </w:r>
      <w:r>
        <w:rPr>
          <w:sz w:val="20"/>
          <w:szCs w:val="20"/>
          <w:color w:val="auto"/>
        </w:rPr>
        <w:tab/>
      </w:r>
      <w:r>
        <w:rPr>
          <w:rFonts w:ascii="Times New Roman" w:cs="Times New Roman" w:eastAsia="Times New Roman" w:hAnsi="Times New Roman"/>
          <w:sz w:val="19"/>
          <w:szCs w:val="19"/>
          <w:u w:val="single" w:color="auto"/>
          <w:color w:val="auto"/>
        </w:rPr>
        <w:t>Waiver of Jury Trial</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100" w:firstLine="1296"/>
        <w:spacing w:after="0" w:line="254" w:lineRule="auto"/>
        <w:rPr>
          <w:sz w:val="20"/>
          <w:szCs w:val="20"/>
          <w:color w:val="auto"/>
        </w:rPr>
      </w:pPr>
      <w:r>
        <w:rPr>
          <w:rFonts w:ascii="Times New Roman" w:cs="Times New Roman" w:eastAsia="Times New Roman" w:hAnsi="Times New Roman"/>
          <w:sz w:val="20"/>
          <w:szCs w:val="20"/>
          <w:color w:val="auto"/>
        </w:rPr>
        <w:t>EACH OF THE COMPANY, THE SUBSIDIARY GUARANTORS AND THE TRUSTEE HEREBY IRREVOCABLY WAIVES, TO THE FULLEST EXTENT PERMITTED BY APPLICABLE LAW, ANY AND ALL RIGHT TO TRIAL BY JURY IN ANY LEGAL PROCEEDING ARISING OUT OF OR RELATING TO THIS INDENTURE, THE NOTES, THE SUBSIDIARY GUARANTEES OR THE TRANSACTIONS CONTEMPLATED HEREBY.</w:t>
      </w:r>
    </w:p>
    <w:p>
      <w:pPr>
        <w:spacing w:after="0" w:line="17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12.08</w:t>
      </w:r>
      <w:r>
        <w:rPr>
          <w:sz w:val="20"/>
          <w:szCs w:val="20"/>
          <w:color w:val="auto"/>
        </w:rPr>
        <w:tab/>
      </w:r>
      <w:r>
        <w:rPr>
          <w:rFonts w:ascii="Times New Roman" w:cs="Times New Roman" w:eastAsia="Times New Roman" w:hAnsi="Times New Roman"/>
          <w:sz w:val="19"/>
          <w:szCs w:val="19"/>
          <w:u w:val="single" w:color="auto"/>
          <w:color w:val="auto"/>
        </w:rPr>
        <w:t>Force Majeure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80" w:firstLine="1296"/>
        <w:spacing w:after="0" w:line="253" w:lineRule="auto"/>
        <w:rPr>
          <w:sz w:val="20"/>
          <w:szCs w:val="20"/>
          <w:color w:val="auto"/>
        </w:rPr>
      </w:pPr>
      <w:r>
        <w:rPr>
          <w:rFonts w:ascii="Times New Roman" w:cs="Times New Roman" w:eastAsia="Times New Roman" w:hAnsi="Times New Roman"/>
          <w:sz w:val="20"/>
          <w:szCs w:val="20"/>
          <w:color w:val="auto"/>
        </w:rPr>
        <w:t>In no event shall the Trustee be responsible or liable for any failure or delay in the performance of its obligations under this Indenture arising out of or caused by, directly or indirectly, forces beyond its reasonable control, including without limitation strikes, work stoppages, accidents, acts of war or terrorism, civil or military disturbances, nuclear or natural catastrophes or acts of God, and interruptions, loss or malfunctions of utilities, communications or computer (software or hardware) services; it being understood that the Trustee shall use reasonable efforts which are consistent with accepted practices in the banking industry to resume performance as soon as practicable under the circumstances.</w:t>
      </w:r>
    </w:p>
    <w:p>
      <w:pPr>
        <w:spacing w:after="0" w:line="16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12.09</w:t>
      </w:r>
      <w:r>
        <w:rPr>
          <w:sz w:val="20"/>
          <w:szCs w:val="20"/>
          <w:color w:val="auto"/>
        </w:rPr>
        <w:tab/>
      </w:r>
      <w:r>
        <w:rPr>
          <w:rFonts w:ascii="Times New Roman" w:cs="Times New Roman" w:eastAsia="Times New Roman" w:hAnsi="Times New Roman"/>
          <w:sz w:val="19"/>
          <w:szCs w:val="19"/>
          <w:u w:val="single" w:color="auto"/>
          <w:color w:val="auto"/>
        </w:rPr>
        <w:t>No Adverse Interpretation of Other Agreements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This Indenture may not be used to interpret any other indenture, loan or debt agreement of the Company or its Subsidiaries or of any other Person. Any such indenture, loan or debt agreement may not be used to interpret this Indenture.</w:t>
      </w:r>
    </w:p>
    <w:p>
      <w:pPr>
        <w:spacing w:after="0" w:line="13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12.10</w:t>
      </w:r>
      <w:r>
        <w:rPr>
          <w:sz w:val="20"/>
          <w:szCs w:val="20"/>
          <w:color w:val="auto"/>
        </w:rPr>
        <w:tab/>
      </w:r>
      <w:r>
        <w:rPr>
          <w:rFonts w:ascii="Times New Roman" w:cs="Times New Roman" w:eastAsia="Times New Roman" w:hAnsi="Times New Roman"/>
          <w:sz w:val="19"/>
          <w:szCs w:val="19"/>
          <w:u w:val="single" w:color="auto"/>
          <w:color w:val="auto"/>
        </w:rPr>
        <w:t>Successors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right="340" w:firstLine="1296"/>
        <w:spacing w:after="0" w:line="268" w:lineRule="auto"/>
        <w:rPr>
          <w:sz w:val="20"/>
          <w:szCs w:val="20"/>
          <w:color w:val="auto"/>
        </w:rPr>
      </w:pPr>
      <w:r>
        <w:rPr>
          <w:rFonts w:ascii="Times New Roman" w:cs="Times New Roman" w:eastAsia="Times New Roman" w:hAnsi="Times New Roman"/>
          <w:sz w:val="20"/>
          <w:szCs w:val="20"/>
          <w:color w:val="auto"/>
        </w:rPr>
        <w:t>All agreements of the Company in this Indenture and the Notes shall bind its successors. All agreements of the Trustee in this Indenture shall bind its successors. All agreements of each Subsidiary Guarantor in this Indenture shall bind its successors, except as otherwise provided in Section 10.06.</w:t>
      </w:r>
    </w:p>
    <w:p>
      <w:pPr>
        <w:spacing w:after="0" w:line="148"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color w:val="auto"/>
        </w:rPr>
        <w:t>Section 12.11</w:t>
      </w:r>
      <w:r>
        <w:rPr>
          <w:sz w:val="20"/>
          <w:szCs w:val="20"/>
          <w:color w:val="auto"/>
        </w:rPr>
        <w:tab/>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440" w:firstLine="1296"/>
        <w:spacing w:after="0" w:line="283" w:lineRule="auto"/>
        <w:rPr>
          <w:sz w:val="20"/>
          <w:szCs w:val="20"/>
          <w:color w:val="auto"/>
        </w:rPr>
      </w:pPr>
      <w:r>
        <w:rPr>
          <w:rFonts w:ascii="Times New Roman" w:cs="Times New Roman" w:eastAsia="Times New Roman" w:hAnsi="Times New Roman"/>
          <w:sz w:val="20"/>
          <w:szCs w:val="20"/>
          <w:color w:val="auto"/>
        </w:rPr>
        <w:t>In case any provision in this Indenture or in the Notes shall be invalid, illegal or unenforceable, the validity, legality and enforceability of the remaining provisions shall not in any way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240"/>
          </w:cols>
          <w:pgMar w:left="320" w:top="1251" w:right="339" w:bottom="1440" w:gutter="0" w:footer="0" w:header="0"/>
        </w:sectPr>
      </w:pPr>
    </w:p>
    <w:bookmarkStart w:id="65" w:name="page66"/>
    <w:bookmarkEnd w:id="65"/>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12.12</w:t>
      </w:r>
      <w:r>
        <w:rPr>
          <w:sz w:val="20"/>
          <w:szCs w:val="20"/>
          <w:color w:val="auto"/>
        </w:rPr>
        <w:tab/>
      </w:r>
      <w:r>
        <w:rPr>
          <w:rFonts w:ascii="Times New Roman" w:cs="Times New Roman" w:eastAsia="Times New Roman" w:hAnsi="Times New Roman"/>
          <w:sz w:val="19"/>
          <w:szCs w:val="19"/>
          <w:u w:val="single" w:color="auto"/>
          <w:color w:val="auto"/>
        </w:rPr>
        <w:t>Counterpart Originals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160" w:firstLine="1296"/>
        <w:spacing w:after="0" w:line="250" w:lineRule="auto"/>
        <w:rPr>
          <w:sz w:val="20"/>
          <w:szCs w:val="20"/>
          <w:color w:val="auto"/>
        </w:rPr>
      </w:pPr>
      <w:r>
        <w:rPr>
          <w:rFonts w:ascii="Times New Roman" w:cs="Times New Roman" w:eastAsia="Times New Roman" w:hAnsi="Times New Roman"/>
          <w:sz w:val="20"/>
          <w:szCs w:val="20"/>
          <w:color w:val="auto"/>
        </w:rPr>
        <w:t>This Indenture may be executed in one or more counterparts, all of which shall be considered one and the same agreement and shall become effective when one or more counterparts have been signed by each of the parties hereto and delivered to each of the other parties hereto. Delivery of an executed counterpart of a signature page to this Indenture by telecopier, email or other electronic transmission (i.e., “pdf” or “tif”) shall be effective as delivery of a manually executed counterpart of this Indenture. The words “execution,” “signed,” “signature,” “delivery,” and words of like import in or relating to this Indenture or any document to be signed in connection with this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12.13</w:t>
      </w:r>
      <w:r>
        <w:rPr>
          <w:sz w:val="20"/>
          <w:szCs w:val="20"/>
          <w:color w:val="auto"/>
        </w:rPr>
        <w:tab/>
      </w:r>
      <w:r>
        <w:rPr>
          <w:rFonts w:ascii="Times New Roman" w:cs="Times New Roman" w:eastAsia="Times New Roman" w:hAnsi="Times New Roman"/>
          <w:sz w:val="19"/>
          <w:szCs w:val="19"/>
          <w:u w:val="single" w:color="auto"/>
          <w:color w:val="auto"/>
        </w:rPr>
        <w:t>Table of Contents, Headings, etc.</w:t>
      </w:r>
    </w:p>
    <w:p>
      <w:pPr>
        <w:spacing w:after="0" w:line="216"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20"/>
          <w:szCs w:val="20"/>
          <w:color w:val="auto"/>
        </w:rPr>
        <w:t>The Table of Contents, Cross-Reference Table and headings of the Articles and Sections of this Indenture have been inserted for convenience of reference only, are not to be considered a part of this Indenture and shall in no way modify or restrict any of the terms or provisions hereof.</w:t>
      </w:r>
    </w:p>
    <w:p>
      <w:pPr>
        <w:spacing w:after="0" w:line="16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12.14</w:t>
      </w:r>
      <w:r>
        <w:rPr>
          <w:sz w:val="20"/>
          <w:szCs w:val="20"/>
          <w:color w:val="auto"/>
        </w:rPr>
        <w:tab/>
      </w:r>
      <w:r>
        <w:rPr>
          <w:rFonts w:ascii="Times New Roman" w:cs="Times New Roman" w:eastAsia="Times New Roman" w:hAnsi="Times New Roman"/>
          <w:sz w:val="19"/>
          <w:szCs w:val="19"/>
          <w:u w:val="single" w:color="auto"/>
          <w:color w:val="auto"/>
        </w:rPr>
        <w:t>U.S.A. PATRIOT Act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100" w:firstLine="1296"/>
        <w:spacing w:after="0" w:line="258" w:lineRule="auto"/>
        <w:rPr>
          <w:sz w:val="20"/>
          <w:szCs w:val="20"/>
          <w:color w:val="auto"/>
        </w:rPr>
      </w:pPr>
      <w:r>
        <w:rPr>
          <w:rFonts w:ascii="Times New Roman" w:cs="Times New Roman" w:eastAsia="Times New Roman" w:hAnsi="Times New Roman"/>
          <w:sz w:val="20"/>
          <w:szCs w:val="20"/>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5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12.15</w:t>
      </w:r>
      <w:r>
        <w:rPr>
          <w:sz w:val="20"/>
          <w:szCs w:val="20"/>
          <w:color w:val="auto"/>
        </w:rPr>
        <w:tab/>
      </w:r>
      <w:r>
        <w:rPr>
          <w:rFonts w:ascii="Times New Roman" w:cs="Times New Roman" w:eastAsia="Times New Roman" w:hAnsi="Times New Roman"/>
          <w:sz w:val="19"/>
          <w:szCs w:val="19"/>
          <w:u w:val="single" w:color="auto"/>
          <w:color w:val="auto"/>
        </w:rPr>
        <w:t>Payments Due on Non-Business Days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1296"/>
        <w:spacing w:after="0" w:line="270" w:lineRule="auto"/>
        <w:rPr>
          <w:sz w:val="20"/>
          <w:szCs w:val="20"/>
          <w:color w:val="auto"/>
        </w:rPr>
      </w:pPr>
      <w:r>
        <w:rPr>
          <w:rFonts w:ascii="Times New Roman" w:cs="Times New Roman" w:eastAsia="Times New Roman" w:hAnsi="Times New Roman"/>
          <w:sz w:val="19"/>
          <w:szCs w:val="19"/>
          <w:color w:val="auto"/>
        </w:rPr>
        <w:t xml:space="preserve">In any case where any Interest Payment Date, redemption date or repurchase date or the Stated Maturity of the Notes shall not be a Business Day, then (notwithstanding any other provision of this Indenture or of the Notes) payment of principal, premium, if any, or interest on the Notes need not be made on such date, but may be made on the next succeeding Business Day with the same force and effect as if made on the Interest Payment Date, redemption date or repurchase date, or at the Stated Maturity of the Notes,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 interest will accrue for the period from and after such Interest Payment Date, redemption date, repurchase date or Stated Maturity, as the case may be.</w:t>
      </w:r>
    </w:p>
    <w:p>
      <w:pPr>
        <w:spacing w:after="0" w:line="1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12.16</w:t>
      </w:r>
      <w:r>
        <w:rPr>
          <w:sz w:val="20"/>
          <w:szCs w:val="20"/>
          <w:color w:val="auto"/>
        </w:rPr>
        <w:tab/>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The Company agrees (i) to provide the Trustee with such reasonable information that the Trustee requests in writing as the Company has in its possession to enable the Trustee to determine whether any payments pursuant to this Indenture are subject to the withholding requirements described in Section 1471(b) of the Code or otherwise imposed pursuant to Sections 1471 through 1474 of the Code and any regulations, or agreements thereunder or official interpretations thereof (“</w:t>
      </w:r>
      <w:r>
        <w:rPr>
          <w:rFonts w:ascii="Times New Roman" w:cs="Times New Roman" w:eastAsia="Times New Roman" w:hAnsi="Times New Roman"/>
          <w:sz w:val="20"/>
          <w:szCs w:val="20"/>
          <w:i w:val="1"/>
          <w:iCs w:val="1"/>
          <w:color w:val="auto"/>
        </w:rPr>
        <w:t>Applicable Law</w:t>
      </w:r>
      <w:r>
        <w:rPr>
          <w:rFonts w:ascii="Times New Roman" w:cs="Times New Roman" w:eastAsia="Times New Roman" w:hAnsi="Times New Roman"/>
          <w:sz w:val="20"/>
          <w:szCs w:val="20"/>
          <w:color w:val="auto"/>
        </w:rPr>
        <w:t>”), and (ii) that the Trustee shall be entitled to make any withholding or deduction from payments under this Indenture to the extent necessary to comply with Applicable Law.</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Signatures on following page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40"/>
          </w:cols>
          <w:pgMar w:left="320" w:top="1251" w:right="339" w:bottom="1440" w:gutter="0" w:footer="0" w:header="0"/>
        </w:sectPr>
      </w:pPr>
    </w:p>
    <w:bookmarkStart w:id="66" w:name="page67"/>
    <w:bookmarkEnd w:id="66"/>
    <w:p>
      <w:pPr>
        <w:spacing w:after="0" w:line="1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GRAHAM HOLDINGS COMPANY</w:t>
      </w:r>
    </w:p>
    <w:p>
      <w:pPr>
        <w:spacing w:after="0" w:line="4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By:</w:t>
      </w:r>
    </w:p>
    <w:p>
      <w:pPr>
        <w:spacing w:after="0" w:line="21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/s/ Wallace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27940</wp:posOffset>
            </wp:positionV>
            <wp:extent cx="2108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42" w:lineRule="exact"/>
        <w:rPr>
          <w:sz w:val="20"/>
          <w:szCs w:val="20"/>
          <w:color w:val="auto"/>
        </w:rPr>
      </w:pPr>
    </w:p>
    <w:p>
      <w:pPr>
        <w:ind w:left="3420"/>
        <w:spacing w:after="0"/>
        <w:tabs>
          <w:tab w:leader="none" w:pos="41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Wallace Cooney</w:t>
      </w:r>
    </w:p>
    <w:p>
      <w:pPr>
        <w:spacing w:after="0" w:line="67" w:lineRule="exact"/>
        <w:rPr>
          <w:sz w:val="20"/>
          <w:szCs w:val="20"/>
          <w:color w:val="auto"/>
        </w:rPr>
      </w:pPr>
    </w:p>
    <w:p>
      <w:pPr>
        <w:jc w:val="right"/>
        <w:ind w:right="2519"/>
        <w:spacing w:after="0"/>
        <w:tabs>
          <w:tab w:leader="none" w:pos="24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Senior Vice President-Finance,</w:t>
      </w:r>
    </w:p>
    <w:p>
      <w:pPr>
        <w:spacing w:after="0" w:line="2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9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GRAHAM MEDIA GROUP, INC.</w:t>
      </w:r>
    </w:p>
    <w:p>
      <w:pPr>
        <w:spacing w:after="0" w:line="4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By:</w:t>
      </w:r>
    </w:p>
    <w:p>
      <w:pPr>
        <w:spacing w:after="0" w:line="20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/s/ Catherine Badalamente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40005</wp:posOffset>
            </wp:positionV>
            <wp:extent cx="2108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61" w:lineRule="exact"/>
        <w:rPr>
          <w:sz w:val="20"/>
          <w:szCs w:val="20"/>
          <w:color w:val="auto"/>
        </w:rPr>
      </w:pPr>
    </w:p>
    <w:p>
      <w:pPr>
        <w:ind w:left="3420"/>
        <w:spacing w:after="0"/>
        <w:tabs>
          <w:tab w:leader="none" w:pos="41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Catherine Badalamente</w:t>
      </w:r>
    </w:p>
    <w:p>
      <w:pPr>
        <w:spacing w:after="0" w:line="67" w:lineRule="exact"/>
        <w:rPr>
          <w:sz w:val="20"/>
          <w:szCs w:val="20"/>
          <w:color w:val="auto"/>
        </w:rPr>
      </w:pPr>
    </w:p>
    <w:p>
      <w:pPr>
        <w:ind w:left="3420"/>
        <w:spacing w:after="0"/>
        <w:tabs>
          <w:tab w:leader="none" w:pos="40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President and Chief Executive</w:t>
      </w:r>
    </w:p>
    <w:p>
      <w:pPr>
        <w:spacing w:after="0" w:line="2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Officer</w:t>
      </w:r>
    </w:p>
    <w:p>
      <w:pPr>
        <w:spacing w:after="0" w:line="29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KAPLAN, INC.</w:t>
      </w:r>
    </w:p>
    <w:p>
      <w:pPr>
        <w:spacing w:after="0" w:line="4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By:</w:t>
      </w:r>
    </w:p>
    <w:p>
      <w:pPr>
        <w:spacing w:after="0" w:line="20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/s/ Matthew C. Seelye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40005</wp:posOffset>
            </wp:positionV>
            <wp:extent cx="2108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61" w:lineRule="exact"/>
        <w:rPr>
          <w:sz w:val="20"/>
          <w:szCs w:val="20"/>
          <w:color w:val="auto"/>
        </w:rPr>
      </w:pPr>
    </w:p>
    <w:p>
      <w:pPr>
        <w:ind w:left="3420"/>
        <w:spacing w:after="0"/>
        <w:tabs>
          <w:tab w:leader="none" w:pos="41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Matthew C. Seelye</w:t>
      </w:r>
    </w:p>
    <w:p>
      <w:pPr>
        <w:spacing w:after="0" w:line="67" w:lineRule="exact"/>
        <w:rPr>
          <w:sz w:val="20"/>
          <w:szCs w:val="20"/>
          <w:color w:val="auto"/>
        </w:rPr>
      </w:pPr>
    </w:p>
    <w:p>
      <w:pPr>
        <w:ind w:left="3420"/>
        <w:spacing w:after="0"/>
        <w:tabs>
          <w:tab w:leader="none" w:pos="40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Executive Vice President and</w:t>
      </w:r>
    </w:p>
    <w:p>
      <w:pPr>
        <w:spacing w:after="0" w:line="2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9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GRAHAM HEALTHCARE GROUP, INC.</w:t>
      </w:r>
    </w:p>
    <w:p>
      <w:pPr>
        <w:spacing w:after="0" w:line="4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By:</w:t>
      </w:r>
    </w:p>
    <w:p>
      <w:pPr>
        <w:spacing w:after="0" w:line="20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/s/ Justin DeWitte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40005</wp:posOffset>
            </wp:positionV>
            <wp:extent cx="21088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61" w:lineRule="exact"/>
        <w:rPr>
          <w:sz w:val="20"/>
          <w:szCs w:val="20"/>
          <w:color w:val="auto"/>
        </w:rPr>
      </w:pPr>
    </w:p>
    <w:p>
      <w:pPr>
        <w:ind w:left="3420"/>
        <w:spacing w:after="0"/>
        <w:tabs>
          <w:tab w:leader="none" w:pos="41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Justin DeWitte</w:t>
      </w:r>
    </w:p>
    <w:p>
      <w:pPr>
        <w:spacing w:after="0" w:line="67" w:lineRule="exact"/>
        <w:rPr>
          <w:sz w:val="20"/>
          <w:szCs w:val="20"/>
          <w:color w:val="auto"/>
        </w:rPr>
      </w:pPr>
    </w:p>
    <w:p>
      <w:pPr>
        <w:ind w:left="3420"/>
        <w:spacing w:after="0"/>
        <w:tabs>
          <w:tab w:leader="none" w:pos="40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Executive Officer</w:t>
      </w:r>
    </w:p>
    <w:p>
      <w:pPr>
        <w:spacing w:after="0" w:line="35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GRAHAM AUTOMOTIVE LLC</w:t>
      </w:r>
    </w:p>
    <w:p>
      <w:pPr>
        <w:spacing w:after="0" w:line="3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By:</w:t>
      </w:r>
    </w:p>
    <w:p>
      <w:pPr>
        <w:spacing w:after="0" w:line="20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/s/ Jacob M. Maas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40005</wp:posOffset>
            </wp:positionV>
            <wp:extent cx="2108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61" w:lineRule="exact"/>
        <w:rPr>
          <w:sz w:val="20"/>
          <w:szCs w:val="20"/>
          <w:color w:val="auto"/>
        </w:rPr>
      </w:pPr>
    </w:p>
    <w:p>
      <w:pPr>
        <w:ind w:left="3420"/>
        <w:spacing w:after="0"/>
        <w:tabs>
          <w:tab w:leader="none" w:pos="4120" w:val="left"/>
        </w:tabs>
        <w:rPr>
          <w:sz w:val="20"/>
          <w:szCs w:val="20"/>
          <w:color w:val="auto"/>
        </w:rPr>
      </w:pPr>
      <w:r>
        <w:rPr>
          <w:rFonts w:ascii="Times New Roman" w:cs="Times New Roman" w:eastAsia="Times New Roman" w:hAnsi="Times New Roman"/>
          <w:sz w:val="20"/>
          <w:szCs w:val="20"/>
          <w:color w:val="auto"/>
        </w:rPr>
        <w:t>Name:</w:t>
        <w:tab/>
        <w:t>Jacob M. Maas</w:t>
      </w:r>
    </w:p>
    <w:p>
      <w:pPr>
        <w:spacing w:after="0" w:line="67" w:lineRule="exact"/>
        <w:rPr>
          <w:sz w:val="20"/>
          <w:szCs w:val="20"/>
          <w:color w:val="auto"/>
        </w:rPr>
      </w:pPr>
    </w:p>
    <w:p>
      <w:pPr>
        <w:ind w:left="3420"/>
        <w:spacing w:after="0"/>
        <w:tabs>
          <w:tab w:leader="none" w:pos="40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President</w:t>
      </w:r>
    </w:p>
    <w:p>
      <w:pPr>
        <w:spacing w:after="0" w:line="32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GHC ONE CSI, LLC</w:t>
      </w:r>
    </w:p>
    <w:p>
      <w:pPr>
        <w:spacing w:after="0" w:line="4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By:</w:t>
      </w:r>
    </w:p>
    <w:p>
      <w:pPr>
        <w:spacing w:after="0" w:line="20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/s/ Justin DeWitte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40005</wp:posOffset>
            </wp:positionV>
            <wp:extent cx="21088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61" w:lineRule="exact"/>
        <w:rPr>
          <w:sz w:val="20"/>
          <w:szCs w:val="20"/>
          <w:color w:val="auto"/>
        </w:rPr>
      </w:pPr>
    </w:p>
    <w:p>
      <w:pPr>
        <w:ind w:left="3420"/>
        <w:spacing w:after="0"/>
        <w:tabs>
          <w:tab w:leader="none" w:pos="41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Justin DeWitte</w:t>
      </w:r>
    </w:p>
    <w:p>
      <w:pPr>
        <w:spacing w:after="0" w:line="67" w:lineRule="exact"/>
        <w:rPr>
          <w:sz w:val="20"/>
          <w:szCs w:val="20"/>
          <w:color w:val="auto"/>
        </w:rPr>
      </w:pPr>
    </w:p>
    <w:p>
      <w:pPr>
        <w:ind w:left="3420"/>
        <w:spacing w:after="0"/>
        <w:tabs>
          <w:tab w:leader="none" w:pos="40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Vice President</w:t>
      </w:r>
    </w:p>
    <w:p>
      <w:pPr>
        <w:sectPr>
          <w:pgSz w:w="11900" w:h="16838" w:orient="portrait"/>
          <w:cols w:equalWidth="0" w:num="1">
            <w:col w:w="9019"/>
          </w:cols>
          <w:pgMar w:left="1440" w:top="1440" w:right="1440" w:bottom="1440" w:gutter="0" w:footer="0" w:header="0"/>
        </w:sectPr>
      </w:pPr>
    </w:p>
    <w:bookmarkStart w:id="67" w:name="page68"/>
    <w:bookmarkEnd w:id="67"/>
    <w:p>
      <w:pPr>
        <w:spacing w:after="0" w:line="27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9"/>
          <w:szCs w:val="19"/>
          <w:color w:val="auto"/>
        </w:rPr>
        <w:t>THE BANK OF NEW YORK MELLON</w:t>
      </w:r>
    </w:p>
    <w:p>
      <w:pPr>
        <w:spacing w:after="0" w:line="4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TRUST COMPANY, N.A., as Trustee</w:t>
      </w:r>
    </w:p>
    <w:p>
      <w:pPr>
        <w:spacing w:after="0" w:line="38"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By:</w:t>
      </w:r>
    </w:p>
    <w:p>
      <w:pPr>
        <w:spacing w:after="0" w:line="20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/s/ Ann M. Dolezal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2174240</wp:posOffset>
            </wp:positionH>
            <wp:positionV relativeFrom="paragraph">
              <wp:posOffset>40005</wp:posOffset>
            </wp:positionV>
            <wp:extent cx="20999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61" w:lineRule="exact"/>
        <w:rPr>
          <w:sz w:val="20"/>
          <w:szCs w:val="20"/>
          <w:color w:val="auto"/>
        </w:rPr>
      </w:pPr>
    </w:p>
    <w:p>
      <w:pPr>
        <w:ind w:left="3440"/>
        <w:spacing w:after="0"/>
        <w:tabs>
          <w:tab w:leader="none" w:pos="41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Ann M. Dolezal</w:t>
      </w:r>
    </w:p>
    <w:p>
      <w:pPr>
        <w:spacing w:after="0" w:line="67" w:lineRule="exact"/>
        <w:rPr>
          <w:sz w:val="20"/>
          <w:szCs w:val="20"/>
          <w:color w:val="auto"/>
        </w:rPr>
      </w:pPr>
    </w:p>
    <w:p>
      <w:pPr>
        <w:ind w:left="3440"/>
        <w:spacing w:after="0"/>
        <w:tabs>
          <w:tab w:leader="none" w:pos="40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Vice President</w:t>
      </w:r>
    </w:p>
    <w:p>
      <w:pPr>
        <w:sectPr>
          <w:pgSz w:w="11900" w:h="16838" w:orient="portrait"/>
          <w:cols w:equalWidth="0" w:num="1">
            <w:col w:w="9019"/>
          </w:cols>
          <w:pgMar w:left="1440" w:top="1440" w:right="1440"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PROVISIONS RELATING TO INITIAL NOTES AND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ADDITIONAL NOTES</w:t>
      </w:r>
    </w:p>
    <w:p>
      <w:pPr>
        <w:spacing w:after="0" w:line="200" w:lineRule="exact"/>
        <w:rPr>
          <w:sz w:val="20"/>
          <w:szCs w:val="20"/>
          <w:color w:val="auto"/>
        </w:rPr>
      </w:pPr>
    </w:p>
    <w:p>
      <w:pPr>
        <w:spacing w:after="0" w:line="33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1.1</w:t>
      </w:r>
      <w:r>
        <w:rPr>
          <w:sz w:val="20"/>
          <w:szCs w:val="20"/>
          <w:color w:val="auto"/>
        </w:rPr>
        <w:tab/>
      </w:r>
      <w:r>
        <w:rPr>
          <w:rFonts w:ascii="Times New Roman" w:cs="Times New Roman" w:eastAsia="Times New Roman" w:hAnsi="Times New Roman"/>
          <w:sz w:val="19"/>
          <w:szCs w:val="19"/>
          <w:color w:val="auto"/>
        </w:rPr>
        <w:t>Definitions.</w:t>
      </w:r>
    </w:p>
    <w:p>
      <w:pPr>
        <w:spacing w:after="0" w:line="135" w:lineRule="exact"/>
        <w:rPr>
          <w:sz w:val="20"/>
          <w:szCs w:val="20"/>
          <w:color w:val="auto"/>
        </w:rPr>
      </w:pPr>
    </w:p>
    <w:p>
      <w:pPr>
        <w:ind w:left="640" w:hanging="308"/>
        <w:spacing w:after="0"/>
        <w:tabs>
          <w:tab w:leader="none" w:pos="64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Capitalized Terms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100" w:firstLine="1296"/>
        <w:spacing w:after="0" w:line="283" w:lineRule="auto"/>
        <w:rPr>
          <w:sz w:val="20"/>
          <w:szCs w:val="20"/>
          <w:color w:val="auto"/>
        </w:rPr>
      </w:pPr>
      <w:r>
        <w:rPr>
          <w:rFonts w:ascii="Times New Roman" w:cs="Times New Roman" w:eastAsia="Times New Roman" w:hAnsi="Times New Roman"/>
          <w:sz w:val="20"/>
          <w:szCs w:val="20"/>
          <w:color w:val="auto"/>
        </w:rPr>
        <w:t>Capitalized terms used but not defined in this Appendix A have the meanings given to them in this Indenture. The following capitalized terms have the following meanings:</w:t>
      </w:r>
    </w:p>
    <w:p>
      <w:pPr>
        <w:spacing w:after="0" w:line="156" w:lineRule="exact"/>
        <w:rPr>
          <w:sz w:val="20"/>
          <w:szCs w:val="20"/>
          <w:color w:val="auto"/>
        </w:rPr>
      </w:pPr>
    </w:p>
    <w:p>
      <w:pPr>
        <w:jc w:val="both"/>
        <w:ind w:right="280" w:firstLine="1296"/>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Applicable Procedures</w:t>
      </w:r>
      <w:r>
        <w:rPr>
          <w:rFonts w:ascii="Times New Roman" w:cs="Times New Roman" w:eastAsia="Times New Roman" w:hAnsi="Times New Roman"/>
          <w:sz w:val="20"/>
          <w:szCs w:val="20"/>
          <w:color w:val="auto"/>
        </w:rPr>
        <w:t>” means, with respect to any transfer or transaction involving a Global Note or beneficial interest therein, the rules and procedures of the Depositary for such Global Note, Euroclear or Clearstream, in each case to the extent applicable to such transaction and as in effect from time to time.</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Clearstream</w:t>
      </w:r>
      <w:r>
        <w:rPr>
          <w:rFonts w:ascii="Times New Roman" w:cs="Times New Roman" w:eastAsia="Times New Roman" w:hAnsi="Times New Roman"/>
          <w:sz w:val="20"/>
          <w:szCs w:val="20"/>
          <w:color w:val="auto"/>
        </w:rPr>
        <w:t>” means Clearstream Banking, Société Anonyme, or any successor securities clearing agency.</w:t>
      </w:r>
    </w:p>
    <w:p>
      <w:pPr>
        <w:spacing w:after="0" w:line="243" w:lineRule="exact"/>
        <w:rPr>
          <w:sz w:val="20"/>
          <w:szCs w:val="20"/>
          <w:color w:val="auto"/>
        </w:rPr>
      </w:pPr>
    </w:p>
    <w:p>
      <w:pPr>
        <w:ind w:right="80" w:firstLine="1296"/>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Distribution Compliance Period</w:t>
      </w:r>
      <w:r>
        <w:rPr>
          <w:rFonts w:ascii="Times New Roman" w:cs="Times New Roman" w:eastAsia="Times New Roman" w:hAnsi="Times New Roman"/>
          <w:sz w:val="20"/>
          <w:szCs w:val="20"/>
          <w:color w:val="auto"/>
        </w:rPr>
        <w:t>,” with respect to any Note, means the period of 40 consecutive days beginning on and including the later of (a) the day on which such Note is first offered to persons other than distributors (as defined in Regulation S) in reliance on Regulation S, notice of which day shall be promptly given by the Company to the Trustee, and (b) the date of issuance with respect to such Note or any predecessor of such Note.</w:t>
      </w:r>
    </w:p>
    <w:p>
      <w:pPr>
        <w:spacing w:after="0" w:line="1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Euroclear</w:t>
      </w:r>
      <w:r>
        <w:rPr>
          <w:rFonts w:ascii="Times New Roman" w:cs="Times New Roman" w:eastAsia="Times New Roman" w:hAnsi="Times New Roman"/>
          <w:sz w:val="19"/>
          <w:szCs w:val="19"/>
          <w:color w:val="auto"/>
        </w:rPr>
        <w:t>” means Euroclear Bank S.A./N.Y., as operator of Euroclear systems Clearance System or any successor securities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clearing agency.</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QIB</w:t>
      </w:r>
      <w:r>
        <w:rPr>
          <w:rFonts w:ascii="Times New Roman" w:cs="Times New Roman" w:eastAsia="Times New Roman" w:hAnsi="Times New Roman"/>
          <w:sz w:val="20"/>
          <w:szCs w:val="20"/>
          <w:color w:val="auto"/>
        </w:rPr>
        <w:t>” means a “qualified institutional buyer” as defined in Rule 144A.</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Regulation S</w:t>
      </w:r>
      <w:r>
        <w:rPr>
          <w:rFonts w:ascii="Times New Roman" w:cs="Times New Roman" w:eastAsia="Times New Roman" w:hAnsi="Times New Roman"/>
          <w:sz w:val="20"/>
          <w:szCs w:val="20"/>
          <w:color w:val="auto"/>
        </w:rPr>
        <w:t>” means Regulation S promulgated under the Securities Act.</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Rule 144</w:t>
      </w:r>
      <w:r>
        <w:rPr>
          <w:rFonts w:ascii="Times New Roman" w:cs="Times New Roman" w:eastAsia="Times New Roman" w:hAnsi="Times New Roman"/>
          <w:sz w:val="20"/>
          <w:szCs w:val="20"/>
          <w:color w:val="auto"/>
        </w:rPr>
        <w:t>” means Rule 144 promulgated under the Securities Act.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Rule 144A</w:t>
      </w:r>
      <w:r>
        <w:rPr>
          <w:rFonts w:ascii="Times New Roman" w:cs="Times New Roman" w:eastAsia="Times New Roman" w:hAnsi="Times New Roman"/>
          <w:sz w:val="20"/>
          <w:szCs w:val="20"/>
          <w:color w:val="auto"/>
        </w:rPr>
        <w:t>” means Rule 144A promulgated under the Securities Act.</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Unrestricted Global Note</w:t>
      </w:r>
      <w:r>
        <w:rPr>
          <w:rFonts w:ascii="Times New Roman" w:cs="Times New Roman" w:eastAsia="Times New Roman" w:hAnsi="Times New Roman"/>
          <w:sz w:val="20"/>
          <w:szCs w:val="20"/>
          <w:color w:val="auto"/>
        </w:rPr>
        <w:t>” means any Note in global form that does not bear or is not required to bear the Restricted Notes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Legend.</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U.S. person</w:t>
      </w:r>
      <w:r>
        <w:rPr>
          <w:rFonts w:ascii="Times New Roman" w:cs="Times New Roman" w:eastAsia="Times New Roman" w:hAnsi="Times New Roman"/>
          <w:sz w:val="20"/>
          <w:szCs w:val="20"/>
          <w:color w:val="auto"/>
        </w:rPr>
        <w:t>” means a “U.S. person” as defined in Regulation S.</w:t>
      </w:r>
    </w:p>
    <w:p>
      <w:pPr>
        <w:spacing w:after="0" w:line="233" w:lineRule="exact"/>
        <w:rPr>
          <w:sz w:val="20"/>
          <w:szCs w:val="20"/>
          <w:color w:val="auto"/>
        </w:rPr>
      </w:pPr>
    </w:p>
    <w:p>
      <w:pPr>
        <w:ind w:left="1940" w:hanging="636"/>
        <w:spacing w:after="0"/>
        <w:tabs>
          <w:tab w:leader="none" w:pos="194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Definitions</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14" w:right="339" w:bottom="1440" w:gutter="0" w:footer="0" w:header="0"/>
        </w:sectPr>
      </w:pPr>
    </w:p>
    <w:bookmarkStart w:id="69" w:name="page70"/>
    <w:bookmarkEnd w:id="69"/>
    <w:p>
      <w:pPr>
        <w:spacing w:after="0" w:line="9" w:lineRule="exact"/>
        <w:rPr>
          <w:sz w:val="20"/>
          <w:szCs w:val="20"/>
          <w:color w:val="auto"/>
        </w:rPr>
      </w:pPr>
    </w:p>
    <w:tbl>
      <w:tblPr>
        <w:tblLayout w:type="fixed"/>
        <w:tblInd w:w="1360" w:type="dxa"/>
        <w:tblCellMar>
          <w:top w:w="0" w:type="dxa"/>
          <w:left w:w="0" w:type="dxa"/>
          <w:bottom w:w="0" w:type="dxa"/>
          <w:right w:w="0" w:type="dxa"/>
        </w:tblCellMar>
      </w:tblPr>
      <w:tr>
        <w:trPr>
          <w:trHeight w:val="230"/>
        </w:trPr>
        <w:tc>
          <w:tcPr>
            <w:tcW w:w="72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Term:</w:t>
            </w:r>
          </w:p>
        </w:tc>
        <w:tc>
          <w:tcPr>
            <w:tcW w:w="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8"/>
              </w:rPr>
              <w:t>Defined in</w:t>
            </w:r>
          </w:p>
        </w:tc>
        <w:tc>
          <w:tcPr>
            <w:tcW w:w="0" w:type="dxa"/>
            <w:vAlign w:val="bottom"/>
          </w:tcPr>
          <w:p>
            <w:pPr>
              <w:spacing w:after="0"/>
              <w:rPr>
                <w:sz w:val="1"/>
                <w:szCs w:val="1"/>
                <w:color w:val="auto"/>
              </w:rPr>
            </w:pPr>
          </w:p>
        </w:tc>
      </w:tr>
      <w:tr>
        <w:trPr>
          <w:trHeight w:val="209"/>
        </w:trPr>
        <w:tc>
          <w:tcPr>
            <w:tcW w:w="72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20"/>
                <w:szCs w:val="20"/>
                <w:color w:val="auto"/>
                <w:w w:val="97"/>
              </w:rPr>
              <w:t>Section:</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7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Agent Members</w:t>
            </w: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rPr>
              <w:t>1.2(c)</w:t>
            </w:r>
          </w:p>
        </w:tc>
        <w:tc>
          <w:tcPr>
            <w:tcW w:w="0" w:type="dxa"/>
            <w:vAlign w:val="bottom"/>
          </w:tcPr>
          <w:p>
            <w:pPr>
              <w:spacing w:after="0"/>
              <w:rPr>
                <w:sz w:val="1"/>
                <w:szCs w:val="1"/>
                <w:color w:val="auto"/>
              </w:rPr>
            </w:pPr>
          </w:p>
        </w:tc>
      </w:tr>
      <w:tr>
        <w:trPr>
          <w:trHeight w:val="297"/>
        </w:trPr>
        <w:tc>
          <w:tcPr>
            <w:tcW w:w="7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Definitive Notes Legend</w:t>
            </w:r>
            <w:r>
              <w:rPr>
                <w:rFonts w:ascii="Times New Roman" w:cs="Times New Roman" w:eastAsia="Times New Roman" w:hAnsi="Times New Roman"/>
                <w:sz w:val="20"/>
                <w:szCs w:val="20"/>
                <w:color w:val="auto"/>
              </w:rPr>
              <w:t>”</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6"/>
              </w:rPr>
              <w:t>1.3(e)(i)</w:t>
            </w:r>
          </w:p>
        </w:tc>
        <w:tc>
          <w:tcPr>
            <w:tcW w:w="0" w:type="dxa"/>
            <w:vAlign w:val="bottom"/>
          </w:tcPr>
          <w:p>
            <w:pPr>
              <w:spacing w:after="0"/>
              <w:rPr>
                <w:sz w:val="1"/>
                <w:szCs w:val="1"/>
                <w:color w:val="auto"/>
              </w:rPr>
            </w:pPr>
          </w:p>
        </w:tc>
      </w:tr>
      <w:tr>
        <w:trPr>
          <w:trHeight w:val="297"/>
        </w:trPr>
        <w:tc>
          <w:tcPr>
            <w:tcW w:w="7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ERISA Legend</w:t>
            </w:r>
            <w:r>
              <w:rPr>
                <w:rFonts w:ascii="Times New Roman" w:cs="Times New Roman" w:eastAsia="Times New Roman" w:hAnsi="Times New Roman"/>
                <w:sz w:val="20"/>
                <w:szCs w:val="20"/>
                <w:color w:val="auto"/>
              </w:rPr>
              <w:t>”</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6"/>
              </w:rPr>
              <w:t>1.3(e)(i)</w:t>
            </w:r>
          </w:p>
        </w:tc>
        <w:tc>
          <w:tcPr>
            <w:tcW w:w="0" w:type="dxa"/>
            <w:vAlign w:val="bottom"/>
          </w:tcPr>
          <w:p>
            <w:pPr>
              <w:spacing w:after="0"/>
              <w:rPr>
                <w:sz w:val="1"/>
                <w:szCs w:val="1"/>
                <w:color w:val="auto"/>
              </w:rPr>
            </w:pPr>
          </w:p>
        </w:tc>
      </w:tr>
      <w:tr>
        <w:trPr>
          <w:trHeight w:val="297"/>
        </w:trPr>
        <w:tc>
          <w:tcPr>
            <w:tcW w:w="7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Global Note</w:t>
            </w: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9"/>
              </w:rPr>
              <w:t>1.2(b)</w:t>
            </w:r>
          </w:p>
        </w:tc>
        <w:tc>
          <w:tcPr>
            <w:tcW w:w="0" w:type="dxa"/>
            <w:vAlign w:val="bottom"/>
          </w:tcPr>
          <w:p>
            <w:pPr>
              <w:spacing w:after="0"/>
              <w:rPr>
                <w:sz w:val="1"/>
                <w:szCs w:val="1"/>
                <w:color w:val="auto"/>
              </w:rPr>
            </w:pPr>
          </w:p>
        </w:tc>
      </w:tr>
      <w:tr>
        <w:trPr>
          <w:trHeight w:val="297"/>
        </w:trPr>
        <w:tc>
          <w:tcPr>
            <w:tcW w:w="7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Global Notes Legend</w:t>
            </w:r>
            <w:r>
              <w:rPr>
                <w:rFonts w:ascii="Times New Roman" w:cs="Times New Roman" w:eastAsia="Times New Roman" w:hAnsi="Times New Roman"/>
                <w:sz w:val="20"/>
                <w:szCs w:val="20"/>
                <w:color w:val="auto"/>
              </w:rPr>
              <w:t>”</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6"/>
              </w:rPr>
              <w:t>1.3(e)(i)</w:t>
            </w:r>
          </w:p>
        </w:tc>
        <w:tc>
          <w:tcPr>
            <w:tcW w:w="0" w:type="dxa"/>
            <w:vAlign w:val="bottom"/>
          </w:tcPr>
          <w:p>
            <w:pPr>
              <w:spacing w:after="0"/>
              <w:rPr>
                <w:sz w:val="1"/>
                <w:szCs w:val="1"/>
                <w:color w:val="auto"/>
              </w:rPr>
            </w:pPr>
          </w:p>
        </w:tc>
      </w:tr>
      <w:tr>
        <w:trPr>
          <w:trHeight w:val="297"/>
        </w:trPr>
        <w:tc>
          <w:tcPr>
            <w:tcW w:w="7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Regulation S Global Note</w:t>
            </w: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9"/>
              </w:rPr>
              <w:t>1.2(b)</w:t>
            </w:r>
          </w:p>
        </w:tc>
        <w:tc>
          <w:tcPr>
            <w:tcW w:w="0" w:type="dxa"/>
            <w:vAlign w:val="bottom"/>
          </w:tcPr>
          <w:p>
            <w:pPr>
              <w:spacing w:after="0"/>
              <w:rPr>
                <w:sz w:val="1"/>
                <w:szCs w:val="1"/>
                <w:color w:val="auto"/>
              </w:rPr>
            </w:pPr>
          </w:p>
        </w:tc>
      </w:tr>
      <w:tr>
        <w:trPr>
          <w:trHeight w:val="297"/>
        </w:trPr>
        <w:tc>
          <w:tcPr>
            <w:tcW w:w="7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Regulation S Notes</w:t>
            </w: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rPr>
              <w:t>1.2(a)</w:t>
            </w:r>
          </w:p>
        </w:tc>
        <w:tc>
          <w:tcPr>
            <w:tcW w:w="0" w:type="dxa"/>
            <w:vAlign w:val="bottom"/>
          </w:tcPr>
          <w:p>
            <w:pPr>
              <w:spacing w:after="0"/>
              <w:rPr>
                <w:sz w:val="1"/>
                <w:szCs w:val="1"/>
                <w:color w:val="auto"/>
              </w:rPr>
            </w:pPr>
          </w:p>
        </w:tc>
      </w:tr>
      <w:tr>
        <w:trPr>
          <w:trHeight w:val="297"/>
        </w:trPr>
        <w:tc>
          <w:tcPr>
            <w:tcW w:w="7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Restricted Notes Legend</w:t>
            </w:r>
            <w:r>
              <w:rPr>
                <w:rFonts w:ascii="Times New Roman" w:cs="Times New Roman" w:eastAsia="Times New Roman" w:hAnsi="Times New Roman"/>
                <w:sz w:val="20"/>
                <w:szCs w:val="20"/>
                <w:color w:val="auto"/>
              </w:rPr>
              <w:t>”</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6"/>
              </w:rPr>
              <w:t>1.3(e)(i)</w:t>
            </w:r>
          </w:p>
        </w:tc>
        <w:tc>
          <w:tcPr>
            <w:tcW w:w="0" w:type="dxa"/>
            <w:vAlign w:val="bottom"/>
          </w:tcPr>
          <w:p>
            <w:pPr>
              <w:spacing w:after="0"/>
              <w:rPr>
                <w:sz w:val="1"/>
                <w:szCs w:val="1"/>
                <w:color w:val="auto"/>
              </w:rPr>
            </w:pPr>
          </w:p>
        </w:tc>
      </w:tr>
      <w:tr>
        <w:trPr>
          <w:trHeight w:val="297"/>
        </w:trPr>
        <w:tc>
          <w:tcPr>
            <w:tcW w:w="7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Rule 144A Global Note</w:t>
            </w: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9"/>
              </w:rPr>
              <w:t>1.2(b)</w:t>
            </w:r>
          </w:p>
        </w:tc>
        <w:tc>
          <w:tcPr>
            <w:tcW w:w="0" w:type="dxa"/>
            <w:vAlign w:val="bottom"/>
          </w:tcPr>
          <w:p>
            <w:pPr>
              <w:spacing w:after="0"/>
              <w:rPr>
                <w:sz w:val="1"/>
                <w:szCs w:val="1"/>
                <w:color w:val="auto"/>
              </w:rPr>
            </w:pPr>
          </w:p>
        </w:tc>
      </w:tr>
      <w:tr>
        <w:trPr>
          <w:trHeight w:val="297"/>
        </w:trPr>
        <w:tc>
          <w:tcPr>
            <w:tcW w:w="7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Rule 144A Notes</w:t>
            </w: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rPr>
              <w:t>1.2(a)</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1.2</w:t>
      </w:r>
      <w:r>
        <w:rPr>
          <w:sz w:val="20"/>
          <w:szCs w:val="20"/>
          <w:color w:val="auto"/>
        </w:rPr>
        <w:tab/>
      </w:r>
      <w:r>
        <w:rPr>
          <w:rFonts w:ascii="Times New Roman" w:cs="Times New Roman" w:eastAsia="Times New Roman" w:hAnsi="Times New Roman"/>
          <w:sz w:val="19"/>
          <w:szCs w:val="19"/>
          <w:color w:val="auto"/>
        </w:rPr>
        <w:t>Form and Dating.</w:t>
      </w:r>
    </w:p>
    <w:p>
      <w:pPr>
        <w:spacing w:after="0" w:line="135" w:lineRule="exact"/>
        <w:rPr>
          <w:sz w:val="20"/>
          <w:szCs w:val="20"/>
          <w:color w:val="auto"/>
        </w:rPr>
      </w:pPr>
    </w:p>
    <w:p>
      <w:pPr>
        <w:ind w:right="100" w:firstLine="1304"/>
        <w:spacing w:after="0" w:line="222" w:lineRule="auto"/>
        <w:tabs>
          <w:tab w:leader="none" w:pos="193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Initial Notes issued on the date hereof shall be (i) offered and sold by the Company to the initial purchasers thereof and (ii) resold, initially only to (1) QIBs in reliance on Rule 144A (“</w:t>
      </w:r>
      <w:r>
        <w:rPr>
          <w:rFonts w:ascii="Times New Roman" w:cs="Times New Roman" w:eastAsia="Times New Roman" w:hAnsi="Times New Roman"/>
          <w:sz w:val="20"/>
          <w:szCs w:val="20"/>
          <w:i w:val="1"/>
          <w:iCs w:val="1"/>
          <w:color w:val="auto"/>
        </w:rPr>
        <w:t>Rule 144A Notes</w:t>
      </w:r>
      <w:r>
        <w:rPr>
          <w:rFonts w:ascii="Times New Roman" w:cs="Times New Roman" w:eastAsia="Times New Roman" w:hAnsi="Times New Roman"/>
          <w:sz w:val="20"/>
          <w:szCs w:val="20"/>
          <w:color w:val="auto"/>
        </w:rPr>
        <w:t>”) and (2) Persons other than U.S. persons in reliance on Regulation S (“</w:t>
      </w:r>
      <w:r>
        <w:rPr>
          <w:rFonts w:ascii="Times New Roman" w:cs="Times New Roman" w:eastAsia="Times New Roman" w:hAnsi="Times New Roman"/>
          <w:sz w:val="20"/>
          <w:szCs w:val="20"/>
          <w:i w:val="1"/>
          <w:iCs w:val="1"/>
          <w:color w:val="auto"/>
        </w:rPr>
        <w:t>Regulation S Notes</w:t>
      </w:r>
      <w:r>
        <w:rPr>
          <w:rFonts w:ascii="Times New Roman" w:cs="Times New Roman" w:eastAsia="Times New Roman" w:hAnsi="Times New Roman"/>
          <w:sz w:val="20"/>
          <w:szCs w:val="20"/>
          <w:color w:val="auto"/>
        </w:rPr>
        <w:t>”). Additional Notes may also be considered to be Rule 144A Notes or Regulation S Notes, as applicable.</w:t>
      </w:r>
    </w:p>
    <w:p>
      <w:pPr>
        <w:spacing w:after="0" w:line="144" w:lineRule="exact"/>
        <w:rPr>
          <w:rFonts w:ascii="Times New Roman" w:cs="Times New Roman" w:eastAsia="Times New Roman" w:hAnsi="Times New Roman"/>
          <w:sz w:val="20"/>
          <w:szCs w:val="20"/>
          <w:color w:val="auto"/>
        </w:rPr>
      </w:pPr>
    </w:p>
    <w:p>
      <w:pPr>
        <w:ind w:firstLine="1304"/>
        <w:spacing w:after="0" w:line="211" w:lineRule="auto"/>
        <w:tabs>
          <w:tab w:leader="none" w:pos="1932"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Global Notes</w:t>
      </w:r>
      <w:r>
        <w:rPr>
          <w:rFonts w:ascii="Times New Roman" w:cs="Times New Roman" w:eastAsia="Times New Roman" w:hAnsi="Times New Roman"/>
          <w:sz w:val="20"/>
          <w:szCs w:val="20"/>
          <w:color w:val="auto"/>
        </w:rPr>
        <w:t>. Rule 144A Notes shall be issued initially in the form of one or more permanent global Notes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definitive, fully registered form, numbered RA-1 upward (collectively, the “</w:t>
      </w:r>
      <w:r>
        <w:rPr>
          <w:rFonts w:ascii="Times New Roman" w:cs="Times New Roman" w:eastAsia="Times New Roman" w:hAnsi="Times New Roman"/>
          <w:sz w:val="20"/>
          <w:szCs w:val="20"/>
          <w:i w:val="1"/>
          <w:iCs w:val="1"/>
          <w:color w:val="auto"/>
        </w:rPr>
        <w:t>Rule 144A Global Note</w:t>
      </w:r>
      <w:r>
        <w:rPr>
          <w:rFonts w:ascii="Times New Roman" w:cs="Times New Roman" w:eastAsia="Times New Roman" w:hAnsi="Times New Roman"/>
          <w:sz w:val="20"/>
          <w:szCs w:val="20"/>
          <w:color w:val="auto"/>
        </w:rPr>
        <w:t>”) and Regulation S Notes shall be issued initially in the form of one or more global Notes, numbered RS-1 upward (collectively, the “</w:t>
      </w:r>
      <w:r>
        <w:rPr>
          <w:rFonts w:ascii="Times New Roman" w:cs="Times New Roman" w:eastAsia="Times New Roman" w:hAnsi="Times New Roman"/>
          <w:sz w:val="20"/>
          <w:szCs w:val="20"/>
          <w:i w:val="1"/>
          <w:iCs w:val="1"/>
          <w:color w:val="auto"/>
        </w:rPr>
        <w:t>Regulation S Global Note</w:t>
      </w:r>
      <w:r>
        <w:rPr>
          <w:rFonts w:ascii="Times New Roman" w:cs="Times New Roman" w:eastAsia="Times New Roman" w:hAnsi="Times New Roman"/>
          <w:sz w:val="20"/>
          <w:szCs w:val="20"/>
          <w:color w:val="auto"/>
        </w:rPr>
        <w:t>”), in each case without interest coupons and bearing the Global Notes Legend and Restricted Notes Legend, which shall be deposited on behalf of the purchasers of the Notes represented thereby with the Custodian, and registered in the name of the Depositary or a nominee of the Depositary, duly executed by the Company and authenticated by the Trustee as provided in the Indenture. The Rule 144A Global Note, the Regulation S Global Note and any Unrestricted Global Note are each referred to herein as a “</w:t>
      </w:r>
      <w:r>
        <w:rPr>
          <w:rFonts w:ascii="Times New Roman" w:cs="Times New Roman" w:eastAsia="Times New Roman" w:hAnsi="Times New Roman"/>
          <w:sz w:val="20"/>
          <w:szCs w:val="20"/>
          <w:i w:val="1"/>
          <w:iCs w:val="1"/>
          <w:color w:val="auto"/>
        </w:rPr>
        <w:t>Global Note</w:t>
      </w:r>
      <w:r>
        <w:rPr>
          <w:rFonts w:ascii="Times New Roman" w:cs="Times New Roman" w:eastAsia="Times New Roman" w:hAnsi="Times New Roman"/>
          <w:sz w:val="20"/>
          <w:szCs w:val="20"/>
          <w:color w:val="auto"/>
        </w:rPr>
        <w:t>” and are collectively referred to herein as “</w:t>
      </w:r>
      <w:r>
        <w:rPr>
          <w:rFonts w:ascii="Times New Roman" w:cs="Times New Roman" w:eastAsia="Times New Roman" w:hAnsi="Times New Roman"/>
          <w:sz w:val="20"/>
          <w:szCs w:val="20"/>
          <w:i w:val="1"/>
          <w:iCs w:val="1"/>
          <w:color w:val="auto"/>
        </w:rPr>
        <w:t>Global Notes</w:t>
      </w:r>
      <w:r>
        <w:rPr>
          <w:rFonts w:ascii="Times New Roman" w:cs="Times New Roman" w:eastAsia="Times New Roman" w:hAnsi="Times New Roman"/>
          <w:sz w:val="20"/>
          <w:szCs w:val="20"/>
          <w:color w:val="auto"/>
        </w:rPr>
        <w:t>.” Each Global Note shall represent such of the outstanding Notes as shall be specified in the “Schedule of Exchanges of Interests in the Global Note” attached thereto and each shall provide that it shall represent the aggregate principal amount of Notes from time to time endorsed thereon and that the aggregate principal amount of outstanding Notes represented thereby may from time to time be reduced or increased, as applicable, to reflect exchanges and redemptions.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Section 2.06 of this Indenture and Section 1.3(c) of this Appendix A.</w:t>
      </w:r>
    </w:p>
    <w:p>
      <w:pPr>
        <w:spacing w:after="0" w:line="15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Book-Entry Provisions</w:t>
      </w:r>
      <w:r>
        <w:rPr>
          <w:rFonts w:ascii="Times New Roman" w:cs="Times New Roman" w:eastAsia="Times New Roman" w:hAnsi="Times New Roman"/>
          <w:sz w:val="20"/>
          <w:szCs w:val="20"/>
          <w:color w:val="auto"/>
        </w:rPr>
        <w:t>. This Section 1.2(c) shall apply only to a Global Note deposited with or on behalf of the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Depositary.</w:t>
      </w:r>
    </w:p>
    <w:p>
      <w:pPr>
        <w:spacing w:after="0" w:line="180" w:lineRule="exact"/>
        <w:rPr>
          <w:sz w:val="20"/>
          <w:szCs w:val="20"/>
          <w:color w:val="auto"/>
        </w:rPr>
      </w:pPr>
    </w:p>
    <w:p>
      <w:pPr>
        <w:jc w:val="both"/>
        <w:ind w:right="120" w:firstLine="1296"/>
        <w:spacing w:after="0" w:line="267" w:lineRule="auto"/>
        <w:rPr>
          <w:sz w:val="20"/>
          <w:szCs w:val="20"/>
          <w:color w:val="auto"/>
        </w:rPr>
      </w:pPr>
      <w:r>
        <w:rPr>
          <w:rFonts w:ascii="Times New Roman" w:cs="Times New Roman" w:eastAsia="Times New Roman" w:hAnsi="Times New Roman"/>
          <w:sz w:val="19"/>
          <w:szCs w:val="19"/>
          <w:color w:val="auto"/>
        </w:rPr>
        <w:t>The Company shall execute and the Trustee shall, in accordance with this Section 1.2(c) and Section 2.02 of this Indenture and pursuant to an order of the Company signed by one Officer of the Company, authenticate and deliver initially one or more Global Notes that (i) shall be registered in the name of the Depositary for such Global Note or Global Notes or the nominee of such Depositary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(ii) shall be delivered by the Trustee to such Depositary or pursuant to such Depositary’s instructions or held by the Trustee as Custodian.</w:t>
      </w:r>
    </w:p>
    <w:p>
      <w:pPr>
        <w:spacing w:after="0" w:line="183" w:lineRule="exact"/>
        <w:rPr>
          <w:sz w:val="20"/>
          <w:szCs w:val="20"/>
          <w:color w:val="auto"/>
        </w:rPr>
      </w:pPr>
    </w:p>
    <w:p>
      <w:pPr>
        <w:ind w:right="40" w:firstLine="1296"/>
        <w:spacing w:after="0" w:line="263" w:lineRule="auto"/>
        <w:rPr>
          <w:sz w:val="20"/>
          <w:szCs w:val="20"/>
          <w:color w:val="auto"/>
        </w:rPr>
      </w:pPr>
      <w:r>
        <w:rPr>
          <w:rFonts w:ascii="Times New Roman" w:cs="Times New Roman" w:eastAsia="Times New Roman" w:hAnsi="Times New Roman"/>
          <w:sz w:val="20"/>
          <w:szCs w:val="20"/>
          <w:color w:val="auto"/>
        </w:rPr>
        <w:t>Members of, or participants in, the Depositary (“</w:t>
      </w:r>
      <w:r>
        <w:rPr>
          <w:rFonts w:ascii="Times New Roman" w:cs="Times New Roman" w:eastAsia="Times New Roman" w:hAnsi="Times New Roman"/>
          <w:sz w:val="20"/>
          <w:szCs w:val="20"/>
          <w:i w:val="1"/>
          <w:iCs w:val="1"/>
          <w:color w:val="auto"/>
        </w:rPr>
        <w:t>Agent Members</w:t>
      </w:r>
      <w:r>
        <w:rPr>
          <w:rFonts w:ascii="Times New Roman" w:cs="Times New Roman" w:eastAsia="Times New Roman" w:hAnsi="Times New Roman"/>
          <w:sz w:val="20"/>
          <w:szCs w:val="20"/>
          <w:color w:val="auto"/>
        </w:rPr>
        <w:t>”) shall have no rights under the Indenture with respect to any Global Note held on their behalf by the Depositary or by the Trustee as Custodian or under such Global Note, and the Depositary may be treated by the Company, the</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20"/>
          </w:cols>
          <w:pgMar w:left="320" w:top="1440" w:right="359" w:bottom="1440" w:gutter="0" w:footer="0" w:header="0"/>
          <w:type w:val="continuous"/>
        </w:sectPr>
      </w:pPr>
    </w:p>
    <w:bookmarkStart w:id="70" w:name="page71"/>
    <w:bookmarkEnd w:id="70"/>
    <w:p>
      <w:pPr>
        <w:ind w:right="200"/>
        <w:spacing w:after="0" w:line="253" w:lineRule="auto"/>
        <w:rPr>
          <w:sz w:val="20"/>
          <w:szCs w:val="20"/>
          <w:color w:val="auto"/>
        </w:rPr>
      </w:pPr>
      <w:r>
        <w:rPr>
          <w:rFonts w:ascii="Times New Roman" w:cs="Times New Roman" w:eastAsia="Times New Roman" w:hAnsi="Times New Roman"/>
          <w:sz w:val="20"/>
          <w:szCs w:val="20"/>
          <w:color w:val="auto"/>
        </w:rPr>
        <w:t>Trustee and any agent of the Company or the Trustee as the absolute owner of such Global Note for all purposes whatsoever. Notwithstanding the foregoing, nothing herein shall prevent the Company, the Trustee or any agent of the Company or the Trustee from giving effect to any written certification, proxy or other authorization furnished by the Depositary or impair, as between the Depositary and its Agent Members, the operation of customary practices of such Depositary governing the exercise of the rights of a Holder of a beneficial interest in any Global Note.</w:t>
      </w:r>
    </w:p>
    <w:p>
      <w:pPr>
        <w:spacing w:after="0" w:line="161" w:lineRule="exact"/>
        <w:rPr>
          <w:sz w:val="20"/>
          <w:szCs w:val="20"/>
          <w:color w:val="auto"/>
        </w:rPr>
      </w:pPr>
    </w:p>
    <w:p>
      <w:pPr>
        <w:ind w:right="540" w:firstLine="1304"/>
        <w:spacing w:after="0" w:line="235" w:lineRule="auto"/>
        <w:tabs>
          <w:tab w:leader="none" w:pos="1932"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Definitive Notes</w:t>
      </w:r>
      <w:r>
        <w:rPr>
          <w:rFonts w:ascii="Times New Roman" w:cs="Times New Roman" w:eastAsia="Times New Roman" w:hAnsi="Times New Roman"/>
          <w:sz w:val="20"/>
          <w:szCs w:val="20"/>
          <w:color w:val="auto"/>
        </w:rPr>
        <w:t>. Except as provided in Section 1.3 or 1.4 of this Appendix A, owners of beneficial interests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Global Notes shall not be entitled to receive physical delivery of Definitive Notes.</w:t>
      </w:r>
    </w:p>
    <w:p>
      <w:pPr>
        <w:spacing w:after="0" w:line="17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1.3</w:t>
      </w:r>
      <w:r>
        <w:rPr>
          <w:sz w:val="20"/>
          <w:szCs w:val="20"/>
          <w:color w:val="auto"/>
        </w:rPr>
        <w:tab/>
      </w:r>
      <w:r>
        <w:rPr>
          <w:rFonts w:ascii="Times New Roman" w:cs="Times New Roman" w:eastAsia="Times New Roman" w:hAnsi="Times New Roman"/>
          <w:sz w:val="19"/>
          <w:szCs w:val="19"/>
          <w:color w:val="auto"/>
        </w:rPr>
        <w:t>Transfer and Exchange.</w:t>
      </w:r>
    </w:p>
    <w:p>
      <w:pPr>
        <w:spacing w:after="0" w:line="131" w:lineRule="exact"/>
        <w:rPr>
          <w:sz w:val="20"/>
          <w:szCs w:val="20"/>
          <w:color w:val="auto"/>
        </w:rPr>
      </w:pPr>
    </w:p>
    <w:p>
      <w:pPr>
        <w:ind w:right="760" w:firstLine="1304"/>
        <w:spacing w:after="0" w:line="245" w:lineRule="auto"/>
        <w:tabs>
          <w:tab w:leader="none" w:pos="193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Transfer and Exchange of Definitive Notes for Definitive Notes</w:t>
      </w:r>
      <w:r>
        <w:rPr>
          <w:rFonts w:ascii="Times New Roman" w:cs="Times New Roman" w:eastAsia="Times New Roman" w:hAnsi="Times New Roman"/>
          <w:sz w:val="20"/>
          <w:szCs w:val="20"/>
          <w:color w:val="auto"/>
        </w:rPr>
        <w:t>. When Definitive Notes are presented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Registrar with a request:</w:t>
      </w:r>
    </w:p>
    <w:p>
      <w:pPr>
        <w:spacing w:after="0" w:line="142" w:lineRule="exact"/>
        <w:rPr>
          <w:sz w:val="20"/>
          <w:szCs w:val="20"/>
          <w:color w:val="auto"/>
        </w:rPr>
      </w:pPr>
    </w:p>
    <w:p>
      <w:pPr>
        <w:ind w:left="1940" w:hanging="636"/>
        <w:spacing w:after="0"/>
        <w:tabs>
          <w:tab w:leader="none" w:pos="194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register the transfer of such Definitive Notes; or</w:t>
      </w:r>
    </w:p>
    <w:p>
      <w:pPr>
        <w:spacing w:after="0" w:line="183"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exchange such Definitive Notes for an equal principal amount of Definitive Notes of other authorized</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denominations,</w:t>
      </w:r>
    </w:p>
    <w:p>
      <w:pPr>
        <w:spacing w:after="0" w:line="167" w:lineRule="exact"/>
        <w:rPr>
          <w:sz w:val="20"/>
          <w:szCs w:val="20"/>
          <w:color w:val="auto"/>
        </w:rPr>
      </w:pPr>
    </w:p>
    <w:p>
      <w:pPr>
        <w:ind w:right="700"/>
        <w:spacing w:after="0" w:line="283" w:lineRule="auto"/>
        <w:rPr>
          <w:sz w:val="20"/>
          <w:szCs w:val="20"/>
          <w:color w:val="auto"/>
        </w:rPr>
      </w:pPr>
      <w:r>
        <w:rPr>
          <w:rFonts w:ascii="Times New Roman" w:cs="Times New Roman" w:eastAsia="Times New Roman" w:hAnsi="Times New Roman"/>
          <w:sz w:val="20"/>
          <w:szCs w:val="20"/>
          <w:color w:val="auto"/>
        </w:rPr>
        <w:t xml:space="preserve">the Registrar shall register the transfer or make the exchange as requested if its reasonable requirements for such transaction are met;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the Definitive Notes surrendered for transfer or exchange:</w:t>
      </w:r>
    </w:p>
    <w:p>
      <w:pPr>
        <w:spacing w:after="0" w:line="119" w:lineRule="exact"/>
        <w:rPr>
          <w:sz w:val="20"/>
          <w:szCs w:val="20"/>
          <w:color w:val="auto"/>
        </w:rPr>
      </w:pPr>
    </w:p>
    <w:p>
      <w:pPr>
        <w:ind w:left="660" w:right="440" w:firstLine="644"/>
        <w:spacing w:after="0"/>
        <w:tabs>
          <w:tab w:leader="none" w:pos="1944"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be duly endorsed or accompanied by a written instrument of transfer in form reasonably satisfactory to the Company and the Registrar, duly executed by the Holder thereof or his attorney duly authorized in writing; and</w:t>
      </w:r>
    </w:p>
    <w:p>
      <w:pPr>
        <w:spacing w:after="0" w:line="161" w:lineRule="exact"/>
        <w:rPr>
          <w:rFonts w:ascii="Times New Roman" w:cs="Times New Roman" w:eastAsia="Times New Roman" w:hAnsi="Times New Roman"/>
          <w:sz w:val="20"/>
          <w:szCs w:val="20"/>
          <w:color w:val="auto"/>
        </w:rPr>
      </w:pPr>
    </w:p>
    <w:p>
      <w:pPr>
        <w:ind w:left="660" w:right="80" w:firstLine="644"/>
        <w:spacing w:after="0" w:line="217" w:lineRule="auto"/>
        <w:tabs>
          <w:tab w:leader="none" w:pos="1944"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Transfer Restricted Notes, are being transferred or exchanged pursuant to an effective registration statement under the Securities Act or pursuant to Section 1.3(b) of this Appendix A or otherwise in accordance with the Restricted Notes Legend, and are accompanied by a certification from the transferor in the form provided on the reverse side of the Form of Note in </w:t>
      </w:r>
      <w:r>
        <w:rPr>
          <w:rFonts w:ascii="Times New Roman" w:cs="Times New Roman" w:eastAsia="Times New Roman" w:hAnsi="Times New Roman"/>
          <w:sz w:val="20"/>
          <w:szCs w:val="20"/>
          <w:i w:val="1"/>
          <w:iCs w:val="1"/>
          <w:color w:val="auto"/>
        </w:rPr>
        <w:t>Exhibit A</w:t>
      </w:r>
      <w:r>
        <w:rPr>
          <w:rFonts w:ascii="Times New Roman" w:cs="Times New Roman" w:eastAsia="Times New Roman" w:hAnsi="Times New Roman"/>
          <w:sz w:val="20"/>
          <w:szCs w:val="20"/>
          <w:color w:val="auto"/>
        </w:rPr>
        <w:t xml:space="preserve"> for exchange or registration of transfers and, as applicable, delivery of such legal opinions, certifications and other information as may be requested pursuant thereto.</w:t>
      </w:r>
    </w:p>
    <w:p>
      <w:pPr>
        <w:spacing w:after="0" w:line="158" w:lineRule="exact"/>
        <w:rPr>
          <w:sz w:val="20"/>
          <w:szCs w:val="20"/>
          <w:color w:val="auto"/>
        </w:rPr>
      </w:pPr>
    </w:p>
    <w:p>
      <w:pPr>
        <w:jc w:val="both"/>
        <w:ind w:firstLine="1304"/>
        <w:spacing w:after="0" w:line="223" w:lineRule="auto"/>
        <w:tabs>
          <w:tab w:leader="none" w:pos="1932"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Restrictions on Transfer of a Definitive Note for a Beneficial Interest in a Global Note</w:t>
      </w:r>
      <w:r>
        <w:rPr>
          <w:rFonts w:ascii="Times New Roman" w:cs="Times New Roman" w:eastAsia="Times New Roman" w:hAnsi="Times New Roman"/>
          <w:sz w:val="20"/>
          <w:szCs w:val="20"/>
          <w:color w:val="auto"/>
        </w:rPr>
        <w:t>. A Definitive Note may not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exchanged for a beneficial interest in a Global Note except upon satisfaction of the requirements set forth below. Upon receipt by the Trustee of a Definitive Note, duly endorsed or accompanied by a written instrument of transfer in form reasonably satisfactory to the Company and the Registrar, together with:</w:t>
      </w:r>
    </w:p>
    <w:p>
      <w:pPr>
        <w:spacing w:after="0" w:line="144" w:lineRule="exact"/>
        <w:rPr>
          <w:sz w:val="20"/>
          <w:szCs w:val="20"/>
          <w:color w:val="auto"/>
        </w:rPr>
      </w:pPr>
    </w:p>
    <w:p>
      <w:pPr>
        <w:ind w:left="660" w:right="200" w:firstLine="644"/>
        <w:spacing w:after="0" w:line="232" w:lineRule="auto"/>
        <w:tabs>
          <w:tab w:leader="none" w:pos="1944"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certification from the transferor in the form provided on the reverse side of the Form of Note in </w:t>
      </w:r>
      <w:r>
        <w:rPr>
          <w:rFonts w:ascii="Times New Roman" w:cs="Times New Roman" w:eastAsia="Times New Roman" w:hAnsi="Times New Roman"/>
          <w:sz w:val="20"/>
          <w:szCs w:val="20"/>
          <w:i w:val="1"/>
          <w:iCs w:val="1"/>
          <w:color w:val="auto"/>
        </w:rPr>
        <w:t>Exhibit A</w:t>
      </w:r>
      <w:r>
        <w:rPr>
          <w:rFonts w:ascii="Times New Roman" w:cs="Times New Roman" w:eastAsia="Times New Roman" w:hAnsi="Times New Roman"/>
          <w:sz w:val="20"/>
          <w:szCs w:val="20"/>
          <w:color w:val="auto"/>
        </w:rPr>
        <w:t xml:space="preserve"> for exchange or registration of transfers and, as applicable, delivery of such legal opinions, certifications and other information as may be requested pursuant thereto; and</w:t>
      </w:r>
    </w:p>
    <w:p>
      <w:pPr>
        <w:spacing w:after="0" w:line="147" w:lineRule="exact"/>
        <w:rPr>
          <w:rFonts w:ascii="Times New Roman" w:cs="Times New Roman" w:eastAsia="Times New Roman" w:hAnsi="Times New Roman"/>
          <w:sz w:val="20"/>
          <w:szCs w:val="20"/>
          <w:color w:val="auto"/>
        </w:rPr>
      </w:pPr>
    </w:p>
    <w:p>
      <w:pPr>
        <w:ind w:left="660" w:right="60" w:firstLine="644"/>
        <w:spacing w:after="0" w:line="230" w:lineRule="auto"/>
        <w:tabs>
          <w:tab w:leader="none" w:pos="1944"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written instructions directing the Trustee to make, or to direct the Custodian to make, an adjustment on its books and records with respect to such Global Note to reflect an increase in the aggregate principal amount of the Notes represented by the Global Note, such instructions to contain information regarding the Depositary account to be credited with such increase,</w:t>
      </w:r>
    </w:p>
    <w:p>
      <w:pPr>
        <w:spacing w:after="0" w:line="162"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20"/>
          <w:szCs w:val="20"/>
          <w:color w:val="auto"/>
        </w:rPr>
        <w:t>the Trustee shall cancel such Definitive Note and cause, or direct the Custodian to cause, in accordance with the standing instructions and procedures existing between the Depositary and the Custodian,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20"/>
          </w:cols>
          <w:pgMar w:left="320" w:top="1413" w:right="359" w:bottom="1440" w:gutter="0" w:footer="0" w:header="0"/>
        </w:sectPr>
      </w:pPr>
    </w:p>
    <w:bookmarkStart w:id="71" w:name="page72"/>
    <w:bookmarkEnd w:id="71"/>
    <w:p>
      <w:pPr>
        <w:ind w:right="40"/>
        <w:spacing w:after="0" w:line="253" w:lineRule="auto"/>
        <w:rPr>
          <w:sz w:val="20"/>
          <w:szCs w:val="20"/>
          <w:color w:val="auto"/>
        </w:rPr>
      </w:pPr>
      <w:r>
        <w:rPr>
          <w:rFonts w:ascii="Times New Roman" w:cs="Times New Roman" w:eastAsia="Times New Roman" w:hAnsi="Times New Roman"/>
          <w:sz w:val="20"/>
          <w:szCs w:val="20"/>
          <w:color w:val="auto"/>
        </w:rPr>
        <w:t>aggregate principal amount of Notes represented by the Global Note to be increased by the aggregate principal amount of the Definitive Note to be exchanged and shall credit or cause to be credited to the account of the Person specified in such instructions a beneficial interest in the Global Note equal to the principal amount of the Definitive Note so canceled. If the applicable Global Note is not then outstanding, the Company shall issue and the Trustee shall authenticate, upon an Authentication Order, a new applicable Global Note in the appropriate principal amount.</w:t>
      </w:r>
    </w:p>
    <w:p>
      <w:pPr>
        <w:spacing w:after="0" w:line="161" w:lineRule="exact"/>
        <w:rPr>
          <w:sz w:val="20"/>
          <w:szCs w:val="20"/>
          <w:color w:val="auto"/>
        </w:rPr>
      </w:pPr>
    </w:p>
    <w:p>
      <w:pPr>
        <w:ind w:left="1940" w:hanging="636"/>
        <w:spacing w:after="0"/>
        <w:tabs>
          <w:tab w:leader="none" w:pos="194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Transfer and Exchange of Global Notes</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ind w:left="660" w:right="40" w:firstLine="644"/>
        <w:spacing w:after="0" w:line="215" w:lineRule="auto"/>
        <w:tabs>
          <w:tab w:leader="none" w:pos="1944"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 and exchange of Global Notes or beneficial interests therein shall be effected through the Depositary, in accordance with the Indenture (including applicable restrictions on transfer set forth in Section 1.3(d) of this Appendix A, if any) and the procedures of the Depositary therefor. A transferor of a beneficial interest in a Global Note shall deliver to the Registrar a written order given in accordance with the Depositary’s procedures containing information regarding the participant account of the Depositary to be credited with a beneficial interest in such Global Note, or another Global Note and such account shall be credited in accordance with such order with a beneficial interest in the applicable Global Note and the account of the Person making the transfer shall be debited by an amount equal to the beneficial interest in the Global Note being transferred.</w:t>
      </w:r>
    </w:p>
    <w:p>
      <w:pPr>
        <w:spacing w:after="0" w:line="164" w:lineRule="exact"/>
        <w:rPr>
          <w:rFonts w:ascii="Times New Roman" w:cs="Times New Roman" w:eastAsia="Times New Roman" w:hAnsi="Times New Roman"/>
          <w:sz w:val="20"/>
          <w:szCs w:val="20"/>
          <w:color w:val="auto"/>
        </w:rPr>
      </w:pPr>
    </w:p>
    <w:p>
      <w:pPr>
        <w:ind w:left="660" w:firstLine="644"/>
        <w:spacing w:after="0" w:line="220" w:lineRule="auto"/>
        <w:tabs>
          <w:tab w:leader="none" w:pos="1944"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proposed transfer is a transfer of a beneficial interest in one Global Note to a beneficial interest in another Global Note, the Registrar shall reflect on its books and records the date and an increase in the principal amount of the Global Note to which such interest is being transferred in an amount equal to the principal amount of the interest to be so transferred, and the Registrar shall reflect on its books and records the date and a corresponding decrease in the principal amount of the Global Note from which such interest is being transferred.</w:t>
      </w:r>
    </w:p>
    <w:p>
      <w:pPr>
        <w:spacing w:after="0" w:line="147" w:lineRule="exact"/>
        <w:rPr>
          <w:rFonts w:ascii="Times New Roman" w:cs="Times New Roman" w:eastAsia="Times New Roman" w:hAnsi="Times New Roman"/>
          <w:sz w:val="20"/>
          <w:szCs w:val="20"/>
          <w:color w:val="auto"/>
        </w:rPr>
      </w:pPr>
    </w:p>
    <w:p>
      <w:pPr>
        <w:ind w:left="660" w:right="20" w:firstLine="644"/>
        <w:spacing w:after="0" w:line="222" w:lineRule="auto"/>
        <w:tabs>
          <w:tab w:leader="none" w:pos="1944"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provisions of this Appendix A (other than the provisions set forth in Section 1.4 of this Appendix A), a Global Note may not be transferred except as a whole and not in part if the transfer is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58" w:lineRule="exact"/>
        <w:rPr>
          <w:sz w:val="20"/>
          <w:szCs w:val="20"/>
          <w:color w:val="auto"/>
        </w:rPr>
      </w:pPr>
    </w:p>
    <w:p>
      <w:pPr>
        <w:ind w:right="280" w:firstLine="1304"/>
        <w:spacing w:after="0" w:line="235" w:lineRule="auto"/>
        <w:tabs>
          <w:tab w:leader="none" w:pos="1932"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Restrictions on Transfer of Global Notes; Voluntary Exchange of Interests in Transfer Restricted Global Notes for Interests in Unrestricted Global Notes</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left="660" w:right="100" w:firstLine="644"/>
        <w:spacing w:after="0" w:line="220" w:lineRule="auto"/>
        <w:tabs>
          <w:tab w:leader="none" w:pos="1944"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Transfers by an owner of a beneficial interest in a Rule 144A Global Note to a transferee who takes delivery of such interest through another Transfer Restricted Global Note shall be made in accordance with the Applicable Procedures and the Restricted Notes Legend and only upon receipt by the Trustee of a certification from the transferor in the form provided on the reverse side of the Form of Note in </w:t>
      </w:r>
      <w:r>
        <w:rPr>
          <w:rFonts w:ascii="Times New Roman" w:cs="Times New Roman" w:eastAsia="Times New Roman" w:hAnsi="Times New Roman"/>
          <w:sz w:val="20"/>
          <w:szCs w:val="20"/>
          <w:i w:val="1"/>
          <w:iCs w:val="1"/>
          <w:color w:val="auto"/>
        </w:rPr>
        <w:t>Exhibit A</w:t>
      </w:r>
      <w:r>
        <w:rPr>
          <w:rFonts w:ascii="Times New Roman" w:cs="Times New Roman" w:eastAsia="Times New Roman" w:hAnsi="Times New Roman"/>
          <w:sz w:val="20"/>
          <w:szCs w:val="20"/>
          <w:color w:val="auto"/>
        </w:rPr>
        <w:t xml:space="preserve"> for exchange or registration of transfers and, as applicable, delivery of such legal opinions, certifications and other information as may be requested pursuant thereto.</w:t>
      </w:r>
    </w:p>
    <w:p>
      <w:pPr>
        <w:spacing w:after="0" w:line="147" w:lineRule="exact"/>
        <w:rPr>
          <w:rFonts w:ascii="Times New Roman" w:cs="Times New Roman" w:eastAsia="Times New Roman" w:hAnsi="Times New Roman"/>
          <w:sz w:val="20"/>
          <w:szCs w:val="20"/>
          <w:color w:val="auto"/>
        </w:rPr>
      </w:pPr>
    </w:p>
    <w:p>
      <w:pPr>
        <w:ind w:left="660" w:right="20" w:firstLine="644"/>
        <w:spacing w:after="0" w:line="226" w:lineRule="auto"/>
        <w:tabs>
          <w:tab w:leader="none" w:pos="1944"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During the Distribution Compliance Period, beneficial ownership interests in the Regulation S Global Note may only be sold, pledged or transferred through Euroclear or Clearstream in accordance with the Applicable Procedures, the Restricted Notes Legend on such Regulation S Global Note and any applicable securities laws of any state of the U.S. Prior to the expiration of the Distribution Compliance Period, transfers by an owner of a beneficial interest in the Regulation S Global Note to a transferee who takes delivery of such interest through a Rule 144A Global Note shall be made only in accordance with the Applicable Procedures and the Restricted Notes Legend and upon receipt by the Trustee of a written certification from the transferor of the beneficial interest in the form provided on the reverse side of the Form of Note in </w:t>
      </w:r>
      <w:r>
        <w:rPr>
          <w:rFonts w:ascii="Times New Roman" w:cs="Times New Roman" w:eastAsia="Times New Roman" w:hAnsi="Times New Roman"/>
          <w:sz w:val="19"/>
          <w:szCs w:val="19"/>
          <w:i w:val="1"/>
          <w:iCs w:val="1"/>
          <w:color w:val="auto"/>
        </w:rPr>
        <w:t>Exhibit A</w:t>
      </w:r>
      <w:r>
        <w:rPr>
          <w:rFonts w:ascii="Times New Roman" w:cs="Times New Roman" w:eastAsia="Times New Roman" w:hAnsi="Times New Roman"/>
          <w:sz w:val="19"/>
          <w:szCs w:val="19"/>
          <w:color w:val="auto"/>
        </w:rPr>
        <w:t xml:space="preserve"> for exchange or registration of transfers. Such written certification shall no longer be required after the expiration of the Distribution Compliance Period. Upon the expiration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3" w:right="339" w:bottom="1440" w:gutter="0" w:footer="0" w:header="0"/>
        </w:sectPr>
      </w:pPr>
    </w:p>
    <w:bookmarkStart w:id="72" w:name="page73"/>
    <w:bookmarkEnd w:id="72"/>
    <w:p>
      <w:pPr>
        <w:ind w:left="4" w:right="200"/>
        <w:spacing w:after="0"/>
        <w:rPr>
          <w:sz w:val="20"/>
          <w:szCs w:val="20"/>
          <w:color w:val="auto"/>
        </w:rPr>
      </w:pPr>
      <w:r>
        <w:rPr>
          <w:rFonts w:ascii="Times New Roman" w:cs="Times New Roman" w:eastAsia="Times New Roman" w:hAnsi="Times New Roman"/>
          <w:sz w:val="20"/>
          <w:szCs w:val="20"/>
          <w:color w:val="auto"/>
        </w:rPr>
        <w:t>Distribution Compliance Period, beneficial ownership interests in the Regulation S Global Note shall be transferable in accordance with applicable law and the other terms of the Indenture.</w:t>
      </w:r>
    </w:p>
    <w:p>
      <w:pPr>
        <w:spacing w:after="0" w:line="148" w:lineRule="exact"/>
        <w:rPr>
          <w:sz w:val="20"/>
          <w:szCs w:val="20"/>
          <w:color w:val="auto"/>
        </w:rPr>
      </w:pPr>
    </w:p>
    <w:p>
      <w:pPr>
        <w:jc w:val="both"/>
        <w:ind w:left="4" w:firstLine="644"/>
        <w:spacing w:after="0" w:line="230" w:lineRule="auto"/>
        <w:tabs>
          <w:tab w:leader="none" w:pos="1288"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expiration of the Distribution Compliance Period, beneficial interests in the Regulation S Global Note may be exchanged for beneficial interests in an Unrestricted Global Note upon certification in the form provided on the reverse side of the Form of Note in </w:t>
      </w:r>
      <w:r>
        <w:rPr>
          <w:rFonts w:ascii="Times New Roman" w:cs="Times New Roman" w:eastAsia="Times New Roman" w:hAnsi="Times New Roman"/>
          <w:sz w:val="20"/>
          <w:szCs w:val="20"/>
          <w:i w:val="1"/>
          <w:iCs w:val="1"/>
          <w:color w:val="auto"/>
        </w:rPr>
        <w:t>Exhibit A</w:t>
      </w:r>
      <w:r>
        <w:rPr>
          <w:rFonts w:ascii="Times New Roman" w:cs="Times New Roman" w:eastAsia="Times New Roman" w:hAnsi="Times New Roman"/>
          <w:sz w:val="20"/>
          <w:szCs w:val="20"/>
          <w:color w:val="auto"/>
        </w:rPr>
        <w:t xml:space="preserve"> for an exchange from a Regulation S Global Note to an Unrestricted Global Note.</w:t>
      </w:r>
    </w:p>
    <w:p>
      <w:pPr>
        <w:spacing w:after="0" w:line="148" w:lineRule="exact"/>
        <w:rPr>
          <w:rFonts w:ascii="Times New Roman" w:cs="Times New Roman" w:eastAsia="Times New Roman" w:hAnsi="Times New Roman"/>
          <w:sz w:val="20"/>
          <w:szCs w:val="20"/>
          <w:color w:val="auto"/>
        </w:rPr>
      </w:pPr>
    </w:p>
    <w:p>
      <w:pPr>
        <w:ind w:left="4" w:right="180" w:firstLine="644"/>
        <w:spacing w:after="0" w:line="220" w:lineRule="auto"/>
        <w:tabs>
          <w:tab w:leader="none" w:pos="1288"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Beneficial interests in a Transfer Restricted Note that is a Rule 144A Global Note may be exchanged for beneficial interests in an Unrestricted Global Note if the Holder certifies in writing to the Registrar that its request for such exchange is in respect of a transfer made in reliance on Rule 144 (such certification to be in the form set forth on the reverse side of the Form of Note in </w:t>
      </w:r>
      <w:r>
        <w:rPr>
          <w:rFonts w:ascii="Times New Roman" w:cs="Times New Roman" w:eastAsia="Times New Roman" w:hAnsi="Times New Roman"/>
          <w:sz w:val="20"/>
          <w:szCs w:val="20"/>
          <w:i w:val="1"/>
          <w:iCs w:val="1"/>
          <w:color w:val="auto"/>
        </w:rPr>
        <w:t>Exhibit A</w:t>
      </w:r>
      <w:r>
        <w:rPr>
          <w:rFonts w:ascii="Times New Roman" w:cs="Times New Roman" w:eastAsia="Times New Roman" w:hAnsi="Times New Roman"/>
          <w:sz w:val="20"/>
          <w:szCs w:val="20"/>
          <w:color w:val="auto"/>
        </w:rPr>
        <w:t>) and/or upon delivery of such legal opinions, certifications and other information as the Company or the Trustee may reasonably request.</w:t>
      </w:r>
    </w:p>
    <w:p>
      <w:pPr>
        <w:spacing w:after="0" w:line="160" w:lineRule="exact"/>
        <w:rPr>
          <w:rFonts w:ascii="Times New Roman" w:cs="Times New Roman" w:eastAsia="Times New Roman" w:hAnsi="Times New Roman"/>
          <w:sz w:val="20"/>
          <w:szCs w:val="20"/>
          <w:color w:val="auto"/>
        </w:rPr>
      </w:pPr>
    </w:p>
    <w:p>
      <w:pPr>
        <w:jc w:val="both"/>
        <w:ind w:left="4" w:firstLine="644"/>
        <w:spacing w:after="0" w:line="226" w:lineRule="auto"/>
        <w:tabs>
          <w:tab w:leader="none" w:pos="1288"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no Unrestricted Global Note is outstanding at the time of a transfer contemplated by the preceding clauses (iii) and (iv), the Company shall issue and the Trustee shall authenticate, upon an Authentication Order, a new Unrestricted Global Note in the appropriate principal amount.</w:t>
      </w:r>
    </w:p>
    <w:p>
      <w:pPr>
        <w:spacing w:after="0" w:line="156" w:lineRule="exact"/>
        <w:rPr>
          <w:sz w:val="20"/>
          <w:szCs w:val="20"/>
          <w:color w:val="auto"/>
        </w:rPr>
      </w:pPr>
    </w:p>
    <w:p>
      <w:pPr>
        <w:ind w:left="1284" w:hanging="636"/>
        <w:spacing w:after="0"/>
        <w:tabs>
          <w:tab w:leader="none" w:pos="1284"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Legends</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ind w:left="4" w:right="60" w:firstLine="644"/>
        <w:spacing w:after="0" w:line="222" w:lineRule="auto"/>
        <w:tabs>
          <w:tab w:leader="none" w:pos="1288"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permitted by Section 1.3(d) and this Section 1.3(e) of this Appendix A, each Note certificate evidencing the Global Notes and the Definitive Notes (and all Notes issued in exchange therefor or in substitution thereof) shall bear a legend in substantially the following form (each defined term in the legend being defined as such for purposes of the legend only) (“</w:t>
      </w:r>
      <w:r>
        <w:rPr>
          <w:rFonts w:ascii="Times New Roman" w:cs="Times New Roman" w:eastAsia="Times New Roman" w:hAnsi="Times New Roman"/>
          <w:sz w:val="20"/>
          <w:szCs w:val="20"/>
          <w:i w:val="1"/>
          <w:iCs w:val="1"/>
          <w:color w:val="auto"/>
        </w:rPr>
        <w:t>Restricted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Notes Legend</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left="4" w:right="20" w:hanging="4"/>
        <w:spacing w:after="0" w:line="261" w:lineRule="auto"/>
        <w:tabs>
          <w:tab w:leader="none" w:pos="640"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(OR ANY INTEREST THEREIN), BY ITS ACCEPTANCE HEREOF, AGREES ON ITS OWN BEHALF AND ON BEHALF OF ANY INVESTOR ACCOUNT FOR WHICH IT HAS PURCHASED SECURITIES, TO OFFER, SELL OR OTHERWISE TRANSFER SUCH SECURITY, PRIOR TO THE DATE (THE “RESALE RESTRICTION TERMINATION DATE”) THAT IS [IN THE CASE OF RULE 144A NOTES: SIX MONTHS AFTER THE LATER OF THE ORIGINAL ISSUE DATE HEREOF, THE ORIGINAL ISSUE DATE OF THE ISSUANCE OF ANY ADDITIONAL NOTES AND THE LAST DATE ON WHICH THE COMPANY OR ANY AFFILIATE OF THE COMPANY WAS THE OWNER OF THIS SECURITY (OR ANY PREDECESSOR OF SUCH SECURITY)][, IN THE CASE OF REGULATION S NOTES: 40 DAYS AFTER THE LATER OF THE ORIGINAL ISSUE DATE HEREOF, THE ORIGINAL ISSUE DATE OF THE ISSUANCE OF ANY ADDITIONAL NOTES AND THE DATE ON WHICH THIS SECURITY (OR ANY PREDECESSOR OF SUCH SECURITY) WAS FIRST OFFERED TO PERSONS OTHER THAN DISTRIBUTORS (AS DEFINED IN RULE 902 OF REGULATION S) IN RELIANCE ON REGULATION S], ONLY (A) TO THE COMPANY OR ANY SUBSIDIARY THEREOF,</w:t>
      </w:r>
    </w:p>
    <w:p>
      <w:pPr>
        <w:spacing w:after="0" w:line="14" w:lineRule="exact"/>
        <w:rPr>
          <w:rFonts w:ascii="Times New Roman" w:cs="Times New Roman" w:eastAsia="Times New Roman" w:hAnsi="Times New Roman"/>
          <w:sz w:val="19"/>
          <w:szCs w:val="19"/>
          <w:color w:val="auto"/>
        </w:rPr>
      </w:pPr>
    </w:p>
    <w:p>
      <w:pPr>
        <w:ind w:left="4" w:right="340"/>
        <w:spacing w:after="0" w:line="25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 PURSUANT TO A REGISTRATION STATEMENT THAT HAS BEEN DECLARED EFFECTIVE UNDER THE SECURITIES ACT, (C) FOR SO LONG AS THE SECURITIES ARE ELIGIBLE FOR RESALE PURSUANT TO RULE 144A UNDER THE SECURITIES ACT (“RULE 144A”),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564"/>
          </w:cols>
          <w:pgMar w:left="976" w:top="1399" w:right="359" w:bottom="1440" w:gutter="0" w:footer="0" w:header="0"/>
        </w:sectPr>
      </w:pPr>
    </w:p>
    <w:bookmarkStart w:id="73" w:name="page74"/>
    <w:bookmarkEnd w:id="73"/>
    <w:p>
      <w:pPr>
        <w:ind w:left="660"/>
        <w:spacing w:after="0" w:line="250" w:lineRule="auto"/>
        <w:rPr>
          <w:sz w:val="20"/>
          <w:szCs w:val="20"/>
          <w:color w:val="auto"/>
        </w:rPr>
      </w:pPr>
      <w:r>
        <w:rPr>
          <w:rFonts w:ascii="Times New Roman" w:cs="Times New Roman" w:eastAsia="Times New Roman" w:hAnsi="Times New Roman"/>
          <w:sz w:val="20"/>
          <w:szCs w:val="20"/>
          <w:color w:val="auto"/>
        </w:rPr>
        <w:t>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TO NON-U.S. PERSONS THAT OCCUR OUTSIDE THE UNITED STATES WITHIN THE MEANING OF REGULATION S UNDER THE SECURITIES ACT OR (E) PURSUANT TO ANOTHER AVAILABLE EXEMPTION FROM THE REGISTRATION REQUIREMENTS OF THE SECURITIES ACT, SUBJECT TO THE COMPANY’S AND THE TRUSTEE’S RIGHT PRIOR TO ANY SUCH OFFER, SALE OR TRANSFER PURSUANT TO CLAUSES (D) OR (E) TO REQUIRE THE DELIVERY OF AN OPINION OF COUNSEL, CERTIFICATION AND/ OR OTHER INFORMATION SATISFACTORY TO EACH OF THEM. THIS LEGEND WILL BE REMOVED UPON THE REQUEST OF THE HOLDER AFTER THE RESALE RESTRICTION TERMINATION DATE. [IN THE CASE OF REGULATION S NOTES: BY ITS ACQUISITION HEREOF, THE HOLDER HEREOF REPRESENTS THAT IT IS NOT A U.S. PERSON NOR IS IT PURCHASING FOR THE ACCOUNT OF A U.S. PERSON AND IS ACQUIRING THIS SECURITY IN AN OFFSHORE TRANSACTION IN ACCORDANCE WITH REGULATION S UNDER THE SECURITIES ACT.]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Each Definitive Note shall bear the following additional legend (“</w:t>
      </w:r>
      <w:r>
        <w:rPr>
          <w:rFonts w:ascii="Times New Roman" w:cs="Times New Roman" w:eastAsia="Times New Roman" w:hAnsi="Times New Roman"/>
          <w:sz w:val="20"/>
          <w:szCs w:val="20"/>
          <w:i w:val="1"/>
          <w:iCs w:val="1"/>
          <w:color w:val="auto"/>
        </w:rPr>
        <w:t>Definitive Notes Legend</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ind w:left="660" w:right="700"/>
        <w:spacing w:after="0" w:line="258" w:lineRule="auto"/>
        <w:rPr>
          <w:sz w:val="20"/>
          <w:szCs w:val="20"/>
          <w:color w:val="auto"/>
        </w:rPr>
      </w:pPr>
      <w:r>
        <w:rPr>
          <w:rFonts w:ascii="Times New Roman" w:cs="Times New Roman" w:eastAsia="Times New Roman" w:hAnsi="Times New Roman"/>
          <w:sz w:val="20"/>
          <w:szCs w:val="20"/>
          <w:color w:val="auto"/>
        </w:rPr>
        <w:t>IN CONNECTION WITH ANY TRANSFER, THE HOLDER WILL DELIVER TO THE REGISTRAR AND TRANSFER AGENT SUCH CERTIFICATES AND OTHER INFORMATION AS SUCH REGISTRAR AND TRANSFER AGENT MAY REASONABLY REQUIRE TO CONFIRM THAT THE TRANSFER COMPLIES WITH THE FOREGOING RESTRICTIONS.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Each Global Note shall bear the following additional legend (“</w:t>
      </w:r>
      <w:r>
        <w:rPr>
          <w:rFonts w:ascii="Times New Roman" w:cs="Times New Roman" w:eastAsia="Times New Roman" w:hAnsi="Times New Roman"/>
          <w:sz w:val="20"/>
          <w:szCs w:val="20"/>
          <w:i w:val="1"/>
          <w:iCs w:val="1"/>
          <w:color w:val="auto"/>
        </w:rPr>
        <w:t>Global Notes Legend</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ind w:left="660" w:right="780"/>
        <w:spacing w:after="0" w:line="266" w:lineRule="auto"/>
        <w:rPr>
          <w:sz w:val="20"/>
          <w:szCs w:val="20"/>
          <w:color w:val="auto"/>
        </w:rPr>
      </w:pPr>
      <w:r>
        <w:rPr>
          <w:rFonts w:ascii="Times New Roman" w:cs="Times New Roman" w:eastAsia="Times New Roman" w:hAnsi="Times New Roman"/>
          <w:sz w:val="19"/>
          <w:szCs w:val="19"/>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69" w:lineRule="exact"/>
        <w:rPr>
          <w:sz w:val="20"/>
          <w:szCs w:val="20"/>
          <w:color w:val="auto"/>
        </w:rPr>
      </w:pPr>
    </w:p>
    <w:p>
      <w:pPr>
        <w:ind w:left="660" w:right="660"/>
        <w:spacing w:after="0" w:line="253" w:lineRule="auto"/>
        <w:rPr>
          <w:sz w:val="20"/>
          <w:szCs w:val="20"/>
          <w:color w:val="auto"/>
        </w:rPr>
      </w:pPr>
      <w:r>
        <w:rPr>
          <w:rFonts w:ascii="Times New Roman" w:cs="Times New Roman" w:eastAsia="Times New Roman" w:hAnsi="Times New Roman"/>
          <w:sz w:val="20"/>
          <w:szCs w:val="20"/>
          <w:color w:val="auto"/>
        </w:rPr>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20"/>
          </w:cols>
          <w:pgMar w:left="320" w:top="1413"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0"/>
          <w:szCs w:val="20"/>
          <w:color w:val="auto"/>
        </w:rPr>
        <w:t>Each Note shall bear the following additional legend (“</w:t>
      </w:r>
      <w:r>
        <w:rPr>
          <w:rFonts w:ascii="Times New Roman" w:cs="Times New Roman" w:eastAsia="Times New Roman" w:hAnsi="Times New Roman"/>
          <w:sz w:val="20"/>
          <w:szCs w:val="20"/>
          <w:i w:val="1"/>
          <w:iCs w:val="1"/>
          <w:color w:val="auto"/>
        </w:rPr>
        <w:t>ERISA Legend</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20"/>
          <w:szCs w:val="20"/>
          <w:color w:val="auto"/>
        </w:rPr>
        <w:t>BY ITS ACQUISITION OF THIS SECURITY (OR ANY INTEREST HEREIN), THE HOLDER HEREOF WILL BE DEEMED TO HAVE REPRESENTED AND WARRANTED THAT EITHER (I) IT IS NOT, AND IS NOT ACTING ON BEHALF OF, AND NO PORTION OF THE ASSETS USED BY SUCH HOLDER TO ACQUIRE OR HOLD THIS SECURITY (OR ANY INTEREST HEREIN) CONSTITUTES THE ASSETS OF (A) AN EMPLOYEE BENEFIT PLAN THAT IS SUBJECT TO TITLE I OF THE U.S. EMPLOYEE RETIREMENT INCOME SECURITY ACT OF 1974, AS AMENDED (“ERISA”), (B) A PLAN, INDIVIDUAL RETIREMENT ACCOUNT OR OTHER ARRANGEMENT THAT IS SUBJECT TO SECTION 4975 OF THE U.S. INTERNAL REVENUE CODE OF 1986, AS AMENDED (THE “CODE”) OR PROVISIONS UNDER ANY OTHER U.S. OR NON-U.S. FEDERAL, STATE, LOCAL OR OTHER LAWS OR REGULATIONS THAT ARE SIMILAR TO SUCH PROVISIONS OF ERISA OR THE CODE (“SIMILAR LAWS”), OR (C) OF AN ENTITY THE UNDERLYING ASSETS OF WHICH ARE CONSIDERED TO INCLUDE “PLAN ASSETS” (WITHIN THE MEANING OF 29 CFR § 2510.3-101 ET SEQ., AS MODIFIED BY SECTION 3(42) OF ERISA OR ANY APPLICABLE SIMILAR LAWS) OF ANY SUCH PLAN, ACCOUNT OR ARRANGEMENT (EACH OF THE FOREGOING DESCRIBED IN CLAUSES (A), (B) OR (C), A “PLAN”), OR (II) THE ACQUISITION, HOLDING, AND SUBSEQUENT DISPOSITION OF THIS SECURITY (OR ANY INTEREST HEREIN) WILL NOT CONSTITUTE OR RESULT IN A NON-EXEMPT PROHIBITED TRANSACTION UNDER SECTION 406 OF ERISA OR SECTION 4975 OF THE CODE OR A VIOLATION UNDER ANY APPLICABLE SIMILAR LAWS.</w:t>
      </w:r>
    </w:p>
    <w:p>
      <w:pPr>
        <w:spacing w:after="0" w:line="160" w:lineRule="exact"/>
        <w:rPr>
          <w:sz w:val="20"/>
          <w:szCs w:val="20"/>
          <w:color w:val="auto"/>
        </w:rPr>
      </w:pPr>
    </w:p>
    <w:p>
      <w:pPr>
        <w:ind w:left="660" w:right="200" w:firstLine="644"/>
        <w:spacing w:after="0" w:line="216" w:lineRule="auto"/>
        <w:tabs>
          <w:tab w:leader="none" w:pos="194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any sale or transfer of a Transfer Restricted Note that is a Definitive Note, the Registrar shall permit the Holder thereof to exchange such Transfer Restricted Note for a Definitive Note that does not bear the Restricted Notes Legend and the Definitive Notes Legend and rescind any restriction on the transfer of such Transfer Restricted Note if the Holder certifies in writing to the Registrar that its request for such exchange is in respect of a transfer made in reliance on Rule 144 (such certification to be in the form set forth on the reverse side of the Form of Note in </w:t>
      </w:r>
      <w:r>
        <w:rPr>
          <w:rFonts w:ascii="Times New Roman" w:cs="Times New Roman" w:eastAsia="Times New Roman" w:hAnsi="Times New Roman"/>
          <w:sz w:val="20"/>
          <w:szCs w:val="20"/>
          <w:i w:val="1"/>
          <w:iCs w:val="1"/>
          <w:color w:val="auto"/>
        </w:rPr>
        <w:t>Exhibit A</w:t>
      </w:r>
      <w:r>
        <w:rPr>
          <w:rFonts w:ascii="Times New Roman" w:cs="Times New Roman" w:eastAsia="Times New Roman" w:hAnsi="Times New Roman"/>
          <w:sz w:val="20"/>
          <w:szCs w:val="20"/>
          <w:color w:val="auto"/>
        </w:rPr>
        <w:t>) and provides such legal opinions, certifications and other information as the Company or the Trustee may reasonably request.</w:t>
      </w:r>
    </w:p>
    <w:p>
      <w:pPr>
        <w:spacing w:after="0" w:line="16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Additional Notes sold in a registered offering shall not be required to bear the Restricted Notes Legend.</w:t>
      </w:r>
    </w:p>
    <w:p>
      <w:pPr>
        <w:spacing w:after="0" w:line="171" w:lineRule="exact"/>
        <w:rPr>
          <w:sz w:val="20"/>
          <w:szCs w:val="20"/>
          <w:color w:val="auto"/>
        </w:rPr>
      </w:pPr>
    </w:p>
    <w:p>
      <w:pPr>
        <w:ind w:right="60" w:firstLine="1304"/>
        <w:spacing w:after="0" w:line="216" w:lineRule="auto"/>
        <w:tabs>
          <w:tab w:leader="none" w:pos="1939"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Cancellation or Adjustment of Global Note</w:t>
      </w:r>
      <w:r>
        <w:rPr>
          <w:rFonts w:ascii="Times New Roman" w:cs="Times New Roman" w:eastAsia="Times New Roman" w:hAnsi="Times New Roman"/>
          <w:sz w:val="20"/>
          <w:szCs w:val="20"/>
          <w:color w:val="auto"/>
        </w:rPr>
        <w:t>. At such time as all beneficial interests in a Global Note have either been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exchanged for Definitive Notes, transferred in exchange for an interest in another Global Note, redeemed, repurchased or canceled, such Global Note shall be returned by the Depositary to the Trustee for cancellation or retained and canceled by the Trustee. At any time prior to such cancellation, if any beneficial interest in a Global Note is exchanged for Definitive Notes, transferred in exchange for an interest in another Global Note, redeemed, repurchased or canceled, the principal amount of Notes represented by such Global Note shall be reduced and an adjustment shall be made on the books and records of the Registrar (if it is then the Custodian for such Global Note) with respect to such Global Note, by the Registrar or the Custodian, to reflect such reduction.</w:t>
      </w:r>
    </w:p>
    <w:p>
      <w:pPr>
        <w:spacing w:after="0" w:line="15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Obligations with Respect to Transfers and Exchanges of Notes</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ind w:left="660" w:right="380" w:firstLine="644"/>
        <w:spacing w:after="0" w:line="233" w:lineRule="auto"/>
        <w:tabs>
          <w:tab w:leader="none" w:pos="194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permit registrations of transfers and exchanges, the Company shall execute and the Trustee shall authenticate, Definitive Notes and Global Notes at the Registrar’s request.</w:t>
      </w:r>
    </w:p>
    <w:p>
      <w:pPr>
        <w:spacing w:after="0" w:line="160" w:lineRule="exact"/>
        <w:rPr>
          <w:rFonts w:ascii="Times New Roman" w:cs="Times New Roman" w:eastAsia="Times New Roman" w:hAnsi="Times New Roman"/>
          <w:sz w:val="20"/>
          <w:szCs w:val="20"/>
          <w:color w:val="auto"/>
        </w:rPr>
      </w:pPr>
    </w:p>
    <w:p>
      <w:pPr>
        <w:ind w:left="660" w:right="340" w:firstLine="644"/>
        <w:spacing w:after="0" w:line="226" w:lineRule="auto"/>
        <w:tabs>
          <w:tab w:leader="none" w:pos="194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service charge shall be imposed in connection with any registration of transfer or exchange, but the Company may require payment of a sum sufficient to cover any transfer tax, assessments, or similar governmental charge payable in connection therewith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09" w:right="339" w:bottom="1440" w:gutter="0" w:footer="0" w:header="0"/>
        </w:sectPr>
      </w:pPr>
    </w:p>
    <w:bookmarkStart w:id="75" w:name="page76"/>
    <w:bookmarkEnd w:id="75"/>
    <w:p>
      <w:pPr>
        <w:ind w:left="660" w:right="260"/>
        <w:spacing w:after="0"/>
        <w:rPr>
          <w:sz w:val="20"/>
          <w:szCs w:val="20"/>
          <w:color w:val="auto"/>
        </w:rPr>
      </w:pPr>
      <w:r>
        <w:rPr>
          <w:rFonts w:ascii="Times New Roman" w:cs="Times New Roman" w:eastAsia="Times New Roman" w:hAnsi="Times New Roman"/>
          <w:sz w:val="20"/>
          <w:szCs w:val="20"/>
          <w:color w:val="auto"/>
        </w:rPr>
        <w:t>than any such transfer taxes, assessments or similar governmental charge payable upon exchanges pursuant to Sections 2.10, 3.06, 3.07 and 9.04 of this Indenture).</w:t>
      </w:r>
    </w:p>
    <w:p>
      <w:pPr>
        <w:spacing w:after="0" w:line="148" w:lineRule="exact"/>
        <w:rPr>
          <w:sz w:val="20"/>
          <w:szCs w:val="20"/>
          <w:color w:val="auto"/>
        </w:rPr>
      </w:pPr>
    </w:p>
    <w:p>
      <w:pPr>
        <w:ind w:left="660" w:right="140" w:firstLine="644"/>
        <w:spacing w:after="0" w:line="220" w:lineRule="auto"/>
        <w:tabs>
          <w:tab w:leader="none" w:pos="1944"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due presentation for registration of transfer of any Note, the Company, the Trustee, the Paying Agent or the Registrar may deem and treat the person in whose name a Note is registered as the absolute owner of such Note for the purpose of receiving payment of principal, premium, if any, and interest on such Note and for all other purposes whatsoever, whether or not such Note is overdue, and none of the Company, the Trustee, the Paying Agent or the Registrar shall be affected by notice to the contrary.</w:t>
      </w:r>
    </w:p>
    <w:p>
      <w:pPr>
        <w:spacing w:after="0" w:line="160" w:lineRule="exact"/>
        <w:rPr>
          <w:rFonts w:ascii="Times New Roman" w:cs="Times New Roman" w:eastAsia="Times New Roman" w:hAnsi="Times New Roman"/>
          <w:sz w:val="20"/>
          <w:szCs w:val="20"/>
          <w:color w:val="auto"/>
        </w:rPr>
      </w:pPr>
    </w:p>
    <w:p>
      <w:pPr>
        <w:ind w:left="660" w:right="140" w:firstLine="644"/>
        <w:spacing w:after="0" w:line="233" w:lineRule="auto"/>
        <w:tabs>
          <w:tab w:leader="none" w:pos="1944"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Notes issued upon any transfer or exchange pursuant to the terms of this Indenture shall evidence the same debt and shall be entitled to the same benefits under this Indenture as the Notes surrendered upon such transfer or exchange.</w:t>
      </w:r>
    </w:p>
    <w:p>
      <w:pPr>
        <w:spacing w:after="0" w:line="160" w:lineRule="exact"/>
        <w:rPr>
          <w:rFonts w:ascii="Times New Roman" w:cs="Times New Roman" w:eastAsia="Times New Roman" w:hAnsi="Times New Roman"/>
          <w:sz w:val="20"/>
          <w:szCs w:val="20"/>
          <w:color w:val="auto"/>
        </w:rPr>
      </w:pPr>
    </w:p>
    <w:p>
      <w:pPr>
        <w:ind w:left="660" w:firstLine="644"/>
        <w:spacing w:after="0" w:line="220" w:lineRule="auto"/>
        <w:tabs>
          <w:tab w:leader="none" w:pos="1944"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order to effect any transfer or exchange of an interest in any Transfer Restricted Note for an interest in a Note that does not bear the Restricted Notes Legend and has not been registered under the Securities Act, if the Registrar so requests or if the Applicable Procedures so require, an Opinion of Counsel, in form reasonably acceptable to the Registrar to the effect that no registration under the Securities Act is required in respect of such exchange or transfer or the re-sale of such interest by the beneficial Holder thereof, shall be required to be delivered to the Registrar and the Trustee.</w:t>
      </w:r>
    </w:p>
    <w:p>
      <w:pPr>
        <w:spacing w:after="0" w:line="143" w:lineRule="exact"/>
        <w:rPr>
          <w:sz w:val="20"/>
          <w:szCs w:val="20"/>
          <w:color w:val="auto"/>
        </w:rPr>
      </w:pPr>
    </w:p>
    <w:p>
      <w:pPr>
        <w:ind w:left="1940" w:hanging="636"/>
        <w:spacing w:after="0"/>
        <w:tabs>
          <w:tab w:leader="none" w:pos="194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Obligation of the Trustee</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ind w:left="660" w:right="20" w:firstLine="644"/>
        <w:spacing w:after="0" w:line="212" w:lineRule="auto"/>
        <w:tabs>
          <w:tab w:leader="none" w:pos="1944"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have no responsibility or obligation to any beneficial owner of a Global Note, a member of, or a participant in the Depositary or any other Person with respect to the accuracy of the records of the Depositary or its nominee or of any participant or member thereof, with respect to any ownership interest in the Notes or with respect to the delivery to any participant, member, beneficial owner or other Person (other than the Depositary) of any notice (including any notice of redemption or repurchase) or the payment of any amount, under or with respect to such Notes. All notices and communications to be given to the Holders and all payments to be made to Holders under the Notes shall be given or made only to the registered Holders (which shall be the Depositary or its nominee in the case of a Global Note). The rights of beneficial owners in any Global Note shall be exercised only through the Depositary subject to the applicable rules and procedures of the Depositary. The Trustee may rely and shall be fully protected in relying upon information furnished by the Depositary with respect to its members, participants and any beneficial owners.</w:t>
      </w:r>
    </w:p>
    <w:p>
      <w:pPr>
        <w:spacing w:after="0" w:line="155" w:lineRule="exact"/>
        <w:rPr>
          <w:rFonts w:ascii="Times New Roman" w:cs="Times New Roman" w:eastAsia="Times New Roman" w:hAnsi="Times New Roman"/>
          <w:sz w:val="20"/>
          <w:szCs w:val="20"/>
          <w:color w:val="auto"/>
        </w:rPr>
      </w:pPr>
    </w:p>
    <w:p>
      <w:pPr>
        <w:ind w:left="660" w:right="140" w:firstLine="644"/>
        <w:spacing w:after="0" w:line="218" w:lineRule="auto"/>
        <w:tabs>
          <w:tab w:leader="none" w:pos="1944"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members or beneficial owners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6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1.4</w:t>
      </w:r>
      <w:r>
        <w:rPr>
          <w:sz w:val="20"/>
          <w:szCs w:val="20"/>
          <w:color w:val="auto"/>
        </w:rPr>
        <w:tab/>
      </w:r>
      <w:r>
        <w:rPr>
          <w:rFonts w:ascii="Times New Roman" w:cs="Times New Roman" w:eastAsia="Times New Roman" w:hAnsi="Times New Roman"/>
          <w:sz w:val="19"/>
          <w:szCs w:val="19"/>
          <w:color w:val="auto"/>
        </w:rPr>
        <w:t>Definitive Notes.</w:t>
      </w:r>
    </w:p>
    <w:p>
      <w:pPr>
        <w:spacing w:after="0" w:line="135" w:lineRule="exact"/>
        <w:rPr>
          <w:sz w:val="20"/>
          <w:szCs w:val="20"/>
          <w:color w:val="auto"/>
        </w:rPr>
      </w:pPr>
    </w:p>
    <w:p>
      <w:pPr>
        <w:ind w:right="20" w:firstLine="1304"/>
        <w:spacing w:after="0" w:line="215" w:lineRule="auto"/>
        <w:tabs>
          <w:tab w:leader="none" w:pos="1934"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Global Note deposited with the Depositary or with the Trustee as Custodian pursuant to Section 1.2 of this Appendix A may be transferred to the beneficial owners thereof in the form of Definitive Notes in an aggregate principal amount equal to the principal amount of such Global Note, in exchange for such Global Note, only if such transfer complies with Section 1.3 of this Appendix A and (i) the Depositary notifies the Company that it is unwilling or unable to continue as a Depositary for such Global Note or if at any time the Depositary ceases to be a “clearing agency” registered under the Exchange Act and, in each case, a successor depositary is not appointed by the Company within 90 days of such notice or after the Company becomes aware of such cessation, (ii) the Company, in its sole discretion, notifies the Trustee in writing that it elects to cause the issuance of Definitive Notes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20"/>
          </w:cols>
          <w:pgMar w:left="320" w:top="1399"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0"/>
          <w:szCs w:val="20"/>
          <w:color w:val="auto"/>
        </w:rPr>
        <w:t>Indenture, or (iii) an Event of Default has occurred and is continuing and the Registrar has received a request from the Depository. In</w:t>
      </w:r>
    </w:p>
    <w:p>
      <w:pPr>
        <w:ind w:right="60"/>
        <w:spacing w:after="0" w:line="215" w:lineRule="auto"/>
        <w:rPr>
          <w:sz w:val="20"/>
          <w:szCs w:val="20"/>
          <w:color w:val="auto"/>
        </w:rPr>
      </w:pPr>
      <w:r>
        <w:rPr>
          <w:rFonts w:ascii="Times New Roman" w:cs="Times New Roman" w:eastAsia="Times New Roman" w:hAnsi="Times New Roman"/>
          <w:sz w:val="19"/>
          <w:szCs w:val="19"/>
          <w:color w:val="auto"/>
        </w:rPr>
        <w:t>addition, any Affiliate of the Company or any Subsidiary Guarantor that is a beneficial owner of all or part of a Global Note may have such Affiliate’s beneficial interest transferred to such Affiliate in the form of a Definitive Note by providing a written request to the Company and</w:t>
      </w:r>
    </w:p>
    <w:p>
      <w:pPr>
        <w:spacing w:after="0"/>
        <w:rPr>
          <w:sz w:val="20"/>
          <w:szCs w:val="20"/>
          <w:color w:val="auto"/>
        </w:rPr>
      </w:pPr>
      <w:r>
        <w:rPr>
          <w:rFonts w:ascii="Times New Roman" w:cs="Times New Roman" w:eastAsia="Times New Roman" w:hAnsi="Times New Roman"/>
          <w:sz w:val="19"/>
          <w:szCs w:val="19"/>
          <w:color w:val="auto"/>
        </w:rPr>
        <w:t>the Trustee and such Opinions of Counsel, certificates or other information as may be required by this Indenture or the Company or Trustee.</w:t>
      </w:r>
    </w:p>
    <w:p>
      <w:pPr>
        <w:spacing w:after="0" w:line="178" w:lineRule="exact"/>
        <w:rPr>
          <w:sz w:val="20"/>
          <w:szCs w:val="20"/>
          <w:color w:val="auto"/>
        </w:rPr>
      </w:pPr>
    </w:p>
    <w:p>
      <w:pPr>
        <w:jc w:val="both"/>
        <w:ind w:firstLine="1304"/>
        <w:spacing w:after="0" w:line="215" w:lineRule="auto"/>
        <w:tabs>
          <w:tab w:leader="none" w:pos="1932"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Global Note that is transferable to the beneficial owners thereof pursuant to this Section 1.4 shall be surrendered by the Depositary to the Trustee, to be so transferred, in whole or from time to time in part, without charge, and the Trustee shall authenticate and deliver, upon such transfer of each portion of such Global Note, an equal aggregate principal amount of Definitive Notes of authorized denominations. Any portion of a Global Note transferred pursuant to this Section 1.4 shall be executed, authenticated and delivered only in denominations of $2,000 and integral multiples of $1,000 in excess thereof and registered in such names as the Depositary shall direct. Any Definitive Note delivered in exchange for an interest in a Global Note that is a Transfer Restricted Note shall, except as otherwise provided by Section 1.3(e) of this Appendix A, bear the Restricted Notes Legend.</w:t>
      </w:r>
    </w:p>
    <w:p>
      <w:pPr>
        <w:spacing w:after="0" w:line="150" w:lineRule="exact"/>
        <w:rPr>
          <w:rFonts w:ascii="Times New Roman" w:cs="Times New Roman" w:eastAsia="Times New Roman" w:hAnsi="Times New Roman"/>
          <w:sz w:val="20"/>
          <w:szCs w:val="20"/>
          <w:color w:val="auto"/>
        </w:rPr>
      </w:pPr>
    </w:p>
    <w:p>
      <w:pPr>
        <w:ind w:right="440" w:firstLine="1304"/>
        <w:spacing w:after="0" w:line="230" w:lineRule="auto"/>
        <w:tabs>
          <w:tab w:leader="none" w:pos="193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registered Holder of a Global Note may grant proxies and otherwise authorize any Person, including Agent Members and Persons that may hold interests through Agent Members, to take any action which a Holder is entitled to take under this Indenture or the Notes.</w:t>
      </w:r>
    </w:p>
    <w:p>
      <w:pPr>
        <w:spacing w:after="0" w:line="148" w:lineRule="exact"/>
        <w:rPr>
          <w:rFonts w:ascii="Times New Roman" w:cs="Times New Roman" w:eastAsia="Times New Roman" w:hAnsi="Times New Roman"/>
          <w:sz w:val="20"/>
          <w:szCs w:val="20"/>
          <w:color w:val="auto"/>
        </w:rPr>
      </w:pPr>
    </w:p>
    <w:p>
      <w:pPr>
        <w:ind w:right="40" w:firstLine="1304"/>
        <w:spacing w:after="0"/>
        <w:tabs>
          <w:tab w:leader="none" w:pos="1932"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the occurrence of any of the events specified in Section 1.4(a) of this Appendix A, the Company shall promptly make available to the Trustee a reasonable supply of Definitive Notes in fully registered form without interest coupons.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20"/>
          </w:cols>
          <w:pgMar w:left="320" w:top="1394" w:right="35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color w:val="auto"/>
        </w:rPr>
        <w:t>[FORM OF FACE OF NOTE]</w:t>
      </w:r>
    </w:p>
    <w:p>
      <w:pPr>
        <w:spacing w:after="0" w:line="202" w:lineRule="exact"/>
        <w:rPr>
          <w:sz w:val="20"/>
          <w:szCs w:val="20"/>
          <w:color w:val="auto"/>
        </w:rPr>
      </w:pPr>
    </w:p>
    <w:p>
      <w:pPr>
        <w:ind w:left="180" w:right="2520"/>
        <w:spacing w:after="0" w:line="494" w:lineRule="auto"/>
        <w:rPr>
          <w:sz w:val="20"/>
          <w:szCs w:val="20"/>
          <w:color w:val="auto"/>
        </w:rPr>
      </w:pPr>
      <w:r>
        <w:rPr>
          <w:rFonts w:ascii="Times New Roman" w:cs="Times New Roman" w:eastAsia="Times New Roman" w:hAnsi="Times New Roman"/>
          <w:sz w:val="19"/>
          <w:szCs w:val="19"/>
          <w:color w:val="auto"/>
        </w:rPr>
        <w:t>[Insert the Restricted Notes Legend, if applicable, pursuant to the provisions of the Indenture] [Insert the Global Notes Legend, if applicable, pursuant to the provisions of the Indenture] [Insert the Definitive Notes Legend, if applicable, pursuant to the provisions of the Indenture] [Insert the ERISA Legend, if applicable, pursuant to the provisions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0120"/>
          </w:cols>
          <w:pgMar w:left="1440" w:top="114"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20"/>
          <w:szCs w:val="20"/>
          <w:color w:val="auto"/>
        </w:rPr>
        <w:t>[Rule 144A Note CUSIP: 384637AC8]</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[Rule 144A Note ISIN: US384637AC88]</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[Regulation S Note CUSIP: U3824RAB1]</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[Regulation S Note ISIN: USU3824RAB16]</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[RULE 144A][REGULATION S] GLOBAL NOTE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5.625% Senior Notes due 2033</w:t>
      </w:r>
    </w:p>
    <w:p>
      <w:pPr>
        <w:spacing w:after="0" w:line="200" w:lineRule="exact"/>
        <w:rPr>
          <w:sz w:val="20"/>
          <w:szCs w:val="20"/>
          <w:color w:val="auto"/>
        </w:rPr>
      </w:pPr>
    </w:p>
    <w:p>
      <w:pPr>
        <w:spacing w:after="0" w:line="230"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0"/>
          <w:szCs w:val="20"/>
          <w:color w:val="auto"/>
        </w:rPr>
        <w:t>No.[RA-1][RS-1]</w:t>
        <w:tab/>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GRAHAM HOLDINGS COMPANY</w:t>
      </w:r>
    </w:p>
    <w:p>
      <w:pPr>
        <w:spacing w:after="0" w:line="200" w:lineRule="exact"/>
        <w:rPr>
          <w:sz w:val="20"/>
          <w:szCs w:val="20"/>
          <w:color w:val="auto"/>
        </w:rPr>
      </w:pPr>
    </w:p>
    <w:p>
      <w:pPr>
        <w:spacing w:after="0" w:line="299"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20"/>
          <w:szCs w:val="20"/>
          <w:color w:val="auto"/>
        </w:rPr>
        <w:t>promises to pay to CEDE &amp; CO. or registered assigns the principal sum set forth on the Schedule of Exchanges of Interests in the Global Note attached hereto of $[●] ([●] Dollars) on December 1, 2033.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Payment Dates: June 1 and December 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Record Dates: May 15 and November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sectPr>
      </w:pPr>
    </w:p>
    <w:bookmarkStart w:id="79" w:name="page80"/>
    <w:bookmarkEnd w:id="79"/>
    <w:p>
      <w:pPr>
        <w:spacing w:after="0" w:line="200" w:lineRule="exact"/>
        <w:rPr>
          <w:sz w:val="20"/>
          <w:szCs w:val="20"/>
          <w:color w:val="auto"/>
        </w:rPr>
      </w:pPr>
    </w:p>
    <w:p>
      <w:pPr>
        <w:spacing w:after="0" w:line="219" w:lineRule="exact"/>
        <w:rPr>
          <w:sz w:val="20"/>
          <w:szCs w:val="20"/>
          <w:color w:val="auto"/>
        </w:rPr>
      </w:pPr>
    </w:p>
    <w:p>
      <w:pPr>
        <w:jc w:val="right"/>
        <w:ind w:right="1979"/>
        <w:spacing w:after="0"/>
        <w:rPr>
          <w:sz w:val="20"/>
          <w:szCs w:val="20"/>
          <w:color w:val="auto"/>
        </w:rPr>
      </w:pPr>
      <w:r>
        <w:rPr>
          <w:rFonts w:ascii="Times New Roman" w:cs="Times New Roman" w:eastAsia="Times New Roman" w:hAnsi="Times New Roman"/>
          <w:sz w:val="20"/>
          <w:szCs w:val="20"/>
          <w:color w:val="auto"/>
        </w:rPr>
        <w:t>IN WITNESS HEREOF, the Company has caused this instrument to be duly executed.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w:t>
      </w:r>
    </w:p>
    <w:p>
      <w:pPr>
        <w:spacing w:after="0" w:line="24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color w:val="auto"/>
        </w:rPr>
        <w:t>GRAHAM HOLDINGS COMPANY</w:t>
      </w:r>
    </w:p>
    <w:p>
      <w:pPr>
        <w:spacing w:after="0" w:line="200" w:lineRule="exact"/>
        <w:rPr>
          <w:sz w:val="20"/>
          <w:szCs w:val="20"/>
          <w:color w:val="auto"/>
        </w:rPr>
      </w:pPr>
    </w:p>
    <w:p>
      <w:pPr>
        <w:spacing w:after="0" w:line="38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40005</wp:posOffset>
            </wp:positionV>
            <wp:extent cx="20999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pacing w:after="0" w:line="4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Name:</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139"/>
          </w:cols>
          <w:pgMar w:left="320" w:top="1440" w:right="1440" w:bottom="1440" w:gutter="0" w:footer="0" w:header="0"/>
        </w:sectPr>
      </w:pPr>
    </w:p>
    <w:bookmarkStart w:id="80" w:name="page81"/>
    <w:bookmarkEnd w:id="80"/>
    <w:p>
      <w:pPr>
        <w:spacing w:after="0" w:line="200" w:lineRule="exact"/>
        <w:rPr>
          <w:sz w:val="20"/>
          <w:szCs w:val="20"/>
          <w:color w:val="auto"/>
        </w:rPr>
      </w:pPr>
    </w:p>
    <w:p>
      <w:pPr>
        <w:spacing w:after="0" w:line="21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9"/>
          <w:szCs w:val="19"/>
          <w:color w:val="auto"/>
        </w:rPr>
        <w:t>CERTIFICATE OF AUTHENTICATION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is one of the Notes referred to in the within-mentioned Indenture: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color w:val="auto"/>
        </w:rPr>
        <w:t>THE BANK OF NEW YORK MELLON</w:t>
      </w:r>
    </w:p>
    <w:p>
      <w:pPr>
        <w:spacing w:after="0" w:line="2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color w:val="auto"/>
        </w:rPr>
        <w:t>TRUST COMPANY, N.A., as Trustee</w:t>
      </w:r>
    </w:p>
    <w:p>
      <w:pPr>
        <w:spacing w:after="0" w:line="200" w:lineRule="exact"/>
        <w:rPr>
          <w:sz w:val="20"/>
          <w:szCs w:val="20"/>
          <w:color w:val="auto"/>
        </w:rPr>
      </w:pPr>
    </w:p>
    <w:p>
      <w:pPr>
        <w:spacing w:after="0" w:line="38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40005</wp:posOffset>
            </wp:positionV>
            <wp:extent cx="20916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4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139"/>
          </w:cols>
          <w:pgMar w:left="320" w:top="1440" w:right="1440" w:bottom="1440" w:gutter="0" w:footer="0" w:header="0"/>
        </w:sectPr>
      </w:pPr>
    </w:p>
    <w:bookmarkStart w:id="81" w:name="page82"/>
    <w:bookmarkEnd w:id="81"/>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[Reverse Side of Note]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5.625% Senior Notes due 2033</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Capitalized terms used herein shall have the meanings assigned to them in the Indenture referred to below unless otherwise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indicated.</w:t>
      </w:r>
    </w:p>
    <w:p>
      <w:pPr>
        <w:spacing w:after="0" w:line="167" w:lineRule="exact"/>
        <w:rPr>
          <w:sz w:val="20"/>
          <w:szCs w:val="20"/>
          <w:color w:val="auto"/>
        </w:rPr>
      </w:pPr>
    </w:p>
    <w:p>
      <w:pPr>
        <w:ind w:firstLine="1304"/>
        <w:spacing w:after="0" w:line="227" w:lineRule="auto"/>
        <w:tabs>
          <w:tab w:leader="none" w:pos="1935"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w:t>
      </w:r>
      <w:r>
        <w:rPr>
          <w:rFonts w:ascii="Arial" w:cs="Arial" w:eastAsia="Arial" w:hAnsi="Arial"/>
          <w:sz w:val="17"/>
          <w:szCs w:val="17"/>
          <w:color w:val="auto"/>
        </w:rPr>
        <w:t>NTEREST. Graham Holdings Company, a Delaware corporation (the “Company”), promises to pay interest on the</w:t>
      </w:r>
      <w:r>
        <w:rPr>
          <w:rFonts w:ascii="Times New Roman" w:cs="Times New Roman" w:eastAsia="Times New Roman" w:hAnsi="Times New Roman"/>
          <w:sz w:val="20"/>
          <w:szCs w:val="20"/>
          <w:color w:val="auto"/>
        </w:rPr>
        <w:t xml:space="preserve"> </w:t>
      </w:r>
      <w:r>
        <w:rPr>
          <w:rFonts w:ascii="Arial" w:cs="Arial" w:eastAsia="Arial" w:hAnsi="Arial"/>
          <w:sz w:val="17"/>
          <w:szCs w:val="17"/>
          <w:color w:val="auto"/>
        </w:rPr>
        <w:t>principal amount of this Note at 5.625% per annum until but excluding maturity. The Company shall pay interest semi-annually in arrears on June 1 and December 1 of each year, or if any such day is not a Business Day, on the next succeeding Business Day (each, an “Interest Payment Date”). Interest on the Notes shall accrue from the most recent date to which interest has been paid or, if no interest has been paid, from and including November 24, 2025; provided that the first Interest Payment Date shall be [●]. The Company shall pay interest (including post-petition interest in any proceeding under any Bankruptcy Law) on overdue principal and premium, if any, from time to time on demand at the interest rate on the Notes to the extent lawful; it shall pay interest (including post-petition interest in any proceeding under any Bankruptcy Law) on overdue installments of interest (without regard to any applicable grace periods) from time to time on demand at the interest rate on the Notes to the extent lawful. Interest shall be computed on the basis of a 360-day year comprised of twelve 30-day months.</w:t>
      </w:r>
    </w:p>
    <w:p>
      <w:pPr>
        <w:spacing w:after="0" w:line="166" w:lineRule="exact"/>
        <w:rPr>
          <w:rFonts w:ascii="Times New Roman" w:cs="Times New Roman" w:eastAsia="Times New Roman" w:hAnsi="Times New Roman"/>
          <w:sz w:val="20"/>
          <w:szCs w:val="20"/>
          <w:color w:val="auto"/>
        </w:rPr>
      </w:pPr>
    </w:p>
    <w:p>
      <w:pPr>
        <w:ind w:right="20" w:firstLine="1304"/>
        <w:spacing w:after="0" w:line="212" w:lineRule="auto"/>
        <w:tabs>
          <w:tab w:leader="none" w:pos="1938"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METHOD OF PAYMENT. The Company shall pay interest on the Notes to the Persons who are registered Holders at the close of business on the May 15 or November 15 (whether or not a Business Day), as the case may be, immediately preceding the related Interest Payment Date, even if such Notes are canceled after such Record Date and on or before such Interest Payment Date, except as provided in Section 2.12 of the Indenture with respect to defaulted interest. Principal, premium, if any, and interest on the Notes shall be payable at the office or agency of the Company maintained for such purpose or, at the option of the Company, payment of interest and premium, if any, may be made by check mailed to the Holders at their respective addresses set forth in the Note Register;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payment by wire transfer of immediately available funds shall be required with respect to principal, premium, if any, and interest on all Global Notes and all other Notes the Holders of which shall have provided wire transfer instructions to the Company or the Paying Agent at least five Business Days prior to the applicable payment date. Such payment shall be in such coin or currency of the United States as at the time of payment is legal tender for payment of public and private debts.</w:t>
      </w:r>
    </w:p>
    <w:p>
      <w:pPr>
        <w:spacing w:after="0" w:line="155" w:lineRule="exact"/>
        <w:rPr>
          <w:rFonts w:ascii="Times New Roman" w:cs="Times New Roman" w:eastAsia="Times New Roman" w:hAnsi="Times New Roman"/>
          <w:sz w:val="20"/>
          <w:szCs w:val="20"/>
          <w:color w:val="auto"/>
        </w:rPr>
      </w:pPr>
    </w:p>
    <w:p>
      <w:pPr>
        <w:ind w:right="120" w:firstLine="1304"/>
        <w:spacing w:after="0" w:line="230" w:lineRule="auto"/>
        <w:tabs>
          <w:tab w:leader="none" w:pos="1938"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PAYING AGENT AND REGISTRAR. Initially, The Bank of New York Mellon Trust Company, N.A., the Trustee under the Indenture, shall act as Paying Agent and Registrar. The Company may change any Paying Agent or Registrar without notice to the Holders. The Company or any of its Subsidiaries may act in any such capacity.</w:t>
      </w:r>
    </w:p>
    <w:p>
      <w:pPr>
        <w:spacing w:after="0" w:line="148" w:lineRule="exact"/>
        <w:rPr>
          <w:rFonts w:ascii="Times New Roman" w:cs="Times New Roman" w:eastAsia="Times New Roman" w:hAnsi="Times New Roman"/>
          <w:sz w:val="20"/>
          <w:szCs w:val="20"/>
          <w:color w:val="auto"/>
        </w:rPr>
      </w:pPr>
    </w:p>
    <w:p>
      <w:pPr>
        <w:ind w:right="20" w:firstLine="1304"/>
        <w:spacing w:after="0" w:line="215" w:lineRule="auto"/>
        <w:tabs>
          <w:tab w:leader="none" w:pos="1935"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INDENTURE. The Company issued the Notes under an Indenture, dated as of November 24, 2025 (as amended or supplemented from time to time, the “</w:t>
      </w:r>
      <w:r>
        <w:rPr>
          <w:rFonts w:ascii="Times New Roman" w:cs="Times New Roman" w:eastAsia="Times New Roman" w:hAnsi="Times New Roman"/>
          <w:sz w:val="20"/>
          <w:szCs w:val="20"/>
          <w:i w:val="1"/>
          <w:iCs w:val="1"/>
          <w:color w:val="auto"/>
        </w:rPr>
        <w:t>Indenture</w:t>
      </w:r>
      <w:r>
        <w:rPr>
          <w:rFonts w:ascii="Times New Roman" w:cs="Times New Roman" w:eastAsia="Times New Roman" w:hAnsi="Times New Roman"/>
          <w:sz w:val="20"/>
          <w:szCs w:val="20"/>
          <w:color w:val="auto"/>
        </w:rPr>
        <w:t>”), among Graham Holdings Company, the Subsidiary Guarantors named therein and the Trustee. This Note is one of a duly authorized issue of Notes of the Company designated as its 5.625% Senior Notes due 2033. The Company shall be entitled to issue Additional Notes pursuant to Section 2.01 of the Indenture. The Notes and any Additional Notes issued under the Indenture shall be treated as a single class of securities under the Indenture. The terms of the Notes include those stated in the Indenture. The Notes are subject to all such terms, and Holders are referred to the Indenture for a statement of such terms. Any term used in this Note that is defined in the Indenture shall have the meaning assigned to it in the Indenture. To the extent any provision of this Note conflicts with the express provisions of the Indenture, the provisions of the Indenture shall govern and be controlling.</w:t>
      </w:r>
    </w:p>
    <w:p>
      <w:pPr>
        <w:spacing w:after="0" w:line="147" w:lineRule="exact"/>
        <w:rPr>
          <w:rFonts w:ascii="Times New Roman" w:cs="Times New Roman" w:eastAsia="Times New Roman" w:hAnsi="Times New Roman"/>
          <w:sz w:val="20"/>
          <w:szCs w:val="20"/>
          <w:color w:val="auto"/>
        </w:rPr>
      </w:pPr>
    </w:p>
    <w:p>
      <w:pPr>
        <w:ind w:right="260" w:firstLine="1304"/>
        <w:spacing w:after="0"/>
        <w:tabs>
          <w:tab w:leader="none" w:pos="194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REDEMPTION AND REPURCHASE. The Notes are subject to optional redemption, and may be the subject of a Change of Control Offer, as further described in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0"/>
          <w:szCs w:val="20"/>
          <w:color w:val="auto"/>
        </w:rPr>
        <w:t>The Company shall not be required to make mandatory redemption or sinking fund payments with respect to the Notes.</w:t>
      </w:r>
    </w:p>
    <w:p>
      <w:pPr>
        <w:spacing w:after="0" w:line="189" w:lineRule="exact"/>
        <w:rPr>
          <w:sz w:val="20"/>
          <w:szCs w:val="20"/>
          <w:color w:val="auto"/>
        </w:rPr>
      </w:pPr>
    </w:p>
    <w:p>
      <w:pPr>
        <w:ind w:right="80" w:firstLine="1304"/>
        <w:spacing w:after="0" w:line="227" w:lineRule="auto"/>
        <w:tabs>
          <w:tab w:leader="none" w:pos="1943"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DENOMINATIONS, TRANSFER, EXCHANGE. The Notes are in registered form without coupons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Holders shall be required to pay any taxes and fees required by law or permitted by the Indenture. The Company need not exchange or register the transfer of any Note or portion of a Note selected for redemption or tendered for repurchase in connection with a Change of Control Offer, except for the unredeemed portion of any Note being redeemed or repurchased in part.</w:t>
      </w:r>
    </w:p>
    <w:p>
      <w:pPr>
        <w:spacing w:after="0" w:line="164" w:lineRule="exact"/>
        <w:rPr>
          <w:rFonts w:ascii="Times New Roman" w:cs="Times New Roman" w:eastAsia="Times New Roman" w:hAnsi="Times New Roman"/>
          <w:sz w:val="19"/>
          <w:szCs w:val="19"/>
          <w:color w:val="auto"/>
        </w:rPr>
      </w:pPr>
    </w:p>
    <w:p>
      <w:pPr>
        <w:ind w:left="1940" w:hanging="636"/>
        <w:spacing w:after="0"/>
        <w:tabs>
          <w:tab w:leader="none" w:pos="194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PERSONS DEEMED OWNERS. The registered Holder of a Note may be treated as its owner for all purposes.</w:t>
      </w:r>
    </w:p>
    <w:p>
      <w:pPr>
        <w:spacing w:after="0" w:line="175" w:lineRule="exact"/>
        <w:rPr>
          <w:rFonts w:ascii="Times New Roman" w:cs="Times New Roman" w:eastAsia="Times New Roman" w:hAnsi="Times New Roman"/>
          <w:sz w:val="20"/>
          <w:szCs w:val="20"/>
          <w:color w:val="auto"/>
        </w:rPr>
      </w:pPr>
    </w:p>
    <w:p>
      <w:pPr>
        <w:ind w:right="320" w:firstLine="1304"/>
        <w:spacing w:after="0"/>
        <w:tabs>
          <w:tab w:leader="none" w:pos="1935"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AMENDMENT, SUPPLEMENT AND WAIVER. The Indenture, the Subsidiary Guarantees or the Notes may be amended or supplemented as provided in the Indenture.</w:t>
      </w:r>
    </w:p>
    <w:p>
      <w:pPr>
        <w:spacing w:after="0" w:line="161" w:lineRule="exact"/>
        <w:rPr>
          <w:rFonts w:ascii="Times New Roman" w:cs="Times New Roman" w:eastAsia="Times New Roman" w:hAnsi="Times New Roman"/>
          <w:sz w:val="20"/>
          <w:szCs w:val="20"/>
          <w:color w:val="auto"/>
        </w:rPr>
      </w:pPr>
    </w:p>
    <w:p>
      <w:pPr>
        <w:ind w:right="20" w:firstLine="1304"/>
        <w:spacing w:after="0" w:line="226" w:lineRule="auto"/>
        <w:tabs>
          <w:tab w:leader="none" w:pos="1939"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DEFAULTS AND REMEDIES. The Events of Default relating to the Notes are defined in Section 6.01 of the Indenture. Upon the occurrence of an Event of Default, the rights and obligations of the Company, the Subsidiary Guarantors, the Trustee and the Holders shall be as set forth in the applicable provisions of the Indenture.</w:t>
      </w:r>
    </w:p>
    <w:p>
      <w:pPr>
        <w:spacing w:after="0" w:line="160" w:lineRule="exact"/>
        <w:rPr>
          <w:rFonts w:ascii="Times New Roman" w:cs="Times New Roman" w:eastAsia="Times New Roman" w:hAnsi="Times New Roman"/>
          <w:sz w:val="20"/>
          <w:szCs w:val="20"/>
          <w:color w:val="auto"/>
        </w:rPr>
      </w:pPr>
    </w:p>
    <w:p>
      <w:pPr>
        <w:ind w:right="100" w:firstLine="1304"/>
        <w:spacing w:after="0" w:line="233" w:lineRule="auto"/>
        <w:tabs>
          <w:tab w:leader="none" w:pos="1937"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AUTHENTICATION. This Note shall not be entitled to any benefit under the Indenture or be valid or obligatory for any purpose until authenticated by the manual signature of the Trustee.</w:t>
      </w:r>
    </w:p>
    <w:p>
      <w:pPr>
        <w:spacing w:after="0" w:line="160" w:lineRule="exact"/>
        <w:rPr>
          <w:rFonts w:ascii="Times New Roman" w:cs="Times New Roman" w:eastAsia="Times New Roman" w:hAnsi="Times New Roman"/>
          <w:sz w:val="20"/>
          <w:szCs w:val="20"/>
          <w:color w:val="auto"/>
        </w:rPr>
      </w:pPr>
    </w:p>
    <w:p>
      <w:pPr>
        <w:ind w:right="200" w:firstLine="1304"/>
        <w:spacing w:after="0"/>
        <w:tabs>
          <w:tab w:leader="none" w:pos="1935"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GOVERNING LAW. THIS NOTE WILL BE GOVERNED BY, AND CONSTRUED IN ACCORDANCE WITH, THE LAWS OF THE STATE OF NEW YORK.</w:t>
      </w:r>
    </w:p>
    <w:p>
      <w:pPr>
        <w:spacing w:after="0" w:line="147" w:lineRule="exact"/>
        <w:rPr>
          <w:rFonts w:ascii="Times New Roman" w:cs="Times New Roman" w:eastAsia="Times New Roman" w:hAnsi="Times New Roman"/>
          <w:sz w:val="20"/>
          <w:szCs w:val="20"/>
          <w:color w:val="auto"/>
        </w:rPr>
      </w:pPr>
    </w:p>
    <w:p>
      <w:pPr>
        <w:ind w:firstLine="1304"/>
        <w:spacing w:after="0" w:line="220" w:lineRule="auto"/>
        <w:tabs>
          <w:tab w:leader="none" w:pos="194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CUSIP AND ISIN NUMBERS. Pursuant to a recommendation promulgated by the Committee on Uniform Security Identification Procedures, the Company has caused CUSIP and ISIN numbers to be printed on the Notes, and the Trustee may use CUSIP and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shall furnish to any Holder upon written request and without charge a copy of the Indenture. Requests may be made to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at the following address:</w:t>
      </w:r>
    </w:p>
    <w:p>
      <w:pPr>
        <w:spacing w:after="0" w:line="18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c/o Graham Holdings Company</w:t>
      </w:r>
    </w:p>
    <w:p>
      <w:pPr>
        <w:spacing w:after="0" w:line="2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1812 North Moore Street, Suite 2100, Arlington, VA 22209</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Fax No.: (703) 345-6545</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Email: Nicole.Maddrey@ghco.com</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Attention: Nicole M. Maddrey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399" w:right="339" w:bottom="1440" w:gutter="0" w:footer="0" w:header="0"/>
        </w:sectPr>
      </w:pPr>
    </w:p>
    <w:bookmarkStart w:id="83" w:name="page84"/>
    <w:bookmarkEnd w:id="83"/>
    <w:p>
      <w:pPr>
        <w:spacing w:after="0" w:line="200" w:lineRule="exact"/>
        <w:rPr>
          <w:sz w:val="20"/>
          <w:szCs w:val="20"/>
          <w:color w:val="auto"/>
        </w:rPr>
      </w:pPr>
    </w:p>
    <w:p>
      <w:pPr>
        <w:spacing w:after="0" w:line="23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ASSIGNMENT FORM</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To assign this Note, fill in the form below:</w:t>
      </w:r>
    </w:p>
    <w:p>
      <w:pPr>
        <w:spacing w:after="0" w:line="202" w:lineRule="exact"/>
        <w:rPr>
          <w:sz w:val="20"/>
          <w:szCs w:val="20"/>
          <w:color w:val="auto"/>
        </w:rPr>
      </w:pPr>
    </w:p>
    <w:p>
      <w:pPr>
        <w:ind w:left="260" w:hanging="252"/>
        <w:spacing w:after="0"/>
        <w:tabs>
          <w:tab w:leader="none" w:pos="26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(we) assign and transfer this Note to: __________________________________________________</w:t>
      </w:r>
    </w:p>
    <w:p>
      <w:pPr>
        <w:spacing w:after="0" w:line="21" w:lineRule="exact"/>
        <w:rPr>
          <w:rFonts w:ascii="Times New Roman" w:cs="Times New Roman" w:eastAsia="Times New Roman" w:hAnsi="Times New Roman"/>
          <w:sz w:val="20"/>
          <w:szCs w:val="20"/>
          <w:color w:val="auto"/>
        </w:rPr>
      </w:pPr>
    </w:p>
    <w:p>
      <w:pPr>
        <w:ind w:left="39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(Insert assignee’s legal name)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_____________________________________________________________________________________</w:t>
      </w:r>
    </w:p>
    <w:p>
      <w:pPr>
        <w:spacing w:after="0" w:line="1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 xml:space="preserve">(Insert assignee’s soc. sec. or tax </w:t>
      </w:r>
      <w:r>
        <w:rPr>
          <w:rFonts w:ascii="Arial" w:cs="Arial" w:eastAsia="Arial" w:hAnsi="Arial"/>
          <w:sz w:val="17"/>
          <w:szCs w:val="17"/>
          <w:color w:val="auto"/>
        </w:rPr>
        <w:t>I</w:t>
      </w:r>
      <w:r>
        <w:rPr>
          <w:rFonts w:ascii="Times New Roman" w:cs="Times New Roman" w:eastAsia="Times New Roman" w:hAnsi="Times New Roman"/>
          <w:sz w:val="20"/>
          <w:szCs w:val="20"/>
          <w:color w:val="auto"/>
        </w:rPr>
        <w:t>.D. no.)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_____________________________________________________________________________________</w:t>
      </w:r>
    </w:p>
    <w:p>
      <w:pPr>
        <w:spacing w:after="0" w:line="13"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color w:val="auto"/>
        </w:rPr>
        <w:t>(Print or type assignee’s name, address and zip code)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irrevocably appoint__________________________________________________________________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transfer this Note on the books of the Company. The agent may substitute another to act for him.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_____________________</w:t>
      </w:r>
    </w:p>
    <w:p>
      <w:pPr>
        <w:spacing w:after="0" w:line="2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Your Signature: _______________________________</w:t>
      </w:r>
    </w:p>
    <w:p>
      <w:pPr>
        <w:spacing w:after="0" w:line="22" w:lineRule="exact"/>
        <w:rPr>
          <w:sz w:val="20"/>
          <w:szCs w:val="20"/>
          <w:color w:val="auto"/>
        </w:rPr>
      </w:pPr>
    </w:p>
    <w:p>
      <w:pPr>
        <w:jc w:val="right"/>
        <w:ind w:right="99"/>
        <w:spacing w:after="0"/>
        <w:rPr>
          <w:sz w:val="20"/>
          <w:szCs w:val="20"/>
          <w:color w:val="auto"/>
        </w:rPr>
      </w:pPr>
      <w:r>
        <w:rPr>
          <w:rFonts w:ascii="Times New Roman" w:cs="Times New Roman" w:eastAsia="Times New Roman" w:hAnsi="Times New Roman"/>
          <w:sz w:val="20"/>
          <w:szCs w:val="20"/>
          <w:color w:val="auto"/>
        </w:rPr>
        <w:t>(Sign exactly as your name appears on the face of this Note)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Guarantee*: __________________________________</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Participant in a recognized Signature Guarantee Medallion Program (or other signature guarantor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0139"/>
          </w:cols>
          <w:pgMar w:left="320" w:top="1440" w:right="1440" w:bottom="1440" w:gutter="0" w:footer="0" w:header="0"/>
        </w:sectPr>
      </w:pPr>
    </w:p>
    <w:bookmarkStart w:id="84" w:name="page85"/>
    <w:bookmarkEnd w:id="84"/>
    <w:p>
      <w:pPr>
        <w:jc w:val="center"/>
        <w:ind w:right="-79"/>
        <w:spacing w:after="0"/>
        <w:rPr>
          <w:sz w:val="20"/>
          <w:szCs w:val="20"/>
          <w:color w:val="auto"/>
        </w:rPr>
      </w:pPr>
      <w:r>
        <w:rPr>
          <w:rFonts w:ascii="Times New Roman" w:cs="Times New Roman" w:eastAsia="Times New Roman" w:hAnsi="Times New Roman"/>
          <w:sz w:val="20"/>
          <w:szCs w:val="20"/>
          <w:color w:val="auto"/>
        </w:rPr>
        <w:t>CERTIFICATE TO BE DELIVERED UPON EXCHANGE OR</w:t>
      </w:r>
    </w:p>
    <w:p>
      <w:pPr>
        <w:spacing w:after="0" w:line="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REGISTRATION OF TRANSFERS OF TRANSFER RESTRICTED NOTES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certificate relates to $_________ aggregate principal amount of Notes held in (check applicable space) ____ book-entry or _____</w:t>
      </w:r>
    </w:p>
    <w:p>
      <w:pPr>
        <w:spacing w:after="0"/>
        <w:rPr>
          <w:sz w:val="20"/>
          <w:szCs w:val="20"/>
          <w:color w:val="auto"/>
        </w:rPr>
      </w:pPr>
      <w:r>
        <w:rPr>
          <w:rFonts w:ascii="Times New Roman" w:cs="Times New Roman" w:eastAsia="Times New Roman" w:hAnsi="Times New Roman"/>
          <w:sz w:val="20"/>
          <w:szCs w:val="20"/>
          <w:color w:val="auto"/>
        </w:rPr>
        <w:t>definitive form by the undersigned.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(check one box below):</w:t>
      </w:r>
    </w:p>
    <w:p>
      <w:pPr>
        <w:spacing w:after="0" w:line="202" w:lineRule="exact"/>
        <w:rPr>
          <w:sz w:val="20"/>
          <w:szCs w:val="20"/>
          <w:color w:val="auto"/>
        </w:rPr>
      </w:pPr>
    </w:p>
    <w:p>
      <w:pPr>
        <w:ind w:left="660" w:right="220" w:hanging="652"/>
        <w:spacing w:after="0" w:line="268" w:lineRule="auto"/>
        <w:tabs>
          <w:tab w:leader="none" w:pos="385" w:val="left"/>
        </w:tabs>
        <w:numPr>
          <w:ilvl w:val="0"/>
          <w:numId w:val="13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has requested the Trustee by written order to deliver in exchange for its beneficial interest in a Global Note held by the Depositary a Note or Notes in definitive, registered form of authorized denominations and an aggregate principal amount equal to its beneficial interest in such Global Note (or the portion thereof indicated above) in accordance with the Indenture; or</w:t>
      </w:r>
    </w:p>
    <w:p>
      <w:pPr>
        <w:spacing w:after="0" w:line="161" w:lineRule="exact"/>
        <w:rPr>
          <w:rFonts w:ascii="MS PGothic" w:cs="MS PGothic" w:eastAsia="MS PGothic" w:hAnsi="MS PGothic"/>
          <w:sz w:val="20"/>
          <w:szCs w:val="20"/>
          <w:color w:val="auto"/>
        </w:rPr>
      </w:pPr>
    </w:p>
    <w:p>
      <w:pPr>
        <w:ind w:left="380" w:hanging="372"/>
        <w:spacing w:after="0"/>
        <w:tabs>
          <w:tab w:leader="none" w:pos="380" w:val="left"/>
        </w:tabs>
        <w:numPr>
          <w:ilvl w:val="0"/>
          <w:numId w:val="13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has requested the Trustee by written order to exchange or register the transfer of a Note or Notes.</w:t>
      </w:r>
    </w:p>
    <w:p>
      <w:pPr>
        <w:spacing w:after="0" w:line="229" w:lineRule="exact"/>
        <w:rPr>
          <w:sz w:val="20"/>
          <w:szCs w:val="20"/>
          <w:color w:val="auto"/>
        </w:rPr>
      </w:pPr>
    </w:p>
    <w:p>
      <w:pPr>
        <w:ind w:right="680"/>
        <w:spacing w:after="0" w:line="269" w:lineRule="auto"/>
        <w:rPr>
          <w:sz w:val="20"/>
          <w:szCs w:val="20"/>
          <w:color w:val="auto"/>
        </w:rPr>
      </w:pPr>
      <w:r>
        <w:rPr>
          <w:rFonts w:ascii="Times New Roman" w:cs="Times New Roman" w:eastAsia="Times New Roman" w:hAnsi="Times New Roman"/>
          <w:sz w:val="20"/>
          <w:szCs w:val="20"/>
          <w:color w:val="auto"/>
        </w:rPr>
        <w:t>In connection with any transfer of any of the Notes evidenced by this certificate, the undersigned confirms that such Notes are being transferred in accordance with its terms: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CHECK ONE BOX BELOW</w:t>
      </w:r>
    </w:p>
    <w:p>
      <w:pPr>
        <w:spacing w:after="0" w:line="157" w:lineRule="exact"/>
        <w:rPr>
          <w:sz w:val="20"/>
          <w:szCs w:val="20"/>
          <w:color w:val="auto"/>
        </w:rPr>
      </w:pPr>
    </w:p>
    <w:p>
      <w:pPr>
        <w:ind w:left="1080" w:hanging="424"/>
        <w:spacing w:after="0" w:line="230" w:lineRule="exact"/>
        <w:tabs>
          <w:tab w:leader="none" w:pos="1080" w:val="left"/>
        </w:tabs>
        <w:numPr>
          <w:ilvl w:val="0"/>
          <w:numId w:val="13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to the Company or subsidiary thereof; or</w:t>
      </w:r>
    </w:p>
    <w:p>
      <w:pPr>
        <w:spacing w:after="0" w:line="215" w:lineRule="exact"/>
        <w:rPr>
          <w:rFonts w:ascii="Times New Roman" w:cs="Times New Roman" w:eastAsia="Times New Roman" w:hAnsi="Times New Roman"/>
          <w:sz w:val="20"/>
          <w:szCs w:val="20"/>
          <w:color w:val="auto"/>
        </w:rPr>
      </w:pPr>
    </w:p>
    <w:p>
      <w:pPr>
        <w:ind w:left="1080" w:hanging="424"/>
        <w:spacing w:after="0" w:line="230" w:lineRule="exact"/>
        <w:tabs>
          <w:tab w:leader="none" w:pos="1080" w:val="left"/>
        </w:tabs>
        <w:numPr>
          <w:ilvl w:val="0"/>
          <w:numId w:val="13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to the Registrar for registration in the name of the Holder, without transfer; or</w:t>
      </w:r>
    </w:p>
    <w:p>
      <w:pPr>
        <w:spacing w:after="0" w:line="229" w:lineRule="exact"/>
        <w:rPr>
          <w:rFonts w:ascii="Times New Roman" w:cs="Times New Roman" w:eastAsia="Times New Roman" w:hAnsi="Times New Roman"/>
          <w:sz w:val="20"/>
          <w:szCs w:val="20"/>
          <w:color w:val="auto"/>
        </w:rPr>
      </w:pPr>
    </w:p>
    <w:p>
      <w:pPr>
        <w:ind w:left="1080" w:hanging="424"/>
        <w:spacing w:after="0" w:line="230" w:lineRule="exact"/>
        <w:tabs>
          <w:tab w:leader="none" w:pos="1080" w:val="left"/>
        </w:tabs>
        <w:numPr>
          <w:ilvl w:val="0"/>
          <w:numId w:val="13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pursuant to an effective registration statement under the Securities Act of 1933, as amended (the “</w:t>
      </w:r>
      <w:r>
        <w:rPr>
          <w:rFonts w:ascii="Times New Roman" w:cs="Times New Roman" w:eastAsia="Times New Roman" w:hAnsi="Times New Roman"/>
          <w:sz w:val="20"/>
          <w:szCs w:val="20"/>
          <w:i w:val="1"/>
          <w:iCs w:val="1"/>
          <w:color w:val="auto"/>
        </w:rPr>
        <w:t>Securities Act</w:t>
      </w:r>
      <w:r>
        <w:rPr>
          <w:rFonts w:ascii="Times New Roman" w:cs="Times New Roman" w:eastAsia="Times New Roman" w:hAnsi="Times New Roman"/>
          <w:sz w:val="20"/>
          <w:szCs w:val="20"/>
          <w:color w:val="auto"/>
        </w:rPr>
        <w:t>”); or</w:t>
      </w:r>
    </w:p>
    <w:p>
      <w:pPr>
        <w:spacing w:after="0" w:line="229" w:lineRule="exact"/>
        <w:rPr>
          <w:rFonts w:ascii="Times New Roman" w:cs="Times New Roman" w:eastAsia="Times New Roman" w:hAnsi="Times New Roman"/>
          <w:sz w:val="20"/>
          <w:szCs w:val="20"/>
          <w:color w:val="auto"/>
        </w:rPr>
      </w:pPr>
    </w:p>
    <w:p>
      <w:pPr>
        <w:ind w:left="1960" w:hanging="1304"/>
        <w:spacing w:after="0" w:line="252" w:lineRule="exact"/>
        <w:tabs>
          <w:tab w:leader="none" w:pos="1092" w:val="left"/>
        </w:tabs>
        <w:numPr>
          <w:ilvl w:val="0"/>
          <w:numId w:val="13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to a Person that the undersigned reasonably believes is a “qualified institutional buyer” (as defined in Rule 144A under the Securities Act (“</w:t>
      </w:r>
      <w:r>
        <w:rPr>
          <w:rFonts w:ascii="Times New Roman" w:cs="Times New Roman" w:eastAsia="Times New Roman" w:hAnsi="Times New Roman"/>
          <w:sz w:val="20"/>
          <w:szCs w:val="20"/>
          <w:i w:val="1"/>
          <w:iCs w:val="1"/>
          <w:color w:val="auto"/>
        </w:rPr>
        <w:t>Rule 144A</w:t>
      </w:r>
      <w:r>
        <w:rPr>
          <w:rFonts w:ascii="Times New Roman" w:cs="Times New Roman" w:eastAsia="Times New Roman" w:hAnsi="Times New Roman"/>
          <w:sz w:val="20"/>
          <w:szCs w:val="20"/>
          <w:color w:val="auto"/>
        </w:rPr>
        <w:t>”)) that purchases for its own account or for the account of a qualified institutional buyer and to whom notice is given that such transfer is being made in reliance on Rule 144A, in each case pursuant to and in compliance with Rule 144A; or</w:t>
      </w:r>
    </w:p>
    <w:p>
      <w:pPr>
        <w:spacing w:after="0" w:line="156" w:lineRule="exact"/>
        <w:rPr>
          <w:rFonts w:ascii="Times New Roman" w:cs="Times New Roman" w:eastAsia="Times New Roman" w:hAnsi="Times New Roman"/>
          <w:sz w:val="20"/>
          <w:szCs w:val="20"/>
          <w:color w:val="auto"/>
        </w:rPr>
      </w:pPr>
    </w:p>
    <w:p>
      <w:pPr>
        <w:ind w:left="1960" w:right="200" w:hanging="1304"/>
        <w:spacing w:after="0" w:line="258" w:lineRule="exact"/>
        <w:tabs>
          <w:tab w:leader="none" w:pos="1092" w:val="left"/>
        </w:tabs>
        <w:numPr>
          <w:ilvl w:val="0"/>
          <w:numId w:val="13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pursuant to offers and sales to non-U.S. persons that occur outside the United States within the meaning of Regulation S under the Securities Act (and if the transfer is being made prior to the expiration of the Distribution Compliance Period, the Notes shall be held immediately thereafter through Euroclear or Clearstream); or</w:t>
      </w:r>
    </w:p>
    <w:p>
      <w:pPr>
        <w:spacing w:after="0" w:line="158" w:lineRule="exact"/>
        <w:rPr>
          <w:rFonts w:ascii="Times New Roman" w:cs="Times New Roman" w:eastAsia="Times New Roman" w:hAnsi="Times New Roman"/>
          <w:sz w:val="20"/>
          <w:szCs w:val="20"/>
          <w:color w:val="auto"/>
        </w:rPr>
      </w:pPr>
    </w:p>
    <w:p>
      <w:pPr>
        <w:ind w:left="1080" w:hanging="424"/>
        <w:spacing w:after="0" w:line="230" w:lineRule="exact"/>
        <w:tabs>
          <w:tab w:leader="none" w:pos="1080" w:val="left"/>
        </w:tabs>
        <w:numPr>
          <w:ilvl w:val="0"/>
          <w:numId w:val="13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pursuant to Rule 144 under the Securities Act; or</w:t>
      </w:r>
    </w:p>
    <w:p>
      <w:pPr>
        <w:spacing w:after="0" w:line="215" w:lineRule="exact"/>
        <w:rPr>
          <w:rFonts w:ascii="Times New Roman" w:cs="Times New Roman" w:eastAsia="Times New Roman" w:hAnsi="Times New Roman"/>
          <w:sz w:val="20"/>
          <w:szCs w:val="20"/>
          <w:color w:val="auto"/>
        </w:rPr>
      </w:pPr>
    </w:p>
    <w:p>
      <w:pPr>
        <w:ind w:left="1080" w:hanging="424"/>
        <w:spacing w:after="0" w:line="230" w:lineRule="exact"/>
        <w:tabs>
          <w:tab w:leader="none" w:pos="1080" w:val="left"/>
        </w:tabs>
        <w:numPr>
          <w:ilvl w:val="0"/>
          <w:numId w:val="13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pursuant to another available exemption from registration under the Securities Act.</w:t>
      </w:r>
    </w:p>
    <w:p>
      <w:pPr>
        <w:spacing w:after="0" w:line="274" w:lineRule="exact"/>
        <w:rPr>
          <w:sz w:val="20"/>
          <w:szCs w:val="20"/>
          <w:color w:val="auto"/>
        </w:rPr>
      </w:pPr>
    </w:p>
    <w:p>
      <w:pPr>
        <w:ind w:left="660" w:right="80"/>
        <w:spacing w:after="0" w:line="253" w:lineRule="auto"/>
        <w:rPr>
          <w:sz w:val="20"/>
          <w:szCs w:val="20"/>
          <w:color w:val="auto"/>
        </w:rPr>
      </w:pPr>
      <w:r>
        <w:rPr>
          <w:rFonts w:ascii="Times New Roman" w:cs="Times New Roman" w:eastAsia="Times New Roman" w:hAnsi="Times New Roman"/>
          <w:sz w:val="20"/>
          <w:szCs w:val="20"/>
          <w:color w:val="auto"/>
        </w:rPr>
        <w:t xml:space="preserve">Unless one of the boxes is checked, the Trustee will refuse to register any of the Notes evidenced by this certificate in the name of any Person other than the registered Holder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box (5), (6), or (7) is checked, the Company or the Trustee may require, prior to registering any such transfer of the Notes, such legal opinions, certifications and other information as the Company or the Trustee has reasonably requested to confirm that such transfer is being made pursuant to an exemption from, or in a transaction not subject to, the registration requirements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160"/>
          </w:cols>
          <w:pgMar w:left="320" w:top="1413" w:right="419" w:bottom="1440" w:gutter="0" w:footer="0" w:header="0"/>
        </w:sectPr>
      </w:pPr>
    </w:p>
    <w:bookmarkStart w:id="85" w:name="page86"/>
    <w:bookmarkEnd w:id="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3500120</wp:posOffset>
            </wp:positionH>
            <wp:positionV relativeFrom="page">
              <wp:posOffset>1220470</wp:posOffset>
            </wp:positionV>
            <wp:extent cx="34715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8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color w:val="auto"/>
        </w:rPr>
        <w:t>Your Signature</w:t>
      </w:r>
    </w:p>
    <w:p>
      <w:pPr>
        <w:spacing w:after="0" w:line="200" w:lineRule="exact"/>
        <w:rPr>
          <w:sz w:val="20"/>
          <w:szCs w:val="20"/>
          <w:color w:val="auto"/>
        </w:rPr>
      </w:pPr>
    </w:p>
    <w:p>
      <w:pPr>
        <w:spacing w:after="0" w:line="32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Date: 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22860</wp:posOffset>
            </wp:positionV>
            <wp:extent cx="34715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color w:val="auto"/>
        </w:rPr>
        <w:t>Signature of Signature</w:t>
      </w:r>
    </w:p>
    <w:p>
      <w:pPr>
        <w:ind w:left="5440"/>
        <w:spacing w:after="0"/>
        <w:rPr>
          <w:sz w:val="20"/>
          <w:szCs w:val="20"/>
          <w:color w:val="auto"/>
        </w:rPr>
      </w:pPr>
      <w:r>
        <w:rPr>
          <w:rFonts w:ascii="Times New Roman" w:cs="Times New Roman" w:eastAsia="Times New Roman" w:hAnsi="Times New Roman"/>
          <w:sz w:val="20"/>
          <w:szCs w:val="20"/>
          <w:color w:val="auto"/>
        </w:rPr>
        <w:t>Subsidiary Guarantor</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TO BE COMPLETED BY PURCHASER IF (4) ABOVE IS CHECKED.</w:t>
      </w:r>
    </w:p>
    <w:p>
      <w:pPr>
        <w:spacing w:after="0" w:line="216"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0"/>
          <w:szCs w:val="20"/>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200" w:lineRule="exact"/>
        <w:rPr>
          <w:sz w:val="20"/>
          <w:szCs w:val="20"/>
          <w:color w:val="auto"/>
        </w:rPr>
      </w:pPr>
    </w:p>
    <w:p>
      <w:pPr>
        <w:spacing w:after="0" w:line="2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Dated: 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22860</wp:posOffset>
            </wp:positionV>
            <wp:extent cx="34715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34" w:lineRule="exact"/>
        <w:rPr>
          <w:sz w:val="20"/>
          <w:szCs w:val="20"/>
          <w:color w:val="auto"/>
        </w:rPr>
      </w:pPr>
    </w:p>
    <w:p>
      <w:pPr>
        <w:jc w:val="right"/>
        <w:ind w:right="3360"/>
        <w:spacing w:after="0"/>
        <w:tabs>
          <w:tab w:leader="none" w:pos="4780" w:val="left"/>
        </w:tabs>
        <w:rPr>
          <w:sz w:val="20"/>
          <w:szCs w:val="20"/>
          <w:color w:val="auto"/>
        </w:rPr>
      </w:pPr>
      <w:r>
        <w:rPr>
          <w:rFonts w:ascii="Times New Roman" w:cs="Times New Roman" w:eastAsia="Times New Roman" w:hAnsi="Times New Roman"/>
          <w:sz w:val="20"/>
          <w:szCs w:val="20"/>
          <w:color w:val="auto"/>
        </w:rPr>
        <w:t>NOTICE:</w:t>
      </w:r>
      <w:r>
        <w:rPr>
          <w:sz w:val="20"/>
          <w:szCs w:val="20"/>
          <w:color w:val="auto"/>
        </w:rPr>
        <w:tab/>
      </w:r>
      <w:r>
        <w:rPr>
          <w:rFonts w:ascii="Times New Roman" w:cs="Times New Roman" w:eastAsia="Times New Roman" w:hAnsi="Times New Roman"/>
          <w:sz w:val="19"/>
          <w:szCs w:val="19"/>
          <w:color w:val="auto"/>
        </w:rPr>
        <w:t>To be executed by</w:t>
      </w:r>
    </w:p>
    <w:p>
      <w:pPr>
        <w:jc w:val="right"/>
        <w:ind w:right="3300"/>
        <w:spacing w:after="0" w:line="233" w:lineRule="auto"/>
        <w:rPr>
          <w:sz w:val="20"/>
          <w:szCs w:val="20"/>
          <w:color w:val="auto"/>
        </w:rPr>
      </w:pPr>
      <w:r>
        <w:rPr>
          <w:rFonts w:ascii="Times New Roman" w:cs="Times New Roman" w:eastAsia="Times New Roman" w:hAnsi="Times New Roman"/>
          <w:sz w:val="20"/>
          <w:szCs w:val="20"/>
          <w:color w:val="auto"/>
        </w:rPr>
        <w:t>an executive officer</w:t>
      </w:r>
    </w:p>
    <w:p>
      <w:pPr>
        <w:ind w:left="5440"/>
        <w:spacing w:after="0" w:line="226" w:lineRule="auto"/>
        <w:rPr>
          <w:sz w:val="20"/>
          <w:szCs w:val="20"/>
          <w:color w:val="auto"/>
        </w:rPr>
      </w:pPr>
      <w:r>
        <w:rPr>
          <w:rFonts w:ascii="Times New Roman" w:cs="Times New Roman" w:eastAsia="Times New Roman" w:hAnsi="Times New Roman"/>
          <w:sz w:val="20"/>
          <w:szCs w:val="20"/>
          <w:color w:val="auto"/>
        </w:rPr>
        <w:t>Name:</w:t>
      </w:r>
    </w:p>
    <w:p>
      <w:pPr>
        <w:jc w:val="center"/>
        <w:ind w:right="-99"/>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Guarantee*: __________________________________</w:t>
      </w:r>
    </w:p>
    <w:p>
      <w:pPr>
        <w:spacing w:after="0" w:line="200" w:lineRule="exact"/>
        <w:rPr>
          <w:sz w:val="20"/>
          <w:szCs w:val="20"/>
          <w:color w:val="auto"/>
        </w:rPr>
      </w:pPr>
    </w:p>
    <w:p>
      <w:pPr>
        <w:spacing w:after="0" w:line="245" w:lineRule="exact"/>
        <w:rPr>
          <w:sz w:val="20"/>
          <w:szCs w:val="20"/>
          <w:color w:val="auto"/>
        </w:rPr>
      </w:pPr>
    </w:p>
    <w:p>
      <w:pPr>
        <w:ind w:left="300" w:hanging="292"/>
        <w:spacing w:after="0"/>
        <w:tabs>
          <w:tab w:leader="none" w:pos="30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in a recognized Signature Guarantee Medallion Program (or other signature guarantor acceptable to the Trustee).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38" w:lineRule="exact"/>
        <w:rPr>
          <w:rFonts w:ascii="Times New Roman" w:cs="Times New Roman" w:eastAsia="Times New Roman" w:hAnsi="Times New Roman"/>
          <w:sz w:val="20"/>
          <w:szCs w:val="20"/>
          <w:color w:val="auto"/>
        </w:rPr>
      </w:pPr>
    </w:p>
    <w:p>
      <w:pPr>
        <w:ind w:left="55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00"/>
          </w:cols>
          <w:pgMar w:left="320" w:top="1440" w:right="379" w:bottom="1440" w:gutter="0" w:footer="0" w:header="0"/>
        </w:sectPr>
      </w:pPr>
    </w:p>
    <w:bookmarkStart w:id="86" w:name="page87"/>
    <w:bookmarkEnd w:id="86"/>
    <w:p>
      <w:pPr>
        <w:spacing w:after="0" w:line="18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0"/>
          <w:szCs w:val="20"/>
          <w:color w:val="auto"/>
        </w:rPr>
        <w:t>TO BE COMPLETED IF THE HOLDER REQUIRES AN EXCHANGE FROM A</w:t>
      </w:r>
    </w:p>
    <w:p>
      <w:pPr>
        <w:spacing w:after="0" w:line="28"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color w:val="auto"/>
        </w:rPr>
        <w:t>REGULATION S GLOBAL NOTE TO AN UNRESTRICTED GLOBAL NOTE,</w:t>
      </w:r>
    </w:p>
    <w:p>
      <w:pPr>
        <w:spacing w:after="0" w:line="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color w:val="auto"/>
        </w:rPr>
        <w:t>PURSUANT TO SECTION 1.3(d)(iii) OF APPENDIX A TO THE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represents and warrants that either:</w:t>
      </w:r>
    </w:p>
    <w:p>
      <w:pPr>
        <w:spacing w:after="0" w:line="202" w:lineRule="exact"/>
        <w:rPr>
          <w:sz w:val="20"/>
          <w:szCs w:val="20"/>
          <w:color w:val="auto"/>
        </w:rPr>
      </w:pPr>
    </w:p>
    <w:p>
      <w:pPr>
        <w:ind w:left="660" w:right="60" w:hanging="652"/>
        <w:spacing w:after="0" w:line="283" w:lineRule="auto"/>
        <w:tabs>
          <w:tab w:leader="none" w:pos="385" w:val="left"/>
        </w:tabs>
        <w:numPr>
          <w:ilvl w:val="0"/>
          <w:numId w:val="134"/>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the undersigned is not a dealer (as defined in the Securities Act) and is a non-U.S. person (within the meaning of Regulation S under the Securities Act); or</w:t>
      </w:r>
    </w:p>
    <w:p>
      <w:pPr>
        <w:spacing w:after="0" w:line="146" w:lineRule="exact"/>
        <w:rPr>
          <w:rFonts w:ascii="MS PGothic" w:cs="MS PGothic" w:eastAsia="MS PGothic" w:hAnsi="MS PGothic"/>
          <w:sz w:val="20"/>
          <w:szCs w:val="20"/>
          <w:color w:val="auto"/>
        </w:rPr>
      </w:pPr>
    </w:p>
    <w:p>
      <w:pPr>
        <w:ind w:left="660" w:hanging="652"/>
        <w:spacing w:after="0" w:line="261" w:lineRule="auto"/>
        <w:tabs>
          <w:tab w:leader="none" w:pos="385" w:val="left"/>
        </w:tabs>
        <w:numPr>
          <w:ilvl w:val="0"/>
          <w:numId w:val="134"/>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the undersigned is not a dealer (as defined in the Securities Act) and is a U.S. person (within the meaning of Regulation S under the Securities Act) who purchased interests in the Notes pursuant to an exemption from, or in a transaction not subject to, the registration requirements under the Securities Act; or</w:t>
      </w:r>
    </w:p>
    <w:p>
      <w:pPr>
        <w:spacing w:after="0" w:line="181" w:lineRule="exact"/>
        <w:rPr>
          <w:rFonts w:ascii="MS PGothic" w:cs="MS PGothic" w:eastAsia="MS PGothic" w:hAnsi="MS PGothic"/>
          <w:sz w:val="20"/>
          <w:szCs w:val="20"/>
          <w:color w:val="auto"/>
        </w:rPr>
      </w:pPr>
    </w:p>
    <w:p>
      <w:pPr>
        <w:ind w:left="660" w:right="500" w:hanging="652"/>
        <w:spacing w:after="0" w:line="283" w:lineRule="auto"/>
        <w:tabs>
          <w:tab w:leader="none" w:pos="385" w:val="left"/>
        </w:tabs>
        <w:numPr>
          <w:ilvl w:val="0"/>
          <w:numId w:val="134"/>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the undersigned is a dealer (as defined in the Securities Act) and the interest of the undersigned in this Note does not constitute the whole or a part of an unsold allotment to or subscription by such dealer for the Notes.</w:t>
      </w:r>
    </w:p>
    <w:p>
      <w:pPr>
        <w:spacing w:after="0" w:line="200" w:lineRule="exact"/>
        <w:rPr>
          <w:sz w:val="20"/>
          <w:szCs w:val="20"/>
          <w:color w:val="auto"/>
        </w:rPr>
      </w:pPr>
    </w:p>
    <w:p>
      <w:pPr>
        <w:spacing w:after="0" w:line="2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Dated: 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22860</wp:posOffset>
            </wp:positionV>
            <wp:extent cx="34715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34"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0"/>
          <w:szCs w:val="20"/>
          <w:color w:val="auto"/>
        </w:rPr>
        <w:t>Your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20"/>
          </w:cols>
          <w:pgMar w:left="320" w:top="1440" w:right="359" w:bottom="1440" w:gutter="0" w:footer="0" w:header="0"/>
        </w:sectPr>
      </w:pPr>
    </w:p>
    <w:bookmarkStart w:id="87" w:name="page88"/>
    <w:bookmarkEnd w:id="87"/>
    <w:p>
      <w:pPr>
        <w:ind w:left="3660"/>
        <w:spacing w:after="0"/>
        <w:rPr>
          <w:sz w:val="20"/>
          <w:szCs w:val="20"/>
          <w:color w:val="auto"/>
        </w:rPr>
      </w:pPr>
      <w:r>
        <w:rPr>
          <w:rFonts w:ascii="Times New Roman" w:cs="Times New Roman" w:eastAsia="Times New Roman" w:hAnsi="Times New Roman"/>
          <w:sz w:val="20"/>
          <w:szCs w:val="20"/>
          <w:color w:val="auto"/>
        </w:rPr>
        <w:t>OPTION OF HOLDER TO ELECT PURCHASE</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If you want to elect to have this Note purchased by the Company pursuant to Section 4.08 of the Indenture, check the box</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below:</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  ] Section 4.08</w:t>
      </w:r>
    </w:p>
    <w:p>
      <w:pPr>
        <w:spacing w:after="0" w:line="229"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20"/>
          <w:szCs w:val="20"/>
          <w:color w:val="auto"/>
        </w:rPr>
        <w:t>If you want to elect to have only part of this Note purchased by the Company pursuant to Section 4.08 of the Indenture, state the amount you elect to have purchased:</w:t>
      </w:r>
    </w:p>
    <w:p>
      <w:pPr>
        <w:spacing w:after="0" w:line="159" w:lineRule="exact"/>
        <w:rPr>
          <w:sz w:val="20"/>
          <w:szCs w:val="20"/>
          <w:color w:val="auto"/>
        </w:rPr>
      </w:pPr>
    </w:p>
    <w:p>
      <w:pPr>
        <w:ind w:left="3240"/>
        <w:spacing w:after="0"/>
        <w:tabs>
          <w:tab w:leader="none" w:pos="5000" w:val="left"/>
        </w:tabs>
        <w:rPr>
          <w:sz w:val="20"/>
          <w:szCs w:val="20"/>
          <w:color w:val="auto"/>
        </w:rPr>
      </w:pPr>
      <w:r>
        <w:rPr>
          <w:rFonts w:ascii="Times New Roman" w:cs="Times New Roman" w:eastAsia="Times New Roman" w:hAnsi="Times New Roman"/>
          <w:sz w:val="20"/>
          <w:szCs w:val="20"/>
          <w:color w:val="auto"/>
        </w:rPr>
        <w:t>$_______________</w:t>
      </w:r>
      <w:r>
        <w:rPr>
          <w:sz w:val="20"/>
          <w:szCs w:val="20"/>
          <w:color w:val="auto"/>
        </w:rPr>
        <w:tab/>
      </w:r>
      <w:r>
        <w:rPr>
          <w:rFonts w:ascii="Times New Roman" w:cs="Times New Roman" w:eastAsia="Times New Roman" w:hAnsi="Times New Roman"/>
          <w:sz w:val="19"/>
          <w:szCs w:val="19"/>
          <w:color w:val="auto"/>
        </w:rPr>
        <w:t>(integral multiples of $1,000,</w:t>
      </w:r>
    </w:p>
    <w:p>
      <w:pPr>
        <w:spacing w:after="0" w:line="2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the unpurchased</w:t>
      </w:r>
    </w:p>
    <w:p>
      <w:pPr>
        <w:spacing w:after="0" w:line="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portion must be in a minimum</w:t>
      </w:r>
    </w:p>
    <w:p>
      <w:pPr>
        <w:spacing w:after="0" w:line="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principal amount of $2,000)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_____________________</w:t>
      </w:r>
    </w:p>
    <w:p>
      <w:pPr>
        <w:spacing w:after="0" w:line="20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Your Signature: _______________________________</w:t>
      </w:r>
    </w:p>
    <w:p>
      <w:pPr>
        <w:spacing w:after="0" w:line="2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color w:val="auto"/>
        </w:rPr>
        <w:t>(Sign exactly as your name appears on the face of this Note)</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Tax Identification No.: __________________________</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Guarantee*: __________________________________</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Participant in a recognized Signature Guarantee Medallion Program (or other signature guarantor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160"/>
          </w:cols>
          <w:pgMar w:left="320" w:top="1413" w:right="41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20"/>
          <w:szCs w:val="20"/>
          <w:color w:val="auto"/>
        </w:rPr>
        <w:t>SCHEDULE OF EXCHANGES OF INTERESTS IN THE GLOBAL NOTE*</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The initial outstanding principal amount of this Global Note is $__________. The following exchanges of a part of this</w:t>
      </w:r>
    </w:p>
    <w:p>
      <w:pPr>
        <w:spacing w:after="0" w:line="2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Global Note for an interest in another Global Note or for a Definitive Note, or exchanges of a part of another Global Note or Definitive Note for an interest in this Global Note, have been made: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9"/>
              </w:rPr>
              <w:t>Principal Amount</w:t>
            </w:r>
          </w:p>
        </w:tc>
        <w:tc>
          <w:tcPr>
            <w:tcW w:w="2420" w:type="dxa"/>
            <w:vAlign w:val="bottom"/>
          </w:tcPr>
          <w:p>
            <w:pPr>
              <w:spacing w:after="0"/>
              <w:rPr>
                <w:sz w:val="19"/>
                <w:szCs w:val="19"/>
                <w:color w:val="auto"/>
              </w:rPr>
            </w:pPr>
          </w:p>
        </w:tc>
      </w:tr>
      <w:tr>
        <w:trPr>
          <w:trHeight w:val="216"/>
        </w:trPr>
        <w:tc>
          <w:tcPr>
            <w:tcW w:w="23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80" w:type="dxa"/>
            <w:vAlign w:val="bottom"/>
          </w:tcPr>
          <w:p>
            <w:pPr>
              <w:jc w:val="center"/>
              <w:ind w:right="21"/>
              <w:spacing w:after="0" w:line="216" w:lineRule="exact"/>
              <w:rPr>
                <w:sz w:val="20"/>
                <w:szCs w:val="20"/>
                <w:color w:val="auto"/>
              </w:rPr>
            </w:pPr>
            <w:r>
              <w:rPr>
                <w:rFonts w:ascii="Times New Roman" w:cs="Times New Roman" w:eastAsia="Times New Roman" w:hAnsi="Times New Roman"/>
                <w:sz w:val="20"/>
                <w:szCs w:val="20"/>
                <w:color w:val="auto"/>
                <w:w w:val="95"/>
              </w:rPr>
              <w:t>of</w:t>
            </w:r>
          </w:p>
        </w:tc>
        <w:tc>
          <w:tcPr>
            <w:tcW w:w="24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72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Amount of increase</w:t>
            </w:r>
          </w:p>
        </w:tc>
        <w:tc>
          <w:tcPr>
            <w:tcW w:w="1680" w:type="dxa"/>
            <w:vAlign w:val="bottom"/>
          </w:tcPr>
          <w:p>
            <w:pPr>
              <w:jc w:val="center"/>
              <w:ind w:right="1"/>
              <w:spacing w:after="0" w:line="216" w:lineRule="exact"/>
              <w:rPr>
                <w:sz w:val="20"/>
                <w:szCs w:val="20"/>
                <w:color w:val="auto"/>
              </w:rPr>
            </w:pPr>
            <w:r>
              <w:rPr>
                <w:rFonts w:ascii="Times New Roman" w:cs="Times New Roman" w:eastAsia="Times New Roman" w:hAnsi="Times New Roman"/>
                <w:sz w:val="20"/>
                <w:szCs w:val="20"/>
                <w:color w:val="auto"/>
                <w:w w:val="98"/>
              </w:rPr>
              <w:t>this Global Note</w:t>
            </w:r>
          </w:p>
        </w:tc>
        <w:tc>
          <w:tcPr>
            <w:tcW w:w="24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120" w:type="dxa"/>
            <w:vAlign w:val="bottom"/>
          </w:tcPr>
          <w:p>
            <w:pPr>
              <w:jc w:val="center"/>
              <w:ind w:left="141"/>
              <w:spacing w:after="0" w:line="216" w:lineRule="exact"/>
              <w:rPr>
                <w:sz w:val="20"/>
                <w:szCs w:val="20"/>
                <w:color w:val="auto"/>
              </w:rPr>
            </w:pPr>
            <w:r>
              <w:rPr>
                <w:rFonts w:ascii="Times New Roman" w:cs="Times New Roman" w:eastAsia="Times New Roman" w:hAnsi="Times New Roman"/>
                <w:sz w:val="20"/>
                <w:szCs w:val="20"/>
                <w:color w:val="auto"/>
                <w:w w:val="99"/>
              </w:rPr>
              <w:t>Amount of decrease</w:t>
            </w:r>
          </w:p>
        </w:tc>
        <w:tc>
          <w:tcPr>
            <w:tcW w:w="172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in Principal</w:t>
            </w:r>
          </w:p>
        </w:tc>
        <w:tc>
          <w:tcPr>
            <w:tcW w:w="1680" w:type="dxa"/>
            <w:vAlign w:val="bottom"/>
          </w:tcPr>
          <w:p>
            <w:pPr>
              <w:jc w:val="center"/>
              <w:ind w:right="1"/>
              <w:spacing w:after="0" w:line="216" w:lineRule="exact"/>
              <w:rPr>
                <w:sz w:val="20"/>
                <w:szCs w:val="20"/>
                <w:color w:val="auto"/>
              </w:rPr>
            </w:pPr>
            <w:r>
              <w:rPr>
                <w:rFonts w:ascii="Times New Roman" w:cs="Times New Roman" w:eastAsia="Times New Roman" w:hAnsi="Times New Roman"/>
                <w:sz w:val="20"/>
                <w:szCs w:val="20"/>
                <w:color w:val="auto"/>
                <w:w w:val="98"/>
              </w:rPr>
              <w:t>following such</w:t>
            </w:r>
          </w:p>
        </w:tc>
        <w:tc>
          <w:tcPr>
            <w:tcW w:w="242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Signature of authorized</w:t>
            </w:r>
          </w:p>
        </w:tc>
      </w:tr>
      <w:tr>
        <w:trPr>
          <w:trHeight w:val="216"/>
        </w:trPr>
        <w:tc>
          <w:tcPr>
            <w:tcW w:w="2300" w:type="dxa"/>
            <w:vAlign w:val="bottom"/>
          </w:tcPr>
          <w:p>
            <w:pPr>
              <w:spacing w:after="0"/>
              <w:rPr>
                <w:sz w:val="18"/>
                <w:szCs w:val="18"/>
                <w:color w:val="auto"/>
              </w:rPr>
            </w:pPr>
          </w:p>
        </w:tc>
        <w:tc>
          <w:tcPr>
            <w:tcW w:w="3120" w:type="dxa"/>
            <w:vAlign w:val="bottom"/>
          </w:tcPr>
          <w:p>
            <w:pPr>
              <w:jc w:val="center"/>
              <w:ind w:left="141"/>
              <w:spacing w:after="0" w:line="216" w:lineRule="exact"/>
              <w:rPr>
                <w:sz w:val="20"/>
                <w:szCs w:val="20"/>
                <w:color w:val="auto"/>
              </w:rPr>
            </w:pPr>
            <w:r>
              <w:rPr>
                <w:rFonts w:ascii="Times New Roman" w:cs="Times New Roman" w:eastAsia="Times New Roman" w:hAnsi="Times New Roman"/>
                <w:sz w:val="20"/>
                <w:szCs w:val="20"/>
                <w:color w:val="auto"/>
                <w:w w:val="99"/>
              </w:rPr>
              <w:t>in Principal Amount of this Global</w:t>
            </w:r>
          </w:p>
        </w:tc>
        <w:tc>
          <w:tcPr>
            <w:tcW w:w="172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Amount of this</w:t>
            </w:r>
          </w:p>
        </w:tc>
        <w:tc>
          <w:tcPr>
            <w:tcW w:w="1680" w:type="dxa"/>
            <w:vAlign w:val="bottom"/>
          </w:tcPr>
          <w:p>
            <w:pPr>
              <w:jc w:val="center"/>
              <w:ind w:right="1"/>
              <w:spacing w:after="0" w:line="216" w:lineRule="exact"/>
              <w:rPr>
                <w:sz w:val="20"/>
                <w:szCs w:val="20"/>
                <w:color w:val="auto"/>
              </w:rPr>
            </w:pPr>
            <w:r>
              <w:rPr>
                <w:rFonts w:ascii="Times New Roman" w:cs="Times New Roman" w:eastAsia="Times New Roman" w:hAnsi="Times New Roman"/>
                <w:sz w:val="20"/>
                <w:szCs w:val="20"/>
                <w:color w:val="auto"/>
                <w:w w:val="99"/>
              </w:rPr>
              <w:t>decrease or</w:t>
            </w:r>
          </w:p>
        </w:tc>
        <w:tc>
          <w:tcPr>
            <w:tcW w:w="242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color w:val="auto"/>
                <w:w w:val="97"/>
              </w:rPr>
              <w:t>signatory of Trustee,</w:t>
            </w:r>
          </w:p>
        </w:tc>
      </w:tr>
      <w:tr>
        <w:trPr>
          <w:trHeight w:val="276"/>
        </w:trPr>
        <w:tc>
          <w:tcPr>
            <w:tcW w:w="23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20"/>
                <w:szCs w:val="20"/>
                <w:color w:val="auto"/>
              </w:rPr>
              <w:t>Date of Exchange</w:t>
            </w:r>
          </w:p>
        </w:tc>
        <w:tc>
          <w:tcPr>
            <w:tcW w:w="3120" w:type="dxa"/>
            <w:vAlign w:val="bottom"/>
            <w:tcBorders>
              <w:bottom w:val="single" w:sz="8" w:color="auto"/>
            </w:tcBorders>
          </w:tcPr>
          <w:p>
            <w:pPr>
              <w:jc w:val="center"/>
              <w:ind w:left="161"/>
              <w:spacing w:after="0"/>
              <w:rPr>
                <w:sz w:val="20"/>
                <w:szCs w:val="20"/>
                <w:color w:val="auto"/>
              </w:rPr>
            </w:pPr>
            <w:r>
              <w:rPr>
                <w:rFonts w:ascii="Times New Roman" w:cs="Times New Roman" w:eastAsia="Times New Roman" w:hAnsi="Times New Roman"/>
                <w:sz w:val="20"/>
                <w:szCs w:val="20"/>
                <w:color w:val="auto"/>
                <w:w w:val="97"/>
              </w:rPr>
              <w:t>Note</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Global Note</w:t>
            </w:r>
          </w:p>
        </w:tc>
        <w:tc>
          <w:tcPr>
            <w:tcW w:w="168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20"/>
                <w:szCs w:val="20"/>
                <w:color w:val="auto"/>
                <w:w w:val="97"/>
              </w:rPr>
              <w:t>increase</w:t>
            </w: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Depositary or Custodian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schedule should be included only if the Note is issued in global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13"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SUPPLEMENTAL INDENTURE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TO BE DELIVERED BY SUBSEQUENT GUARANTORS</w:t>
      </w:r>
    </w:p>
    <w:p>
      <w:pPr>
        <w:spacing w:after="0" w:line="183" w:lineRule="exact"/>
        <w:rPr>
          <w:sz w:val="20"/>
          <w:szCs w:val="20"/>
          <w:color w:val="auto"/>
        </w:rPr>
      </w:pPr>
    </w:p>
    <w:p>
      <w:pPr>
        <w:ind w:right="40" w:firstLine="1296"/>
        <w:spacing w:after="0" w:line="263" w:lineRule="auto"/>
        <w:rPr>
          <w:sz w:val="20"/>
          <w:szCs w:val="20"/>
          <w:color w:val="auto"/>
        </w:rPr>
      </w:pPr>
      <w:r>
        <w:rPr>
          <w:rFonts w:ascii="Times New Roman" w:cs="Times New Roman" w:eastAsia="Times New Roman" w:hAnsi="Times New Roman"/>
          <w:sz w:val="20"/>
          <w:szCs w:val="20"/>
          <w:color w:val="auto"/>
        </w:rPr>
        <w:t>Supplemental Indenture (this “</w:t>
      </w:r>
      <w:r>
        <w:rPr>
          <w:rFonts w:ascii="Times New Roman" w:cs="Times New Roman" w:eastAsia="Times New Roman" w:hAnsi="Times New Roman"/>
          <w:sz w:val="20"/>
          <w:szCs w:val="20"/>
          <w:i w:val="1"/>
          <w:iCs w:val="1"/>
          <w:color w:val="auto"/>
        </w:rPr>
        <w:t>Supplemental Indenture</w:t>
      </w:r>
      <w:r>
        <w:rPr>
          <w:rFonts w:ascii="Times New Roman" w:cs="Times New Roman" w:eastAsia="Times New Roman" w:hAnsi="Times New Roman"/>
          <w:sz w:val="20"/>
          <w:szCs w:val="20"/>
          <w:color w:val="auto"/>
        </w:rPr>
        <w:t>”), dated as of [•], 20[•], among [•] (the “</w:t>
      </w:r>
      <w:r>
        <w:rPr>
          <w:rFonts w:ascii="Times New Roman" w:cs="Times New Roman" w:eastAsia="Times New Roman" w:hAnsi="Times New Roman"/>
          <w:sz w:val="20"/>
          <w:szCs w:val="20"/>
          <w:i w:val="1"/>
          <w:iCs w:val="1"/>
          <w:color w:val="auto"/>
        </w:rPr>
        <w:t>Guaranteeing Subsidiary</w:t>
      </w:r>
      <w:r>
        <w:rPr>
          <w:rFonts w:ascii="Times New Roman" w:cs="Times New Roman" w:eastAsia="Times New Roman" w:hAnsi="Times New Roman"/>
          <w:sz w:val="20"/>
          <w:szCs w:val="20"/>
          <w:color w:val="auto"/>
        </w:rPr>
        <w:t>”), a subsidiary of Graham Holdings Company, a Delaware corporation (the “</w:t>
      </w:r>
      <w:r>
        <w:rPr>
          <w:rFonts w:ascii="Times New Roman" w:cs="Times New Roman" w:eastAsia="Times New Roman" w:hAnsi="Times New Roman"/>
          <w:sz w:val="20"/>
          <w:szCs w:val="20"/>
          <w:i w:val="1"/>
          <w:iCs w:val="1"/>
          <w:color w:val="auto"/>
        </w:rPr>
        <w:t>Company</w:t>
      </w:r>
      <w:r>
        <w:rPr>
          <w:rFonts w:ascii="Times New Roman" w:cs="Times New Roman" w:eastAsia="Times New Roman" w:hAnsi="Times New Roman"/>
          <w:sz w:val="20"/>
          <w:szCs w:val="20"/>
          <w:color w:val="auto"/>
        </w:rPr>
        <w:t>”), and The Bank of New York Mellon Trust Company, N.A., as trustee (the “</w:t>
      </w:r>
      <w:r>
        <w:rPr>
          <w:rFonts w:ascii="Times New Roman" w:cs="Times New Roman" w:eastAsia="Times New Roman" w:hAnsi="Times New Roman"/>
          <w:sz w:val="20"/>
          <w:szCs w:val="20"/>
          <w:i w:val="1"/>
          <w:iCs w:val="1"/>
          <w:color w:val="auto"/>
        </w:rPr>
        <w:t>Trustee</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 I T N E S S E T H</w:t>
      </w:r>
    </w:p>
    <w:p>
      <w:pPr>
        <w:spacing w:after="0" w:line="216"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20"/>
          <w:szCs w:val="20"/>
          <w:color w:val="auto"/>
        </w:rPr>
        <w:t>WHEREAS, each of the Company and the Subsidiary Guarantors (as defined in the Indenture referred to below) has heretofore executed and delivered to the Trustee an indenture (the “</w:t>
      </w:r>
      <w:r>
        <w:rPr>
          <w:rFonts w:ascii="Times New Roman" w:cs="Times New Roman" w:eastAsia="Times New Roman" w:hAnsi="Times New Roman"/>
          <w:sz w:val="20"/>
          <w:szCs w:val="20"/>
          <w:i w:val="1"/>
          <w:iCs w:val="1"/>
          <w:color w:val="auto"/>
        </w:rPr>
        <w:t>Indenture</w:t>
      </w:r>
      <w:r>
        <w:rPr>
          <w:rFonts w:ascii="Times New Roman" w:cs="Times New Roman" w:eastAsia="Times New Roman" w:hAnsi="Times New Roman"/>
          <w:sz w:val="20"/>
          <w:szCs w:val="20"/>
          <w:color w:val="auto"/>
        </w:rPr>
        <w:t>”), dated as of November 24, 2025 providing for the issuance of an unlimited aggregate principal amount of 5.625% Senior Notes due 2033 (the “</w:t>
      </w:r>
      <w:r>
        <w:rPr>
          <w:rFonts w:ascii="Times New Roman" w:cs="Times New Roman" w:eastAsia="Times New Roman" w:hAnsi="Times New Roman"/>
          <w:sz w:val="20"/>
          <w:szCs w:val="20"/>
          <w:i w:val="1"/>
          <w:iCs w:val="1"/>
          <w:color w:val="auto"/>
        </w:rPr>
        <w:t>Notes</w:t>
      </w:r>
      <w:r>
        <w:rPr>
          <w:rFonts w:ascii="Times New Roman" w:cs="Times New Roman" w:eastAsia="Times New Roman" w:hAnsi="Times New Roman"/>
          <w:sz w:val="20"/>
          <w:szCs w:val="20"/>
          <w:color w:val="auto"/>
        </w:rPr>
        <w:t>”);</w:t>
      </w:r>
    </w:p>
    <w:p>
      <w:pPr>
        <w:spacing w:after="0" w:line="154"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20"/>
          <w:szCs w:val="20"/>
          <w:color w:val="auto"/>
        </w:rPr>
        <w:t>WHEREAS, the Indenture provides that under certain circumstances the Guaranteeing Subsidiary shall execute and deliver to the Trustee a supplemental indenture pursuant to which the Guaranteeing Subsidiary shall unconditionally Guarantee all of the Company’s Obligations under the Notes and the Indenture on the terms and conditions set forth herein and under the Indenture; and</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WHEREAS, pursuant to Section 9.01 of the Indenture, the Trustee is authorized to execute and deliver this Supplemental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Indenture.</w:t>
      </w:r>
    </w:p>
    <w:p>
      <w:pPr>
        <w:spacing w:after="0" w:line="187" w:lineRule="exact"/>
        <w:rPr>
          <w:sz w:val="20"/>
          <w:szCs w:val="20"/>
          <w:color w:val="auto"/>
        </w:rPr>
      </w:pPr>
    </w:p>
    <w:p>
      <w:pPr>
        <w:ind w:right="40" w:firstLine="1296"/>
        <w:spacing w:after="0" w:line="283" w:lineRule="auto"/>
        <w:rPr>
          <w:sz w:val="20"/>
          <w:szCs w:val="20"/>
          <w:color w:val="auto"/>
        </w:rPr>
      </w:pPr>
      <w:r>
        <w:rPr>
          <w:rFonts w:ascii="Times New Roman" w:cs="Times New Roman" w:eastAsia="Times New Roman" w:hAnsi="Times New Roman"/>
          <w:sz w:val="20"/>
          <w:szCs w:val="20"/>
          <w:color w:val="auto"/>
        </w:rPr>
        <w:t>NOW THEREFORE, in consideration of the foregoing and for other good and valuable consideration, the receipt of which is hereby acknowledged, the parties mutually covenant and agree for the equal and ratable benefit of the Holders as follows:</w:t>
      </w:r>
    </w:p>
    <w:p>
      <w:pPr>
        <w:spacing w:after="0" w:line="114" w:lineRule="exact"/>
        <w:rPr>
          <w:sz w:val="20"/>
          <w:szCs w:val="20"/>
          <w:color w:val="auto"/>
        </w:rPr>
      </w:pPr>
    </w:p>
    <w:p>
      <w:pPr>
        <w:ind w:left="1940" w:hanging="636"/>
        <w:spacing w:after="0"/>
        <w:tabs>
          <w:tab w:leader="none" w:pos="194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Capitalized Terms</w:t>
      </w:r>
      <w:r>
        <w:rPr>
          <w:rFonts w:ascii="Times New Roman" w:cs="Times New Roman" w:eastAsia="Times New Roman" w:hAnsi="Times New Roman"/>
          <w:sz w:val="20"/>
          <w:szCs w:val="20"/>
          <w:color w:val="auto"/>
        </w:rPr>
        <w:t>. Capitalized terms used herein without definition shall have the meanings assigned to them in the</w:t>
      </w:r>
    </w:p>
    <w:p>
      <w:pPr>
        <w:spacing w:after="0"/>
        <w:rPr>
          <w:sz w:val="20"/>
          <w:szCs w:val="20"/>
          <w:color w:val="auto"/>
        </w:rPr>
      </w:pPr>
      <w:r>
        <w:rPr>
          <w:rFonts w:ascii="Times New Roman" w:cs="Times New Roman" w:eastAsia="Times New Roman" w:hAnsi="Times New Roman"/>
          <w:sz w:val="20"/>
          <w:szCs w:val="20"/>
          <w:color w:val="auto"/>
        </w:rPr>
        <w:t>Indenture.</w:t>
      </w:r>
    </w:p>
    <w:p>
      <w:pPr>
        <w:spacing w:after="0" w:line="153" w:lineRule="exact"/>
        <w:rPr>
          <w:sz w:val="20"/>
          <w:szCs w:val="20"/>
          <w:color w:val="auto"/>
        </w:rPr>
      </w:pPr>
    </w:p>
    <w:p>
      <w:pPr>
        <w:ind w:right="120" w:firstLine="1304"/>
        <w:spacing w:after="0"/>
        <w:tabs>
          <w:tab w:leader="none" w:pos="1938"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Subsidiary Guarantor</w:t>
      </w:r>
      <w:r>
        <w:rPr>
          <w:rFonts w:ascii="Times New Roman" w:cs="Times New Roman" w:eastAsia="Times New Roman" w:hAnsi="Times New Roman"/>
          <w:sz w:val="20"/>
          <w:szCs w:val="20"/>
          <w:color w:val="auto"/>
        </w:rPr>
        <w:t>. The Guaranteeing Subsidiary hereby agrees to be a Subsidiary Guarantor under the Indenture and to be bound by the terms of the Indenture applicable to Subsidiary Guarantors, including Article 10 thereof.</w:t>
      </w:r>
    </w:p>
    <w:p>
      <w:pPr>
        <w:spacing w:after="0" w:line="161" w:lineRule="exact"/>
        <w:rPr>
          <w:rFonts w:ascii="Times New Roman" w:cs="Times New Roman" w:eastAsia="Times New Roman" w:hAnsi="Times New Roman"/>
          <w:sz w:val="20"/>
          <w:szCs w:val="20"/>
          <w:color w:val="auto"/>
        </w:rPr>
      </w:pPr>
    </w:p>
    <w:p>
      <w:pPr>
        <w:ind w:right="440" w:firstLine="1304"/>
        <w:spacing w:after="0" w:line="233" w:lineRule="auto"/>
        <w:tabs>
          <w:tab w:leader="none" w:pos="1938"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SUPPLEMENTAL INDENTURE WILL BE GOVERNED BY, AND CONSTRUED IN ACCORDANCE WITH, THE LAWS OF THE STATE OF NEW YORK.</w:t>
      </w:r>
    </w:p>
    <w:p>
      <w:pPr>
        <w:spacing w:after="0" w:line="160" w:lineRule="exact"/>
        <w:rPr>
          <w:rFonts w:ascii="Times New Roman" w:cs="Times New Roman" w:eastAsia="Times New Roman" w:hAnsi="Times New Roman"/>
          <w:sz w:val="20"/>
          <w:szCs w:val="20"/>
          <w:color w:val="auto"/>
        </w:rPr>
      </w:pPr>
    </w:p>
    <w:p>
      <w:pPr>
        <w:ind w:right="300" w:firstLine="1304"/>
        <w:spacing w:after="0" w:line="220" w:lineRule="auto"/>
        <w:tabs>
          <w:tab w:leader="none" w:pos="1935"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OF THE GUARANTEEING SUBSIDIARY AND THE TRUSTEE HEREBY IRREVOCABLY WAIVES, TO THE FULLEST EXTENT PERMITTED BY APPLICABLE LAW, ANY AND ALL RIGHT TO TRIAL BY JURY IN ANY LEGAL PROCEEDING ARISING OUT OF OR RELATING TO THIS SUPPLEMENTAL INDENTURE, THE INDENTURE, THE NOTES, THE SUBSIDIARY GUARANTEES OR THE TRANSACTIONS CONTEMPLATED HEREBY OR THEREBY.</w:t>
      </w:r>
    </w:p>
    <w:p>
      <w:pPr>
        <w:spacing w:after="0" w:line="147" w:lineRule="exact"/>
        <w:rPr>
          <w:rFonts w:ascii="Times New Roman" w:cs="Times New Roman" w:eastAsia="Times New Roman" w:hAnsi="Times New Roman"/>
          <w:sz w:val="20"/>
          <w:szCs w:val="20"/>
          <w:color w:val="auto"/>
        </w:rPr>
      </w:pPr>
    </w:p>
    <w:p>
      <w:pPr>
        <w:ind w:right="80" w:firstLine="1304"/>
        <w:spacing w:after="0" w:line="218" w:lineRule="auto"/>
        <w:tabs>
          <w:tab w:leader="none" w:pos="194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Supplemental Indenture may be executed in one or more counterparts, all of which shall be considered one and the same agreement and shall become effective when one or more counterparts have been signed by each of the parties hereto and delivered to each of the other parties hereto. Delivery of an executed counterpart of a signature page to this Supplemental Indenture by telecopier, email or other electronic transmission (i.e., “pdf” or “tif”) shall be effective as delivery of a manually executed counterpart of this Supplemental Indenture. The words “execution,” “signed,” “signature,” “delivery,” and words of like import in or relating to this Supplemental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B-1</w:t>
      </w:r>
    </w:p>
    <w:p>
      <w:pPr>
        <w:sectPr>
          <w:pgSz w:w="11900" w:h="16838" w:orient="portrait"/>
          <w:cols w:equalWidth="0" w:num="1">
            <w:col w:w="11240"/>
          </w:cols>
          <w:pgMar w:left="320" w:top="11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9"/>
          <w:szCs w:val="19"/>
          <w:color w:val="auto"/>
        </w:rPr>
        <w:t>or any document to be signed in connection with this Supplemental Indenture shall be deemed to include electronic signatures, deliveries or</w:t>
      </w:r>
    </w:p>
    <w:p>
      <w:pPr>
        <w:spacing w:after="0" w:line="6" w:lineRule="exact"/>
        <w:rPr>
          <w:sz w:val="20"/>
          <w:szCs w:val="20"/>
          <w:color w:val="auto"/>
        </w:rPr>
      </w:pPr>
    </w:p>
    <w:p>
      <w:pPr>
        <w:ind w:right="80"/>
        <w:spacing w:after="0" w:line="215" w:lineRule="auto"/>
        <w:rPr>
          <w:sz w:val="20"/>
          <w:szCs w:val="20"/>
          <w:color w:val="auto"/>
        </w:rPr>
      </w:pPr>
      <w:r>
        <w:rPr>
          <w:rFonts w:ascii="Times New Roman" w:cs="Times New Roman" w:eastAsia="Times New Roman" w:hAnsi="Times New Roman"/>
          <w:sz w:val="19"/>
          <w:szCs w:val="19"/>
          <w:color w:val="auto"/>
        </w:rPr>
        <w:t>the keeping of records in electronic form, each of which shall be of the same legal effect, validity or enforceability as a manually executed signature, physical delivery thereof or the use of a paper-based recordkeeping system, as the case may be, and the parties hereto consent to</w:t>
      </w:r>
    </w:p>
    <w:p>
      <w:pPr>
        <w:spacing w:after="0"/>
        <w:rPr>
          <w:sz w:val="20"/>
          <w:szCs w:val="20"/>
          <w:color w:val="auto"/>
        </w:rPr>
      </w:pPr>
      <w:r>
        <w:rPr>
          <w:rFonts w:ascii="Times New Roman" w:cs="Times New Roman" w:eastAsia="Times New Roman" w:hAnsi="Times New Roman"/>
          <w:sz w:val="20"/>
          <w:szCs w:val="20"/>
          <w:color w:val="auto"/>
        </w:rPr>
        <w:t>conduct the transactions contemplated hereunder by electronic means.</w:t>
      </w:r>
    </w:p>
    <w:p>
      <w:pPr>
        <w:spacing w:after="0" w:line="167" w:lineRule="exact"/>
        <w:rPr>
          <w:sz w:val="20"/>
          <w:szCs w:val="20"/>
          <w:color w:val="auto"/>
        </w:rPr>
      </w:pPr>
    </w:p>
    <w:p>
      <w:pPr>
        <w:jc w:val="both"/>
        <w:ind w:right="380" w:firstLine="1304"/>
        <w:spacing w:after="0" w:line="226" w:lineRule="auto"/>
        <w:tabs>
          <w:tab w:leader="none" w:pos="1943"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of the Sections of this Supplemental Indenture have been inserted for convenience of reference only, are not to be considered a part of this Supplemental Indenture and shall in no way modify or restrict any of the terms or provisions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B-2</w:t>
      </w:r>
    </w:p>
    <w:p>
      <w:pPr>
        <w:sectPr>
          <w:pgSz w:w="11900" w:h="16838" w:orient="portrait"/>
          <w:cols w:equalWidth="0" w:num="1">
            <w:col w:w="11060"/>
          </w:cols>
          <w:pgMar w:left="320" w:top="1399" w:right="519" w:bottom="1440" w:gutter="0" w:footer="0" w:header="0"/>
        </w:sectPr>
      </w:pPr>
    </w:p>
    <w:bookmarkStart w:id="91" w:name="page92"/>
    <w:bookmarkEnd w:id="91"/>
    <w:p>
      <w:pPr>
        <w:ind w:firstLine="1296"/>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Supplemental Indenture to be duly executed, all as of the date first above written.</w:t>
      </w:r>
    </w:p>
    <w:p>
      <w:pPr>
        <w:spacing w:after="0" w:line="200" w:lineRule="exact"/>
        <w:rPr>
          <w:sz w:val="20"/>
          <w:szCs w:val="20"/>
          <w:color w:val="auto"/>
        </w:rPr>
      </w:pPr>
    </w:p>
    <w:p>
      <w:pPr>
        <w:spacing w:after="0" w:line="23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color w:val="auto"/>
        </w:rPr>
        <w:t>[NAME OF GUARANTEEING</w:t>
      </w:r>
    </w:p>
    <w:p>
      <w:pPr>
        <w:spacing w:after="0" w:line="2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color w:val="auto"/>
        </w:rPr>
        <w:t>SUBSIDIARY]</w:t>
      </w:r>
    </w:p>
    <w:p>
      <w:pPr>
        <w:spacing w:after="0" w:line="200" w:lineRule="exact"/>
        <w:rPr>
          <w:sz w:val="20"/>
          <w:szCs w:val="20"/>
          <w:color w:val="auto"/>
        </w:rPr>
      </w:pPr>
    </w:p>
    <w:p>
      <w:pPr>
        <w:spacing w:after="0" w:line="38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40005</wp:posOffset>
            </wp:positionV>
            <wp:extent cx="20999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4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Name:</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color w:val="auto"/>
        </w:rPr>
        <w:t>THE BANK OF NEW YORK MELLON</w:t>
      </w:r>
    </w:p>
    <w:p>
      <w:pPr>
        <w:ind w:left="3960"/>
        <w:spacing w:after="0"/>
        <w:rPr>
          <w:sz w:val="20"/>
          <w:szCs w:val="20"/>
          <w:color w:val="auto"/>
        </w:rPr>
      </w:pPr>
      <w:r>
        <w:rPr>
          <w:rFonts w:ascii="Times New Roman" w:cs="Times New Roman" w:eastAsia="Times New Roman" w:hAnsi="Times New Roman"/>
          <w:sz w:val="20"/>
          <w:szCs w:val="20"/>
          <w:color w:val="auto"/>
        </w:rPr>
        <w:t>TRUST COMPANY, N.A., as Trustee</w:t>
      </w:r>
    </w:p>
    <w:p>
      <w:pPr>
        <w:spacing w:after="0" w:line="200" w:lineRule="exact"/>
        <w:rPr>
          <w:sz w:val="20"/>
          <w:szCs w:val="20"/>
          <w:color w:val="auto"/>
        </w:rPr>
      </w:pPr>
    </w:p>
    <w:p>
      <w:pPr>
        <w:spacing w:after="0" w:line="35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40005</wp:posOffset>
            </wp:positionV>
            <wp:extent cx="20999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4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Name:</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B-3</w:t>
      </w:r>
    </w:p>
    <w:p>
      <w:pPr>
        <w:sectPr>
          <w:pgSz w:w="11900" w:h="16838" w:orient="portrait"/>
          <w:cols w:equalWidth="0" w:num="1">
            <w:col w:w="11160"/>
          </w:cols>
          <w:pgMar w:left="320" w:top="1413" w:right="419" w:bottom="1440" w:gutter="0" w:footer="0" w:header="0"/>
        </w:sectPr>
      </w:pPr>
    </w:p>
    <w:bookmarkStart w:id="92" w:name="page93"/>
    <w:bookmarkEnd w:id="92"/>
    <w:p>
      <w:pPr>
        <w:ind w:left="10120"/>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AND RESTATEMENT AGREEMENT</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THIS AMENDMENT AND RESTATEMENT AGREEMENT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dated as of November 24, 2025, is by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among </w:t>
      </w:r>
      <w:r>
        <w:rPr>
          <w:rFonts w:ascii="Times New Roman" w:cs="Times New Roman" w:eastAsia="Times New Roman" w:hAnsi="Times New Roman"/>
          <w:sz w:val="20"/>
          <w:szCs w:val="20"/>
          <w:b w:val="1"/>
          <w:bCs w:val="1"/>
          <w:color w:val="auto"/>
        </w:rPr>
        <w:t>GRAHAM HOLDINGS COMPANY</w:t>
      </w:r>
      <w:r>
        <w:rPr>
          <w:rFonts w:ascii="Times New Roman" w:cs="Times New Roman" w:eastAsia="Times New Roman" w:hAnsi="Times New Roman"/>
          <w:sz w:val="20"/>
          <w:szCs w:val="20"/>
          <w:color w:val="auto"/>
        </w:rPr>
        <w:t>,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the Foreign Borrowers party hereto (the “</w:t>
      </w:r>
      <w:r>
        <w:rPr>
          <w:rFonts w:ascii="Times New Roman" w:cs="Times New Roman" w:eastAsia="Times New Roman" w:hAnsi="Times New Roman"/>
          <w:sz w:val="20"/>
          <w:szCs w:val="20"/>
          <w:u w:val="single" w:color="auto"/>
          <w:color w:val="auto"/>
        </w:rPr>
        <w:t>Foreign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GHC One CSI, LLC, a Delaware limited liability company (the “</w:t>
      </w:r>
      <w:r>
        <w:rPr>
          <w:rFonts w:ascii="Times New Roman" w:cs="Times New Roman" w:eastAsia="Times New Roman" w:hAnsi="Times New Roman"/>
          <w:sz w:val="20"/>
          <w:szCs w:val="20"/>
          <w:u w:val="single" w:color="auto"/>
          <w:color w:val="auto"/>
        </w:rPr>
        <w:t>New Guarantor</w:t>
      </w:r>
      <w:r>
        <w:rPr>
          <w:rFonts w:ascii="Times New Roman" w:cs="Times New Roman" w:eastAsia="Times New Roman" w:hAnsi="Times New Roman"/>
          <w:sz w:val="20"/>
          <w:szCs w:val="20"/>
          <w:color w:val="auto"/>
        </w:rPr>
        <w:t xml:space="preserve">”), the Guarantors party hereto (including the New Guarantor), the Lenders party hereto, the Issuing Lenders party hereto and </w:t>
      </w:r>
      <w:r>
        <w:rPr>
          <w:rFonts w:ascii="Times New Roman" w:cs="Times New Roman" w:eastAsia="Times New Roman" w:hAnsi="Times New Roman"/>
          <w:sz w:val="20"/>
          <w:szCs w:val="20"/>
          <w:b w:val="1"/>
          <w:bCs w:val="1"/>
          <w:color w:val="auto"/>
        </w:rPr>
        <w:t>WELLS FARGO BANK, NATIONAL ASSOCIATION</w:t>
      </w:r>
      <w:r>
        <w:rPr>
          <w:rFonts w:ascii="Times New Roman" w:cs="Times New Roman" w:eastAsia="Times New Roman" w:hAnsi="Times New Roman"/>
          <w:sz w:val="20"/>
          <w:szCs w:val="20"/>
          <w:color w:val="auto"/>
        </w:rPr>
        <w:t>, as administrative agent on behalf of the Lenders (in such capacity,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as a Lender. Capitalized terms used herein and not otherwise defined herein shall have the meanings ascribed thereto in the Credit Agreement (as hereinafter defined).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 I T N E S S E T H</w:t>
      </w:r>
    </w:p>
    <w:p>
      <w:pPr>
        <w:spacing w:after="0" w:line="25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Company, the Foreign Borrowers, certain banks and financial institutions from time to time party thereto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Existing Lenders</w:t>
      </w:r>
      <w:r>
        <w:rPr>
          <w:rFonts w:ascii="Times New Roman" w:cs="Times New Roman" w:eastAsia="Times New Roman" w:hAnsi="Times New Roman"/>
          <w:sz w:val="19"/>
          <w:szCs w:val="19"/>
          <w:color w:val="auto"/>
        </w:rPr>
        <w:t>”) and the Administrative Agent are parties to that certain Second Amended and Restated Five Year Credit Agreement, dated as of May 3, 2022 (as amended by that certain First Amendment to Second Amended and Restated Five Year Credit Agreement, dated as of July 28, 2023, and as further amended, restated, amended and restated, extended, replaced, supplemented or otherwise modified prior to the date hereof, the “</w:t>
      </w:r>
      <w:r>
        <w:rPr>
          <w:rFonts w:ascii="Times New Roman" w:cs="Times New Roman" w:eastAsia="Times New Roman" w:hAnsi="Times New Roman"/>
          <w:sz w:val="19"/>
          <w:szCs w:val="19"/>
          <w:u w:val="single" w:color="auto"/>
          <w:color w:val="auto"/>
        </w:rPr>
        <w:t>Existing Credit Agreement</w:t>
      </w:r>
      <w:r>
        <w:rPr>
          <w:rFonts w:ascii="Times New Roman" w:cs="Times New Roman" w:eastAsia="Times New Roman" w:hAnsi="Times New Roman"/>
          <w:sz w:val="19"/>
          <w:szCs w:val="19"/>
          <w:color w:val="auto"/>
        </w:rPr>
        <w:t>”, and as amended and restated by the terms of this Amendment, the “</w:t>
      </w: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w:t>
      </w:r>
    </w:p>
    <w:p>
      <w:pPr>
        <w:spacing w:after="0" w:line="19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Credit Parties desire to amend and restate the Existing Credit Agreement to, among other things, (i) terminate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replace all of the outstanding Revolving Commitments thereunder (the “</w:t>
      </w:r>
      <w:r>
        <w:rPr>
          <w:rFonts w:ascii="Times New Roman" w:cs="Times New Roman" w:eastAsia="Times New Roman" w:hAnsi="Times New Roman"/>
          <w:sz w:val="20"/>
          <w:szCs w:val="20"/>
          <w:u w:val="single" w:color="auto"/>
          <w:color w:val="auto"/>
        </w:rPr>
        <w:t>Existing Revolving Commitments</w:t>
      </w:r>
      <w:r>
        <w:rPr>
          <w:rFonts w:ascii="Times New Roman" w:cs="Times New Roman" w:eastAsia="Times New Roman" w:hAnsi="Times New Roman"/>
          <w:sz w:val="20"/>
          <w:szCs w:val="20"/>
          <w:color w:val="auto"/>
        </w:rPr>
        <w:t>”; the advances (if any) in respect thereof outstanding immediately prior to the Restatement Effective Date (as defined below), the “</w:t>
      </w:r>
      <w:r>
        <w:rPr>
          <w:rFonts w:ascii="Times New Roman" w:cs="Times New Roman" w:eastAsia="Times New Roman" w:hAnsi="Times New Roman"/>
          <w:sz w:val="20"/>
          <w:szCs w:val="20"/>
          <w:u w:val="single" w:color="auto"/>
          <w:color w:val="auto"/>
        </w:rPr>
        <w:t>Existing Revolving Advances</w:t>
      </w:r>
      <w:r>
        <w:rPr>
          <w:rFonts w:ascii="Times New Roman" w:cs="Times New Roman" w:eastAsia="Times New Roman" w:hAnsi="Times New Roman"/>
          <w:sz w:val="20"/>
          <w:szCs w:val="20"/>
          <w:color w:val="auto"/>
        </w:rPr>
        <w:t>”) with a new revolving credit facility in an aggregate principal amount of $400,000,000 by obtaining new revolving commitments (the “</w:t>
      </w:r>
      <w:r>
        <w:rPr>
          <w:rFonts w:ascii="Times New Roman" w:cs="Times New Roman" w:eastAsia="Times New Roman" w:hAnsi="Times New Roman"/>
          <w:sz w:val="20"/>
          <w:szCs w:val="20"/>
          <w:u w:val="single" w:color="auto"/>
          <w:color w:val="auto"/>
        </w:rPr>
        <w:t>New Revolving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Commitments</w:t>
      </w:r>
      <w:r>
        <w:rPr>
          <w:rFonts w:ascii="Times New Roman" w:cs="Times New Roman" w:eastAsia="Times New Roman" w:hAnsi="Times New Roman"/>
          <w:sz w:val="20"/>
          <w:szCs w:val="20"/>
          <w:color w:val="auto"/>
        </w:rPr>
        <w:t>” and the advances in respect thereof, the “</w:t>
      </w:r>
      <w:r>
        <w:rPr>
          <w:rFonts w:ascii="Times New Roman" w:cs="Times New Roman" w:eastAsia="Times New Roman" w:hAnsi="Times New Roman"/>
          <w:sz w:val="20"/>
          <w:szCs w:val="20"/>
          <w:u w:val="single" w:color="auto"/>
          <w:color w:val="auto"/>
        </w:rPr>
        <w:t>New Revolving Advances</w:t>
      </w:r>
      <w:r>
        <w:rPr>
          <w:rFonts w:ascii="Times New Roman" w:cs="Times New Roman" w:eastAsia="Times New Roman" w:hAnsi="Times New Roman"/>
          <w:sz w:val="20"/>
          <w:szCs w:val="20"/>
          <w:color w:val="auto"/>
        </w:rPr>
        <w:t>”), with a maturity date of five years from the Restatement Effective Date and subject to the terms and conditions set forth herein and in the Credit Agreement and (ii) increase the L/C Sublimit to $40,000,000;</w:t>
      </w:r>
    </w:p>
    <w:p>
      <w:pPr>
        <w:spacing w:after="0" w:line="21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each Person party hereto whose name is set forth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hereto (individually, a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and collectively,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xml:space="preserve">”) hereby agrees, subject to the terms and conditions of this Amendment and the Credit Agreement, (i) to the terms of this Amendment and the Credit Agreement and (ii) to provide a New Revolving Commitment to the Borrowers on the Restatement Effective Date in an aggregate amount set forth opposite its name under the heading “Revolving Commitment” on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hereto and to make New Revolving Advances in respect thereof from time to time in an amount not to exceed its New Revolving Commitment subject to the terms and conditions set forth herein and in the Credit Agreement;</w:t>
      </w:r>
    </w:p>
    <w:p>
      <w:pPr>
        <w:spacing w:after="0" w:line="200"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Lenders and Issuing Lenders (consisting of all of the Existing Lenders and Issuing Lenders under the Existing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Credit Agreement) are willing to amend and restate the Existing Credit Agreement, in accordance with and subject to the terms and conditions set forth herein; and</w:t>
      </w:r>
    </w:p>
    <w:p>
      <w:pPr>
        <w:spacing w:after="0" w:line="182"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prior to, or substantially concurrently with, the effectiveness of this Amendment, the Company will issue senior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unsecured notes in an aggregate principal amount of $500,000,000 (the “</w:t>
      </w:r>
      <w:r>
        <w:rPr>
          <w:rFonts w:ascii="Times New Roman" w:cs="Times New Roman" w:eastAsia="Times New Roman" w:hAnsi="Times New Roman"/>
          <w:sz w:val="20"/>
          <w:szCs w:val="20"/>
          <w:u w:val="single" w:color="auto"/>
          <w:color w:val="auto"/>
        </w:rPr>
        <w:t>Notes Offering</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agreements hereinafter set forth, and for other good and valuable consideration,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receipt and adequacy of which are hereby acknowledged, the parties hereto agree as follows:</w:t>
      </w:r>
    </w:p>
    <w:p>
      <w:pPr>
        <w:sectPr>
          <w:pgSz w:w="11900" w:h="16838" w:orient="portrait"/>
          <w:cols w:equalWidth="0" w:num="1">
            <w:col w:w="11240"/>
          </w:cols>
          <w:pgMar w:left="320" w:top="114" w:right="339" w:bottom="1440" w:gutter="0" w:footer="0" w:header="0"/>
        </w:sectPr>
      </w:pPr>
    </w:p>
    <w:bookmarkStart w:id="93" w:name="page94"/>
    <w:bookmarkEnd w:id="93"/>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AMENDMENTS TO CREDIT AGREEMENT</w:t>
      </w:r>
    </w:p>
    <w:p>
      <w:pPr>
        <w:spacing w:after="0" w:line="22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1.1 </w:t>
      </w:r>
      <w:r>
        <w:rPr>
          <w:rFonts w:ascii="Times New Roman" w:cs="Times New Roman" w:eastAsia="Times New Roman" w:hAnsi="Times New Roman"/>
          <w:sz w:val="20"/>
          <w:szCs w:val="20"/>
          <w:b w:val="1"/>
          <w:bCs w:val="1"/>
          <w:u w:val="single" w:color="auto"/>
          <w:color w:val="auto"/>
        </w:rPr>
        <w:t>Credit Agreement</w:t>
      </w:r>
      <w:r>
        <w:rPr>
          <w:rFonts w:ascii="Times New Roman" w:cs="Times New Roman" w:eastAsia="Times New Roman" w:hAnsi="Times New Roman"/>
          <w:sz w:val="20"/>
          <w:szCs w:val="20"/>
          <w:color w:val="auto"/>
        </w:rPr>
        <w:t>. In reliance on the representations, warranties, covenants and agreements contained in this Amendment,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subject to the satisfaction of the conditions to effectiveness set forth in Article III hereof, the parties hereto agree that, effective as of the Restatement Effective Date (as defined below), the Existing Credit Agreement is hereby amended and restated to be as set forth in the Credit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1.2 </w:t>
      </w:r>
      <w:r>
        <w:rPr>
          <w:rFonts w:ascii="Times New Roman" w:cs="Times New Roman" w:eastAsia="Times New Roman" w:hAnsi="Times New Roman"/>
          <w:sz w:val="20"/>
          <w:szCs w:val="20"/>
          <w:b w:val="1"/>
          <w:bCs w:val="1"/>
          <w:u w:val="single" w:color="auto"/>
          <w:color w:val="auto"/>
        </w:rPr>
        <w:t>Schedules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of the Schedules to the Existing Credit Agreement are hereby replaced in their entirety with the corresponding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Schedules set out on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w:t>
      </w:r>
    </w:p>
    <w:p>
      <w:pPr>
        <w:spacing w:after="0" w:line="19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1.3 </w:t>
      </w:r>
      <w:r>
        <w:rPr>
          <w:rFonts w:ascii="Times New Roman" w:cs="Times New Roman" w:eastAsia="Times New Roman" w:hAnsi="Times New Roman"/>
          <w:sz w:val="20"/>
          <w:szCs w:val="20"/>
          <w:b w:val="1"/>
          <w:bCs w:val="1"/>
          <w:u w:val="single" w:color="auto"/>
          <w:color w:val="auto"/>
        </w:rPr>
        <w:t>Exhibits</w:t>
      </w:r>
      <w:r>
        <w:rPr>
          <w:rFonts w:ascii="Times New Roman" w:cs="Times New Roman" w:eastAsia="Times New Roman" w:hAnsi="Times New Roman"/>
          <w:sz w:val="20"/>
          <w:szCs w:val="20"/>
          <w:color w:val="auto"/>
        </w:rPr>
        <w:t>. Each of the Exhibits to the Existing Credit Agreement are hereby amended and restated in their entirety, in each case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 the forms set out on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hereto.</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COMMITMENTS</w:t>
      </w:r>
    </w:p>
    <w:p>
      <w:pPr>
        <w:spacing w:after="0" w:line="22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2.1</w:t>
      </w:r>
      <w:r>
        <w:rPr>
          <w:sz w:val="20"/>
          <w:szCs w:val="20"/>
          <w:color w:val="auto"/>
        </w:rPr>
        <w:tab/>
      </w:r>
      <w:r>
        <w:rPr>
          <w:rFonts w:ascii="Times New Roman" w:cs="Times New Roman" w:eastAsia="Times New Roman" w:hAnsi="Times New Roman"/>
          <w:sz w:val="19"/>
          <w:szCs w:val="19"/>
          <w:b w:val="1"/>
          <w:bCs w:val="1"/>
          <w:u w:val="single" w:color="auto"/>
          <w:color w:val="auto"/>
        </w:rPr>
        <w:t>Commitments</w:t>
      </w:r>
      <w:r>
        <w:rPr>
          <w:rFonts w:ascii="Times New Roman" w:cs="Times New Roman" w:eastAsia="Times New Roman" w:hAnsi="Times New Roman"/>
          <w:sz w:val="19"/>
          <w:szCs w:val="19"/>
          <w:b w:val="1"/>
          <w:bCs w:val="1"/>
          <w:color w:val="auto"/>
        </w:rPr>
        <w:t>.</w:t>
      </w:r>
    </w:p>
    <w:p>
      <w:pPr>
        <w:spacing w:after="0" w:line="206" w:lineRule="exact"/>
        <w:rPr>
          <w:sz w:val="20"/>
          <w:szCs w:val="20"/>
          <w:color w:val="auto"/>
        </w:rPr>
      </w:pPr>
    </w:p>
    <w:p>
      <w:pPr>
        <w:ind w:left="1080" w:hanging="424"/>
        <w:spacing w:after="0"/>
        <w:tabs>
          <w:tab w:leader="none" w:pos="108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New Revolving Commitments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815"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set forth herein and in the Credit Agreement, effective as of the Restatement Effective Date, all Existing Revolving Commitments and L/C Commitments in effect under the Existing Credit Agreement immediately prior to the Restatement Effective Date will be terminated. The Borrowers shall, on the Restatement Effective Date, pay to the Administrative Agent, for the accounts of the Existing Lenders with Existing Revolving Commitments immediately prior to the Restatement Effective Date, all interest and fees accrued to the Restatement Effective Date with respect to (i) such Existing Revolving Commitments and (ii) any outstanding Existing Revolving Advances.</w:t>
      </w:r>
    </w:p>
    <w:p>
      <w:pPr>
        <w:spacing w:after="0" w:line="165"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762"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terms and conditions set forth herein and in the Credit Agreement, each Lender hereby agrees to provide a New Revolving Commitment to the Borrowers on the Restatement Effective Date in an aggregate amount set forth opposite its name under the heading “Revolving Commitment” on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hereto and to make New Revolving Advances in respect thereof from time to time in an amount not to exceed its New Revolving Commitment as set forth in the Credit Agreement.</w:t>
      </w:r>
    </w:p>
    <w:p>
      <w:pPr>
        <w:spacing w:after="0" w:line="158"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906"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set forth herein and in the Credit Agreement, effective as of the Restatement Effective Date, for all purposes of the Loan Documents, (i) the New Revolving Commitments shall constitute “Revolving Commitments” and “Commitments” under the Credit Agreement and (ii) each Revolving Advance in respect of such New Revolving Commitments shall constitute a “Revolving Advance” and an “Advance” under the Credit Agreement.</w:t>
      </w:r>
    </w:p>
    <w:p>
      <w:pPr>
        <w:spacing w:after="0" w:line="158"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82"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acknowledges and agrees that, as of and on the Restatement Effective Date, it shall be a “Revolving Lender” and a “Lender” under, and for all purposes of, the Credit Agreement and the other Loan Documents, and shall be subject to and bound by the terms thereof, and shall perform all the obligations of and shall have all rights of a Lender thereunder.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94" w:name="page95"/>
    <w:bookmarkEnd w:id="94"/>
    <w:p>
      <w:pPr>
        <w:spacing w:after="0" w:line="81" w:lineRule="exact"/>
        <w:rPr>
          <w:sz w:val="20"/>
          <w:szCs w:val="20"/>
          <w:color w:val="auto"/>
        </w:rPr>
      </w:pPr>
    </w:p>
    <w:p>
      <w:pPr>
        <w:jc w:val="both"/>
        <w:ind w:firstLine="656"/>
        <w:spacing w:after="0" w:line="253" w:lineRule="auto"/>
        <w:tabs>
          <w:tab w:leader="none" w:pos="115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Issuing Lender identified on the signature pages hereto as an “Issuing Lender” agrees to provide an L/C Commitment under the Credit Agreement in the amount set forth opposite such Issuing Lender’s name on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hereto, on the terms set forth herein and in the Credit Agreement and subject to the conditions set forth herein and therein. Each Letter of Credit outstanding immediately prior to the Restatement Effective Date shall constitute a Letter of Credit issued pursuant to the Credit Agreement and each Lender under the Credit Agreement shall be deemed to have acquired a participation in each such Letter of Credit as set forth in Section 10.04 of the Credit Agreement.</w:t>
      </w:r>
    </w:p>
    <w:p>
      <w:pPr>
        <w:spacing w:after="0" w:line="165" w:lineRule="exact"/>
        <w:rPr>
          <w:rFonts w:ascii="Times New Roman" w:cs="Times New Roman" w:eastAsia="Times New Roman" w:hAnsi="Times New Roman"/>
          <w:sz w:val="20"/>
          <w:szCs w:val="20"/>
          <w:color w:val="auto"/>
        </w:rPr>
      </w:pPr>
    </w:p>
    <w:p>
      <w:pPr>
        <w:jc w:val="both"/>
        <w:ind w:firstLine="656"/>
        <w:spacing w:after="0" w:line="257" w:lineRule="auto"/>
        <w:tabs>
          <w:tab w:leader="none" w:pos="1101"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loans of the Credit Parties outstanding as of the Restatement Effective Date under the Existing Credit Agreement shall be deemed to be Advances under the corresponding facilities in the Credit Agreement without any further action by any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Existing Lender’s Revolving Credit Exposure (including its participation in L/C Obligations) immediately prior to the Restatement Effective Date shall be reallocated, if necessary, on a pro rata basis among the Lenders in accordance with their respective Commitment Percentages set forth on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hereto.</w:t>
      </w:r>
    </w:p>
    <w:p>
      <w:pPr>
        <w:spacing w:after="0" w:line="159" w:lineRule="exact"/>
        <w:rPr>
          <w:rFonts w:ascii="Times New Roman" w:cs="Times New Roman" w:eastAsia="Times New Roman" w:hAnsi="Times New Roman"/>
          <w:sz w:val="20"/>
          <w:szCs w:val="20"/>
          <w:color w:val="auto"/>
        </w:rPr>
      </w:pPr>
    </w:p>
    <w:p>
      <w:pPr>
        <w:ind w:firstLine="656"/>
        <w:spacing w:after="0" w:line="269" w:lineRule="auto"/>
        <w:tabs>
          <w:tab w:leader="none" w:pos="996"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Existing Lender party hereto hereby waives any notice requirements under Section 2.05 of the Existing Credit Agreement with respect to the transactions to occur on the Restatement Effective Date as contemplated by this Amendment.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JOINDER OF AND RELEASE OF GUARANTORS</w:t>
      </w:r>
    </w:p>
    <w:p>
      <w:pPr>
        <w:spacing w:after="0" w:line="230" w:lineRule="exact"/>
        <w:rPr>
          <w:sz w:val="20"/>
          <w:szCs w:val="20"/>
          <w:color w:val="auto"/>
        </w:rPr>
      </w:pPr>
    </w:p>
    <w:p>
      <w:pPr>
        <w:jc w:val="both"/>
        <w:ind w:firstLine="205"/>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3.1 </w:t>
      </w:r>
      <w:r>
        <w:rPr>
          <w:rFonts w:ascii="Times New Roman" w:cs="Times New Roman" w:eastAsia="Times New Roman" w:hAnsi="Times New Roman"/>
          <w:sz w:val="20"/>
          <w:szCs w:val="20"/>
          <w:b w:val="1"/>
          <w:bCs w:val="1"/>
          <w:u w:val="single" w:color="auto"/>
          <w:color w:val="auto"/>
        </w:rPr>
        <w:t>New Guarantor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New Guarantor hereby acknowledges, agrees and confirms that, by its execution of this Amendment, the New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Guarantor will be deemed to be a party to and a Guarantor under the Credit Agreement with the full force and effect as if originally listed on the signature pages thereof as a Guarantor and the New Guarantor shall have all of the obligations of a Guarantor thereunder as if it had executed the Credit Agreement as such. The New Guarantor hereby ratifies, as of the date hereof, and agrees to be bound by, all of the terms, provisions and conditions contained in the Credit Agreement and any Note(s) issued pursuant thereto to the extent any such term, provision or condition is applicable to it as a Guarantor, and further agrees to all of the affirmative and negative covenants set forth in Article V of the Credit Agreement applicable to it as a Guarantor. Without limiting the generality of the foregoing terms of this Section 3.1, the New Guarantor hereby absolutely and unconditionally and irrevocably guarantees, jointly and severally with the other Guarantors, to the Administrative Agent, the prompt payment of the Borrower Obligations in full when and as the same become due (whether at stated maturity, upon acceleration or otherwise), and at all times thereafter, to the extent of and in accordance with Article VIII of the Credit Agreement. Each reference to a “Guarantor” in the Credit Agreement shall be deemed to include the New Guarantor.</w:t>
      </w:r>
    </w:p>
    <w:p>
      <w:pPr>
        <w:spacing w:after="0" w:line="203" w:lineRule="exact"/>
        <w:rPr>
          <w:sz w:val="20"/>
          <w:szCs w:val="20"/>
          <w:color w:val="auto"/>
        </w:rPr>
      </w:pPr>
    </w:p>
    <w:p>
      <w:pPr>
        <w:jc w:val="both"/>
        <w:ind w:firstLine="238"/>
        <w:spacing w:after="0" w:line="267" w:lineRule="auto"/>
        <w:rPr>
          <w:sz w:val="20"/>
          <w:szCs w:val="20"/>
          <w:color w:val="auto"/>
        </w:rPr>
      </w:pPr>
      <w:r>
        <w:rPr>
          <w:rFonts w:ascii="Times New Roman" w:cs="Times New Roman" w:eastAsia="Times New Roman" w:hAnsi="Times New Roman"/>
          <w:sz w:val="19"/>
          <w:szCs w:val="19"/>
          <w:b w:val="1"/>
          <w:bCs w:val="1"/>
          <w:color w:val="auto"/>
        </w:rPr>
        <w:t xml:space="preserve">3.2 </w:t>
      </w:r>
      <w:r>
        <w:rPr>
          <w:rFonts w:ascii="Times New Roman" w:cs="Times New Roman" w:eastAsia="Times New Roman" w:hAnsi="Times New Roman"/>
          <w:sz w:val="19"/>
          <w:szCs w:val="19"/>
          <w:b w:val="1"/>
          <w:bCs w:val="1"/>
          <w:u w:val="single" w:color="auto"/>
          <w:color w:val="auto"/>
        </w:rPr>
        <w:t>Released Guarantors</w:t>
      </w:r>
      <w:r>
        <w:rPr>
          <w:rFonts w:ascii="Times New Roman" w:cs="Times New Roman" w:eastAsia="Times New Roman" w:hAnsi="Times New Roman"/>
          <w:sz w:val="19"/>
          <w:szCs w:val="19"/>
          <w:color w:val="auto"/>
        </w:rPr>
        <w:t>. Effective as of the Restatement Effective Date, each of (A) Graham Media Group, Florida, Inc., a Florida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corporation, (B) Graham Media Group, Houston, Inc., a Delaware corporation, (C) Graham Media Group, Michigan, Inc., a Delaware corporation, (D) Graham Media Group, Orlando, Inc., a Delaware corporation, (E) Graham Media Group, San Antonio, Inc., a Delaware corporation, (F) Group Dekko Inc., an Indiana corporation, (G) Group Dekko Holdings Inc., a Delaware corporation, (H) FRTW Holdings LLC, a Delaware limited liability company, (I) Kaplan North America, LLC, a Delaware limited liability company, (J) DF Institute, LLC, an Illinois limited liability company, (K) Kaplan International North America, LLC, a California limited liability company, and (L) Graham Digital Holding Company LLC (the foregoing collectively, the “</w:t>
      </w:r>
      <w:r>
        <w:rPr>
          <w:rFonts w:ascii="Times New Roman" w:cs="Times New Roman" w:eastAsia="Times New Roman" w:hAnsi="Times New Roman"/>
          <w:sz w:val="19"/>
          <w:szCs w:val="19"/>
          <w:u w:val="single" w:color="auto"/>
          <w:color w:val="auto"/>
        </w:rPr>
        <w:t>Released Guarantors</w:t>
      </w:r>
      <w:r>
        <w:rPr>
          <w:rFonts w:ascii="Times New Roman" w:cs="Times New Roman" w:eastAsia="Times New Roman" w:hAnsi="Times New Roman"/>
          <w:sz w:val="19"/>
          <w:szCs w:val="19"/>
          <w:color w:val="auto"/>
        </w:rPr>
        <w:t>” and each, a “</w:t>
      </w:r>
      <w:r>
        <w:rPr>
          <w:rFonts w:ascii="Times New Roman" w:cs="Times New Roman" w:eastAsia="Times New Roman" w:hAnsi="Times New Roman"/>
          <w:sz w:val="19"/>
          <w:szCs w:val="19"/>
          <w:u w:val="single" w:color="auto"/>
          <w:color w:val="auto"/>
        </w:rPr>
        <w:t>Released Guarantor</w:t>
      </w:r>
      <w:r>
        <w:rPr>
          <w:rFonts w:ascii="Times New Roman" w:cs="Times New Roman" w:eastAsia="Times New Roman" w:hAnsi="Times New Roman"/>
          <w:sz w:val="19"/>
          <w:szCs w:val="19"/>
          <w:color w:val="auto"/>
        </w:rPr>
        <w:t>”), shall automatically cease to be a Guarantor and a Credit Party under, and for all purposes of, the Credit Agreement and the other Loan Documents (the “</w:t>
      </w:r>
      <w:r>
        <w:rPr>
          <w:rFonts w:ascii="Times New Roman" w:cs="Times New Roman" w:eastAsia="Times New Roman" w:hAnsi="Times New Roman"/>
          <w:sz w:val="19"/>
          <w:szCs w:val="19"/>
          <w:u w:val="single" w:color="auto"/>
          <w:color w:val="auto"/>
        </w:rPr>
        <w:t>Guarantor Release</w:t>
      </w:r>
      <w:r>
        <w:rPr>
          <w:rFonts w:ascii="Times New Roman" w:cs="Times New Roman" w:eastAsia="Times New Roman" w:hAnsi="Times New Roman"/>
          <w:sz w:val="19"/>
          <w:szCs w:val="19"/>
          <w:color w:val="auto"/>
        </w:rPr>
        <w:t>”). In connection with the Guarantor Release, the Administrative Agent shall, at the Borrowers’ expense,</w:t>
      </w:r>
    </w:p>
    <w:p>
      <w:pPr>
        <w:spacing w:after="0" w:line="200" w:lineRule="exact"/>
        <w:rPr>
          <w:sz w:val="20"/>
          <w:szCs w:val="20"/>
          <w:color w:val="auto"/>
        </w:rPr>
      </w:pPr>
    </w:p>
    <w:p>
      <w:pPr>
        <w:spacing w:after="0" w:line="29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95" w:name="page96"/>
    <w:bookmarkEnd w:id="95"/>
    <w:p>
      <w:pPr>
        <w:spacing w:after="0" w:line="81"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execute and deliver to any Released Guarantor all documents that such Released Guarantor shall reasonably request to evidence the Guarantor Release.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CONDITIONS TO EFFECTIVENESS</w:t>
      </w:r>
    </w:p>
    <w:p>
      <w:pPr>
        <w:spacing w:after="0" w:line="223" w:lineRule="exact"/>
        <w:rPr>
          <w:sz w:val="20"/>
          <w:szCs w:val="20"/>
          <w:color w:val="auto"/>
        </w:rPr>
      </w:pPr>
    </w:p>
    <w:p>
      <w:pPr>
        <w:ind w:right="20"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4.1 </w:t>
      </w:r>
      <w:r>
        <w:rPr>
          <w:rFonts w:ascii="Times New Roman" w:cs="Times New Roman" w:eastAsia="Times New Roman" w:hAnsi="Times New Roman"/>
          <w:sz w:val="20"/>
          <w:szCs w:val="20"/>
          <w:b w:val="1"/>
          <w:bCs w:val="1"/>
          <w:u w:val="single" w:color="auto"/>
          <w:color w:val="auto"/>
        </w:rPr>
        <w:t>Closing Conditions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Amendment and the Credit Agreement shall become effective as of the day and year set forth above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Restatement Effective Date</w:t>
      </w:r>
      <w:r>
        <w:rPr>
          <w:rFonts w:ascii="Times New Roman" w:cs="Times New Roman" w:eastAsia="Times New Roman" w:hAnsi="Times New Roman"/>
          <w:sz w:val="20"/>
          <w:szCs w:val="20"/>
          <w:color w:val="auto"/>
        </w:rPr>
        <w:t>”) upon satisfaction (or waiver) of the following conditions:</w:t>
      </w:r>
    </w:p>
    <w:p>
      <w:pPr>
        <w:spacing w:after="0" w:line="183" w:lineRule="exact"/>
        <w:rPr>
          <w:sz w:val="20"/>
          <w:szCs w:val="20"/>
          <w:color w:val="auto"/>
        </w:rPr>
      </w:pPr>
    </w:p>
    <w:p>
      <w:pPr>
        <w:ind w:left="660" w:right="20" w:firstLine="644"/>
        <w:spacing w:after="0" w:line="269" w:lineRule="auto"/>
        <w:tabs>
          <w:tab w:leader="none" w:pos="1725"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Executed Amendment</w:t>
      </w:r>
      <w:r>
        <w:rPr>
          <w:rFonts w:ascii="Times New Roman" w:cs="Times New Roman" w:eastAsia="Times New Roman" w:hAnsi="Times New Roman"/>
          <w:sz w:val="20"/>
          <w:szCs w:val="20"/>
          <w:color w:val="auto"/>
        </w:rPr>
        <w:t>. The Administrative Agent shall have received a copy of this Amendment duly executed by each of the Credit Parties, the Lenders, the Issuing Lenders and the Administrative Agent.</w:t>
      </w:r>
    </w:p>
    <w:p>
      <w:pPr>
        <w:spacing w:after="0" w:line="199" w:lineRule="exact"/>
        <w:rPr>
          <w:rFonts w:ascii="Times New Roman" w:cs="Times New Roman" w:eastAsia="Times New Roman" w:hAnsi="Times New Roman"/>
          <w:sz w:val="20"/>
          <w:szCs w:val="20"/>
          <w:color w:val="auto"/>
        </w:rPr>
      </w:pPr>
    </w:p>
    <w:p>
      <w:pPr>
        <w:ind w:left="660" w:firstLine="644"/>
        <w:spacing w:after="0" w:line="269" w:lineRule="auto"/>
        <w:tabs>
          <w:tab w:leader="none" w:pos="179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on or before the Restatement Effective Date the following, each dated such day, in form and substance satisfactory to the Administrative Agent:</w:t>
      </w:r>
    </w:p>
    <w:p>
      <w:pPr>
        <w:spacing w:after="0" w:line="199" w:lineRule="exact"/>
        <w:rPr>
          <w:rFonts w:ascii="Times New Roman" w:cs="Times New Roman" w:eastAsia="Times New Roman" w:hAnsi="Times New Roman"/>
          <w:sz w:val="20"/>
          <w:szCs w:val="20"/>
          <w:color w:val="auto"/>
        </w:rPr>
      </w:pPr>
    </w:p>
    <w:p>
      <w:pPr>
        <w:ind w:left="1300" w:right="20" w:firstLine="652"/>
        <w:spacing w:after="0" w:line="283" w:lineRule="auto"/>
        <w:tabs>
          <w:tab w:leader="none" w:pos="2473"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Revolving Note to any Lender requesting a Revolving Note at least three Business Days prior to the Restatement Effective Date.</w:t>
      </w:r>
    </w:p>
    <w:p>
      <w:pPr>
        <w:spacing w:after="0" w:line="173" w:lineRule="exact"/>
        <w:rPr>
          <w:rFonts w:ascii="Times New Roman" w:cs="Times New Roman" w:eastAsia="Times New Roman" w:hAnsi="Times New Roman"/>
          <w:sz w:val="20"/>
          <w:szCs w:val="20"/>
          <w:color w:val="auto"/>
        </w:rPr>
      </w:pPr>
    </w:p>
    <w:p>
      <w:pPr>
        <w:jc w:val="both"/>
        <w:ind w:left="1300" w:firstLine="652"/>
        <w:spacing w:after="0" w:line="253" w:lineRule="auto"/>
        <w:tabs>
          <w:tab w:leader="none" w:pos="2395"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The resolutions of the board of directors (or equivalent governing body) of each Credit Party approving this Amendment and of all documents evidencing other necessary corporate or other action and governmental approvals, if any, with respect to this Amendment, (2) copies of the articles of incorporation, certificates of formation or other constitutional or charter documents, as applicable, of each Credit Party, certified as of a recent date by the appropriate Governmental Authorities of its state of incorporation or organization and (3) the bylaws or comparable operating agreement, as applicable, of each Credit Party.</w:t>
      </w:r>
    </w:p>
    <w:p>
      <w:pPr>
        <w:spacing w:after="0" w:line="219" w:lineRule="exact"/>
        <w:rPr>
          <w:rFonts w:ascii="Times New Roman" w:cs="Times New Roman" w:eastAsia="Times New Roman" w:hAnsi="Times New Roman"/>
          <w:sz w:val="20"/>
          <w:szCs w:val="20"/>
          <w:color w:val="auto"/>
        </w:rPr>
      </w:pPr>
    </w:p>
    <w:p>
      <w:pPr>
        <w:jc w:val="both"/>
        <w:ind w:left="1300" w:firstLine="652"/>
        <w:spacing w:after="0" w:line="261" w:lineRule="auto"/>
        <w:tabs>
          <w:tab w:leader="none" w:pos="2522"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Certificates of good standing, existence or its equivalent with respect to each Credit Party certified as of a recent date by the appropriate Governmental Authorities of the state of incorporation or organization and each other state in which the failure to so qualify and be in good standing would reasonably be expected to have a Material Adverse Effect.</w:t>
      </w:r>
    </w:p>
    <w:p>
      <w:pPr>
        <w:spacing w:after="0" w:line="194" w:lineRule="exact"/>
        <w:rPr>
          <w:rFonts w:ascii="Times New Roman" w:cs="Times New Roman" w:eastAsia="Times New Roman" w:hAnsi="Times New Roman"/>
          <w:sz w:val="20"/>
          <w:szCs w:val="20"/>
          <w:color w:val="auto"/>
        </w:rPr>
      </w:pPr>
    </w:p>
    <w:p>
      <w:pPr>
        <w:jc w:val="both"/>
        <w:ind w:left="1300" w:firstLine="652"/>
        <w:spacing w:after="0" w:line="257" w:lineRule="auto"/>
        <w:tabs>
          <w:tab w:leader="none" w:pos="2562"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signed by a duly authorized officer of each Credit Party certifying (x) the names and true signatures of the officers of such Credit Party authorized to sign this Amendment and the other documents to be delivered by it hereunder and (y) attaching the documents referred to in </w:t>
      </w:r>
      <w:r>
        <w:rPr>
          <w:rFonts w:ascii="Times New Roman" w:cs="Times New Roman" w:eastAsia="Times New Roman" w:hAnsi="Times New Roman"/>
          <w:sz w:val="20"/>
          <w:szCs w:val="20"/>
          <w:u w:val="single" w:color="auto"/>
          <w:color w:val="auto"/>
        </w:rPr>
        <w:t>clauses (ii)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of this Section 4.1(b) and confirming that such documents are correct, complete and in full force and effect and have not been amended or superseded as of the Restatement Effective Date except as provided therein.</w:t>
      </w:r>
    </w:p>
    <w:p>
      <w:pPr>
        <w:spacing w:after="0" w:line="199" w:lineRule="exact"/>
        <w:rPr>
          <w:rFonts w:ascii="Times New Roman" w:cs="Times New Roman" w:eastAsia="Times New Roman" w:hAnsi="Times New Roman"/>
          <w:sz w:val="20"/>
          <w:szCs w:val="20"/>
          <w:color w:val="auto"/>
        </w:rPr>
      </w:pPr>
    </w:p>
    <w:p>
      <w:pPr>
        <w:ind w:left="1300" w:firstLine="652"/>
        <w:spacing w:after="0" w:line="283" w:lineRule="auto"/>
        <w:tabs>
          <w:tab w:leader="none" w:pos="2445"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favorable opinion of Cravath, Swaine &amp; Moore LLP, special New York counsel for the Credit Parties, in form and substance satisfactory to the Administrative Agent.</w:t>
      </w:r>
    </w:p>
    <w:p>
      <w:pPr>
        <w:spacing w:after="0" w:line="186" w:lineRule="exact"/>
        <w:rPr>
          <w:rFonts w:ascii="Times New Roman" w:cs="Times New Roman" w:eastAsia="Times New Roman" w:hAnsi="Times New Roman"/>
          <w:sz w:val="20"/>
          <w:szCs w:val="20"/>
          <w:color w:val="auto"/>
        </w:rPr>
      </w:pPr>
    </w:p>
    <w:p>
      <w:pPr>
        <w:ind w:left="1300" w:firstLine="652"/>
        <w:spacing w:after="0" w:line="269" w:lineRule="auto"/>
        <w:tabs>
          <w:tab w:leader="none" w:pos="2552"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officer’s certificate prepared by the chief financial officer of the Company as to the solvency of the Company and its Subsidiaries, on a consolidated basis</w:t>
      </w:r>
    </w:p>
    <w:p>
      <w:pPr>
        <w:spacing w:after="0" w:line="200" w:lineRule="exact"/>
        <w:rPr>
          <w:sz w:val="20"/>
          <w:szCs w:val="20"/>
          <w:color w:val="auto"/>
        </w:rPr>
      </w:pPr>
    </w:p>
    <w:p>
      <w:pPr>
        <w:spacing w:after="0" w:line="29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96" w:name="page97"/>
    <w:bookmarkEnd w:id="96"/>
    <w:p>
      <w:pPr>
        <w:spacing w:after="0" w:line="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after giving effect to the effectiveness of this Amendment, in substantially the form of Exhibit G to the Credit Agreement.</w:t>
      </w:r>
    </w:p>
    <w:p>
      <w:pPr>
        <w:spacing w:after="0" w:line="256" w:lineRule="exact"/>
        <w:rPr>
          <w:sz w:val="20"/>
          <w:szCs w:val="20"/>
          <w:color w:val="auto"/>
        </w:rPr>
      </w:pPr>
    </w:p>
    <w:p>
      <w:pPr>
        <w:ind w:left="640" w:firstLine="652"/>
        <w:spacing w:after="0" w:line="269" w:lineRule="auto"/>
        <w:tabs>
          <w:tab w:leader="none" w:pos="1841"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signed by a duly authorized officer of the Company, dated as of the Restatement Effective Date, certifying that the conditions set forth in </w:t>
      </w:r>
      <w:r>
        <w:rPr>
          <w:rFonts w:ascii="Times New Roman" w:cs="Times New Roman" w:eastAsia="Times New Roman" w:hAnsi="Times New Roman"/>
          <w:sz w:val="20"/>
          <w:szCs w:val="20"/>
          <w:u w:val="single" w:color="auto"/>
          <w:color w:val="auto"/>
        </w:rPr>
        <w:t>clauses (c)</w:t>
      </w:r>
      <w:r>
        <w:rPr>
          <w:rFonts w:ascii="Times New Roman" w:cs="Times New Roman" w:eastAsia="Times New Roman" w:hAnsi="Times New Roman"/>
          <w:sz w:val="20"/>
          <w:szCs w:val="20"/>
          <w:color w:val="auto"/>
        </w:rPr>
        <w:t xml:space="preserve"> and (d) of this Section 4.1 are satisfied.</w:t>
      </w:r>
    </w:p>
    <w:p>
      <w:pPr>
        <w:spacing w:after="0" w:line="199" w:lineRule="exact"/>
        <w:rPr>
          <w:rFonts w:ascii="Times New Roman" w:cs="Times New Roman" w:eastAsia="Times New Roman" w:hAnsi="Times New Roman"/>
          <w:sz w:val="20"/>
          <w:szCs w:val="20"/>
          <w:color w:val="auto"/>
        </w:rPr>
      </w:pPr>
    </w:p>
    <w:p>
      <w:pPr>
        <w:ind w:right="20" w:firstLine="644"/>
        <w:spacing w:after="0" w:line="269" w:lineRule="auto"/>
        <w:tabs>
          <w:tab w:leader="none" w:pos="1119"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Default</w:t>
      </w:r>
      <w:r>
        <w:rPr>
          <w:rFonts w:ascii="Times New Roman" w:cs="Times New Roman" w:eastAsia="Times New Roman" w:hAnsi="Times New Roman"/>
          <w:sz w:val="20"/>
          <w:szCs w:val="20"/>
          <w:color w:val="auto"/>
        </w:rPr>
        <w:t>. No Default or Event of Default exists as of the Restatement Effective Date and after giving effect to the transactions contemplated hereby.</w:t>
      </w:r>
    </w:p>
    <w:p>
      <w:pPr>
        <w:spacing w:after="0" w:line="199" w:lineRule="exact"/>
        <w:rPr>
          <w:rFonts w:ascii="Times New Roman" w:cs="Times New Roman" w:eastAsia="Times New Roman" w:hAnsi="Times New Roman"/>
          <w:sz w:val="20"/>
          <w:szCs w:val="20"/>
          <w:color w:val="auto"/>
        </w:rPr>
      </w:pPr>
    </w:p>
    <w:p>
      <w:pPr>
        <w:jc w:val="both"/>
        <w:ind w:firstLine="644"/>
        <w:spacing w:after="0" w:line="253" w:lineRule="auto"/>
        <w:tabs>
          <w:tab w:leader="none" w:pos="109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The representations and warranties contained in Section 4.01 of the Credit Agreement are true and correct in all material respects on and as of the Restatement Effective Date, except to the extent any such representation and warranty is qualified by materiality or reference to Material Adverse Effect, in which case, such representation and warranty shall be true and correct in all respects, on the Restatement Effective Date with the same effect as if made on and as of such date (except for any such representation and warranty that by its terms is made only as of an earlier date, which representation and warranty shall remain true and correct as of such earlier date).</w:t>
      </w:r>
    </w:p>
    <w:p>
      <w:pPr>
        <w:spacing w:after="0" w:line="219" w:lineRule="exact"/>
        <w:rPr>
          <w:rFonts w:ascii="Times New Roman" w:cs="Times New Roman" w:eastAsia="Times New Roman" w:hAnsi="Times New Roman"/>
          <w:sz w:val="20"/>
          <w:szCs w:val="20"/>
          <w:color w:val="auto"/>
        </w:rPr>
      </w:pPr>
    </w:p>
    <w:p>
      <w:pPr>
        <w:jc w:val="both"/>
        <w:ind w:firstLine="644"/>
        <w:spacing w:after="0" w:line="253" w:lineRule="auto"/>
        <w:tabs>
          <w:tab w:leader="none" w:pos="1133"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 and Expenses</w:t>
      </w:r>
      <w:r>
        <w:rPr>
          <w:rFonts w:ascii="Times New Roman" w:cs="Times New Roman" w:eastAsia="Times New Roman" w:hAnsi="Times New Roman"/>
          <w:sz w:val="20"/>
          <w:szCs w:val="20"/>
          <w:color w:val="auto"/>
        </w:rPr>
        <w:t>. (i) The Administrative Agent shall have received from the Company (x) for the accounts of the Existing Lenders, all interest and fees accrued to the Restatement Effective Date with respect to (A) their Existing Revolving Commitments and (B) any outstanding Existing Revolving Advances and (y) all fees and expenses that are payable in connection with this Amendment and (ii) Simpson Thacher &amp; Bartlett LLP shall have received from the Company all outstanding fees and expenses previously incurred and all fees and expenses incurred in connection with this Amendment.</w:t>
      </w:r>
    </w:p>
    <w:p>
      <w:pPr>
        <w:spacing w:after="0" w:line="218" w:lineRule="exact"/>
        <w:rPr>
          <w:rFonts w:ascii="Times New Roman" w:cs="Times New Roman" w:eastAsia="Times New Roman" w:hAnsi="Times New Roman"/>
          <w:sz w:val="20"/>
          <w:szCs w:val="20"/>
          <w:color w:val="auto"/>
        </w:rPr>
      </w:pPr>
    </w:p>
    <w:p>
      <w:pPr>
        <w:jc w:val="both"/>
        <w:ind w:firstLine="644"/>
        <w:spacing w:after="0" w:line="251" w:lineRule="auto"/>
        <w:tabs>
          <w:tab w:leader="none" w:pos="1047"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(i) at least five (5) Business Days (or such shorter period agreed to by the Administrative Agent in its sole discretion) for the Company and its Domestic Subsidiaries and (ii) at least seven (7) Business Days (or such shorter period agreed to by the Administrative Agent in its sole discretion) for any Foreign Borrower, in each case prior to the Restatement Effective Date, all documentation and other information about the Company and the other Credit Parties as has been reasonably requested in writing at least 10 Business Days prior to the Restatement Effective Date by the Administrative Agent that it (on behalf of itself and the Lenders) reasonably determines is required by regulatory authorities under applicable “know your customer” and anti-money laundering rules and regulations, including without limitation the Patriot Act.</w:t>
      </w:r>
    </w:p>
    <w:p>
      <w:pPr>
        <w:spacing w:after="0" w:line="219" w:lineRule="exact"/>
        <w:rPr>
          <w:rFonts w:ascii="Times New Roman" w:cs="Times New Roman" w:eastAsia="Times New Roman" w:hAnsi="Times New Roman"/>
          <w:sz w:val="20"/>
          <w:szCs w:val="20"/>
          <w:color w:val="auto"/>
        </w:rPr>
      </w:pPr>
    </w:p>
    <w:p>
      <w:pPr>
        <w:jc w:val="both"/>
        <w:ind w:firstLine="644"/>
        <w:spacing w:after="0" w:line="261" w:lineRule="auto"/>
        <w:tabs>
          <w:tab w:leader="none" w:pos="1076"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Loan Prepayment</w:t>
      </w:r>
      <w:r>
        <w:rPr>
          <w:rFonts w:ascii="Times New Roman" w:cs="Times New Roman" w:eastAsia="Times New Roman" w:hAnsi="Times New Roman"/>
          <w:sz w:val="20"/>
          <w:szCs w:val="20"/>
          <w:color w:val="auto"/>
        </w:rPr>
        <w:t>. Prior to, or substantially concurrently with, the Restatement Effective Date, the Company shall have prepaid in full the aggregate outstanding principal amount of the Term Loans under the Existing Credit Agreement (together with all accrued and outstanding interest, fees and expenses thereon).</w:t>
      </w:r>
    </w:p>
    <w:p>
      <w:pPr>
        <w:spacing w:after="0" w:line="194" w:lineRule="exact"/>
        <w:rPr>
          <w:rFonts w:ascii="Times New Roman" w:cs="Times New Roman" w:eastAsia="Times New Roman" w:hAnsi="Times New Roman"/>
          <w:sz w:val="20"/>
          <w:szCs w:val="20"/>
          <w:color w:val="auto"/>
        </w:rPr>
      </w:pPr>
    </w:p>
    <w:p>
      <w:pPr>
        <w:ind w:firstLine="644"/>
        <w:spacing w:after="0" w:line="283" w:lineRule="auto"/>
        <w:tabs>
          <w:tab w:leader="none" w:pos="113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Notes Offering</w:t>
      </w:r>
      <w:r>
        <w:rPr>
          <w:rFonts w:ascii="Times New Roman" w:cs="Times New Roman" w:eastAsia="Times New Roman" w:hAnsi="Times New Roman"/>
          <w:sz w:val="20"/>
          <w:szCs w:val="20"/>
          <w:color w:val="auto"/>
        </w:rPr>
        <w:t>. Prior to, or substantially concurrently with, the Restatement Effective Date, the Company shall have consummated the Notes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3210560</wp:posOffset>
            </wp:positionH>
            <wp:positionV relativeFrom="paragraph">
              <wp:posOffset>-4752975</wp:posOffset>
            </wp:positionV>
            <wp:extent cx="1778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7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580"/>
          </w:cols>
          <w:pgMar w:left="980" w:top="1440" w:right="339" w:bottom="1440" w:gutter="0" w:footer="0" w:header="0"/>
        </w:sectPr>
      </w:pPr>
    </w:p>
    <w:bookmarkStart w:id="97" w:name="page98"/>
    <w:bookmarkEnd w:id="97"/>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223" w:lineRule="exact"/>
        <w:rPr>
          <w:sz w:val="20"/>
          <w:szCs w:val="20"/>
          <w:color w:val="auto"/>
        </w:rPr>
      </w:pPr>
    </w:p>
    <w:p>
      <w:pPr>
        <w:ind w:right="20"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5.1 </w:t>
      </w:r>
      <w:r>
        <w:rPr>
          <w:rFonts w:ascii="Times New Roman" w:cs="Times New Roman" w:eastAsia="Times New Roman" w:hAnsi="Times New Roman"/>
          <w:sz w:val="20"/>
          <w:szCs w:val="20"/>
          <w:b w:val="1"/>
          <w:bCs w:val="1"/>
          <w:u w:val="single" w:color="auto"/>
          <w:color w:val="auto"/>
        </w:rPr>
        <w:t>Amended Terms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and after the Restatement Effective Date, all references to the Credit Agreement in each of the Loan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Documents shall hereafter mean the Credit Agreement as amended and restated by this Amendment.</w:t>
      </w:r>
    </w:p>
    <w:p>
      <w:pPr>
        <w:spacing w:after="0" w:line="16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5.2</w:t>
      </w:r>
      <w:r>
        <w:rPr>
          <w:sz w:val="20"/>
          <w:szCs w:val="20"/>
          <w:color w:val="auto"/>
        </w:rPr>
        <w:tab/>
      </w:r>
      <w:r>
        <w:rPr>
          <w:rFonts w:ascii="Times New Roman" w:cs="Times New Roman" w:eastAsia="Times New Roman" w:hAnsi="Times New Roman"/>
          <w:sz w:val="19"/>
          <w:szCs w:val="19"/>
          <w:b w:val="1"/>
          <w:bCs w:val="1"/>
          <w:u w:val="single" w:color="auto"/>
          <w:color w:val="auto"/>
        </w:rPr>
        <w:t>Representations and Warranties of Credit Parties</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u w:val="single" w:color="auto"/>
          <w:color w:val="auto"/>
        </w:rPr>
        <w:t xml:space="preserve"> </w:t>
      </w:r>
      <w:r>
        <w:rPr>
          <w:rFonts w:ascii="Times New Roman" w:cs="Times New Roman" w:eastAsia="Times New Roman" w:hAnsi="Times New Roman"/>
          <w:sz w:val="19"/>
          <w:szCs w:val="19"/>
          <w:color w:val="auto"/>
        </w:rPr>
        <w:t>Each of the Credit Parties represents and warrants as follows:</w:t>
      </w:r>
    </w:p>
    <w:p>
      <w:pPr>
        <w:spacing w:after="0" w:line="260" w:lineRule="exact"/>
        <w:rPr>
          <w:sz w:val="20"/>
          <w:szCs w:val="20"/>
          <w:color w:val="auto"/>
        </w:rPr>
      </w:pPr>
    </w:p>
    <w:p>
      <w:pPr>
        <w:ind w:left="660" w:right="20" w:firstLine="644"/>
        <w:spacing w:after="0" w:line="283" w:lineRule="auto"/>
        <w:tabs>
          <w:tab w:leader="none" w:pos="1725"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taken all necessary corporate and other organizational action to authorize the execution, delivery and performance of this Amendment.</w:t>
      </w:r>
    </w:p>
    <w:p>
      <w:pPr>
        <w:spacing w:after="0" w:line="173"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779"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has been duly executed and delivered by such Person and constitutes such Person’s legal, valid and binding obligation, enforceable in accordance with its terms, except as such enforceability may be subject to (i) bankruptcy, insolvency, reorganization, fraudulent conveyance or transfer, moratorium or similar laws affecting creditors’ rights generally and (ii) general principles of equity (regardless of whether such enforceability is considered in a proceeding at law or in equity).</w:t>
      </w:r>
    </w:p>
    <w:p>
      <w:pPr>
        <w:spacing w:after="0" w:line="212"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38"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set forth in Section 4.01 of the Credit Agreement are true and correct in all material respects, except to the extent any such representation and warranty is qualified by materiality or reference to Material Adverse Effect, in which case, such representation and warranty shall be true and correct in all respects, on and as of the date hereof (except for any such representation and warranty that by its terms is made only as of an earlier date, which representation and warranty shall remain true and correct as of such earlier date).</w:t>
      </w:r>
    </w:p>
    <w:p>
      <w:pPr>
        <w:spacing w:after="0" w:line="218"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giving effect to this Amendment, no event has occurred and is continuing which constitutes a Default or an Event</w:t>
      </w:r>
    </w:p>
    <w:p>
      <w:pPr>
        <w:spacing w:after="0" w:line="33"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of Default.</w:t>
      </w:r>
    </w:p>
    <w:p>
      <w:pPr>
        <w:spacing w:after="0" w:line="23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5.3 </w:t>
      </w:r>
      <w:r>
        <w:rPr>
          <w:rFonts w:ascii="Times New Roman" w:cs="Times New Roman" w:eastAsia="Times New Roman" w:hAnsi="Times New Roman"/>
          <w:sz w:val="20"/>
          <w:szCs w:val="20"/>
          <w:b w:val="1"/>
          <w:bCs w:val="1"/>
          <w:u w:val="single" w:color="auto"/>
          <w:color w:val="auto"/>
        </w:rPr>
        <w:t>Reaffirmation of Obligations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Credit Party hereby ratifies the Credit Agreement as amended and restated by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Amendment and acknowledges and reaffirms (a) that it is bound by all terms of the Credit Agreement as so amended and restated applicable to it and (b) that it is responsible for the observance and full performance of its respective obligations under the Credit Agreement and the other Loan Documents. Each Credit Party further ratifies and confirms the terms of the Guaranty of such Credit Party with respect to the indebtedness now or hereafter outstanding under the Credit Agreement as amended and restated hereby. Each Credit Party acknowledges that, notwithstanding anything to the contrary contained herein or in any other Loan Document, or any actions now or hereafter taken by the Lenders with respect to any obligation of Borrowers, the Guaranty of such Credit Party (i) is and shall continue to be a primary obligation of such Credit Party, (ii) is and shall continue to be an absolute, unconditional, continuing and irrevocable guaranty of payment, and (iii) is and shall continue to be in full force and effect in accordance with its terms. Nothing contained herein to the contrary shall release, discharge, modify, change or affect the original liability of any Credit Party under the Guaranty of such Credit Party.</w:t>
      </w:r>
    </w:p>
    <w:p>
      <w:pPr>
        <w:spacing w:after="0" w:line="21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5.4</w:t>
      </w:r>
      <w:r>
        <w:rPr>
          <w:sz w:val="20"/>
          <w:szCs w:val="20"/>
          <w:color w:val="auto"/>
        </w:rPr>
        <w:tab/>
      </w:r>
      <w:r>
        <w:rPr>
          <w:rFonts w:ascii="Times New Roman" w:cs="Times New Roman" w:eastAsia="Times New Roman" w:hAnsi="Times New Roman"/>
          <w:sz w:val="19"/>
          <w:szCs w:val="19"/>
          <w:b w:val="1"/>
          <w:bCs w:val="1"/>
          <w:u w:val="single" w:color="auto"/>
          <w:color w:val="auto"/>
        </w:rPr>
        <w:t>Loan Document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u w:val="single" w:color="auto"/>
          <w:color w:val="auto"/>
        </w:rPr>
        <w:t xml:space="preserve"> </w:t>
      </w:r>
      <w:r>
        <w:rPr>
          <w:rFonts w:ascii="Times New Roman" w:cs="Times New Roman" w:eastAsia="Times New Roman" w:hAnsi="Times New Roman"/>
          <w:sz w:val="19"/>
          <w:szCs w:val="19"/>
          <w:color w:val="auto"/>
        </w:rPr>
        <w:t>This Amendment shall constitute a Loan Document under the terms of the Credit Agreement.</w:t>
      </w:r>
    </w:p>
    <w:p>
      <w:pPr>
        <w:spacing w:after="0" w:line="243"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5.5 </w:t>
      </w:r>
      <w:r>
        <w:rPr>
          <w:rFonts w:ascii="Times New Roman" w:cs="Times New Roman" w:eastAsia="Times New Roman" w:hAnsi="Times New Roman"/>
          <w:sz w:val="20"/>
          <w:szCs w:val="20"/>
          <w:b w:val="1"/>
          <w:bCs w:val="1"/>
          <w:u w:val="single" w:color="auto"/>
          <w:color w:val="auto"/>
        </w:rPr>
        <w:t>Further Assurances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Credit Parties agree to promptly take such action, upon the reasonable request of Administrative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Agent, as is necessary to carry out the intent of this Amendment.</w:t>
      </w:r>
    </w:p>
    <w:p>
      <w:pPr>
        <w:spacing w:after="0" w:line="200" w:lineRule="exact"/>
        <w:rPr>
          <w:sz w:val="20"/>
          <w:szCs w:val="20"/>
          <w:color w:val="auto"/>
        </w:rPr>
      </w:pPr>
    </w:p>
    <w:p>
      <w:pPr>
        <w:spacing w:after="0" w:line="26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98" w:name="page99"/>
    <w:bookmarkEnd w:id="98"/>
    <w:p>
      <w:pPr>
        <w:spacing w:after="0" w:line="320"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5.6 </w:t>
      </w:r>
      <w:r>
        <w:rPr>
          <w:rFonts w:ascii="Times New Roman" w:cs="Times New Roman" w:eastAsia="Times New Roman" w:hAnsi="Times New Roman"/>
          <w:sz w:val="20"/>
          <w:szCs w:val="20"/>
          <w:b w:val="1"/>
          <w:bCs w:val="1"/>
          <w:u w:val="single" w:color="auto"/>
          <w:color w:val="auto"/>
        </w:rPr>
        <w:t>Entirety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Amendment reflects the entire understanding of the parties with respect to the transactions contemplated hereby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shall not be contradicted or qualified by any other agreement, oral or written, before the date hereof.</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b w:val="1"/>
          <w:bCs w:val="1"/>
          <w:color w:val="auto"/>
        </w:rPr>
        <w:t xml:space="preserve">5.7 </w:t>
      </w:r>
      <w:r>
        <w:rPr>
          <w:rFonts w:ascii="Times New Roman" w:cs="Times New Roman" w:eastAsia="Times New Roman" w:hAnsi="Times New Roman"/>
          <w:sz w:val="19"/>
          <w:szCs w:val="19"/>
          <w:b w:val="1"/>
          <w:bCs w:val="1"/>
          <w:u w:val="single" w:color="auto"/>
          <w:color w:val="auto"/>
        </w:rPr>
        <w:t>Counterparts; Telecopy; Electronic Execution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Amendment may be executed in any number of counterparts and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different parties on separate counterparts, each of which, when executed and delivered, shall be deemed to be an original, and all of which, when taken together, shall constitute but one and the same Amendment. Delivery of an executed counterpart of this Amendment by telefacsimile or other electronic method of transmission shall be equally as effective as delivery of an original executed counterpart of this Amendment. The words “execute,” “execution,” “signed,” “signature,” “delivery” and words of like import in or related to this Amendment or the transactions contemplated hereby shall be deemed to include Electronic Signatures or execution in the form of an Electronic Record, and contract formations on electronic platforms approved by the Administrative Agent, deliveries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Each party hereto agrees that any Electronic Signature or execution in the form of an Electronic Record shall be valid and binding on itself and each of the other parties hereto to the same extent as a manual, original signature. For the avoidance of doubt, the authorization under this paragraph may include, without limitation, use or acceptance by the parties of a manually signed paper which has been converted into electronic form (such as scanned into PDF format), or an electronically signed paper converted into another format, for transmission, delivery and/or retention. Notwithstanding anything contained herein to the contrary, the Administrative Agent is under no obligation to accept an Electronic Signature in any form or in any format unless expressly agreed to by the Administrative Agent pursuant to procedures approved by it. Any party delivering an executed counterpart of this Amendment by telefacsimile or other electronic method of transmission also shall deliver an original executed counterpart of this Amendment but the failure to deliver an original executed counterpart shall not affect the validity, enforceability, and binding effect of this Amendment.</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5.8 </w:t>
      </w: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b w:val="1"/>
          <w:bCs w:val="1"/>
          <w:color w:val="auto"/>
        </w:rPr>
        <w:t>. THE CONSTRUCTION, INTERPRETATION, AND ENFORCEMENT OF THIS AMENDMENT, THE RIGHTS OF THE PARTIES HERETO AND THERETO WITH RESPECT TO ALL MATTERS ARISING HEREUNDER OR THEREUNDER OR RELATED HERETO, AND ANY CLAIMS, CONTROVERSIES OR DISPUTES ARISING HEREUNDER OR RELATED HERETO SHALL BE DETERMINED UNDER, GOVERNED BY, AND CONSTRUED IN ACCORDANCE WITH THE LAWS OF THE STATE OF NEW YORK.</w:t>
      </w:r>
    </w:p>
    <w:p>
      <w:pPr>
        <w:spacing w:after="0" w:line="195"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b w:val="1"/>
          <w:bCs w:val="1"/>
          <w:color w:val="auto"/>
        </w:rPr>
        <w:t xml:space="preserve">5.9 </w:t>
      </w:r>
      <w:r>
        <w:rPr>
          <w:rFonts w:ascii="Times New Roman" w:cs="Times New Roman" w:eastAsia="Times New Roman" w:hAnsi="Times New Roman"/>
          <w:sz w:val="20"/>
          <w:szCs w:val="20"/>
          <w:b w:val="1"/>
          <w:bCs w:val="1"/>
          <w:u w:val="single" w:color="auto"/>
          <w:color w:val="auto"/>
        </w:rPr>
        <w:t>Successors and Assigns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Amendment shall bind and inure to the benefit of the respective successors and assigns of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the parties hereto; provided, that no Borrower may assign this Amendment or any rights or duties hereunder without the Lenders’ prior written consent and any prohibited assignment shall be absolutely void </w:t>
      </w:r>
      <w:r>
        <w:rPr>
          <w:rFonts w:ascii="Times New Roman" w:cs="Times New Roman" w:eastAsia="Times New Roman" w:hAnsi="Times New Roman"/>
          <w:sz w:val="20"/>
          <w:szCs w:val="20"/>
          <w:i w:val="1"/>
          <w:iCs w:val="1"/>
          <w:color w:val="auto"/>
        </w:rPr>
        <w:t>ab initio</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5.10 </w:t>
      </w:r>
      <w:r>
        <w:rPr>
          <w:rFonts w:ascii="Times New Roman" w:cs="Times New Roman" w:eastAsia="Times New Roman" w:hAnsi="Times New Roman"/>
          <w:sz w:val="20"/>
          <w:szCs w:val="20"/>
          <w:b w:val="1"/>
          <w:bCs w:val="1"/>
          <w:u w:val="single" w:color="auto"/>
          <w:color w:val="auto"/>
        </w:rPr>
        <w:t>Additional Consents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jurisdiction, jury trial waiver, venue, indemnification and judicial reference provisions set forth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Article IX of the Credit Agreement are hereby incorporated by reference,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34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200" w:lineRule="exact"/>
        <w:rPr>
          <w:sz w:val="20"/>
          <w:szCs w:val="20"/>
          <w:color w:val="auto"/>
        </w:rPr>
      </w:pPr>
    </w:p>
    <w:p>
      <w:pPr>
        <w:spacing w:after="0" w:line="2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IN WITNESS WHEREOF the parties hereto have caused this Amendment to be duly executed on the date first above written.</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2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COMPANY:</w:t>
            </w:r>
          </w:p>
        </w:tc>
        <w:tc>
          <w:tcPr>
            <w:tcW w:w="7820" w:type="dxa"/>
            <w:vAlign w:val="bottom"/>
            <w:gridSpan w:val="5"/>
          </w:tcPr>
          <w:p>
            <w:pPr>
              <w:ind w:left="3340"/>
              <w:spacing w:after="0"/>
              <w:rPr>
                <w:sz w:val="20"/>
                <w:szCs w:val="20"/>
                <w:color w:val="auto"/>
              </w:rPr>
            </w:pPr>
            <w:r>
              <w:rPr>
                <w:rFonts w:ascii="Times New Roman" w:cs="Times New Roman" w:eastAsia="Times New Roman" w:hAnsi="Times New Roman"/>
                <w:sz w:val="20"/>
                <w:szCs w:val="20"/>
                <w:color w:val="auto"/>
              </w:rPr>
              <w:t>GRAHAM HOLDINGS COMPANY</w:t>
            </w:r>
          </w:p>
        </w:tc>
      </w:tr>
      <w:tr>
        <w:trPr>
          <w:trHeight w:val="263"/>
        </w:trPr>
        <w:tc>
          <w:tcPr>
            <w:tcW w:w="2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20" w:type="dxa"/>
            <w:vAlign w:val="bottom"/>
            <w:gridSpan w:val="5"/>
          </w:tcPr>
          <w:p>
            <w:pPr>
              <w:ind w:left="3340"/>
              <w:spacing w:after="0"/>
              <w:rPr>
                <w:sz w:val="20"/>
                <w:szCs w:val="20"/>
                <w:color w:val="auto"/>
              </w:rPr>
            </w:pPr>
            <w:r>
              <w:rPr>
                <w:rFonts w:ascii="Times New Roman" w:cs="Times New Roman" w:eastAsia="Times New Roman" w:hAnsi="Times New Roman"/>
                <w:sz w:val="20"/>
                <w:szCs w:val="20"/>
                <w:color w:val="auto"/>
              </w:rPr>
              <w:t>By: /s/ Wallace R. Cooney</w:t>
            </w: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458"/>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20" w:type="dxa"/>
            <w:vAlign w:val="bottom"/>
            <w:gridSpan w:val="5"/>
          </w:tcPr>
          <w:p>
            <w:pPr>
              <w:ind w:left="3340"/>
              <w:spacing w:after="0"/>
              <w:rPr>
                <w:sz w:val="20"/>
                <w:szCs w:val="20"/>
                <w:color w:val="auto"/>
              </w:rPr>
            </w:pPr>
            <w:r>
              <w:rPr>
                <w:rFonts w:ascii="Times New Roman" w:cs="Times New Roman" w:eastAsia="Times New Roman" w:hAnsi="Times New Roman"/>
                <w:sz w:val="20"/>
                <w:szCs w:val="20"/>
                <w:color w:val="auto"/>
              </w:rPr>
              <w:t>Name: Wallace R. Cooney</w:t>
            </w:r>
          </w:p>
        </w:tc>
      </w:tr>
      <w:tr>
        <w:trPr>
          <w:trHeight w:val="241"/>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20" w:type="dxa"/>
            <w:vAlign w:val="bottom"/>
            <w:gridSpan w:val="5"/>
          </w:tcPr>
          <w:p>
            <w:pPr>
              <w:ind w:left="3340"/>
              <w:spacing w:after="0"/>
              <w:rPr>
                <w:sz w:val="20"/>
                <w:szCs w:val="20"/>
                <w:color w:val="auto"/>
              </w:rPr>
            </w:pPr>
            <w:r>
              <w:rPr>
                <w:rFonts w:ascii="Times New Roman" w:cs="Times New Roman" w:eastAsia="Times New Roman" w:hAnsi="Times New Roman"/>
                <w:sz w:val="20"/>
                <w:szCs w:val="20"/>
                <w:color w:val="auto"/>
                <w:w w:val="97"/>
              </w:rPr>
              <w:t>Title: Senior Vice President-Finance and Chief Financial</w:t>
            </w:r>
          </w:p>
        </w:tc>
      </w:tr>
      <w:tr>
        <w:trPr>
          <w:trHeight w:val="258"/>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20" w:type="dxa"/>
            <w:vAlign w:val="bottom"/>
            <w:gridSpan w:val="5"/>
          </w:tcPr>
          <w:p>
            <w:pPr>
              <w:ind w:left="3340"/>
              <w:spacing w:after="0"/>
              <w:rPr>
                <w:sz w:val="20"/>
                <w:szCs w:val="20"/>
                <w:color w:val="auto"/>
              </w:rPr>
            </w:pPr>
            <w:r>
              <w:rPr>
                <w:rFonts w:ascii="Times New Roman" w:cs="Times New Roman" w:eastAsia="Times New Roman" w:hAnsi="Times New Roman"/>
                <w:sz w:val="20"/>
                <w:szCs w:val="20"/>
                <w:color w:val="auto"/>
              </w:rPr>
              <w:t>Officer</w:t>
            </w:r>
          </w:p>
        </w:tc>
      </w:tr>
      <w:tr>
        <w:trPr>
          <w:trHeight w:val="764"/>
        </w:trPr>
        <w:tc>
          <w:tcPr>
            <w:tcW w:w="22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b w:val="1"/>
                <w:bCs w:val="1"/>
                <w:color w:val="auto"/>
                <w:w w:val="98"/>
              </w:rPr>
              <w:t>FOREIGN BORROWER:</w:t>
            </w:r>
          </w:p>
        </w:tc>
        <w:tc>
          <w:tcPr>
            <w:tcW w:w="7820" w:type="dxa"/>
            <w:vAlign w:val="bottom"/>
            <w:gridSpan w:val="5"/>
          </w:tcPr>
          <w:p>
            <w:pPr>
              <w:ind w:left="3340"/>
              <w:spacing w:after="0"/>
              <w:rPr>
                <w:sz w:val="20"/>
                <w:szCs w:val="20"/>
                <w:color w:val="auto"/>
              </w:rPr>
            </w:pPr>
            <w:r>
              <w:rPr>
                <w:rFonts w:ascii="Times New Roman" w:cs="Times New Roman" w:eastAsia="Times New Roman" w:hAnsi="Times New Roman"/>
                <w:sz w:val="20"/>
                <w:szCs w:val="20"/>
                <w:color w:val="auto"/>
              </w:rPr>
              <w:t>KAPLAN U.K. LIMITED</w:t>
            </w:r>
          </w:p>
        </w:tc>
      </w:tr>
      <w:tr>
        <w:trPr>
          <w:trHeight w:val="263"/>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20" w:type="dxa"/>
            <w:vAlign w:val="bottom"/>
            <w:gridSpan w:val="5"/>
          </w:tcPr>
          <w:p>
            <w:pPr>
              <w:ind w:left="3340"/>
              <w:spacing w:after="0"/>
              <w:rPr>
                <w:sz w:val="20"/>
                <w:szCs w:val="20"/>
                <w:color w:val="auto"/>
              </w:rPr>
            </w:pPr>
            <w:r>
              <w:rPr>
                <w:rFonts w:ascii="Times New Roman" w:cs="Times New Roman" w:eastAsia="Times New Roman" w:hAnsi="Times New Roman"/>
                <w:sz w:val="20"/>
                <w:szCs w:val="20"/>
                <w:color w:val="auto"/>
              </w:rPr>
              <w:t>By: /s/ Rachael Dupont</w:t>
            </w: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r>
      <w:tr>
        <w:trPr>
          <w:trHeight w:val="458"/>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20" w:type="dxa"/>
            <w:vAlign w:val="bottom"/>
            <w:gridSpan w:val="5"/>
          </w:tcPr>
          <w:p>
            <w:pPr>
              <w:ind w:left="3340"/>
              <w:spacing w:after="0"/>
              <w:rPr>
                <w:sz w:val="20"/>
                <w:szCs w:val="20"/>
                <w:color w:val="auto"/>
              </w:rPr>
            </w:pPr>
            <w:r>
              <w:rPr>
                <w:rFonts w:ascii="Times New Roman" w:cs="Times New Roman" w:eastAsia="Times New Roman" w:hAnsi="Times New Roman"/>
                <w:sz w:val="20"/>
                <w:szCs w:val="20"/>
                <w:color w:val="auto"/>
              </w:rPr>
              <w:t>Name: Rachael Dupont</w:t>
            </w:r>
          </w:p>
        </w:tc>
      </w:tr>
      <w:tr>
        <w:trPr>
          <w:trHeight w:val="270"/>
        </w:trPr>
        <w:tc>
          <w:tcPr>
            <w:tcW w:w="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20" w:type="dxa"/>
            <w:vAlign w:val="bottom"/>
            <w:gridSpan w:val="5"/>
          </w:tcPr>
          <w:p>
            <w:pPr>
              <w:ind w:left="3340"/>
              <w:spacing w:after="0"/>
              <w:rPr>
                <w:sz w:val="20"/>
                <w:szCs w:val="20"/>
                <w:color w:val="auto"/>
              </w:rPr>
            </w:pPr>
            <w:r>
              <w:rPr>
                <w:rFonts w:ascii="Times New Roman" w:cs="Times New Roman" w:eastAsia="Times New Roman" w:hAnsi="Times New Roman"/>
                <w:sz w:val="20"/>
                <w:szCs w:val="20"/>
                <w:color w:val="auto"/>
              </w:rPr>
              <w:t>Title: Director</w:t>
            </w:r>
          </w:p>
        </w:tc>
      </w:tr>
      <w:tr>
        <w:trPr>
          <w:trHeight w:val="763"/>
        </w:trPr>
        <w:tc>
          <w:tcPr>
            <w:tcW w:w="224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NEW GUARANTOR.:</w:t>
            </w:r>
          </w:p>
        </w:tc>
        <w:tc>
          <w:tcPr>
            <w:tcW w:w="7820" w:type="dxa"/>
            <w:vAlign w:val="bottom"/>
            <w:gridSpan w:val="5"/>
          </w:tcPr>
          <w:p>
            <w:pPr>
              <w:ind w:left="3340"/>
              <w:spacing w:after="0"/>
              <w:rPr>
                <w:sz w:val="20"/>
                <w:szCs w:val="20"/>
                <w:color w:val="auto"/>
              </w:rPr>
            </w:pPr>
            <w:r>
              <w:rPr>
                <w:rFonts w:ascii="Times New Roman" w:cs="Times New Roman" w:eastAsia="Times New Roman" w:hAnsi="Times New Roman"/>
                <w:sz w:val="20"/>
                <w:szCs w:val="20"/>
                <w:color w:val="auto"/>
              </w:rPr>
              <w:t>GHC ONE CSI, LLC</w:t>
            </w:r>
          </w:p>
        </w:tc>
      </w:tr>
      <w:tr>
        <w:trPr>
          <w:trHeight w:val="277"/>
        </w:trPr>
        <w:tc>
          <w:tcPr>
            <w:tcW w:w="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820" w:type="dxa"/>
            <w:vAlign w:val="bottom"/>
            <w:gridSpan w:val="5"/>
          </w:tcPr>
          <w:p>
            <w:pPr>
              <w:ind w:left="3340"/>
              <w:spacing w:after="0"/>
              <w:rPr>
                <w:sz w:val="20"/>
                <w:szCs w:val="20"/>
                <w:color w:val="auto"/>
              </w:rPr>
            </w:pPr>
            <w:r>
              <w:rPr>
                <w:rFonts w:ascii="Times New Roman" w:cs="Times New Roman" w:eastAsia="Times New Roman" w:hAnsi="Times New Roman"/>
                <w:sz w:val="20"/>
                <w:szCs w:val="20"/>
                <w:color w:val="auto"/>
              </w:rPr>
              <w:t>By: /s/ Justin DeWitte</w:t>
            </w: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r>
      <w:tr>
        <w:trPr>
          <w:trHeight w:val="458"/>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20" w:type="dxa"/>
            <w:vAlign w:val="bottom"/>
            <w:gridSpan w:val="5"/>
          </w:tcPr>
          <w:p>
            <w:pPr>
              <w:ind w:left="3340"/>
              <w:spacing w:after="0"/>
              <w:rPr>
                <w:sz w:val="20"/>
                <w:szCs w:val="20"/>
                <w:color w:val="auto"/>
              </w:rPr>
            </w:pPr>
            <w:r>
              <w:rPr>
                <w:rFonts w:ascii="Times New Roman" w:cs="Times New Roman" w:eastAsia="Times New Roman" w:hAnsi="Times New Roman"/>
                <w:sz w:val="20"/>
                <w:szCs w:val="20"/>
                <w:color w:val="auto"/>
              </w:rPr>
              <w:t>Name: Justin DeWitte</w:t>
            </w:r>
          </w:p>
        </w:tc>
      </w:tr>
      <w:tr>
        <w:trPr>
          <w:trHeight w:val="270"/>
        </w:trPr>
        <w:tc>
          <w:tcPr>
            <w:tcW w:w="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20" w:type="dxa"/>
            <w:vAlign w:val="bottom"/>
            <w:gridSpan w:val="5"/>
          </w:tcPr>
          <w:p>
            <w:pPr>
              <w:ind w:left="3340"/>
              <w:spacing w:after="0"/>
              <w:rPr>
                <w:sz w:val="20"/>
                <w:szCs w:val="20"/>
                <w:color w:val="auto"/>
              </w:rPr>
            </w:pPr>
            <w:r>
              <w:rPr>
                <w:rFonts w:ascii="Times New Roman" w:cs="Times New Roman" w:eastAsia="Times New Roman" w:hAnsi="Times New Roman"/>
                <w:sz w:val="20"/>
                <w:szCs w:val="20"/>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242424"/>
        </w:rPr>
        <w:t>Signature Page to Amendment and Restatement Agreement</w:t>
      </w:r>
    </w:p>
    <w:p>
      <w:pPr>
        <w:sectPr>
          <w:pgSz w:w="11900" w:h="16838" w:orient="portrait"/>
          <w:cols w:equalWidth="0" w:num="1">
            <w:col w:w="10400"/>
          </w:cols>
          <w:pgMar w:left="740" w:top="1440" w:right="759" w:bottom="1440" w:gutter="0" w:footer="0" w:header="0"/>
        </w:sectPr>
      </w:pPr>
    </w:p>
    <w:bookmarkStart w:id="100" w:name="page101"/>
    <w:bookmarkEnd w:id="100"/>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303030"/>
              </w:rPr>
              <w:t>GUARANTORS:</w:t>
            </w:r>
          </w:p>
        </w:tc>
        <w:tc>
          <w:tcPr>
            <w:tcW w:w="5700" w:type="dxa"/>
            <w:vAlign w:val="bottom"/>
            <w:gridSpan w:val="3"/>
          </w:tcPr>
          <w:p>
            <w:pPr>
              <w:ind w:left="2220"/>
              <w:spacing w:after="0"/>
              <w:rPr>
                <w:sz w:val="20"/>
                <w:szCs w:val="20"/>
                <w:color w:val="auto"/>
              </w:rPr>
            </w:pPr>
            <w:r>
              <w:rPr>
                <w:rFonts w:ascii="Times New Roman" w:cs="Times New Roman" w:eastAsia="Times New Roman" w:hAnsi="Times New Roman"/>
                <w:sz w:val="20"/>
                <w:szCs w:val="20"/>
                <w:color w:val="272727"/>
              </w:rPr>
              <w:t>GRAHAM MEDIA GROUP, INC.</w:t>
            </w:r>
          </w:p>
        </w:tc>
      </w:tr>
      <w:tr>
        <w:trPr>
          <w:trHeight w:val="277"/>
        </w:trPr>
        <w:tc>
          <w:tcPr>
            <w:tcW w:w="1400" w:type="dxa"/>
            <w:vAlign w:val="bottom"/>
            <w:tcBorders>
              <w:top w:val="single" w:sz="8" w:color="303030"/>
            </w:tcBorders>
          </w:tcPr>
          <w:p>
            <w:pPr>
              <w:spacing w:after="0"/>
              <w:rPr>
                <w:sz w:val="24"/>
                <w:szCs w:val="24"/>
                <w:color w:val="auto"/>
              </w:rPr>
            </w:pPr>
          </w:p>
        </w:tc>
        <w:tc>
          <w:tcPr>
            <w:tcW w:w="2280" w:type="dxa"/>
            <w:vAlign w:val="bottom"/>
          </w:tcPr>
          <w:p>
            <w:pPr>
              <w:spacing w:after="0"/>
              <w:rPr>
                <w:sz w:val="24"/>
                <w:szCs w:val="24"/>
                <w:color w:val="auto"/>
              </w:rPr>
            </w:pPr>
          </w:p>
        </w:tc>
        <w:tc>
          <w:tcPr>
            <w:tcW w:w="5700" w:type="dxa"/>
            <w:vAlign w:val="bottom"/>
            <w:gridSpan w:val="3"/>
          </w:tcPr>
          <w:p>
            <w:pPr>
              <w:ind w:left="2220"/>
              <w:spacing w:after="0"/>
              <w:rPr>
                <w:sz w:val="20"/>
                <w:szCs w:val="20"/>
                <w:color w:val="auto"/>
              </w:rPr>
            </w:pPr>
            <w:r>
              <w:rPr>
                <w:rFonts w:ascii="Times New Roman" w:cs="Times New Roman" w:eastAsia="Times New Roman" w:hAnsi="Times New Roman"/>
                <w:sz w:val="20"/>
                <w:szCs w:val="20"/>
                <w:color w:val="auto"/>
              </w:rPr>
              <w:t>By: /s/ Catherine Badalamente</w:t>
            </w:r>
          </w:p>
        </w:tc>
      </w:tr>
      <w:tr>
        <w:trPr>
          <w:trHeight w:val="20"/>
        </w:trPr>
        <w:tc>
          <w:tcPr>
            <w:tcW w:w="1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58"/>
        </w:trPr>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700" w:type="dxa"/>
            <w:vAlign w:val="bottom"/>
            <w:gridSpan w:val="3"/>
          </w:tcPr>
          <w:p>
            <w:pPr>
              <w:ind w:left="2220"/>
              <w:spacing w:after="0"/>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20"/>
                <w:szCs w:val="20"/>
                <w:color w:val="2A2A2A"/>
              </w:rPr>
              <w:t>Catherine Badalamente</w:t>
            </w:r>
          </w:p>
        </w:tc>
      </w:tr>
      <w:tr>
        <w:trPr>
          <w:trHeight w:val="432"/>
        </w:trPr>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700" w:type="dxa"/>
            <w:vAlign w:val="bottom"/>
            <w:gridSpan w:val="3"/>
          </w:tcPr>
          <w:p>
            <w:pPr>
              <w:ind w:left="2220"/>
              <w:spacing w:after="0"/>
              <w:rPr>
                <w:sz w:val="20"/>
                <w:szCs w:val="20"/>
                <w:color w:val="auto"/>
              </w:rPr>
            </w:pPr>
            <w:r>
              <w:rPr>
                <w:rFonts w:ascii="Times New Roman" w:cs="Times New Roman" w:eastAsia="Times New Roman" w:hAnsi="Times New Roman"/>
                <w:sz w:val="20"/>
                <w:szCs w:val="20"/>
                <w:color w:val="auto"/>
                <w:w w:val="97"/>
              </w:rPr>
              <w:t xml:space="preserve">Title: </w:t>
            </w:r>
            <w:r>
              <w:rPr>
                <w:rFonts w:ascii="Times New Roman" w:cs="Times New Roman" w:eastAsia="Times New Roman" w:hAnsi="Times New Roman"/>
                <w:sz w:val="20"/>
                <w:szCs w:val="20"/>
                <w:color w:val="272727"/>
                <w:w w:val="97"/>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0"/>
          <w:szCs w:val="20"/>
          <w:color w:val="272727"/>
        </w:rPr>
        <w:t>KAPLAN, INC.</w:t>
      </w:r>
    </w:p>
    <w:p>
      <w:pPr>
        <w:spacing w:after="0" w:line="6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2A2A2A"/>
        </w:rPr>
        <w:t>Matthew Seelye</w:t>
      </w:r>
    </w:p>
    <w:p>
      <w:pPr>
        <w:spacing w:after="0" w:line="20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20"/>
          <w:szCs w:val="20"/>
          <w:color w:val="2A2A2A"/>
        </w:rPr>
        <w:t>Matthew Seelye</w:t>
      </w:r>
    </w:p>
    <w:p>
      <w:pPr>
        <w:spacing w:after="0" w:line="20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9"/>
          <w:szCs w:val="19"/>
          <w:color w:val="auto"/>
        </w:rPr>
        <w:t xml:space="preserve">Title: </w:t>
      </w:r>
      <w:r>
        <w:rPr>
          <w:rFonts w:ascii="Times New Roman" w:cs="Times New Roman" w:eastAsia="Times New Roman" w:hAnsi="Times New Roman"/>
          <w:sz w:val="19"/>
          <w:szCs w:val="19"/>
          <w:color w:val="2A2A2A"/>
        </w:rPr>
        <w:t>Executive Vice President and Chief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2B2B2B"/>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0"/>
          <w:szCs w:val="20"/>
          <w:color w:val="272727"/>
        </w:rPr>
        <w:t xml:space="preserve">GRAHAM </w:t>
      </w:r>
      <w:r>
        <w:rPr>
          <w:rFonts w:ascii="Times New Roman" w:cs="Times New Roman" w:eastAsia="Times New Roman" w:hAnsi="Times New Roman"/>
          <w:sz w:val="20"/>
          <w:szCs w:val="20"/>
          <w:color w:val="2B2B2B"/>
        </w:rPr>
        <w:t>AUTOMOTIVE</w:t>
      </w:r>
      <w:r>
        <w:rPr>
          <w:rFonts w:ascii="Times New Roman" w:cs="Times New Roman" w:eastAsia="Times New Roman" w:hAnsi="Times New Roman"/>
          <w:sz w:val="20"/>
          <w:szCs w:val="20"/>
          <w:color w:val="272727"/>
        </w:rPr>
        <w:t xml:space="preserve"> LLC</w:t>
      </w:r>
    </w:p>
    <w:p>
      <w:pPr>
        <w:spacing w:after="0" w:line="6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2C2C2C"/>
        </w:rPr>
        <w:t>Jacob M. Maas</w:t>
      </w:r>
    </w:p>
    <w:p>
      <w:pPr>
        <w:spacing w:after="0" w:line="20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20"/>
          <w:szCs w:val="20"/>
          <w:color w:val="2C2C2C"/>
        </w:rPr>
        <w:t>Jacob M. Maas</w:t>
      </w:r>
    </w:p>
    <w:p>
      <w:pPr>
        <w:spacing w:after="0" w:line="20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0"/>
          <w:szCs w:val="20"/>
          <w:color w:val="2A2A2A"/>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0"/>
          <w:szCs w:val="20"/>
          <w:color w:val="272727"/>
        </w:rPr>
        <w:t xml:space="preserve">GRAHAM </w:t>
      </w:r>
      <w:r>
        <w:rPr>
          <w:rFonts w:ascii="Times New Roman" w:cs="Times New Roman" w:eastAsia="Times New Roman" w:hAnsi="Times New Roman"/>
          <w:sz w:val="20"/>
          <w:szCs w:val="20"/>
          <w:color w:val="2C2C2C"/>
        </w:rPr>
        <w:t>HEALTHCARE</w:t>
      </w:r>
      <w:r>
        <w:rPr>
          <w:rFonts w:ascii="Times New Roman" w:cs="Times New Roman" w:eastAsia="Times New Roman" w:hAnsi="Times New Roman"/>
          <w:sz w:val="20"/>
          <w:szCs w:val="20"/>
          <w:color w:val="272727"/>
        </w:rPr>
        <w:t xml:space="preserve"> GROUP, INC.</w:t>
      </w:r>
    </w:p>
    <w:p>
      <w:pPr>
        <w:spacing w:after="0" w:line="6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2A2A2A"/>
        </w:rPr>
        <w:t>Justin DeWitte</w:t>
      </w:r>
    </w:p>
    <w:p>
      <w:pPr>
        <w:spacing w:after="0" w:line="20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20"/>
          <w:szCs w:val="20"/>
          <w:color w:val="2A2A2A"/>
        </w:rPr>
        <w:t>Justin DeWitte</w:t>
      </w:r>
    </w:p>
    <w:p>
      <w:pPr>
        <w:spacing w:after="0" w:line="20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0"/>
          <w:szCs w:val="20"/>
          <w:color w:val="auto"/>
        </w:rPr>
        <w:t>Title: CEO</w:t>
      </w:r>
    </w:p>
    <w:p>
      <w:pPr>
        <w:sectPr>
          <w:pgSz w:w="11900" w:h="16838" w:orient="portrait"/>
          <w:cols w:equalWidth="0" w:num="1">
            <w:col w:w="10580"/>
          </w:cols>
          <w:pgMar w:left="540" w:top="1440"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color w:val="242424"/>
        </w:rPr>
        <w:t>Signature Page to Amendment and Restatement Agreement</w:t>
      </w:r>
    </w:p>
    <w:p>
      <w:pPr>
        <w:sectPr>
          <w:pgSz w:w="11900" w:h="16838" w:orient="portrait"/>
          <w:cols w:equalWidth="0" w:num="1">
            <w:col w:w="10580"/>
          </w:cols>
          <w:pgMar w:left="540" w:top="1440" w:right="779" w:bottom="1440" w:gutter="0" w:footer="0" w:header="0"/>
          <w:type w:val="continuous"/>
        </w:sectPr>
      </w:pPr>
    </w:p>
    <w:bookmarkStart w:id="101" w:name="page102"/>
    <w:bookmarkEnd w:id="101"/>
    <w:p>
      <w:pPr>
        <w:spacing w:after="0" w:line="37" w:lineRule="exact"/>
        <w:rPr>
          <w:sz w:val="20"/>
          <w:szCs w:val="20"/>
          <w:color w:val="auto"/>
        </w:rPr>
      </w:pPr>
    </w:p>
    <w:p>
      <w:pPr>
        <w:spacing w:after="0"/>
        <w:tabs>
          <w:tab w:leader="none" w:pos="5580" w:val="left"/>
        </w:tabs>
        <w:rPr>
          <w:sz w:val="20"/>
          <w:szCs w:val="20"/>
          <w:color w:val="auto"/>
        </w:rPr>
      </w:pPr>
      <w:r>
        <w:rPr>
          <w:rFonts w:ascii="Times New Roman" w:cs="Times New Roman" w:eastAsia="Times New Roman" w:hAnsi="Times New Roman"/>
          <w:sz w:val="20"/>
          <w:szCs w:val="20"/>
          <w:b w:val="1"/>
          <w:bCs w:val="1"/>
          <w:u w:val="single" w:color="auto"/>
          <w:color w:val="auto"/>
        </w:rPr>
        <w:t>ADMINISTRATIVE AGENT:</w:t>
      </w:r>
      <w:r>
        <w:rPr>
          <w:sz w:val="20"/>
          <w:szCs w:val="20"/>
          <w:color w:val="auto"/>
        </w:rPr>
        <w:tab/>
      </w:r>
      <w:r>
        <w:rPr>
          <w:rFonts w:ascii="Times New Roman" w:cs="Times New Roman" w:eastAsia="Times New Roman" w:hAnsi="Times New Roman"/>
          <w:sz w:val="19"/>
          <w:szCs w:val="19"/>
          <w:color w:val="auto"/>
        </w:rPr>
        <w:t>WELLS FARGO BANK, NATIONAL</w:t>
      </w:r>
    </w:p>
    <w:p>
      <w:pPr>
        <w:spacing w:after="0" w:line="7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9"/>
          <w:szCs w:val="19"/>
          <w:color w:val="auto"/>
        </w:rPr>
        <w:t>ASSOCIATION, a national banking association, as</w:t>
      </w:r>
    </w:p>
    <w:p>
      <w:pPr>
        <w:spacing w:after="0" w:line="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Administrative Agent</w:t>
      </w:r>
    </w:p>
    <w:p>
      <w:pPr>
        <w:spacing w:after="0" w:line="1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8"/>
          <w:szCs w:val="18"/>
          <w:u w:val="single" w:color="auto"/>
          <w:color w:val="auto"/>
        </w:rPr>
        <w:t>Timothy Favinger</w:t>
      </w:r>
    </w:p>
    <w:p>
      <w:pPr>
        <w:spacing w:after="0" w:line="20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18"/>
          <w:szCs w:val="18"/>
          <w:color w:val="auto"/>
        </w:rPr>
        <w:t>Timothy Favinger</w:t>
      </w:r>
    </w:p>
    <w:p>
      <w:pPr>
        <w:spacing w:after="0" w:line="20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9"/>
          <w:szCs w:val="19"/>
          <w:color w:val="auto"/>
        </w:rPr>
        <w:t>Signature Page to Amendment and Restatement Agreement</w:t>
      </w:r>
    </w:p>
    <w:p>
      <w:pPr>
        <w:sectPr>
          <w:pgSz w:w="11900" w:h="16838" w:orient="portrait"/>
          <w:cols w:equalWidth="0" w:num="1">
            <w:col w:w="9819"/>
          </w:cols>
          <w:pgMar w:left="640" w:top="1440" w:right="1440" w:bottom="1440" w:gutter="0" w:footer="0" w:header="0"/>
        </w:sectPr>
      </w:pPr>
    </w:p>
    <w:bookmarkStart w:id="102" w:name="page103"/>
    <w:bookmarkEnd w:id="102"/>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6"/>
              </w:rPr>
              <w:t>LENDERS:</w:t>
            </w:r>
          </w:p>
        </w:tc>
        <w:tc>
          <w:tcPr>
            <w:tcW w:w="8280" w:type="dxa"/>
            <w:vAlign w:val="bottom"/>
            <w:gridSpan w:val="3"/>
          </w:tcPr>
          <w:p>
            <w:pPr>
              <w:ind w:left="3800"/>
              <w:spacing w:after="0"/>
              <w:rPr>
                <w:sz w:val="20"/>
                <w:szCs w:val="20"/>
                <w:color w:val="auto"/>
              </w:rPr>
            </w:pPr>
            <w:r>
              <w:rPr>
                <w:rFonts w:ascii="Times New Roman" w:cs="Times New Roman" w:eastAsia="Times New Roman" w:hAnsi="Times New Roman"/>
                <w:sz w:val="20"/>
                <w:szCs w:val="20"/>
                <w:color w:val="auto"/>
                <w:w w:val="97"/>
              </w:rPr>
              <w:t>WELLS FARGO BANK, NATIONAL ASSOCIATION,</w:t>
            </w:r>
          </w:p>
        </w:tc>
      </w:tr>
      <w:tr>
        <w:trPr>
          <w:trHeight w:val="323"/>
        </w:trPr>
        <w:tc>
          <w:tcPr>
            <w:tcW w:w="1000" w:type="dxa"/>
            <w:vAlign w:val="bottom"/>
          </w:tcPr>
          <w:p>
            <w:pPr>
              <w:spacing w:after="0"/>
              <w:rPr>
                <w:sz w:val="24"/>
                <w:szCs w:val="24"/>
                <w:color w:val="auto"/>
              </w:rPr>
            </w:pPr>
          </w:p>
        </w:tc>
        <w:tc>
          <w:tcPr>
            <w:tcW w:w="8280" w:type="dxa"/>
            <w:vAlign w:val="bottom"/>
            <w:gridSpan w:val="3"/>
          </w:tcPr>
          <w:p>
            <w:pPr>
              <w:ind w:left="3800"/>
              <w:spacing w:after="0"/>
              <w:rPr>
                <w:sz w:val="20"/>
                <w:szCs w:val="20"/>
                <w:color w:val="auto"/>
              </w:rPr>
            </w:pPr>
            <w:r>
              <w:rPr>
                <w:rFonts w:ascii="Times New Roman" w:cs="Times New Roman" w:eastAsia="Times New Roman" w:hAnsi="Times New Roman"/>
                <w:sz w:val="20"/>
                <w:szCs w:val="20"/>
                <w:color w:val="auto"/>
              </w:rPr>
              <w:t>as a Lender and an Issuing Lender</w:t>
            </w:r>
          </w:p>
        </w:tc>
      </w:tr>
      <w:tr>
        <w:trPr>
          <w:trHeight w:val="223"/>
        </w:trPr>
        <w:tc>
          <w:tcPr>
            <w:tcW w:w="1000" w:type="dxa"/>
            <w:vAlign w:val="bottom"/>
          </w:tcPr>
          <w:p>
            <w:pPr>
              <w:spacing w:after="0"/>
              <w:rPr>
                <w:sz w:val="19"/>
                <w:szCs w:val="19"/>
                <w:color w:val="auto"/>
              </w:rPr>
            </w:pPr>
          </w:p>
        </w:tc>
        <w:tc>
          <w:tcPr>
            <w:tcW w:w="8280" w:type="dxa"/>
            <w:vAlign w:val="bottom"/>
            <w:gridSpan w:val="3"/>
          </w:tcPr>
          <w:p>
            <w:pPr>
              <w:ind w:left="3800"/>
              <w:spacing w:after="0" w:line="224" w:lineRule="exact"/>
              <w:rPr>
                <w:sz w:val="20"/>
                <w:szCs w:val="20"/>
                <w:color w:val="auto"/>
              </w:rPr>
            </w:pPr>
            <w:r>
              <w:rPr>
                <w:rFonts w:ascii="Times New Roman" w:cs="Times New Roman" w:eastAsia="Times New Roman" w:hAnsi="Times New Roman"/>
                <w:sz w:val="20"/>
                <w:szCs w:val="20"/>
                <w:color w:val="auto"/>
              </w:rPr>
              <w:t xml:space="preserve">By: /s/ </w:t>
            </w:r>
            <w:r>
              <w:rPr>
                <w:rFonts w:ascii="Times New Roman" w:cs="Times New Roman" w:eastAsia="Times New Roman" w:hAnsi="Times New Roman"/>
                <w:sz w:val="18"/>
                <w:szCs w:val="18"/>
                <w:color w:val="auto"/>
              </w:rPr>
              <w:t>Timothy Favinger</w:t>
            </w:r>
          </w:p>
        </w:tc>
      </w:tr>
      <w:tr>
        <w:trPr>
          <w:trHeight w:val="20"/>
        </w:trPr>
        <w:tc>
          <w:tcPr>
            <w:tcW w:w="10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459"/>
        </w:trPr>
        <w:tc>
          <w:tcPr>
            <w:tcW w:w="1000" w:type="dxa"/>
            <w:vAlign w:val="bottom"/>
          </w:tcPr>
          <w:p>
            <w:pPr>
              <w:spacing w:after="0"/>
              <w:rPr>
                <w:sz w:val="24"/>
                <w:szCs w:val="24"/>
                <w:color w:val="auto"/>
              </w:rPr>
            </w:pPr>
          </w:p>
        </w:tc>
        <w:tc>
          <w:tcPr>
            <w:tcW w:w="8280" w:type="dxa"/>
            <w:vAlign w:val="bottom"/>
            <w:gridSpan w:val="3"/>
          </w:tcPr>
          <w:p>
            <w:pPr>
              <w:ind w:left="3800"/>
              <w:spacing w:after="0"/>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18"/>
                <w:szCs w:val="18"/>
                <w:color w:val="auto"/>
              </w:rPr>
              <w:t>Timothy Favinger</w:t>
            </w:r>
          </w:p>
        </w:tc>
      </w:tr>
      <w:tr>
        <w:trPr>
          <w:trHeight w:val="432"/>
        </w:trPr>
        <w:tc>
          <w:tcPr>
            <w:tcW w:w="1000" w:type="dxa"/>
            <w:vAlign w:val="bottom"/>
          </w:tcPr>
          <w:p>
            <w:pPr>
              <w:spacing w:after="0"/>
              <w:rPr>
                <w:sz w:val="24"/>
                <w:szCs w:val="24"/>
                <w:color w:val="auto"/>
              </w:rPr>
            </w:pPr>
          </w:p>
        </w:tc>
        <w:tc>
          <w:tcPr>
            <w:tcW w:w="8280" w:type="dxa"/>
            <w:vAlign w:val="bottom"/>
            <w:gridSpan w:val="3"/>
          </w:tcPr>
          <w:p>
            <w:pPr>
              <w:ind w:left="3800"/>
              <w:spacing w:after="0"/>
              <w:rPr>
                <w:sz w:val="20"/>
                <w:szCs w:val="20"/>
                <w:color w:val="auto"/>
              </w:rPr>
            </w:pPr>
            <w:r>
              <w:rPr>
                <w:rFonts w:ascii="Times New Roman" w:cs="Times New Roman" w:eastAsia="Times New Roman" w:hAnsi="Times New Roman"/>
                <w:sz w:val="20"/>
                <w:szCs w:val="20"/>
                <w:color w:val="auto"/>
              </w:rPr>
              <w:t>Title: 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9"/>
          <w:szCs w:val="19"/>
          <w:color w:val="auto"/>
        </w:rPr>
        <w:t>Signature Page to Amendment and Restatement Agreement</w:t>
      </w:r>
    </w:p>
    <w:p>
      <w:pPr>
        <w:sectPr>
          <w:pgSz w:w="11900" w:h="16838" w:orient="portrait"/>
          <w:cols w:equalWidth="0" w:num="1">
            <w:col w:w="9819"/>
          </w:cols>
          <w:pgMar w:left="640" w:top="1440" w:right="1440" w:bottom="1440" w:gutter="0" w:footer="0" w:header="0"/>
        </w:sectPr>
      </w:pPr>
    </w:p>
    <w:bookmarkStart w:id="103" w:name="page104"/>
    <w:bookmarkEnd w:id="103"/>
    <w:p>
      <w:pPr>
        <w:spacing w:after="0" w:line="4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9"/>
          <w:szCs w:val="19"/>
          <w:color w:val="auto"/>
        </w:rPr>
        <w:t>JPMORGAN CHASE BANK, N.A.,</w:t>
      </w:r>
    </w:p>
    <w:p>
      <w:pPr>
        <w:spacing w:after="0" w:line="7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as a Lender and an Issuing Lender</w:t>
      </w:r>
    </w:p>
    <w:p>
      <w:pPr>
        <w:spacing w:after="0" w:line="4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8"/>
          <w:szCs w:val="18"/>
          <w:u w:val="single" w:color="auto"/>
          <w:color w:val="auto"/>
        </w:rPr>
        <w:t>Richard Barritt</w:t>
      </w:r>
    </w:p>
    <w:p>
      <w:pPr>
        <w:spacing w:after="0" w:line="19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18"/>
          <w:szCs w:val="18"/>
          <w:color w:val="auto"/>
        </w:rPr>
        <w:t>Richard Barritt</w:t>
      </w:r>
    </w:p>
    <w:p>
      <w:pPr>
        <w:spacing w:after="0" w:line="20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Amendment and Restatement Agreement</w:t>
      </w:r>
    </w:p>
    <w:p>
      <w:pPr>
        <w:sectPr>
          <w:pgSz w:w="11900" w:h="16838" w:orient="portrait"/>
          <w:cols w:equalWidth="0" w:num="1">
            <w:col w:w="9019"/>
          </w:cols>
          <w:pgMar w:left="1440" w:top="1440" w:right="1440" w:bottom="1440" w:gutter="0" w:footer="0" w:header="0"/>
        </w:sectPr>
      </w:pPr>
    </w:p>
    <w:bookmarkStart w:id="104" w:name="page105"/>
    <w:bookmarkEnd w:id="104"/>
    <w:p>
      <w:pPr>
        <w:spacing w:after="0" w:line="4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9"/>
          <w:szCs w:val="19"/>
          <w:color w:val="auto"/>
        </w:rPr>
        <w:t>HSBC BANK USA, NATIONAL ASSOCIATION,</w:t>
      </w:r>
    </w:p>
    <w:p>
      <w:pPr>
        <w:spacing w:after="0" w:line="7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as a Lender</w:t>
      </w:r>
    </w:p>
    <w:p>
      <w:pPr>
        <w:spacing w:after="0" w:line="4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Ketak Sampat</w:t>
      </w:r>
    </w:p>
    <w:p>
      <w:pPr>
        <w:spacing w:after="0" w:line="20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Name: Ketak Sampat</w:t>
      </w:r>
    </w:p>
    <w:p>
      <w:pPr>
        <w:spacing w:after="0" w:line="20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Amendment and Restatement Agreement</w:t>
      </w:r>
    </w:p>
    <w:p>
      <w:pPr>
        <w:sectPr>
          <w:pgSz w:w="11900" w:h="16838" w:orient="portrait"/>
          <w:cols w:equalWidth="0" w:num="1">
            <w:col w:w="9019"/>
          </w:cols>
          <w:pgMar w:left="1440" w:top="1440" w:right="1440" w:bottom="1440" w:gutter="0" w:footer="0" w:header="0"/>
        </w:sectPr>
      </w:pPr>
    </w:p>
    <w:bookmarkStart w:id="105" w:name="page106"/>
    <w:bookmarkEnd w:id="105"/>
    <w:p>
      <w:pPr>
        <w:spacing w:after="0" w:line="4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BANK OF AMERICA, N.A.,</w:t>
      </w:r>
    </w:p>
    <w:p>
      <w:pPr>
        <w:spacing w:after="0" w:line="6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as a Lender and an Issuing Lender</w:t>
      </w:r>
    </w:p>
    <w:p>
      <w:pPr>
        <w:spacing w:after="0" w:line="4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Colleen Landau</w:t>
      </w:r>
    </w:p>
    <w:p>
      <w:pPr>
        <w:spacing w:after="0" w:line="20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Name: Colleen Landau</w:t>
      </w:r>
    </w:p>
    <w:p>
      <w:pPr>
        <w:spacing w:after="0" w:line="20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Amendment and Restatement Agreement</w:t>
      </w:r>
    </w:p>
    <w:p>
      <w:pPr>
        <w:sectPr>
          <w:pgSz w:w="11900" w:h="16838" w:orient="portrait"/>
          <w:cols w:equalWidth="0" w:num="1">
            <w:col w:w="9019"/>
          </w:cols>
          <w:pgMar w:left="1440" w:top="1440" w:right="1440" w:bottom="1440" w:gutter="0" w:footer="0" w:header="0"/>
        </w:sectPr>
      </w:pPr>
    </w:p>
    <w:bookmarkStart w:id="106" w:name="page107"/>
    <w:bookmarkEnd w:id="106"/>
    <w:p>
      <w:pPr>
        <w:spacing w:after="0" w:line="3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8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as a Lender</w:t>
      </w:r>
    </w:p>
    <w:p>
      <w:pPr>
        <w:spacing w:after="0" w:line="4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David Notaro</w:t>
      </w:r>
    </w:p>
    <w:p>
      <w:pPr>
        <w:spacing w:after="0" w:line="20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Name: David Notaro</w:t>
      </w:r>
    </w:p>
    <w:p>
      <w:pPr>
        <w:spacing w:after="0" w:line="4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Amendment and Restatement Agreement</w:t>
      </w:r>
    </w:p>
    <w:p>
      <w:pPr>
        <w:sectPr>
          <w:pgSz w:w="11900" w:h="16838" w:orient="portrait"/>
          <w:cols w:equalWidth="0" w:num="1">
            <w:col w:w="9019"/>
          </w:cols>
          <w:pgMar w:left="1440" w:top="1440" w:right="1440" w:bottom="1440" w:gutter="0" w:footer="0" w:header="0"/>
        </w:sectPr>
      </w:pPr>
    </w:p>
    <w:bookmarkStart w:id="107" w:name="page108"/>
    <w:bookmarkEnd w:id="107"/>
    <w:p>
      <w:pPr>
        <w:spacing w:after="0" w:line="3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9"/>
          <w:szCs w:val="19"/>
          <w:color w:val="auto"/>
        </w:rPr>
        <w:t>THE BANK OF NEW YORK MELLON,</w:t>
      </w:r>
    </w:p>
    <w:p>
      <w:pPr>
        <w:spacing w:after="0" w:line="6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as a Lender</w:t>
      </w:r>
    </w:p>
    <w:p>
      <w:pPr>
        <w:spacing w:after="0" w:line="4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Yipeng Zhang</w:t>
      </w:r>
    </w:p>
    <w:p>
      <w:pPr>
        <w:spacing w:after="0" w:line="20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Name: Yipeng Zhang</w:t>
      </w:r>
    </w:p>
    <w:p>
      <w:pPr>
        <w:spacing w:after="0" w:line="4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Amendment and Restatement Agreement</w:t>
      </w:r>
    </w:p>
    <w:p>
      <w:pPr>
        <w:sectPr>
          <w:pgSz w:w="11900" w:h="16838" w:orient="portrait"/>
          <w:cols w:equalWidth="0" w:num="1">
            <w:col w:w="9019"/>
          </w:cols>
          <w:pgMar w:left="1440" w:top="1440" w:right="1440" w:bottom="1440" w:gutter="0" w:footer="0" w:header="0"/>
        </w:sectPr>
      </w:pPr>
    </w:p>
    <w:bookmarkStart w:id="108" w:name="page109"/>
    <w:bookmarkEnd w:id="108"/>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AMENDED AND RESTATED CREDIT AGREEMENT</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[Attached]</w:t>
      </w:r>
    </w:p>
    <w:p>
      <w:pPr>
        <w:sectPr>
          <w:pgSz w:w="11900" w:h="16838" w:orient="portrait"/>
          <w:cols w:equalWidth="0" w:num="1">
            <w:col w:w="9019"/>
          </w:cols>
          <w:pgMar w:left="1440" w:top="1440" w:right="1440" w:bottom="1440" w:gutter="0" w:footer="0" w:header="0"/>
        </w:sectPr>
      </w:pPr>
    </w:p>
    <w:bookmarkStart w:id="109" w:name="page110"/>
    <w:bookmarkEnd w:id="109"/>
    <w:p>
      <w:pPr>
        <w:ind w:left="1460"/>
        <w:spacing w:after="0"/>
        <w:rPr>
          <w:sz w:val="20"/>
          <w:szCs w:val="20"/>
          <w:color w:val="auto"/>
        </w:rPr>
      </w:pPr>
      <w:r>
        <w:rPr>
          <w:rFonts w:ascii="Times New Roman" w:cs="Times New Roman" w:eastAsia="Times New Roman" w:hAnsi="Times New Roman"/>
          <w:sz w:val="21"/>
          <w:szCs w:val="21"/>
          <w:b w:val="1"/>
          <w:bCs w:val="1"/>
          <w:i w:val="1"/>
          <w:iCs w:val="1"/>
          <w:color w:val="auto"/>
        </w:rPr>
        <w:t>Conformed through the Amendment and Restatement Agreement, dated as of November 24, 2025</w:t>
      </w:r>
    </w:p>
    <w:p>
      <w:pPr>
        <w:spacing w:after="0" w:line="38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Revolving Facility $400,000,000</w:t>
      </w:r>
    </w:p>
    <w:p>
      <w:pPr>
        <w:spacing w:after="0" w:line="2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THIRD AMENDED AND RESTATED FIVE YEAR CREDIT AGREEMENT</w:t>
      </w:r>
    </w:p>
    <w:p>
      <w:pPr>
        <w:spacing w:after="0" w:line="25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Dated as of November 24, 2025</w:t>
      </w:r>
    </w:p>
    <w:p>
      <w:pPr>
        <w:spacing w:after="0" w:line="26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Among</w:t>
      </w:r>
    </w:p>
    <w:p>
      <w:pPr>
        <w:spacing w:after="0" w:line="12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b w:val="1"/>
          <w:bCs w:val="1"/>
          <w:color w:val="auto"/>
        </w:rPr>
        <w:t>GRAHAM HOLDINGS COMPANY</w:t>
      </w:r>
    </w:p>
    <w:p>
      <w:pPr>
        <w:spacing w:after="0" w:line="12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u w:val="single" w:color="auto"/>
          <w:color w:val="auto"/>
        </w:rPr>
        <w:t>as Company</w:t>
      </w:r>
      <w:r>
        <w:rPr>
          <w:rFonts w:ascii="Times New Roman" w:cs="Times New Roman" w:eastAsia="Times New Roman" w:hAnsi="Times New Roman"/>
          <w:sz w:val="22"/>
          <w:szCs w:val="22"/>
          <w:color w:val="auto"/>
        </w:rPr>
        <w:t>,</w:t>
      </w:r>
    </w:p>
    <w:p>
      <w:pPr>
        <w:spacing w:after="0" w:line="12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auto"/>
        </w:rPr>
        <w:t>KAPLAN U.K. LIMITED</w:t>
      </w:r>
    </w:p>
    <w:p>
      <w:pPr>
        <w:spacing w:after="0" w:line="1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u w:val="single" w:color="auto"/>
          <w:color w:val="auto"/>
        </w:rPr>
        <w:t>as a Foreign Borrower</w:t>
      </w:r>
      <w:r>
        <w:rPr>
          <w:rFonts w:ascii="Times New Roman" w:cs="Times New Roman" w:eastAsia="Times New Roman" w:hAnsi="Times New Roman"/>
          <w:sz w:val="22"/>
          <w:szCs w:val="22"/>
          <w:color w:val="auto"/>
        </w:rPr>
        <w:t>,</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THE OTHER FOREIGN BORROWERS FROM TIME TO TIME PARTY HERETO</w:t>
      </w:r>
    </w:p>
    <w:p>
      <w:pPr>
        <w:spacing w:after="0" w:line="12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u w:val="single" w:color="auto"/>
          <w:color w:val="auto"/>
        </w:rPr>
        <w:t>as Foreign Borrowers</w:t>
      </w:r>
      <w:r>
        <w:rPr>
          <w:rFonts w:ascii="Times New Roman" w:cs="Times New Roman" w:eastAsia="Times New Roman" w:hAnsi="Times New Roman"/>
          <w:sz w:val="22"/>
          <w:szCs w:val="22"/>
          <w:color w:val="auto"/>
        </w:rPr>
        <w:t>,</w:t>
      </w:r>
    </w:p>
    <w:p>
      <w:pPr>
        <w:spacing w:after="0" w:line="13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b w:val="1"/>
          <w:bCs w:val="1"/>
          <w:color w:val="auto"/>
        </w:rPr>
        <w:t>THE GUARANTORS FROM TIME TO TIME PARTY HERETO</w:t>
      </w:r>
    </w:p>
    <w:p>
      <w:pPr>
        <w:spacing w:after="0" w:line="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auto"/>
        </w:rPr>
        <w:t>as Guarantors</w:t>
      </w:r>
      <w:r>
        <w:rPr>
          <w:rFonts w:ascii="Times New Roman" w:cs="Times New Roman" w:eastAsia="Times New Roman" w:hAnsi="Times New Roman"/>
          <w:sz w:val="22"/>
          <w:szCs w:val="22"/>
          <w:color w:val="auto"/>
        </w:rPr>
        <w:t>,</w:t>
      </w:r>
    </w:p>
    <w:p>
      <w:pPr>
        <w:spacing w:after="0" w:line="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THE INITIAL LENDERS NAMED HEREIN</w:t>
      </w:r>
    </w:p>
    <w:p>
      <w:pPr>
        <w:spacing w:after="0" w:line="10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auto"/>
        </w:rPr>
        <w:t>as Initial Lenders,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and</w:t>
      </w:r>
    </w:p>
    <w:p>
      <w:pPr>
        <w:spacing w:after="0" w:line="1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WELLS FARGO BANK, NATIONAL ASSOCIATION</w:t>
      </w:r>
    </w:p>
    <w:p>
      <w:pPr>
        <w:spacing w:after="0" w:line="1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auto"/>
        </w:rPr>
        <w:t>as Administrative Agent and an Issuing Lender</w:t>
      </w:r>
    </w:p>
    <w:p>
      <w:pPr>
        <w:spacing w:after="0" w:line="37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b w:val="1"/>
          <w:bCs w:val="1"/>
          <w:color w:val="auto"/>
        </w:rPr>
        <w:t>JPMORGAN CHASE BANK, N.A.</w:t>
      </w:r>
    </w:p>
    <w:p>
      <w:pPr>
        <w:spacing w:after="0" w:line="12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u w:val="single" w:color="auto"/>
          <w:color w:val="auto"/>
        </w:rPr>
        <w:t>as Syndication Agent and an Issuing Lender</w:t>
      </w:r>
    </w:p>
    <w:p>
      <w:pPr>
        <w:spacing w:after="0" w:line="12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HSBC BANK USA, NATIONAL ASSOCIATION</w:t>
      </w:r>
    </w:p>
    <w:p>
      <w:pPr>
        <w:spacing w:after="0" w:line="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auto"/>
        </w:rPr>
        <w:t>as Documentation Agent</w:t>
      </w:r>
    </w:p>
    <w:p>
      <w:pPr>
        <w:spacing w:after="0" w:line="2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BANK OF AMERICA, N.A.</w:t>
      </w:r>
    </w:p>
    <w:p>
      <w:pPr>
        <w:spacing w:after="0" w:line="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auto"/>
        </w:rPr>
        <w:t>as Documentation Agent and an Issuing Lender</w:t>
      </w:r>
    </w:p>
    <w:p>
      <w:pPr>
        <w:spacing w:after="0" w:line="2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WELLS FARGO SECURITIES, LLC</w:t>
      </w:r>
    </w:p>
    <w:p>
      <w:pPr>
        <w:spacing w:after="0" w:line="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JPMORGAN CHASE BANK, N.A.</w:t>
      </w:r>
    </w:p>
    <w:p>
      <w:pPr>
        <w:spacing w:after="0" w:line="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auto"/>
        </w:rPr>
        <w:t>as Joint Lead Arrangers and Joint Book Managers</w:t>
      </w:r>
    </w:p>
    <w:p>
      <w:pPr>
        <w:sectPr>
          <w:pgSz w:w="11900" w:h="16838" w:orient="portrait"/>
          <w:cols w:equalWidth="0" w:num="1">
            <w:col w:w="10120"/>
          </w:cols>
          <w:pgMar w:left="1440" w:top="1416" w:right="339" w:bottom="1440" w:gutter="0" w:footer="0" w:header="0"/>
        </w:sectPr>
      </w:pPr>
    </w:p>
    <w:bookmarkStart w:id="110" w:name="page111"/>
    <w:bookmarkEnd w:id="110"/>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391"/>
        </w:trPr>
        <w:tc>
          <w:tcPr>
            <w:tcW w:w="540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ARTICLE I DEFINITIONS AND ACCOUNTING TERMS</w:t>
            </w:r>
          </w:p>
        </w:tc>
        <w:tc>
          <w:tcPr>
            <w:tcW w:w="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w:t>
            </w:r>
          </w:p>
        </w:tc>
        <w:tc>
          <w:tcPr>
            <w:tcW w:w="5280" w:type="dxa"/>
            <w:vAlign w:val="bottom"/>
          </w:tcPr>
          <w:p>
            <w:pPr>
              <w:spacing w:after="0"/>
              <w:rPr>
                <w:sz w:val="24"/>
                <w:szCs w:val="24"/>
                <w:color w:val="auto"/>
              </w:rPr>
            </w:pPr>
          </w:p>
        </w:tc>
      </w:tr>
      <w:tr>
        <w:trPr>
          <w:trHeight w:val="406"/>
        </w:trPr>
        <w:tc>
          <w:tcPr>
            <w:tcW w:w="2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1.01.</w:t>
            </w:r>
          </w:p>
        </w:tc>
        <w:tc>
          <w:tcPr>
            <w:tcW w:w="212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w w:val="96"/>
              </w:rPr>
              <w:t>Certain Defined Terms</w:t>
            </w:r>
          </w:p>
        </w:tc>
        <w:tc>
          <w:tcPr>
            <w:tcW w:w="70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1</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257"/>
        </w:trPr>
        <w:tc>
          <w:tcPr>
            <w:tcW w:w="2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1.02.</w:t>
            </w:r>
          </w:p>
        </w:tc>
        <w:tc>
          <w:tcPr>
            <w:tcW w:w="2820" w:type="dxa"/>
            <w:vAlign w:val="bottom"/>
            <w:gridSpan w:val="6"/>
          </w:tcPr>
          <w:p>
            <w:pPr>
              <w:ind w:left="140"/>
              <w:spacing w:after="0"/>
              <w:rPr>
                <w:sz w:val="20"/>
                <w:szCs w:val="20"/>
                <w:color w:val="auto"/>
              </w:rPr>
            </w:pPr>
            <w:r>
              <w:rPr>
                <w:rFonts w:ascii="Times New Roman" w:cs="Times New Roman" w:eastAsia="Times New Roman" w:hAnsi="Times New Roman"/>
                <w:sz w:val="22"/>
                <w:szCs w:val="22"/>
                <w:color w:val="auto"/>
              </w:rPr>
              <w:t>Computation of Time Periods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c>
          <w:tcPr>
            <w:tcW w:w="160" w:type="dxa"/>
            <w:vAlign w:val="bottom"/>
          </w:tcPr>
          <w:p>
            <w:pPr>
              <w:spacing w:after="0"/>
              <w:rPr>
                <w:sz w:val="22"/>
                <w:szCs w:val="22"/>
                <w:color w:val="auto"/>
              </w:rPr>
            </w:pPr>
          </w:p>
        </w:tc>
        <w:tc>
          <w:tcPr>
            <w:tcW w:w="5280" w:type="dxa"/>
            <w:vAlign w:val="bottom"/>
          </w:tcPr>
          <w:p>
            <w:pPr>
              <w:spacing w:after="0"/>
              <w:rPr>
                <w:sz w:val="22"/>
                <w:szCs w:val="22"/>
                <w:color w:val="auto"/>
              </w:rPr>
            </w:pPr>
          </w:p>
        </w:tc>
      </w:tr>
      <w:tr>
        <w:trPr>
          <w:trHeight w:val="256"/>
        </w:trPr>
        <w:tc>
          <w:tcPr>
            <w:tcW w:w="2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1.03.</w:t>
            </w:r>
          </w:p>
        </w:tc>
        <w:tc>
          <w:tcPr>
            <w:tcW w:w="1940" w:type="dxa"/>
            <w:vAlign w:val="bottom"/>
            <w:gridSpan w:val="4"/>
          </w:tcPr>
          <w:p>
            <w:pPr>
              <w:ind w:left="140"/>
              <w:spacing w:after="0"/>
              <w:rPr>
                <w:sz w:val="20"/>
                <w:szCs w:val="20"/>
                <w:color w:val="auto"/>
              </w:rPr>
            </w:pPr>
            <w:r>
              <w:rPr>
                <w:rFonts w:ascii="Times New Roman" w:cs="Times New Roman" w:eastAsia="Times New Roman" w:hAnsi="Times New Roman"/>
                <w:sz w:val="22"/>
                <w:szCs w:val="22"/>
                <w:color w:val="auto"/>
              </w:rPr>
              <w:t>Accounting Terms</w:t>
            </w:r>
          </w:p>
        </w:tc>
        <w:tc>
          <w:tcPr>
            <w:tcW w:w="880" w:type="dxa"/>
            <w:vAlign w:val="bottom"/>
            <w:gridSpan w:val="2"/>
          </w:tcPr>
          <w:p>
            <w:pPr>
              <w:jc w:val="right"/>
              <w:ind w:right="552"/>
              <w:spacing w:after="0"/>
              <w:rPr>
                <w:sz w:val="20"/>
                <w:szCs w:val="20"/>
                <w:color w:val="auto"/>
              </w:rPr>
            </w:pPr>
            <w:r>
              <w:rPr>
                <w:rFonts w:ascii="Times New Roman" w:cs="Times New Roman" w:eastAsia="Times New Roman" w:hAnsi="Times New Roman"/>
                <w:sz w:val="22"/>
                <w:szCs w:val="22"/>
                <w:color w:val="auto"/>
                <w:w w:val="90"/>
              </w:rPr>
              <w:t>40</w:t>
            </w: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80" w:type="dxa"/>
            <w:vAlign w:val="bottom"/>
          </w:tcPr>
          <w:p>
            <w:pPr>
              <w:spacing w:after="0"/>
              <w:rPr>
                <w:sz w:val="22"/>
                <w:szCs w:val="22"/>
                <w:color w:val="auto"/>
              </w:rPr>
            </w:pPr>
          </w:p>
        </w:tc>
      </w:tr>
      <w:tr>
        <w:trPr>
          <w:trHeight w:val="257"/>
        </w:trPr>
        <w:tc>
          <w:tcPr>
            <w:tcW w:w="2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1.04.</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Guarantees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80" w:type="dxa"/>
            <w:vAlign w:val="bottom"/>
          </w:tcPr>
          <w:p>
            <w:pPr>
              <w:spacing w:after="0"/>
              <w:rPr>
                <w:sz w:val="22"/>
                <w:szCs w:val="22"/>
                <w:color w:val="auto"/>
              </w:rPr>
            </w:pPr>
          </w:p>
        </w:tc>
      </w:tr>
      <w:tr>
        <w:trPr>
          <w:trHeight w:val="270"/>
        </w:trPr>
        <w:tc>
          <w:tcPr>
            <w:tcW w:w="10840" w:type="dxa"/>
            <w:vAlign w:val="bottom"/>
            <w:gridSpan w:val="10"/>
          </w:tcPr>
          <w:p>
            <w:pPr>
              <w:ind w:left="660"/>
              <w:spacing w:after="0"/>
              <w:rPr>
                <w:sz w:val="20"/>
                <w:szCs w:val="20"/>
                <w:color w:val="auto"/>
              </w:rPr>
            </w:pPr>
            <w:r>
              <w:rPr>
                <w:rFonts w:ascii="Times New Roman" w:cs="Times New Roman" w:eastAsia="Times New Roman" w:hAnsi="Times New Roman"/>
                <w:sz w:val="22"/>
                <w:szCs w:val="22"/>
                <w:color w:val="auto"/>
              </w:rPr>
              <w:t>SECTION 1.05.  Redenominations of Certain Foreign Currencies and Computation of US Dollar Amounts;</w:t>
            </w:r>
          </w:p>
        </w:tc>
      </w:tr>
      <w:tr>
        <w:trPr>
          <w:trHeight w:val="257"/>
        </w:trPr>
        <w:tc>
          <w:tcPr>
            <w:tcW w:w="2160" w:type="dxa"/>
            <w:vAlign w:val="bottom"/>
          </w:tcPr>
          <w:p>
            <w:pPr>
              <w:spacing w:after="0"/>
              <w:rPr>
                <w:sz w:val="22"/>
                <w:szCs w:val="22"/>
                <w:color w:val="auto"/>
              </w:rPr>
            </w:pPr>
          </w:p>
        </w:tc>
        <w:tc>
          <w:tcPr>
            <w:tcW w:w="8680" w:type="dxa"/>
            <w:vAlign w:val="bottom"/>
            <w:gridSpan w:val="9"/>
          </w:tcPr>
          <w:p>
            <w:pPr>
              <w:ind w:left="120"/>
              <w:spacing w:after="0"/>
              <w:rPr>
                <w:sz w:val="20"/>
                <w:szCs w:val="20"/>
                <w:color w:val="auto"/>
              </w:rPr>
            </w:pPr>
            <w:r>
              <w:rPr>
                <w:rFonts w:ascii="Times New Roman" w:cs="Times New Roman" w:eastAsia="Times New Roman" w:hAnsi="Times New Roman"/>
                <w:sz w:val="22"/>
                <w:szCs w:val="22"/>
                <w:color w:val="auto"/>
              </w:rPr>
              <w:t>Exchange Rates; Currency Equivalents; Daily Simple RFR Advances  41</w:t>
            </w:r>
          </w:p>
        </w:tc>
      </w:tr>
      <w:tr>
        <w:trPr>
          <w:trHeight w:val="257"/>
        </w:trPr>
        <w:tc>
          <w:tcPr>
            <w:tcW w:w="2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1.06.</w:t>
            </w:r>
          </w:p>
        </w:tc>
        <w:tc>
          <w:tcPr>
            <w:tcW w:w="7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Rates</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42</w:t>
            </w: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80" w:type="dxa"/>
            <w:vAlign w:val="bottom"/>
          </w:tcPr>
          <w:p>
            <w:pPr>
              <w:spacing w:after="0"/>
              <w:rPr>
                <w:sz w:val="22"/>
                <w:szCs w:val="22"/>
                <w:color w:val="auto"/>
              </w:rPr>
            </w:pPr>
          </w:p>
        </w:tc>
      </w:tr>
      <w:tr>
        <w:trPr>
          <w:trHeight w:val="256"/>
        </w:trPr>
        <w:tc>
          <w:tcPr>
            <w:tcW w:w="2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1.07.</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Divisions</w:t>
            </w: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9"/>
              </w:rPr>
              <w:t>42</w:t>
            </w: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80" w:type="dxa"/>
            <w:vAlign w:val="bottom"/>
          </w:tcPr>
          <w:p>
            <w:pPr>
              <w:spacing w:after="0"/>
              <w:rPr>
                <w:sz w:val="22"/>
                <w:szCs w:val="22"/>
                <w:color w:val="auto"/>
              </w:rPr>
            </w:pPr>
          </w:p>
        </w:tc>
      </w:tr>
      <w:tr>
        <w:trPr>
          <w:trHeight w:val="257"/>
        </w:trPr>
        <w:tc>
          <w:tcPr>
            <w:tcW w:w="2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1.08.</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Rounding</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43</w:t>
            </w: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80" w:type="dxa"/>
            <w:vAlign w:val="bottom"/>
          </w:tcPr>
          <w:p>
            <w:pPr>
              <w:spacing w:after="0"/>
              <w:rPr>
                <w:sz w:val="22"/>
                <w:szCs w:val="22"/>
                <w:color w:val="auto"/>
              </w:rPr>
            </w:pPr>
          </w:p>
        </w:tc>
      </w:tr>
      <w:tr>
        <w:trPr>
          <w:trHeight w:val="282"/>
        </w:trPr>
        <w:tc>
          <w:tcPr>
            <w:tcW w:w="2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1.09.</w:t>
            </w:r>
          </w:p>
        </w:tc>
        <w:tc>
          <w:tcPr>
            <w:tcW w:w="3400" w:type="dxa"/>
            <w:vAlign w:val="bottom"/>
            <w:gridSpan w:val="8"/>
          </w:tcPr>
          <w:p>
            <w:pPr>
              <w:ind w:left="140"/>
              <w:spacing w:after="0"/>
              <w:rPr>
                <w:sz w:val="20"/>
                <w:szCs w:val="20"/>
                <w:color w:val="auto"/>
              </w:rPr>
            </w:pPr>
            <w:r>
              <w:rPr>
                <w:rFonts w:ascii="Times New Roman" w:cs="Times New Roman" w:eastAsia="Times New Roman" w:hAnsi="Times New Roman"/>
                <w:sz w:val="22"/>
                <w:szCs w:val="22"/>
                <w:color w:val="auto"/>
              </w:rPr>
              <w:t>References to Agreements and Laws</w:t>
            </w:r>
          </w:p>
        </w:tc>
        <w:tc>
          <w:tcPr>
            <w:tcW w:w="5280" w:type="dxa"/>
            <w:vAlign w:val="bottom"/>
          </w:tcPr>
          <w:p>
            <w:pPr>
              <w:jc w:val="right"/>
              <w:ind w:right="4832"/>
              <w:spacing w:after="0"/>
              <w:rPr>
                <w:sz w:val="20"/>
                <w:szCs w:val="20"/>
                <w:color w:val="auto"/>
              </w:rPr>
            </w:pPr>
            <w:r>
              <w:rPr>
                <w:rFonts w:ascii="Times New Roman" w:cs="Times New Roman" w:eastAsia="Times New Roman" w:hAnsi="Times New Roman"/>
                <w:sz w:val="22"/>
                <w:szCs w:val="22"/>
                <w:color w:val="auto"/>
              </w:rPr>
              <w:t>43</w:t>
            </w:r>
          </w:p>
        </w:tc>
      </w:tr>
      <w:tr>
        <w:trPr>
          <w:trHeight w:val="418"/>
        </w:trPr>
        <w:tc>
          <w:tcPr>
            <w:tcW w:w="5560" w:type="dxa"/>
            <w:vAlign w:val="bottom"/>
            <w:gridSpan w:val="9"/>
          </w:tcPr>
          <w:p>
            <w:pPr>
              <w:spacing w:after="0"/>
              <w:rPr>
                <w:sz w:val="20"/>
                <w:szCs w:val="20"/>
                <w:color w:val="auto"/>
              </w:rPr>
            </w:pPr>
            <w:r>
              <w:rPr>
                <w:rFonts w:ascii="Times New Roman" w:cs="Times New Roman" w:eastAsia="Times New Roman" w:hAnsi="Times New Roman"/>
                <w:sz w:val="22"/>
                <w:szCs w:val="22"/>
                <w:color w:val="auto"/>
                <w:w w:val="97"/>
              </w:rPr>
              <w:t>ARTICLE II AMOUNTS AND TERMS OF THE ADVANCES</w:t>
            </w:r>
          </w:p>
        </w:tc>
        <w:tc>
          <w:tcPr>
            <w:tcW w:w="5280" w:type="dxa"/>
            <w:vAlign w:val="bottom"/>
          </w:tcPr>
          <w:p>
            <w:pPr>
              <w:jc w:val="right"/>
              <w:ind w:right="4772"/>
              <w:spacing w:after="0"/>
              <w:rPr>
                <w:sz w:val="20"/>
                <w:szCs w:val="20"/>
                <w:color w:val="auto"/>
              </w:rPr>
            </w:pPr>
            <w:r>
              <w:rPr>
                <w:rFonts w:ascii="Times New Roman" w:cs="Times New Roman" w:eastAsia="Times New Roman" w:hAnsi="Times New Roman"/>
                <w:sz w:val="22"/>
                <w:szCs w:val="22"/>
                <w:color w:val="auto"/>
              </w:rPr>
              <w:t>43</w:t>
            </w:r>
          </w:p>
        </w:tc>
      </w:tr>
      <w:tr>
        <w:trPr>
          <w:trHeight w:val="406"/>
        </w:trPr>
        <w:tc>
          <w:tcPr>
            <w:tcW w:w="2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2.01.</w:t>
            </w:r>
          </w:p>
        </w:tc>
        <w:tc>
          <w:tcPr>
            <w:tcW w:w="158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The Advances</w:t>
            </w:r>
          </w:p>
        </w:tc>
        <w:tc>
          <w:tcPr>
            <w:tcW w:w="3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43</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257"/>
        </w:trPr>
        <w:tc>
          <w:tcPr>
            <w:tcW w:w="2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2.02.</w:t>
            </w:r>
          </w:p>
        </w:tc>
        <w:tc>
          <w:tcPr>
            <w:tcW w:w="212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Making the Advances</w:t>
            </w:r>
          </w:p>
        </w:tc>
        <w:tc>
          <w:tcPr>
            <w:tcW w:w="70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44</w:t>
            </w: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80" w:type="dxa"/>
            <w:vAlign w:val="bottom"/>
          </w:tcPr>
          <w:p>
            <w:pPr>
              <w:spacing w:after="0"/>
              <w:rPr>
                <w:sz w:val="22"/>
                <w:szCs w:val="22"/>
                <w:color w:val="auto"/>
              </w:rPr>
            </w:pPr>
          </w:p>
        </w:tc>
      </w:tr>
      <w:tr>
        <w:trPr>
          <w:trHeight w:val="257"/>
        </w:trPr>
        <w:tc>
          <w:tcPr>
            <w:tcW w:w="2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2.03.</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[Reserved]</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80" w:type="dxa"/>
            <w:vAlign w:val="bottom"/>
          </w:tcPr>
          <w:p>
            <w:pPr>
              <w:spacing w:after="0"/>
              <w:rPr>
                <w:sz w:val="22"/>
                <w:szCs w:val="22"/>
                <w:color w:val="auto"/>
              </w:rPr>
            </w:pPr>
          </w:p>
        </w:tc>
      </w:tr>
      <w:tr>
        <w:trPr>
          <w:trHeight w:val="257"/>
        </w:trPr>
        <w:tc>
          <w:tcPr>
            <w:tcW w:w="2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2.04.</w:t>
            </w:r>
          </w:p>
        </w:tc>
        <w:tc>
          <w:tcPr>
            <w:tcW w:w="7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Fees</w:t>
            </w: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45</w:t>
            </w: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80" w:type="dxa"/>
            <w:vAlign w:val="bottom"/>
          </w:tcPr>
          <w:p>
            <w:pPr>
              <w:spacing w:after="0"/>
              <w:rPr>
                <w:sz w:val="22"/>
                <w:szCs w:val="22"/>
                <w:color w:val="auto"/>
              </w:rPr>
            </w:pPr>
          </w:p>
        </w:tc>
      </w:tr>
      <w:tr>
        <w:trPr>
          <w:trHeight w:val="270"/>
        </w:trPr>
        <w:tc>
          <w:tcPr>
            <w:tcW w:w="2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2.05.</w:t>
            </w:r>
          </w:p>
        </w:tc>
        <w:tc>
          <w:tcPr>
            <w:tcW w:w="8680" w:type="dxa"/>
            <w:vAlign w:val="bottom"/>
            <w:gridSpan w:val="9"/>
          </w:tcPr>
          <w:p>
            <w:pPr>
              <w:ind w:left="140"/>
              <w:spacing w:after="0"/>
              <w:rPr>
                <w:sz w:val="20"/>
                <w:szCs w:val="20"/>
                <w:color w:val="auto"/>
              </w:rPr>
            </w:pPr>
            <w:r>
              <w:rPr>
                <w:rFonts w:ascii="Times New Roman" w:cs="Times New Roman" w:eastAsia="Times New Roman" w:hAnsi="Times New Roman"/>
                <w:sz w:val="22"/>
                <w:szCs w:val="22"/>
                <w:color w:val="auto"/>
              </w:rPr>
              <w:t>Termination, Reduction or Increase of the Commitments; Incremental Facilities  45</w:t>
            </w:r>
          </w:p>
        </w:tc>
      </w:tr>
      <w:tr>
        <w:trPr>
          <w:trHeight w:val="256"/>
        </w:trPr>
        <w:tc>
          <w:tcPr>
            <w:tcW w:w="2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2.06.</w:t>
            </w:r>
          </w:p>
        </w:tc>
        <w:tc>
          <w:tcPr>
            <w:tcW w:w="3240" w:type="dxa"/>
            <w:vAlign w:val="bottom"/>
            <w:gridSpan w:val="7"/>
          </w:tcPr>
          <w:p>
            <w:pPr>
              <w:ind w:left="140"/>
              <w:spacing w:after="0"/>
              <w:rPr>
                <w:sz w:val="20"/>
                <w:szCs w:val="20"/>
                <w:color w:val="auto"/>
              </w:rPr>
            </w:pPr>
            <w:r>
              <w:rPr>
                <w:rFonts w:ascii="Times New Roman" w:cs="Times New Roman" w:eastAsia="Times New Roman" w:hAnsi="Times New Roman"/>
                <w:sz w:val="22"/>
                <w:szCs w:val="22"/>
                <w:color w:val="auto"/>
                <w:w w:val="98"/>
              </w:rPr>
              <w:t>Repayment of Revolving Advances</w:t>
            </w:r>
          </w:p>
        </w:tc>
        <w:tc>
          <w:tcPr>
            <w:tcW w:w="160" w:type="dxa"/>
            <w:vAlign w:val="bottom"/>
          </w:tcPr>
          <w:p>
            <w:pPr>
              <w:spacing w:after="0"/>
              <w:rPr>
                <w:sz w:val="22"/>
                <w:szCs w:val="22"/>
                <w:color w:val="auto"/>
              </w:rPr>
            </w:pPr>
          </w:p>
        </w:tc>
        <w:tc>
          <w:tcPr>
            <w:tcW w:w="5280" w:type="dxa"/>
            <w:vAlign w:val="bottom"/>
          </w:tcPr>
          <w:p>
            <w:pPr>
              <w:jc w:val="right"/>
              <w:ind w:right="4932"/>
              <w:spacing w:after="0"/>
              <w:rPr>
                <w:sz w:val="20"/>
                <w:szCs w:val="20"/>
                <w:color w:val="auto"/>
              </w:rPr>
            </w:pPr>
            <w:r>
              <w:rPr>
                <w:rFonts w:ascii="Times New Roman" w:cs="Times New Roman" w:eastAsia="Times New Roman" w:hAnsi="Times New Roman"/>
                <w:sz w:val="22"/>
                <w:szCs w:val="22"/>
                <w:color w:val="auto"/>
                <w:w w:val="99"/>
              </w:rPr>
              <w:t>48</w:t>
            </w:r>
          </w:p>
        </w:tc>
      </w:tr>
      <w:tr>
        <w:trPr>
          <w:trHeight w:val="257"/>
        </w:trPr>
        <w:tc>
          <w:tcPr>
            <w:tcW w:w="2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2.07.</w:t>
            </w:r>
          </w:p>
        </w:tc>
        <w:tc>
          <w:tcPr>
            <w:tcW w:w="212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Interest on Advances</w:t>
            </w:r>
          </w:p>
        </w:tc>
        <w:tc>
          <w:tcPr>
            <w:tcW w:w="7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48</w:t>
            </w: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80" w:type="dxa"/>
            <w:vAlign w:val="bottom"/>
          </w:tcPr>
          <w:p>
            <w:pPr>
              <w:spacing w:after="0"/>
              <w:rPr>
                <w:sz w:val="22"/>
                <w:szCs w:val="22"/>
                <w:color w:val="auto"/>
              </w:rPr>
            </w:pPr>
          </w:p>
        </w:tc>
      </w:tr>
      <w:tr>
        <w:trPr>
          <w:trHeight w:val="256"/>
        </w:trPr>
        <w:tc>
          <w:tcPr>
            <w:tcW w:w="2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2.08.</w:t>
            </w:r>
          </w:p>
        </w:tc>
        <w:tc>
          <w:tcPr>
            <w:tcW w:w="1940" w:type="dxa"/>
            <w:vAlign w:val="bottom"/>
            <w:gridSpan w:val="4"/>
          </w:tcPr>
          <w:p>
            <w:pPr>
              <w:ind w:left="140"/>
              <w:spacing w:after="0"/>
              <w:rPr>
                <w:sz w:val="20"/>
                <w:szCs w:val="20"/>
                <w:color w:val="auto"/>
              </w:rPr>
            </w:pPr>
            <w:r>
              <w:rPr>
                <w:rFonts w:ascii="Times New Roman" w:cs="Times New Roman" w:eastAsia="Times New Roman" w:hAnsi="Times New Roman"/>
                <w:sz w:val="22"/>
                <w:szCs w:val="22"/>
                <w:color w:val="auto"/>
                <w:w w:val="97"/>
              </w:rPr>
              <w:t>Repayment of Loans</w:t>
            </w:r>
          </w:p>
        </w:tc>
        <w:tc>
          <w:tcPr>
            <w:tcW w:w="180" w:type="dxa"/>
            <w:vAlign w:val="bottom"/>
          </w:tcPr>
          <w:p>
            <w:pPr>
              <w:spacing w:after="0"/>
              <w:rPr>
                <w:sz w:val="22"/>
                <w:szCs w:val="22"/>
                <w:color w:val="auto"/>
              </w:rPr>
            </w:pPr>
          </w:p>
        </w:tc>
        <w:tc>
          <w:tcPr>
            <w:tcW w:w="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9"/>
              </w:rPr>
              <w:t>50</w:t>
            </w: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80" w:type="dxa"/>
            <w:vAlign w:val="bottom"/>
          </w:tcPr>
          <w:p>
            <w:pPr>
              <w:spacing w:after="0"/>
              <w:rPr>
                <w:sz w:val="22"/>
                <w:szCs w:val="22"/>
                <w:color w:val="auto"/>
              </w:rPr>
            </w:pPr>
          </w:p>
        </w:tc>
      </w:tr>
      <w:tr>
        <w:trPr>
          <w:trHeight w:val="257"/>
        </w:trPr>
        <w:tc>
          <w:tcPr>
            <w:tcW w:w="2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2.09.</w:t>
            </w:r>
          </w:p>
        </w:tc>
        <w:tc>
          <w:tcPr>
            <w:tcW w:w="3240" w:type="dxa"/>
            <w:vAlign w:val="bottom"/>
            <w:gridSpan w:val="7"/>
          </w:tcPr>
          <w:p>
            <w:pPr>
              <w:ind w:left="140"/>
              <w:spacing w:after="0"/>
              <w:rPr>
                <w:sz w:val="20"/>
                <w:szCs w:val="20"/>
                <w:color w:val="auto"/>
              </w:rPr>
            </w:pPr>
            <w:r>
              <w:rPr>
                <w:rFonts w:ascii="Times New Roman" w:cs="Times New Roman" w:eastAsia="Times New Roman" w:hAnsi="Times New Roman"/>
                <w:sz w:val="22"/>
                <w:szCs w:val="22"/>
                <w:color w:val="auto"/>
              </w:rPr>
              <w:t>Optional Conversion of Advances</w:t>
            </w:r>
          </w:p>
        </w:tc>
        <w:tc>
          <w:tcPr>
            <w:tcW w:w="54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50</w:t>
            </w:r>
          </w:p>
        </w:tc>
      </w:tr>
      <w:tr>
        <w:trPr>
          <w:trHeight w:val="270"/>
        </w:trPr>
        <w:tc>
          <w:tcPr>
            <w:tcW w:w="2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2.10.</w:t>
            </w:r>
          </w:p>
        </w:tc>
        <w:tc>
          <w:tcPr>
            <w:tcW w:w="3240" w:type="dxa"/>
            <w:vAlign w:val="bottom"/>
            <w:gridSpan w:val="7"/>
          </w:tcPr>
          <w:p>
            <w:pPr>
              <w:ind w:left="140"/>
              <w:spacing w:after="0"/>
              <w:rPr>
                <w:sz w:val="20"/>
                <w:szCs w:val="20"/>
                <w:color w:val="auto"/>
              </w:rPr>
            </w:pPr>
            <w:r>
              <w:rPr>
                <w:rFonts w:ascii="Times New Roman" w:cs="Times New Roman" w:eastAsia="Times New Roman" w:hAnsi="Times New Roman"/>
                <w:sz w:val="22"/>
                <w:szCs w:val="22"/>
                <w:color w:val="auto"/>
              </w:rPr>
              <w:t>Optional Prepayment of Advances</w:t>
            </w:r>
          </w:p>
        </w:tc>
        <w:tc>
          <w:tcPr>
            <w:tcW w:w="5440" w:type="dxa"/>
            <w:vAlign w:val="bottom"/>
            <w:gridSpan w:val="2"/>
          </w:tcPr>
          <w:p>
            <w:pPr>
              <w:jc w:val="right"/>
              <w:ind w:right="5032"/>
              <w:spacing w:after="0"/>
              <w:rPr>
                <w:sz w:val="20"/>
                <w:szCs w:val="20"/>
                <w:color w:val="auto"/>
              </w:rPr>
            </w:pPr>
            <w:r>
              <w:rPr>
                <w:rFonts w:ascii="Times New Roman" w:cs="Times New Roman" w:eastAsia="Times New Roman" w:hAnsi="Times New Roman"/>
                <w:sz w:val="22"/>
                <w:szCs w:val="22"/>
                <w:color w:val="auto"/>
              </w:rPr>
              <w:t>51</w:t>
            </w:r>
          </w:p>
        </w:tc>
      </w:tr>
      <w:tr>
        <w:trPr>
          <w:trHeight w:val="256"/>
        </w:trPr>
        <w:tc>
          <w:tcPr>
            <w:tcW w:w="2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2.11.</w:t>
            </w: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Increased Costs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80" w:type="dxa"/>
            <w:vAlign w:val="bottom"/>
          </w:tcPr>
          <w:p>
            <w:pPr>
              <w:spacing w:after="0"/>
              <w:rPr>
                <w:sz w:val="22"/>
                <w:szCs w:val="22"/>
                <w:color w:val="auto"/>
              </w:rPr>
            </w:pPr>
          </w:p>
        </w:tc>
      </w:tr>
      <w:tr>
        <w:trPr>
          <w:trHeight w:val="257"/>
        </w:trPr>
        <w:tc>
          <w:tcPr>
            <w:tcW w:w="2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2.12.</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[Reserved]</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80" w:type="dxa"/>
            <w:vAlign w:val="bottom"/>
          </w:tcPr>
          <w:p>
            <w:pPr>
              <w:spacing w:after="0"/>
              <w:rPr>
                <w:sz w:val="22"/>
                <w:szCs w:val="22"/>
                <w:color w:val="auto"/>
              </w:rPr>
            </w:pPr>
          </w:p>
        </w:tc>
      </w:tr>
      <w:tr>
        <w:trPr>
          <w:trHeight w:val="256"/>
        </w:trPr>
        <w:tc>
          <w:tcPr>
            <w:tcW w:w="2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2.13.</w:t>
            </w:r>
          </w:p>
        </w:tc>
        <w:tc>
          <w:tcPr>
            <w:tcW w:w="2820" w:type="dxa"/>
            <w:vAlign w:val="bottom"/>
            <w:gridSpan w:val="6"/>
          </w:tcPr>
          <w:p>
            <w:pPr>
              <w:ind w:left="140"/>
              <w:spacing w:after="0"/>
              <w:rPr>
                <w:sz w:val="20"/>
                <w:szCs w:val="20"/>
                <w:color w:val="auto"/>
              </w:rPr>
            </w:pPr>
            <w:r>
              <w:rPr>
                <w:rFonts w:ascii="Times New Roman" w:cs="Times New Roman" w:eastAsia="Times New Roman" w:hAnsi="Times New Roman"/>
                <w:sz w:val="22"/>
                <w:szCs w:val="22"/>
                <w:color w:val="auto"/>
              </w:rPr>
              <w:t>Payments and Computations</w:t>
            </w:r>
          </w:p>
        </w:tc>
        <w:tc>
          <w:tcPr>
            <w:tcW w:w="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54</w:t>
            </w:r>
          </w:p>
        </w:tc>
        <w:tc>
          <w:tcPr>
            <w:tcW w:w="160" w:type="dxa"/>
            <w:vAlign w:val="bottom"/>
          </w:tcPr>
          <w:p>
            <w:pPr>
              <w:spacing w:after="0"/>
              <w:rPr>
                <w:sz w:val="22"/>
                <w:szCs w:val="22"/>
                <w:color w:val="auto"/>
              </w:rPr>
            </w:pPr>
          </w:p>
        </w:tc>
        <w:tc>
          <w:tcPr>
            <w:tcW w:w="5280" w:type="dxa"/>
            <w:vAlign w:val="bottom"/>
          </w:tcPr>
          <w:p>
            <w:pPr>
              <w:spacing w:after="0"/>
              <w:rPr>
                <w:sz w:val="22"/>
                <w:szCs w:val="22"/>
                <w:color w:val="auto"/>
              </w:rPr>
            </w:pPr>
          </w:p>
        </w:tc>
      </w:tr>
      <w:tr>
        <w:trPr>
          <w:trHeight w:val="257"/>
        </w:trPr>
        <w:tc>
          <w:tcPr>
            <w:tcW w:w="2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2.14.</w:t>
            </w:r>
          </w:p>
        </w:tc>
        <w:tc>
          <w:tcPr>
            <w:tcW w:w="7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Taxes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80" w:type="dxa"/>
            <w:vAlign w:val="bottom"/>
          </w:tcPr>
          <w:p>
            <w:pPr>
              <w:spacing w:after="0"/>
              <w:rPr>
                <w:sz w:val="22"/>
                <w:szCs w:val="22"/>
                <w:color w:val="auto"/>
              </w:rPr>
            </w:pPr>
          </w:p>
        </w:tc>
      </w:tr>
      <w:tr>
        <w:trPr>
          <w:trHeight w:val="256"/>
        </w:trPr>
        <w:tc>
          <w:tcPr>
            <w:tcW w:w="4980" w:type="dxa"/>
            <w:vAlign w:val="bottom"/>
            <w:gridSpan w:val="7"/>
          </w:tcPr>
          <w:p>
            <w:pPr>
              <w:ind w:left="660"/>
              <w:spacing w:after="0"/>
              <w:rPr>
                <w:sz w:val="20"/>
                <w:szCs w:val="20"/>
                <w:color w:val="auto"/>
              </w:rPr>
            </w:pPr>
            <w:r>
              <w:rPr>
                <w:rFonts w:ascii="Times New Roman" w:cs="Times New Roman" w:eastAsia="Times New Roman" w:hAnsi="Times New Roman"/>
                <w:sz w:val="22"/>
                <w:szCs w:val="22"/>
                <w:color w:val="auto"/>
              </w:rPr>
              <w:t>SECTION 2.15.  Sharing of Payments, Etc.  59</w:t>
            </w: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80" w:type="dxa"/>
            <w:vAlign w:val="bottom"/>
          </w:tcPr>
          <w:p>
            <w:pPr>
              <w:spacing w:after="0"/>
              <w:rPr>
                <w:sz w:val="22"/>
                <w:szCs w:val="22"/>
                <w:color w:val="auto"/>
              </w:rPr>
            </w:pPr>
          </w:p>
        </w:tc>
      </w:tr>
      <w:tr>
        <w:trPr>
          <w:trHeight w:val="270"/>
        </w:trPr>
        <w:tc>
          <w:tcPr>
            <w:tcW w:w="2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2.16.</w:t>
            </w:r>
          </w:p>
        </w:tc>
        <w:tc>
          <w:tcPr>
            <w:tcW w:w="158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w w:val="99"/>
              </w:rPr>
              <w:t>Use of Proceeds</w:t>
            </w:r>
          </w:p>
        </w:tc>
        <w:tc>
          <w:tcPr>
            <w:tcW w:w="540" w:type="dxa"/>
            <w:vAlign w:val="bottom"/>
            <w:gridSpan w:val="2"/>
          </w:tcPr>
          <w:p>
            <w:pPr>
              <w:jc w:val="right"/>
              <w:ind w:right="52"/>
              <w:spacing w:after="0"/>
              <w:rPr>
                <w:sz w:val="20"/>
                <w:szCs w:val="20"/>
                <w:color w:val="auto"/>
              </w:rPr>
            </w:pPr>
            <w:r>
              <w:rPr>
                <w:rFonts w:ascii="Times New Roman" w:cs="Times New Roman" w:eastAsia="Times New Roman" w:hAnsi="Times New Roman"/>
                <w:sz w:val="22"/>
                <w:szCs w:val="22"/>
                <w:color w:val="auto"/>
              </w:rPr>
              <w:t>59</w:t>
            </w: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80" w:type="dxa"/>
            <w:vAlign w:val="bottom"/>
          </w:tcPr>
          <w:p>
            <w:pPr>
              <w:spacing w:after="0"/>
              <w:rPr>
                <w:sz w:val="23"/>
                <w:szCs w:val="23"/>
                <w:color w:val="auto"/>
              </w:rPr>
            </w:pPr>
          </w:p>
        </w:tc>
      </w:tr>
      <w:tr>
        <w:trPr>
          <w:trHeight w:val="257"/>
        </w:trPr>
        <w:tc>
          <w:tcPr>
            <w:tcW w:w="2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2.17.</w:t>
            </w:r>
          </w:p>
        </w:tc>
        <w:tc>
          <w:tcPr>
            <w:tcW w:w="2820" w:type="dxa"/>
            <w:vAlign w:val="bottom"/>
            <w:gridSpan w:val="6"/>
          </w:tcPr>
          <w:p>
            <w:pPr>
              <w:ind w:left="140"/>
              <w:spacing w:after="0"/>
              <w:rPr>
                <w:sz w:val="20"/>
                <w:szCs w:val="20"/>
                <w:color w:val="auto"/>
              </w:rPr>
            </w:pPr>
            <w:r>
              <w:rPr>
                <w:rFonts w:ascii="Times New Roman" w:cs="Times New Roman" w:eastAsia="Times New Roman" w:hAnsi="Times New Roman"/>
                <w:sz w:val="22"/>
                <w:szCs w:val="22"/>
                <w:color w:val="auto"/>
                <w:w w:val="97"/>
              </w:rPr>
              <w:t>Extension of Termination Date</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c>
          <w:tcPr>
            <w:tcW w:w="160" w:type="dxa"/>
            <w:vAlign w:val="bottom"/>
          </w:tcPr>
          <w:p>
            <w:pPr>
              <w:spacing w:after="0"/>
              <w:rPr>
                <w:sz w:val="22"/>
                <w:szCs w:val="22"/>
                <w:color w:val="auto"/>
              </w:rPr>
            </w:pPr>
          </w:p>
        </w:tc>
        <w:tc>
          <w:tcPr>
            <w:tcW w:w="5280" w:type="dxa"/>
            <w:vAlign w:val="bottom"/>
          </w:tcPr>
          <w:p>
            <w:pPr>
              <w:spacing w:after="0"/>
              <w:rPr>
                <w:sz w:val="22"/>
                <w:szCs w:val="22"/>
                <w:color w:val="auto"/>
              </w:rPr>
            </w:pPr>
          </w:p>
        </w:tc>
      </w:tr>
      <w:tr>
        <w:trPr>
          <w:trHeight w:val="257"/>
        </w:trPr>
        <w:tc>
          <w:tcPr>
            <w:tcW w:w="2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2.18.</w:t>
            </w:r>
          </w:p>
        </w:tc>
        <w:tc>
          <w:tcPr>
            <w:tcW w:w="1940" w:type="dxa"/>
            <w:vAlign w:val="bottom"/>
            <w:gridSpan w:val="4"/>
          </w:tcPr>
          <w:p>
            <w:pPr>
              <w:ind w:left="140"/>
              <w:spacing w:after="0"/>
              <w:rPr>
                <w:sz w:val="20"/>
                <w:szCs w:val="20"/>
                <w:color w:val="auto"/>
              </w:rPr>
            </w:pPr>
            <w:r>
              <w:rPr>
                <w:rFonts w:ascii="Times New Roman" w:cs="Times New Roman" w:eastAsia="Times New Roman" w:hAnsi="Times New Roman"/>
                <w:sz w:val="22"/>
                <w:szCs w:val="22"/>
                <w:color w:val="auto"/>
              </w:rPr>
              <w:t>Defaulting Lenders</w:t>
            </w:r>
          </w:p>
        </w:tc>
        <w:tc>
          <w:tcPr>
            <w:tcW w:w="880" w:type="dxa"/>
            <w:vAlign w:val="bottom"/>
            <w:gridSpan w:val="2"/>
          </w:tcPr>
          <w:p>
            <w:pPr>
              <w:jc w:val="right"/>
              <w:ind w:right="472"/>
              <w:spacing w:after="0"/>
              <w:rPr>
                <w:sz w:val="20"/>
                <w:szCs w:val="20"/>
                <w:color w:val="auto"/>
              </w:rPr>
            </w:pPr>
            <w:r>
              <w:rPr>
                <w:rFonts w:ascii="Times New Roman" w:cs="Times New Roman" w:eastAsia="Times New Roman" w:hAnsi="Times New Roman"/>
                <w:sz w:val="22"/>
                <w:szCs w:val="22"/>
                <w:color w:val="auto"/>
              </w:rPr>
              <w:t>62</w:t>
            </w: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80" w:type="dxa"/>
            <w:vAlign w:val="bottom"/>
          </w:tcPr>
          <w:p>
            <w:pPr>
              <w:spacing w:after="0"/>
              <w:rPr>
                <w:sz w:val="22"/>
                <w:szCs w:val="22"/>
                <w:color w:val="auto"/>
              </w:rPr>
            </w:pPr>
          </w:p>
        </w:tc>
      </w:tr>
      <w:tr>
        <w:trPr>
          <w:trHeight w:val="256"/>
        </w:trPr>
        <w:tc>
          <w:tcPr>
            <w:tcW w:w="2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2.19.</w:t>
            </w:r>
          </w:p>
        </w:tc>
        <w:tc>
          <w:tcPr>
            <w:tcW w:w="8680" w:type="dxa"/>
            <w:vAlign w:val="bottom"/>
            <w:gridSpan w:val="9"/>
          </w:tcPr>
          <w:p>
            <w:pPr>
              <w:ind w:left="140"/>
              <w:spacing w:after="0"/>
              <w:rPr>
                <w:sz w:val="20"/>
                <w:szCs w:val="20"/>
                <w:color w:val="auto"/>
              </w:rPr>
            </w:pPr>
            <w:r>
              <w:rPr>
                <w:rFonts w:ascii="Times New Roman" w:cs="Times New Roman" w:eastAsia="Times New Roman" w:hAnsi="Times New Roman"/>
                <w:sz w:val="22"/>
                <w:szCs w:val="22"/>
                <w:color w:val="auto"/>
              </w:rPr>
              <w:t>Mitigation of Obligations; Replacement of Lenders  64</w:t>
            </w:r>
          </w:p>
        </w:tc>
      </w:tr>
      <w:tr>
        <w:trPr>
          <w:trHeight w:val="257"/>
        </w:trPr>
        <w:tc>
          <w:tcPr>
            <w:tcW w:w="2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2.20.</w:t>
            </w:r>
          </w:p>
        </w:tc>
        <w:tc>
          <w:tcPr>
            <w:tcW w:w="2820" w:type="dxa"/>
            <w:vAlign w:val="bottom"/>
            <w:gridSpan w:val="6"/>
          </w:tcPr>
          <w:p>
            <w:pPr>
              <w:ind w:left="140"/>
              <w:spacing w:after="0"/>
              <w:rPr>
                <w:sz w:val="20"/>
                <w:szCs w:val="20"/>
                <w:color w:val="auto"/>
              </w:rPr>
            </w:pPr>
            <w:r>
              <w:rPr>
                <w:rFonts w:ascii="Times New Roman" w:cs="Times New Roman" w:eastAsia="Times New Roman" w:hAnsi="Times New Roman"/>
                <w:sz w:val="22"/>
                <w:szCs w:val="22"/>
                <w:color w:val="auto"/>
              </w:rPr>
              <w:t>Changed Circumstances  65</w:t>
            </w: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80" w:type="dxa"/>
            <w:vAlign w:val="bottom"/>
          </w:tcPr>
          <w:p>
            <w:pPr>
              <w:spacing w:after="0"/>
              <w:rPr>
                <w:sz w:val="22"/>
                <w:szCs w:val="22"/>
                <w:color w:val="auto"/>
              </w:rPr>
            </w:pPr>
          </w:p>
        </w:tc>
      </w:tr>
      <w:tr>
        <w:trPr>
          <w:trHeight w:val="282"/>
        </w:trPr>
        <w:tc>
          <w:tcPr>
            <w:tcW w:w="2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2.21.</w:t>
            </w:r>
          </w:p>
        </w:tc>
        <w:tc>
          <w:tcPr>
            <w:tcW w:w="158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Cash Collateral</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432"/>
        </w:trPr>
        <w:tc>
          <w:tcPr>
            <w:tcW w:w="10840" w:type="dxa"/>
            <w:vAlign w:val="bottom"/>
            <w:gridSpan w:val="10"/>
          </w:tcPr>
          <w:p>
            <w:pPr>
              <w:spacing w:after="0"/>
              <w:rPr>
                <w:sz w:val="20"/>
                <w:szCs w:val="20"/>
                <w:color w:val="auto"/>
              </w:rPr>
            </w:pPr>
            <w:r>
              <w:rPr>
                <w:rFonts w:ascii="Times New Roman" w:cs="Times New Roman" w:eastAsia="Times New Roman" w:hAnsi="Times New Roman"/>
                <w:sz w:val="22"/>
                <w:szCs w:val="22"/>
                <w:color w:val="auto"/>
              </w:rPr>
              <w:t>ARTICLE III CONDITIONS TO EFFECTIVENESS AND LENDING  71</w:t>
            </w:r>
          </w:p>
        </w:tc>
      </w:tr>
      <w:tr>
        <w:trPr>
          <w:trHeight w:val="393"/>
        </w:trPr>
        <w:tc>
          <w:tcPr>
            <w:tcW w:w="2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3.01.</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[Reserved].</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257"/>
        </w:trPr>
        <w:tc>
          <w:tcPr>
            <w:tcW w:w="10840" w:type="dxa"/>
            <w:vAlign w:val="bottom"/>
            <w:gridSpan w:val="10"/>
          </w:tcPr>
          <w:p>
            <w:pPr>
              <w:ind w:left="660"/>
              <w:spacing w:after="0"/>
              <w:rPr>
                <w:sz w:val="20"/>
                <w:szCs w:val="20"/>
                <w:color w:val="auto"/>
              </w:rPr>
            </w:pPr>
            <w:r>
              <w:rPr>
                <w:rFonts w:ascii="Times New Roman" w:cs="Times New Roman" w:eastAsia="Times New Roman" w:hAnsi="Times New Roman"/>
                <w:sz w:val="22"/>
                <w:szCs w:val="22"/>
                <w:color w:val="auto"/>
              </w:rPr>
              <w:t>SECTION 3.02.  Conditions Precedent to Each Borrowing, Letter of Credit Issuance, Increase Date and</w:t>
            </w:r>
          </w:p>
        </w:tc>
      </w:tr>
      <w:tr>
        <w:trPr>
          <w:trHeight w:val="282"/>
        </w:trPr>
        <w:tc>
          <w:tcPr>
            <w:tcW w:w="2160" w:type="dxa"/>
            <w:vAlign w:val="bottom"/>
          </w:tcPr>
          <w:p>
            <w:pPr>
              <w:spacing w:after="0"/>
              <w:rPr>
                <w:sz w:val="24"/>
                <w:szCs w:val="24"/>
                <w:color w:val="auto"/>
              </w:rPr>
            </w:pP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Extension Date</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840"/>
          </w:cols>
          <w:pgMar w:left="320" w:top="1418"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0840"/>
          </w:cols>
          <w:pgMar w:left="320" w:top="1418" w:right="739" w:bottom="1440"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282"/>
        </w:trPr>
        <w:tc>
          <w:tcPr>
            <w:tcW w:w="2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3.03.</w:t>
            </w:r>
          </w:p>
        </w:tc>
        <w:tc>
          <w:tcPr>
            <w:tcW w:w="3380" w:type="dxa"/>
            <w:vAlign w:val="bottom"/>
            <w:gridSpan w:val="8"/>
          </w:tcPr>
          <w:p>
            <w:pPr>
              <w:ind w:left="120"/>
              <w:spacing w:after="0"/>
              <w:rPr>
                <w:sz w:val="20"/>
                <w:szCs w:val="20"/>
                <w:color w:val="auto"/>
              </w:rPr>
            </w:pPr>
            <w:r>
              <w:rPr>
                <w:rFonts w:ascii="Times New Roman" w:cs="Times New Roman" w:eastAsia="Times New Roman" w:hAnsi="Times New Roman"/>
                <w:sz w:val="22"/>
                <w:szCs w:val="22"/>
                <w:color w:val="auto"/>
              </w:rPr>
              <w:t>Determinations Under Section 3.01</w:t>
            </w:r>
          </w:p>
        </w:tc>
        <w:tc>
          <w:tcPr>
            <w:tcW w:w="2220" w:type="dxa"/>
            <w:vAlign w:val="bottom"/>
          </w:tcPr>
          <w:p>
            <w:pPr>
              <w:jc w:val="right"/>
              <w:ind w:right="1892"/>
              <w:spacing w:after="0"/>
              <w:rPr>
                <w:sz w:val="20"/>
                <w:szCs w:val="20"/>
                <w:color w:val="auto"/>
              </w:rPr>
            </w:pPr>
            <w:r>
              <w:rPr>
                <w:rFonts w:ascii="Times New Roman" w:cs="Times New Roman" w:eastAsia="Times New Roman" w:hAnsi="Times New Roman"/>
                <w:sz w:val="22"/>
                <w:szCs w:val="22"/>
                <w:color w:val="auto"/>
                <w:w w:val="90"/>
              </w:rPr>
              <w:t>72</w:t>
            </w:r>
          </w:p>
        </w:tc>
      </w:tr>
      <w:tr>
        <w:trPr>
          <w:trHeight w:val="473"/>
        </w:trPr>
        <w:tc>
          <w:tcPr>
            <w:tcW w:w="5200" w:type="dxa"/>
            <w:vAlign w:val="bottom"/>
            <w:gridSpan w:val="8"/>
          </w:tcPr>
          <w:p>
            <w:pPr>
              <w:spacing w:after="0"/>
              <w:rPr>
                <w:sz w:val="20"/>
                <w:szCs w:val="20"/>
                <w:color w:val="auto"/>
              </w:rPr>
            </w:pPr>
            <w:r>
              <w:rPr>
                <w:rFonts w:ascii="Times New Roman" w:cs="Times New Roman" w:eastAsia="Times New Roman" w:hAnsi="Times New Roman"/>
                <w:sz w:val="22"/>
                <w:szCs w:val="22"/>
                <w:color w:val="auto"/>
                <w:w w:val="96"/>
              </w:rPr>
              <w:t>ARTICLE IV REPRESENTATIONS AND WARRANTIES</w:t>
            </w:r>
          </w:p>
        </w:tc>
        <w:tc>
          <w:tcPr>
            <w:tcW w:w="2580" w:type="dxa"/>
            <w:vAlign w:val="bottom"/>
            <w:gridSpan w:val="2"/>
          </w:tcPr>
          <w:p>
            <w:pPr>
              <w:jc w:val="right"/>
              <w:ind w:right="2072"/>
              <w:spacing w:after="0"/>
              <w:rPr>
                <w:sz w:val="20"/>
                <w:szCs w:val="20"/>
                <w:color w:val="auto"/>
              </w:rPr>
            </w:pPr>
            <w:r>
              <w:rPr>
                <w:rFonts w:ascii="Times New Roman" w:cs="Times New Roman" w:eastAsia="Times New Roman" w:hAnsi="Times New Roman"/>
                <w:sz w:val="22"/>
                <w:szCs w:val="22"/>
                <w:color w:val="auto"/>
              </w:rPr>
              <w:t>72</w:t>
            </w:r>
          </w:p>
        </w:tc>
      </w:tr>
      <w:tr>
        <w:trPr>
          <w:trHeight w:val="418"/>
        </w:trPr>
        <w:tc>
          <w:tcPr>
            <w:tcW w:w="2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4.01.</w:t>
            </w:r>
          </w:p>
        </w:tc>
        <w:tc>
          <w:tcPr>
            <w:tcW w:w="5600" w:type="dxa"/>
            <w:vAlign w:val="bottom"/>
            <w:gridSpan w:val="9"/>
          </w:tcPr>
          <w:p>
            <w:pPr>
              <w:ind w:left="120"/>
              <w:spacing w:after="0"/>
              <w:rPr>
                <w:sz w:val="20"/>
                <w:szCs w:val="20"/>
                <w:color w:val="auto"/>
              </w:rPr>
            </w:pPr>
            <w:r>
              <w:rPr>
                <w:rFonts w:ascii="Times New Roman" w:cs="Times New Roman" w:eastAsia="Times New Roman" w:hAnsi="Times New Roman"/>
                <w:sz w:val="22"/>
                <w:szCs w:val="22"/>
                <w:color w:val="auto"/>
              </w:rPr>
              <w:t>Representations and Warranties of the Credit Parties  72</w:t>
            </w:r>
          </w:p>
        </w:tc>
      </w:tr>
      <w:tr>
        <w:trPr>
          <w:trHeight w:val="486"/>
        </w:trPr>
        <w:tc>
          <w:tcPr>
            <w:tcW w:w="520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ARTICLE V COVENANTS OF THE CREDIT PARTIES</w:t>
            </w:r>
          </w:p>
        </w:tc>
        <w:tc>
          <w:tcPr>
            <w:tcW w:w="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9"/>
              </w:rPr>
              <w:t>76</w:t>
            </w:r>
          </w:p>
        </w:tc>
        <w:tc>
          <w:tcPr>
            <w:tcW w:w="2220" w:type="dxa"/>
            <w:vAlign w:val="bottom"/>
          </w:tcPr>
          <w:p>
            <w:pPr>
              <w:spacing w:after="0"/>
              <w:rPr>
                <w:sz w:val="24"/>
                <w:szCs w:val="24"/>
                <w:color w:val="auto"/>
              </w:rPr>
            </w:pPr>
          </w:p>
        </w:tc>
      </w:tr>
      <w:tr>
        <w:trPr>
          <w:trHeight w:val="393"/>
        </w:trPr>
        <w:tc>
          <w:tcPr>
            <w:tcW w:w="2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5.01.</w:t>
            </w:r>
          </w:p>
        </w:tc>
        <w:tc>
          <w:tcPr>
            <w:tcW w:w="222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Affirmative Covenants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57"/>
        </w:trPr>
        <w:tc>
          <w:tcPr>
            <w:tcW w:w="2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5.02.</w:t>
            </w:r>
          </w:p>
        </w:tc>
        <w:tc>
          <w:tcPr>
            <w:tcW w:w="194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Negative Covenants</w:t>
            </w:r>
          </w:p>
        </w:tc>
        <w:tc>
          <w:tcPr>
            <w:tcW w:w="600" w:type="dxa"/>
            <w:vAlign w:val="bottom"/>
            <w:gridSpan w:val="2"/>
          </w:tcPr>
          <w:p>
            <w:pPr>
              <w:jc w:val="right"/>
              <w:ind w:right="132"/>
              <w:spacing w:after="0"/>
              <w:rPr>
                <w:sz w:val="20"/>
                <w:szCs w:val="20"/>
                <w:color w:val="auto"/>
              </w:rPr>
            </w:pPr>
            <w:r>
              <w:rPr>
                <w:rFonts w:ascii="Times New Roman" w:cs="Times New Roman" w:eastAsia="Times New Roman" w:hAnsi="Times New Roman"/>
                <w:sz w:val="22"/>
                <w:szCs w:val="22"/>
                <w:color w:val="auto"/>
              </w:rPr>
              <w:t>79</w:t>
            </w: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20" w:type="dxa"/>
            <w:vAlign w:val="bottom"/>
          </w:tcPr>
          <w:p>
            <w:pPr>
              <w:spacing w:after="0"/>
              <w:rPr>
                <w:sz w:val="22"/>
                <w:szCs w:val="22"/>
                <w:color w:val="auto"/>
              </w:rPr>
            </w:pPr>
          </w:p>
        </w:tc>
      </w:tr>
      <w:tr>
        <w:trPr>
          <w:trHeight w:val="282"/>
        </w:trPr>
        <w:tc>
          <w:tcPr>
            <w:tcW w:w="2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5.03.</w:t>
            </w:r>
          </w:p>
        </w:tc>
        <w:tc>
          <w:tcPr>
            <w:tcW w:w="194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w w:val="99"/>
              </w:rPr>
              <w:t>Financial Covenants</w:t>
            </w:r>
          </w:p>
        </w:tc>
        <w:tc>
          <w:tcPr>
            <w:tcW w:w="60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83</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473"/>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9"/>
              </w:rPr>
              <w:t>ARTICLE VI EVENTS OF DEFAULT</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432"/>
        </w:trPr>
        <w:tc>
          <w:tcPr>
            <w:tcW w:w="2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6.01.</w:t>
            </w:r>
          </w:p>
        </w:tc>
        <w:tc>
          <w:tcPr>
            <w:tcW w:w="168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w w:val="99"/>
              </w:rPr>
              <w:t>Events of Default</w:t>
            </w:r>
          </w:p>
        </w:tc>
        <w:tc>
          <w:tcPr>
            <w:tcW w:w="540" w:type="dxa"/>
            <w:vAlign w:val="bottom"/>
            <w:gridSpan w:val="2"/>
          </w:tcPr>
          <w:p>
            <w:pPr>
              <w:jc w:val="right"/>
              <w:ind w:right="52"/>
              <w:spacing w:after="0"/>
              <w:rPr>
                <w:sz w:val="20"/>
                <w:szCs w:val="20"/>
                <w:color w:val="auto"/>
              </w:rPr>
            </w:pPr>
            <w:r>
              <w:rPr>
                <w:rFonts w:ascii="Times New Roman" w:cs="Times New Roman" w:eastAsia="Times New Roman" w:hAnsi="Times New Roman"/>
                <w:sz w:val="22"/>
                <w:szCs w:val="22"/>
                <w:color w:val="auto"/>
              </w:rPr>
              <w:t>83</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473"/>
        </w:trPr>
        <w:tc>
          <w:tcPr>
            <w:tcW w:w="4400" w:type="dxa"/>
            <w:vAlign w:val="bottom"/>
            <w:gridSpan w:val="6"/>
          </w:tcPr>
          <w:p>
            <w:pPr>
              <w:spacing w:after="0"/>
              <w:rPr>
                <w:sz w:val="20"/>
                <w:szCs w:val="20"/>
                <w:color w:val="auto"/>
              </w:rPr>
            </w:pPr>
            <w:r>
              <w:rPr>
                <w:rFonts w:ascii="Times New Roman" w:cs="Times New Roman" w:eastAsia="Times New Roman" w:hAnsi="Times New Roman"/>
                <w:sz w:val="22"/>
                <w:szCs w:val="22"/>
                <w:color w:val="auto"/>
                <w:w w:val="97"/>
              </w:rPr>
              <w:t>ARTICLE VII THE ADMINISTRATIVE AGENT</w:t>
            </w:r>
          </w:p>
        </w:tc>
        <w:tc>
          <w:tcPr>
            <w:tcW w:w="800" w:type="dxa"/>
            <w:vAlign w:val="bottom"/>
            <w:gridSpan w:val="2"/>
          </w:tcPr>
          <w:p>
            <w:pPr>
              <w:jc w:val="right"/>
              <w:ind w:right="272"/>
              <w:spacing w:after="0"/>
              <w:rPr>
                <w:sz w:val="20"/>
                <w:szCs w:val="20"/>
                <w:color w:val="auto"/>
              </w:rPr>
            </w:pPr>
            <w:r>
              <w:rPr>
                <w:rFonts w:ascii="Times New Roman" w:cs="Times New Roman" w:eastAsia="Times New Roman" w:hAnsi="Times New Roman"/>
                <w:sz w:val="22"/>
                <w:szCs w:val="22"/>
                <w:color w:val="auto"/>
              </w:rPr>
              <w:t>86</w:t>
            </w:r>
          </w:p>
        </w:tc>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393"/>
        </w:trPr>
        <w:tc>
          <w:tcPr>
            <w:tcW w:w="2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7.01.</w:t>
            </w:r>
          </w:p>
        </w:tc>
        <w:tc>
          <w:tcPr>
            <w:tcW w:w="254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w w:val="98"/>
              </w:rPr>
              <w:t>Appointment and Authority</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57"/>
        </w:trPr>
        <w:tc>
          <w:tcPr>
            <w:tcW w:w="2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7.02.</w:t>
            </w:r>
          </w:p>
        </w:tc>
        <w:tc>
          <w:tcPr>
            <w:tcW w:w="194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Rights as a Lender</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87</w:t>
            </w: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20" w:type="dxa"/>
            <w:vAlign w:val="bottom"/>
          </w:tcPr>
          <w:p>
            <w:pPr>
              <w:spacing w:after="0"/>
              <w:rPr>
                <w:sz w:val="22"/>
                <w:szCs w:val="22"/>
                <w:color w:val="auto"/>
              </w:rPr>
            </w:pPr>
          </w:p>
        </w:tc>
      </w:tr>
      <w:tr>
        <w:trPr>
          <w:trHeight w:val="256"/>
        </w:trPr>
        <w:tc>
          <w:tcPr>
            <w:tcW w:w="2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7.03.</w:t>
            </w:r>
          </w:p>
        </w:tc>
        <w:tc>
          <w:tcPr>
            <w:tcW w:w="222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Exculpatory Provisions</w:t>
            </w:r>
          </w:p>
        </w:tc>
        <w:tc>
          <w:tcPr>
            <w:tcW w:w="800" w:type="dxa"/>
            <w:vAlign w:val="bottom"/>
            <w:gridSpan w:val="2"/>
          </w:tcPr>
          <w:p>
            <w:pPr>
              <w:jc w:val="right"/>
              <w:ind w:right="352"/>
              <w:spacing w:after="0"/>
              <w:rPr>
                <w:sz w:val="20"/>
                <w:szCs w:val="20"/>
                <w:color w:val="auto"/>
              </w:rPr>
            </w:pPr>
            <w:r>
              <w:rPr>
                <w:rFonts w:ascii="Times New Roman" w:cs="Times New Roman" w:eastAsia="Times New Roman" w:hAnsi="Times New Roman"/>
                <w:sz w:val="22"/>
                <w:szCs w:val="22"/>
                <w:color w:val="auto"/>
              </w:rPr>
              <w:t>87</w:t>
            </w:r>
          </w:p>
        </w:tc>
        <w:tc>
          <w:tcPr>
            <w:tcW w:w="360" w:type="dxa"/>
            <w:vAlign w:val="bottom"/>
          </w:tcPr>
          <w:p>
            <w:pPr>
              <w:spacing w:after="0"/>
              <w:rPr>
                <w:sz w:val="22"/>
                <w:szCs w:val="22"/>
                <w:color w:val="auto"/>
              </w:rPr>
            </w:pPr>
          </w:p>
        </w:tc>
        <w:tc>
          <w:tcPr>
            <w:tcW w:w="2220" w:type="dxa"/>
            <w:vAlign w:val="bottom"/>
          </w:tcPr>
          <w:p>
            <w:pPr>
              <w:spacing w:after="0"/>
              <w:rPr>
                <w:sz w:val="22"/>
                <w:szCs w:val="22"/>
                <w:color w:val="auto"/>
              </w:rPr>
            </w:pPr>
          </w:p>
        </w:tc>
      </w:tr>
      <w:tr>
        <w:trPr>
          <w:trHeight w:val="270"/>
        </w:trPr>
        <w:tc>
          <w:tcPr>
            <w:tcW w:w="2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7.04.</w:t>
            </w:r>
          </w:p>
        </w:tc>
        <w:tc>
          <w:tcPr>
            <w:tcW w:w="3380" w:type="dxa"/>
            <w:vAlign w:val="bottom"/>
            <w:gridSpan w:val="8"/>
          </w:tcPr>
          <w:p>
            <w:pPr>
              <w:ind w:left="120"/>
              <w:spacing w:after="0"/>
              <w:rPr>
                <w:sz w:val="20"/>
                <w:szCs w:val="20"/>
                <w:color w:val="auto"/>
              </w:rPr>
            </w:pPr>
            <w:r>
              <w:rPr>
                <w:rFonts w:ascii="Times New Roman" w:cs="Times New Roman" w:eastAsia="Times New Roman" w:hAnsi="Times New Roman"/>
                <w:sz w:val="22"/>
                <w:szCs w:val="22"/>
                <w:color w:val="auto"/>
                <w:w w:val="97"/>
              </w:rPr>
              <w:t>Reliance by the Administrative Agent</w:t>
            </w:r>
          </w:p>
        </w:tc>
        <w:tc>
          <w:tcPr>
            <w:tcW w:w="2220" w:type="dxa"/>
            <w:vAlign w:val="bottom"/>
          </w:tcPr>
          <w:p>
            <w:pPr>
              <w:jc w:val="right"/>
              <w:ind w:right="1672"/>
              <w:spacing w:after="0"/>
              <w:rPr>
                <w:sz w:val="20"/>
                <w:szCs w:val="20"/>
                <w:color w:val="auto"/>
              </w:rPr>
            </w:pPr>
            <w:r>
              <w:rPr>
                <w:rFonts w:ascii="Times New Roman" w:cs="Times New Roman" w:eastAsia="Times New Roman" w:hAnsi="Times New Roman"/>
                <w:sz w:val="22"/>
                <w:szCs w:val="22"/>
                <w:color w:val="auto"/>
              </w:rPr>
              <w:t>88</w:t>
            </w:r>
          </w:p>
        </w:tc>
      </w:tr>
      <w:tr>
        <w:trPr>
          <w:trHeight w:val="257"/>
        </w:trPr>
        <w:tc>
          <w:tcPr>
            <w:tcW w:w="2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7.05.</w:t>
            </w:r>
          </w:p>
        </w:tc>
        <w:tc>
          <w:tcPr>
            <w:tcW w:w="168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Indemnification</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89</w:t>
            </w: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20" w:type="dxa"/>
            <w:vAlign w:val="bottom"/>
          </w:tcPr>
          <w:p>
            <w:pPr>
              <w:spacing w:after="0"/>
              <w:rPr>
                <w:sz w:val="22"/>
                <w:szCs w:val="22"/>
                <w:color w:val="auto"/>
              </w:rPr>
            </w:pPr>
          </w:p>
        </w:tc>
      </w:tr>
      <w:tr>
        <w:trPr>
          <w:trHeight w:val="257"/>
        </w:trPr>
        <w:tc>
          <w:tcPr>
            <w:tcW w:w="2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7.06.</w:t>
            </w:r>
          </w:p>
        </w:tc>
        <w:tc>
          <w:tcPr>
            <w:tcW w:w="194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w w:val="98"/>
              </w:rPr>
              <w:t>Delegation of Duties</w:t>
            </w:r>
          </w:p>
        </w:tc>
        <w:tc>
          <w:tcPr>
            <w:tcW w:w="60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89</w:t>
            </w: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20" w:type="dxa"/>
            <w:vAlign w:val="bottom"/>
          </w:tcPr>
          <w:p>
            <w:pPr>
              <w:spacing w:after="0"/>
              <w:rPr>
                <w:sz w:val="22"/>
                <w:szCs w:val="22"/>
                <w:color w:val="auto"/>
              </w:rPr>
            </w:pPr>
          </w:p>
        </w:tc>
      </w:tr>
      <w:tr>
        <w:trPr>
          <w:trHeight w:val="257"/>
        </w:trPr>
        <w:tc>
          <w:tcPr>
            <w:tcW w:w="2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7.07.</w:t>
            </w:r>
          </w:p>
        </w:tc>
        <w:tc>
          <w:tcPr>
            <w:tcW w:w="3380" w:type="dxa"/>
            <w:vAlign w:val="bottom"/>
            <w:gridSpan w:val="8"/>
          </w:tcPr>
          <w:p>
            <w:pPr>
              <w:ind w:left="120"/>
              <w:spacing w:after="0"/>
              <w:rPr>
                <w:sz w:val="20"/>
                <w:szCs w:val="20"/>
                <w:color w:val="auto"/>
              </w:rPr>
            </w:pPr>
            <w:r>
              <w:rPr>
                <w:rFonts w:ascii="Times New Roman" w:cs="Times New Roman" w:eastAsia="Times New Roman" w:hAnsi="Times New Roman"/>
                <w:sz w:val="22"/>
                <w:szCs w:val="22"/>
                <w:color w:val="auto"/>
                <w:w w:val="99"/>
              </w:rPr>
              <w:t>Resignation of Administrative Agent</w:t>
            </w:r>
          </w:p>
        </w:tc>
        <w:tc>
          <w:tcPr>
            <w:tcW w:w="2220" w:type="dxa"/>
            <w:vAlign w:val="bottom"/>
          </w:tcPr>
          <w:p>
            <w:pPr>
              <w:jc w:val="right"/>
              <w:ind w:right="1752"/>
              <w:spacing w:after="0"/>
              <w:rPr>
                <w:sz w:val="20"/>
                <w:szCs w:val="20"/>
                <w:color w:val="auto"/>
              </w:rPr>
            </w:pPr>
            <w:r>
              <w:rPr>
                <w:rFonts w:ascii="Times New Roman" w:cs="Times New Roman" w:eastAsia="Times New Roman" w:hAnsi="Times New Roman"/>
                <w:sz w:val="22"/>
                <w:szCs w:val="22"/>
                <w:color w:val="auto"/>
              </w:rPr>
              <w:t>89</w:t>
            </w:r>
          </w:p>
        </w:tc>
      </w:tr>
      <w:tr>
        <w:trPr>
          <w:trHeight w:val="256"/>
        </w:trPr>
        <w:tc>
          <w:tcPr>
            <w:tcW w:w="2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7.08.</w:t>
            </w:r>
          </w:p>
        </w:tc>
        <w:tc>
          <w:tcPr>
            <w:tcW w:w="5600" w:type="dxa"/>
            <w:vAlign w:val="bottom"/>
            <w:gridSpan w:val="9"/>
          </w:tcPr>
          <w:p>
            <w:pPr>
              <w:ind w:left="120"/>
              <w:spacing w:after="0"/>
              <w:rPr>
                <w:sz w:val="20"/>
                <w:szCs w:val="20"/>
                <w:color w:val="auto"/>
              </w:rPr>
            </w:pPr>
            <w:r>
              <w:rPr>
                <w:rFonts w:ascii="Times New Roman" w:cs="Times New Roman" w:eastAsia="Times New Roman" w:hAnsi="Times New Roman"/>
                <w:sz w:val="22"/>
                <w:szCs w:val="22"/>
                <w:color w:val="auto"/>
                <w:w w:val="99"/>
              </w:rPr>
              <w:t>Non-Reliance on Administrative Agent and Other Lenders  91</w:t>
            </w:r>
          </w:p>
        </w:tc>
      </w:tr>
      <w:tr>
        <w:trPr>
          <w:trHeight w:val="270"/>
        </w:trPr>
        <w:tc>
          <w:tcPr>
            <w:tcW w:w="4720" w:type="dxa"/>
            <w:vAlign w:val="bottom"/>
            <w:gridSpan w:val="7"/>
          </w:tcPr>
          <w:p>
            <w:pPr>
              <w:ind w:left="660"/>
              <w:spacing w:after="0"/>
              <w:rPr>
                <w:sz w:val="20"/>
                <w:szCs w:val="20"/>
                <w:color w:val="auto"/>
              </w:rPr>
            </w:pPr>
            <w:r>
              <w:rPr>
                <w:rFonts w:ascii="Times New Roman" w:cs="Times New Roman" w:eastAsia="Times New Roman" w:hAnsi="Times New Roman"/>
                <w:sz w:val="22"/>
                <w:szCs w:val="22"/>
                <w:color w:val="auto"/>
              </w:rPr>
              <w:t>SECTION 7.09.  No Other Duties, Etc.  91</w:t>
            </w: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20" w:type="dxa"/>
            <w:vAlign w:val="bottom"/>
          </w:tcPr>
          <w:p>
            <w:pPr>
              <w:spacing w:after="0"/>
              <w:rPr>
                <w:sz w:val="23"/>
                <w:szCs w:val="23"/>
                <w:color w:val="auto"/>
              </w:rPr>
            </w:pPr>
          </w:p>
        </w:tc>
      </w:tr>
      <w:tr>
        <w:trPr>
          <w:trHeight w:val="257"/>
        </w:trPr>
        <w:tc>
          <w:tcPr>
            <w:tcW w:w="2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7.10.</w:t>
            </w:r>
          </w:p>
        </w:tc>
        <w:tc>
          <w:tcPr>
            <w:tcW w:w="168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w w:val="99"/>
              </w:rPr>
              <w:t>Guaranty Matters</w:t>
            </w:r>
          </w:p>
        </w:tc>
        <w:tc>
          <w:tcPr>
            <w:tcW w:w="540" w:type="dxa"/>
            <w:vAlign w:val="bottom"/>
            <w:gridSpan w:val="2"/>
          </w:tcPr>
          <w:p>
            <w:pPr>
              <w:jc w:val="right"/>
              <w:ind w:right="52"/>
              <w:spacing w:after="0"/>
              <w:rPr>
                <w:sz w:val="20"/>
                <w:szCs w:val="20"/>
                <w:color w:val="auto"/>
              </w:rPr>
            </w:pPr>
            <w:r>
              <w:rPr>
                <w:rFonts w:ascii="Times New Roman" w:cs="Times New Roman" w:eastAsia="Times New Roman" w:hAnsi="Times New Roman"/>
                <w:sz w:val="22"/>
                <w:szCs w:val="22"/>
                <w:color w:val="auto"/>
              </w:rPr>
              <w:t>91</w:t>
            </w: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20" w:type="dxa"/>
            <w:vAlign w:val="bottom"/>
          </w:tcPr>
          <w:p>
            <w:pPr>
              <w:spacing w:after="0"/>
              <w:rPr>
                <w:sz w:val="22"/>
                <w:szCs w:val="22"/>
                <w:color w:val="auto"/>
              </w:rPr>
            </w:pPr>
          </w:p>
        </w:tc>
      </w:tr>
      <w:tr>
        <w:trPr>
          <w:trHeight w:val="256"/>
        </w:trPr>
        <w:tc>
          <w:tcPr>
            <w:tcW w:w="2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7.11.</w:t>
            </w:r>
          </w:p>
        </w:tc>
        <w:tc>
          <w:tcPr>
            <w:tcW w:w="194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Erroneous Payments</w:t>
            </w:r>
          </w:p>
        </w:tc>
        <w:tc>
          <w:tcPr>
            <w:tcW w:w="60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92</w:t>
            </w: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20" w:type="dxa"/>
            <w:vAlign w:val="bottom"/>
          </w:tcPr>
          <w:p>
            <w:pPr>
              <w:spacing w:after="0"/>
              <w:rPr>
                <w:sz w:val="22"/>
                <w:szCs w:val="22"/>
                <w:color w:val="auto"/>
              </w:rPr>
            </w:pPr>
          </w:p>
        </w:tc>
      </w:tr>
      <w:tr>
        <w:trPr>
          <w:trHeight w:val="282"/>
        </w:trPr>
        <w:tc>
          <w:tcPr>
            <w:tcW w:w="2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7.12.</w:t>
            </w:r>
          </w:p>
        </w:tc>
        <w:tc>
          <w:tcPr>
            <w:tcW w:w="222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Certain ERISA Matters</w:t>
            </w:r>
          </w:p>
        </w:tc>
        <w:tc>
          <w:tcPr>
            <w:tcW w:w="800" w:type="dxa"/>
            <w:vAlign w:val="bottom"/>
            <w:gridSpan w:val="2"/>
          </w:tcPr>
          <w:p>
            <w:pPr>
              <w:jc w:val="right"/>
              <w:ind w:right="332"/>
              <w:spacing w:after="0"/>
              <w:rPr>
                <w:sz w:val="20"/>
                <w:szCs w:val="20"/>
                <w:color w:val="auto"/>
              </w:rPr>
            </w:pPr>
            <w:r>
              <w:rPr>
                <w:rFonts w:ascii="Times New Roman" w:cs="Times New Roman" w:eastAsia="Times New Roman" w:hAnsi="Times New Roman"/>
                <w:sz w:val="22"/>
                <w:szCs w:val="22"/>
                <w:color w:val="auto"/>
              </w:rPr>
              <w:t>94</w:t>
            </w:r>
          </w:p>
        </w:tc>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473"/>
        </w:trPr>
        <w:tc>
          <w:tcPr>
            <w:tcW w:w="3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VIII GUARANTY  95</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460"/>
        </w:trPr>
        <w:tc>
          <w:tcPr>
            <w:tcW w:w="2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8.01.</w:t>
            </w: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The Guaranty</w:t>
            </w:r>
          </w:p>
        </w:tc>
        <w:tc>
          <w:tcPr>
            <w:tcW w:w="62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95</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56"/>
        </w:trPr>
        <w:tc>
          <w:tcPr>
            <w:tcW w:w="2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8.02.</w:t>
            </w: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Bankruptcy</w:t>
            </w:r>
          </w:p>
        </w:tc>
        <w:tc>
          <w:tcPr>
            <w:tcW w:w="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9"/>
              </w:rPr>
              <w:t>96</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20" w:type="dxa"/>
            <w:vAlign w:val="bottom"/>
          </w:tcPr>
          <w:p>
            <w:pPr>
              <w:spacing w:after="0"/>
              <w:rPr>
                <w:sz w:val="22"/>
                <w:szCs w:val="22"/>
                <w:color w:val="auto"/>
              </w:rPr>
            </w:pPr>
          </w:p>
        </w:tc>
      </w:tr>
      <w:tr>
        <w:trPr>
          <w:trHeight w:val="257"/>
        </w:trPr>
        <w:tc>
          <w:tcPr>
            <w:tcW w:w="2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8.03.</w:t>
            </w:r>
          </w:p>
        </w:tc>
        <w:tc>
          <w:tcPr>
            <w:tcW w:w="194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Nature of Liability</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96</w:t>
            </w: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20" w:type="dxa"/>
            <w:vAlign w:val="bottom"/>
          </w:tcPr>
          <w:p>
            <w:pPr>
              <w:spacing w:after="0"/>
              <w:rPr>
                <w:sz w:val="22"/>
                <w:szCs w:val="22"/>
                <w:color w:val="auto"/>
              </w:rPr>
            </w:pPr>
          </w:p>
        </w:tc>
      </w:tr>
      <w:tr>
        <w:trPr>
          <w:trHeight w:val="257"/>
        </w:trPr>
        <w:tc>
          <w:tcPr>
            <w:tcW w:w="2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8.04.</w:t>
            </w:r>
          </w:p>
        </w:tc>
        <w:tc>
          <w:tcPr>
            <w:tcW w:w="222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w w:val="99"/>
              </w:rPr>
              <w:t>Independent Obligation</w:t>
            </w:r>
          </w:p>
        </w:tc>
        <w:tc>
          <w:tcPr>
            <w:tcW w:w="800" w:type="dxa"/>
            <w:vAlign w:val="bottom"/>
            <w:gridSpan w:val="2"/>
          </w:tcPr>
          <w:p>
            <w:pPr>
              <w:jc w:val="right"/>
              <w:ind w:right="312"/>
              <w:spacing w:after="0"/>
              <w:rPr>
                <w:sz w:val="20"/>
                <w:szCs w:val="20"/>
                <w:color w:val="auto"/>
              </w:rPr>
            </w:pPr>
            <w:r>
              <w:rPr>
                <w:rFonts w:ascii="Times New Roman" w:cs="Times New Roman" w:eastAsia="Times New Roman" w:hAnsi="Times New Roman"/>
                <w:sz w:val="22"/>
                <w:szCs w:val="22"/>
                <w:color w:val="auto"/>
              </w:rPr>
              <w:t>97</w:t>
            </w:r>
          </w:p>
        </w:tc>
        <w:tc>
          <w:tcPr>
            <w:tcW w:w="360" w:type="dxa"/>
            <w:vAlign w:val="bottom"/>
          </w:tcPr>
          <w:p>
            <w:pPr>
              <w:spacing w:after="0"/>
              <w:rPr>
                <w:sz w:val="22"/>
                <w:szCs w:val="22"/>
                <w:color w:val="auto"/>
              </w:rPr>
            </w:pPr>
          </w:p>
        </w:tc>
        <w:tc>
          <w:tcPr>
            <w:tcW w:w="2220" w:type="dxa"/>
            <w:vAlign w:val="bottom"/>
          </w:tcPr>
          <w:p>
            <w:pPr>
              <w:spacing w:after="0"/>
              <w:rPr>
                <w:sz w:val="22"/>
                <w:szCs w:val="22"/>
                <w:color w:val="auto"/>
              </w:rPr>
            </w:pPr>
          </w:p>
        </w:tc>
      </w:tr>
      <w:tr>
        <w:trPr>
          <w:trHeight w:val="256"/>
        </w:trPr>
        <w:tc>
          <w:tcPr>
            <w:tcW w:w="2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8.05.</w:t>
            </w: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6"/>
              </w:rPr>
              <w:t>Authorization</w:t>
            </w:r>
          </w:p>
        </w:tc>
        <w:tc>
          <w:tcPr>
            <w:tcW w:w="62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97</w:t>
            </w: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20" w:type="dxa"/>
            <w:vAlign w:val="bottom"/>
          </w:tcPr>
          <w:p>
            <w:pPr>
              <w:spacing w:after="0"/>
              <w:rPr>
                <w:sz w:val="22"/>
                <w:szCs w:val="22"/>
                <w:color w:val="auto"/>
              </w:rPr>
            </w:pPr>
          </w:p>
        </w:tc>
      </w:tr>
      <w:tr>
        <w:trPr>
          <w:trHeight w:val="257"/>
        </w:trPr>
        <w:tc>
          <w:tcPr>
            <w:tcW w:w="2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8.06.</w:t>
            </w:r>
          </w:p>
        </w:tc>
        <w:tc>
          <w:tcPr>
            <w:tcW w:w="9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Reliance</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w:t>
            </w: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20" w:type="dxa"/>
            <w:vAlign w:val="bottom"/>
          </w:tcPr>
          <w:p>
            <w:pPr>
              <w:spacing w:after="0"/>
              <w:rPr>
                <w:sz w:val="22"/>
                <w:szCs w:val="22"/>
                <w:color w:val="auto"/>
              </w:rPr>
            </w:pPr>
          </w:p>
        </w:tc>
      </w:tr>
      <w:tr>
        <w:trPr>
          <w:trHeight w:val="270"/>
        </w:trPr>
        <w:tc>
          <w:tcPr>
            <w:tcW w:w="2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8.07.</w:t>
            </w:r>
          </w:p>
        </w:tc>
        <w:tc>
          <w:tcPr>
            <w:tcW w:w="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Waiver</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97</w:t>
            </w: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20" w:type="dxa"/>
            <w:vAlign w:val="bottom"/>
          </w:tcPr>
          <w:p>
            <w:pPr>
              <w:spacing w:after="0"/>
              <w:rPr>
                <w:sz w:val="23"/>
                <w:szCs w:val="23"/>
                <w:color w:val="auto"/>
              </w:rPr>
            </w:pPr>
          </w:p>
        </w:tc>
      </w:tr>
      <w:tr>
        <w:trPr>
          <w:trHeight w:val="256"/>
        </w:trPr>
        <w:tc>
          <w:tcPr>
            <w:tcW w:w="2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8.08.</w:t>
            </w:r>
          </w:p>
        </w:tc>
        <w:tc>
          <w:tcPr>
            <w:tcW w:w="254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rPr>
              <w:t>Limitation on Enforcement</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98</w:t>
            </w:r>
          </w:p>
        </w:tc>
        <w:tc>
          <w:tcPr>
            <w:tcW w:w="360" w:type="dxa"/>
            <w:vAlign w:val="bottom"/>
          </w:tcPr>
          <w:p>
            <w:pPr>
              <w:spacing w:after="0"/>
              <w:rPr>
                <w:sz w:val="22"/>
                <w:szCs w:val="22"/>
                <w:color w:val="auto"/>
              </w:rPr>
            </w:pPr>
          </w:p>
        </w:tc>
        <w:tc>
          <w:tcPr>
            <w:tcW w:w="2220" w:type="dxa"/>
            <w:vAlign w:val="bottom"/>
          </w:tcPr>
          <w:p>
            <w:pPr>
              <w:spacing w:after="0"/>
              <w:rPr>
                <w:sz w:val="22"/>
                <w:szCs w:val="22"/>
                <w:color w:val="auto"/>
              </w:rPr>
            </w:pPr>
          </w:p>
        </w:tc>
      </w:tr>
      <w:tr>
        <w:trPr>
          <w:trHeight w:val="282"/>
        </w:trPr>
        <w:tc>
          <w:tcPr>
            <w:tcW w:w="2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8.09.</w:t>
            </w:r>
          </w:p>
        </w:tc>
        <w:tc>
          <w:tcPr>
            <w:tcW w:w="254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rPr>
              <w:t>Confirmation of Payment</w:t>
            </w:r>
          </w:p>
        </w:tc>
        <w:tc>
          <w:tcPr>
            <w:tcW w:w="4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0"/>
              </w:rPr>
              <w:t>98</w:t>
            </w:r>
          </w:p>
        </w:tc>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419"/>
        </w:trPr>
        <w:tc>
          <w:tcPr>
            <w:tcW w:w="30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ARTICLE IX MISCELLANEOUS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393"/>
        </w:trPr>
        <w:tc>
          <w:tcPr>
            <w:tcW w:w="4400" w:type="dxa"/>
            <w:vAlign w:val="bottom"/>
            <w:gridSpan w:val="6"/>
          </w:tcPr>
          <w:p>
            <w:pPr>
              <w:ind w:left="660"/>
              <w:spacing w:after="0"/>
              <w:rPr>
                <w:sz w:val="20"/>
                <w:szCs w:val="20"/>
                <w:color w:val="auto"/>
              </w:rPr>
            </w:pPr>
            <w:r>
              <w:rPr>
                <w:rFonts w:ascii="Times New Roman" w:cs="Times New Roman" w:eastAsia="Times New Roman" w:hAnsi="Times New Roman"/>
                <w:sz w:val="22"/>
                <w:szCs w:val="22"/>
                <w:color w:val="auto"/>
              </w:rPr>
              <w:t>SECTION 9.01.  Amendments, Etc.  99</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70"/>
        </w:trPr>
        <w:tc>
          <w:tcPr>
            <w:tcW w:w="3860" w:type="dxa"/>
            <w:vAlign w:val="bottom"/>
            <w:gridSpan w:val="4"/>
          </w:tcPr>
          <w:p>
            <w:pPr>
              <w:ind w:left="660"/>
              <w:spacing w:after="0"/>
              <w:rPr>
                <w:sz w:val="20"/>
                <w:szCs w:val="20"/>
                <w:color w:val="auto"/>
              </w:rPr>
            </w:pPr>
            <w:r>
              <w:rPr>
                <w:rFonts w:ascii="Times New Roman" w:cs="Times New Roman" w:eastAsia="Times New Roman" w:hAnsi="Times New Roman"/>
                <w:sz w:val="22"/>
                <w:szCs w:val="22"/>
                <w:color w:val="auto"/>
              </w:rPr>
              <w:t>SECTION 9.02.  Notices, Etc.  99</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20" w:type="dxa"/>
            <w:vAlign w:val="bottom"/>
          </w:tcPr>
          <w:p>
            <w:pPr>
              <w:spacing w:after="0"/>
              <w:rPr>
                <w:sz w:val="23"/>
                <w:szCs w:val="23"/>
                <w:color w:val="auto"/>
              </w:rPr>
            </w:pPr>
          </w:p>
        </w:tc>
      </w:tr>
      <w:tr>
        <w:trPr>
          <w:trHeight w:val="282"/>
        </w:trPr>
        <w:tc>
          <w:tcPr>
            <w:tcW w:w="2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9.03.</w:t>
            </w:r>
          </w:p>
        </w:tc>
        <w:tc>
          <w:tcPr>
            <w:tcW w:w="222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No Waiver; Remedies</w:t>
            </w:r>
          </w:p>
        </w:tc>
        <w:tc>
          <w:tcPr>
            <w:tcW w:w="800" w:type="dxa"/>
            <w:vAlign w:val="bottom"/>
            <w:gridSpan w:val="2"/>
          </w:tcPr>
          <w:p>
            <w:pPr>
              <w:jc w:val="right"/>
              <w:ind w:right="352"/>
              <w:spacing w:after="0"/>
              <w:rPr>
                <w:sz w:val="20"/>
                <w:szCs w:val="20"/>
                <w:color w:val="auto"/>
              </w:rPr>
            </w:pPr>
            <w:r>
              <w:rPr>
                <w:rFonts w:ascii="Times New Roman" w:cs="Times New Roman" w:eastAsia="Times New Roman" w:hAnsi="Times New Roman"/>
                <w:sz w:val="22"/>
                <w:szCs w:val="22"/>
                <w:color w:val="auto"/>
                <w:w w:val="96"/>
              </w:rPr>
              <w:t>101</w:t>
            </w:r>
          </w:p>
        </w:tc>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139"/>
          </w:cols>
          <w:pgMar w:left="320" w:top="14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0139"/>
          </w:cols>
          <w:pgMar w:left="320" w:top="1422" w:right="1440" w:bottom="144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257"/>
        </w:trPr>
        <w:tc>
          <w:tcPr>
            <w:tcW w:w="2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9.04.</w:t>
            </w:r>
          </w:p>
        </w:tc>
        <w:tc>
          <w:tcPr>
            <w:tcW w:w="19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Costs and Expenses</w:t>
            </w:r>
          </w:p>
        </w:tc>
        <w:tc>
          <w:tcPr>
            <w:tcW w:w="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101</w:t>
            </w: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6"/>
        </w:trPr>
        <w:tc>
          <w:tcPr>
            <w:tcW w:w="2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9.05.</w:t>
            </w: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Right of Set-off</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w:t>
            </w:r>
          </w:p>
        </w:tc>
        <w:tc>
          <w:tcPr>
            <w:tcW w:w="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0"/>
        </w:trPr>
        <w:tc>
          <w:tcPr>
            <w:tcW w:w="2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9.06.</w:t>
            </w: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Binding Effect</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103</w:t>
            </w:r>
          </w:p>
        </w:tc>
        <w:tc>
          <w:tcPr>
            <w:tcW w:w="8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7"/>
        </w:trPr>
        <w:tc>
          <w:tcPr>
            <w:tcW w:w="2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9.07.</w:t>
            </w:r>
          </w:p>
        </w:tc>
        <w:tc>
          <w:tcPr>
            <w:tcW w:w="284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w w:val="98"/>
              </w:rPr>
              <w:t>Assignments and Participations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w:t>
            </w: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7"/>
        </w:trPr>
        <w:tc>
          <w:tcPr>
            <w:tcW w:w="2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9.08.</w:t>
            </w: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Confidentiality</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w:t>
            </w:r>
          </w:p>
        </w:tc>
        <w:tc>
          <w:tcPr>
            <w:tcW w:w="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7"/>
        </w:trPr>
        <w:tc>
          <w:tcPr>
            <w:tcW w:w="2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9.09.</w:t>
            </w: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Governing Law</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w:t>
            </w:r>
          </w:p>
        </w:tc>
        <w:tc>
          <w:tcPr>
            <w:tcW w:w="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6"/>
        </w:trPr>
        <w:tc>
          <w:tcPr>
            <w:tcW w:w="2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9.10.</w:t>
            </w:r>
          </w:p>
        </w:tc>
        <w:tc>
          <w:tcPr>
            <w:tcW w:w="3680" w:type="dxa"/>
            <w:vAlign w:val="bottom"/>
            <w:gridSpan w:val="6"/>
          </w:tcPr>
          <w:p>
            <w:pPr>
              <w:ind w:left="80"/>
              <w:spacing w:after="0"/>
              <w:rPr>
                <w:sz w:val="20"/>
                <w:szCs w:val="20"/>
                <w:color w:val="auto"/>
              </w:rPr>
            </w:pPr>
            <w:r>
              <w:rPr>
                <w:rFonts w:ascii="Times New Roman" w:cs="Times New Roman" w:eastAsia="Times New Roman" w:hAnsi="Times New Roman"/>
                <w:sz w:val="22"/>
                <w:szCs w:val="22"/>
                <w:color w:val="auto"/>
              </w:rPr>
              <w:t>Counterparts; Integration; Effectiveness</w:t>
            </w: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108</w:t>
            </w:r>
          </w:p>
        </w:tc>
        <w:tc>
          <w:tcPr>
            <w:tcW w:w="14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0"/>
        </w:trPr>
        <w:tc>
          <w:tcPr>
            <w:tcW w:w="5060" w:type="dxa"/>
            <w:vAlign w:val="bottom"/>
            <w:gridSpan w:val="5"/>
          </w:tcPr>
          <w:p>
            <w:pPr>
              <w:ind w:left="660"/>
              <w:spacing w:after="0"/>
              <w:rPr>
                <w:sz w:val="20"/>
                <w:szCs w:val="20"/>
                <w:color w:val="auto"/>
              </w:rPr>
            </w:pPr>
            <w:r>
              <w:rPr>
                <w:rFonts w:ascii="Times New Roman" w:cs="Times New Roman" w:eastAsia="Times New Roman" w:hAnsi="Times New Roman"/>
                <w:sz w:val="22"/>
                <w:szCs w:val="22"/>
                <w:color w:val="auto"/>
              </w:rPr>
              <w:t>SECTION 9.11.  Jurisdiction, Etc.  109</w:t>
            </w: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7"/>
        </w:trPr>
        <w:tc>
          <w:tcPr>
            <w:tcW w:w="2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9.12.</w:t>
            </w:r>
          </w:p>
        </w:tc>
        <w:tc>
          <w:tcPr>
            <w:tcW w:w="284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Patriot Act Notice  109</w:t>
            </w: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7"/>
        </w:trPr>
        <w:tc>
          <w:tcPr>
            <w:tcW w:w="2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9.13.</w:t>
            </w:r>
          </w:p>
        </w:tc>
        <w:tc>
          <w:tcPr>
            <w:tcW w:w="19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Waiver of Jury Trial</w:t>
            </w:r>
          </w:p>
        </w:tc>
        <w:tc>
          <w:tcPr>
            <w:tcW w:w="8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109</w:t>
            </w: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7"/>
        </w:trPr>
        <w:tc>
          <w:tcPr>
            <w:tcW w:w="2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9.14.</w:t>
            </w:r>
          </w:p>
        </w:tc>
        <w:tc>
          <w:tcPr>
            <w:tcW w:w="7180" w:type="dxa"/>
            <w:vAlign w:val="bottom"/>
            <w:gridSpan w:val="9"/>
          </w:tcPr>
          <w:p>
            <w:pPr>
              <w:ind w:left="80"/>
              <w:spacing w:after="0"/>
              <w:rPr>
                <w:sz w:val="20"/>
                <w:szCs w:val="20"/>
                <w:color w:val="auto"/>
              </w:rPr>
            </w:pPr>
            <w:r>
              <w:rPr>
                <w:rFonts w:ascii="Times New Roman" w:cs="Times New Roman" w:eastAsia="Times New Roman" w:hAnsi="Times New Roman"/>
                <w:sz w:val="22"/>
                <w:szCs w:val="22"/>
                <w:color w:val="auto"/>
                <w:w w:val="99"/>
              </w:rPr>
              <w:t>Acknowledgement and Consent to Bail-In of Affected Financial Institutions  110</w:t>
            </w:r>
          </w:p>
        </w:tc>
      </w:tr>
      <w:tr>
        <w:trPr>
          <w:trHeight w:val="256"/>
        </w:trPr>
        <w:tc>
          <w:tcPr>
            <w:tcW w:w="2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9.15.</w:t>
            </w:r>
          </w:p>
        </w:tc>
        <w:tc>
          <w:tcPr>
            <w:tcW w:w="1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[Reserved].</w:t>
            </w:r>
          </w:p>
        </w:tc>
        <w:tc>
          <w:tcPr>
            <w:tcW w:w="720" w:type="dxa"/>
            <w:vAlign w:val="bottom"/>
            <w:gridSpan w:val="2"/>
          </w:tcPr>
          <w:p>
            <w:pPr>
              <w:jc w:val="right"/>
              <w:ind w:right="272"/>
              <w:spacing w:after="0"/>
              <w:rPr>
                <w:sz w:val="20"/>
                <w:szCs w:val="20"/>
                <w:color w:val="auto"/>
              </w:rPr>
            </w:pPr>
            <w:r>
              <w:rPr>
                <w:rFonts w:ascii="Times New Roman" w:cs="Times New Roman" w:eastAsia="Times New Roman" w:hAnsi="Times New Roman"/>
                <w:sz w:val="22"/>
                <w:szCs w:val="22"/>
                <w:color w:val="auto"/>
                <w:w w:val="96"/>
              </w:rPr>
              <w:t>110</w:t>
            </w:r>
          </w:p>
        </w:tc>
        <w:tc>
          <w:tcPr>
            <w:tcW w:w="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7"/>
        </w:trPr>
        <w:tc>
          <w:tcPr>
            <w:tcW w:w="2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9.16.</w:t>
            </w:r>
          </w:p>
        </w:tc>
        <w:tc>
          <w:tcPr>
            <w:tcW w:w="19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Judgment Currency</w:t>
            </w:r>
          </w:p>
        </w:tc>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110</w:t>
            </w: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0"/>
        </w:trPr>
        <w:tc>
          <w:tcPr>
            <w:tcW w:w="2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9.17.</w:t>
            </w:r>
          </w:p>
        </w:tc>
        <w:tc>
          <w:tcPr>
            <w:tcW w:w="284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Appointment of the Company</w:t>
            </w: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111</w:t>
            </w: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7"/>
        </w:trPr>
        <w:tc>
          <w:tcPr>
            <w:tcW w:w="2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9.18.</w:t>
            </w: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[reserved]  111</w:t>
            </w: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7"/>
        </w:trPr>
        <w:tc>
          <w:tcPr>
            <w:tcW w:w="2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9.19.</w:t>
            </w:r>
          </w:p>
        </w:tc>
        <w:tc>
          <w:tcPr>
            <w:tcW w:w="340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Australian Code of Banking Practice</w:t>
            </w:r>
          </w:p>
        </w:tc>
        <w:tc>
          <w:tcPr>
            <w:tcW w:w="840" w:type="dxa"/>
            <w:vAlign w:val="bottom"/>
            <w:gridSpan w:val="2"/>
          </w:tcPr>
          <w:p>
            <w:pPr>
              <w:jc w:val="right"/>
              <w:ind w:right="352"/>
              <w:spacing w:after="0"/>
              <w:rPr>
                <w:sz w:val="20"/>
                <w:szCs w:val="20"/>
                <w:color w:val="auto"/>
              </w:rPr>
            </w:pPr>
            <w:r>
              <w:rPr>
                <w:rFonts w:ascii="Times New Roman" w:cs="Times New Roman" w:eastAsia="Times New Roman" w:hAnsi="Times New Roman"/>
                <w:sz w:val="22"/>
                <w:szCs w:val="22"/>
                <w:color w:val="auto"/>
              </w:rPr>
              <w:t>111</w:t>
            </w:r>
          </w:p>
        </w:tc>
        <w:tc>
          <w:tcPr>
            <w:tcW w:w="14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7"/>
        </w:trPr>
        <w:tc>
          <w:tcPr>
            <w:tcW w:w="2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9.20.</w:t>
            </w:r>
          </w:p>
        </w:tc>
        <w:tc>
          <w:tcPr>
            <w:tcW w:w="5720" w:type="dxa"/>
            <w:vAlign w:val="bottom"/>
            <w:gridSpan w:val="8"/>
          </w:tcPr>
          <w:p>
            <w:pPr>
              <w:ind w:left="80"/>
              <w:spacing w:after="0"/>
              <w:rPr>
                <w:sz w:val="20"/>
                <w:szCs w:val="20"/>
                <w:color w:val="auto"/>
              </w:rPr>
            </w:pPr>
            <w:r>
              <w:rPr>
                <w:rFonts w:ascii="Times New Roman" w:cs="Times New Roman" w:eastAsia="Times New Roman" w:hAnsi="Times New Roman"/>
                <w:sz w:val="22"/>
                <w:szCs w:val="22"/>
                <w:color w:val="auto"/>
              </w:rPr>
              <w:t>Acknowledgement Regarding Any Supported QFCs  111</w:t>
            </w:r>
          </w:p>
        </w:tc>
        <w:tc>
          <w:tcPr>
            <w:tcW w:w="1460" w:type="dxa"/>
            <w:vAlign w:val="bottom"/>
          </w:tcPr>
          <w:p>
            <w:pPr>
              <w:spacing w:after="0"/>
              <w:rPr>
                <w:sz w:val="22"/>
                <w:szCs w:val="22"/>
                <w:color w:val="auto"/>
              </w:rPr>
            </w:pPr>
          </w:p>
        </w:tc>
      </w:tr>
      <w:tr>
        <w:trPr>
          <w:trHeight w:val="256"/>
        </w:trPr>
        <w:tc>
          <w:tcPr>
            <w:tcW w:w="2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9.21.</w:t>
            </w:r>
          </w:p>
        </w:tc>
        <w:tc>
          <w:tcPr>
            <w:tcW w:w="340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Crediting of Payments and Proceeds</w:t>
            </w:r>
          </w:p>
        </w:tc>
        <w:tc>
          <w:tcPr>
            <w:tcW w:w="840" w:type="dxa"/>
            <w:vAlign w:val="bottom"/>
            <w:gridSpan w:val="2"/>
          </w:tcPr>
          <w:p>
            <w:pPr>
              <w:jc w:val="right"/>
              <w:ind w:right="392"/>
              <w:spacing w:after="0"/>
              <w:rPr>
                <w:sz w:val="20"/>
                <w:szCs w:val="20"/>
                <w:color w:val="auto"/>
              </w:rPr>
            </w:pPr>
            <w:r>
              <w:rPr>
                <w:rFonts w:ascii="Times New Roman" w:cs="Times New Roman" w:eastAsia="Times New Roman" w:hAnsi="Times New Roman"/>
                <w:sz w:val="22"/>
                <w:szCs w:val="22"/>
                <w:color w:val="auto"/>
                <w:w w:val="96"/>
              </w:rPr>
              <w:t>112</w:t>
            </w:r>
          </w:p>
        </w:tc>
        <w:tc>
          <w:tcPr>
            <w:tcW w:w="14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82"/>
        </w:trPr>
        <w:tc>
          <w:tcPr>
            <w:tcW w:w="6460" w:type="dxa"/>
            <w:vAlign w:val="bottom"/>
            <w:gridSpan w:val="8"/>
          </w:tcPr>
          <w:p>
            <w:pPr>
              <w:ind w:left="660"/>
              <w:spacing w:after="0"/>
              <w:rPr>
                <w:sz w:val="20"/>
                <w:szCs w:val="20"/>
                <w:color w:val="auto"/>
              </w:rPr>
            </w:pPr>
            <w:r>
              <w:rPr>
                <w:rFonts w:ascii="Times New Roman" w:cs="Times New Roman" w:eastAsia="Times New Roman" w:hAnsi="Times New Roman"/>
                <w:sz w:val="22"/>
                <w:szCs w:val="22"/>
                <w:color w:val="auto"/>
              </w:rPr>
              <w:t>SECTION 9.22.  No Advisory or Fiduciary Responsibility.  113</w:t>
            </w: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32"/>
        </w:trPr>
        <w:tc>
          <w:tcPr>
            <w:tcW w:w="420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8"/>
              </w:rPr>
              <w:t>ARTICLE X LETTER OF CREDIT FACILITY</w:t>
            </w:r>
          </w:p>
        </w:tc>
        <w:tc>
          <w:tcPr>
            <w:tcW w:w="8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114</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93"/>
        </w:trPr>
        <w:tc>
          <w:tcPr>
            <w:tcW w:w="2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10.01.</w:t>
            </w:r>
          </w:p>
        </w:tc>
        <w:tc>
          <w:tcPr>
            <w:tcW w:w="12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9"/>
              </w:rPr>
              <w:t>L/C Facility</w:t>
            </w:r>
          </w:p>
        </w:tc>
        <w:tc>
          <w:tcPr>
            <w:tcW w:w="72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114</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7"/>
        </w:trPr>
        <w:tc>
          <w:tcPr>
            <w:tcW w:w="2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10.02.</w:t>
            </w:r>
          </w:p>
        </w:tc>
        <w:tc>
          <w:tcPr>
            <w:tcW w:w="5720" w:type="dxa"/>
            <w:vAlign w:val="bottom"/>
            <w:gridSpan w:val="8"/>
          </w:tcPr>
          <w:p>
            <w:pPr>
              <w:ind w:left="180"/>
              <w:spacing w:after="0"/>
              <w:rPr>
                <w:sz w:val="20"/>
                <w:szCs w:val="20"/>
                <w:color w:val="auto"/>
              </w:rPr>
            </w:pPr>
            <w:r>
              <w:rPr>
                <w:rFonts w:ascii="Times New Roman" w:cs="Times New Roman" w:eastAsia="Times New Roman" w:hAnsi="Times New Roman"/>
                <w:sz w:val="22"/>
                <w:szCs w:val="22"/>
                <w:color w:val="auto"/>
              </w:rPr>
              <w:t>Procedure for Issuance and Disbursement of Letters of Credit</w:t>
            </w:r>
          </w:p>
        </w:tc>
        <w:tc>
          <w:tcPr>
            <w:tcW w:w="146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w w:val="84"/>
              </w:rPr>
              <w:t>115</w:t>
            </w:r>
          </w:p>
        </w:tc>
      </w:tr>
      <w:tr>
        <w:trPr>
          <w:trHeight w:val="256"/>
        </w:trPr>
        <w:tc>
          <w:tcPr>
            <w:tcW w:w="2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10.03.</w:t>
            </w:r>
          </w:p>
        </w:tc>
        <w:tc>
          <w:tcPr>
            <w:tcW w:w="368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rPr>
              <w:t>Commissions and Other Charges  116</w:t>
            </w: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0"/>
        </w:trPr>
        <w:tc>
          <w:tcPr>
            <w:tcW w:w="2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10.04.</w:t>
            </w:r>
          </w:p>
        </w:tc>
        <w:tc>
          <w:tcPr>
            <w:tcW w:w="198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L/C Participations</w:t>
            </w:r>
          </w:p>
        </w:tc>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117</w:t>
            </w: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7"/>
        </w:trPr>
        <w:tc>
          <w:tcPr>
            <w:tcW w:w="2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10.05.</w:t>
            </w: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w w:val="97"/>
              </w:rPr>
              <w:t>Reimbursement</w:t>
            </w:r>
          </w:p>
        </w:tc>
        <w:tc>
          <w:tcPr>
            <w:tcW w:w="1280" w:type="dxa"/>
            <w:vAlign w:val="bottom"/>
            <w:gridSpan w:val="2"/>
          </w:tcPr>
          <w:p>
            <w:pPr>
              <w:jc w:val="right"/>
              <w:ind w:right="652"/>
              <w:spacing w:after="0"/>
              <w:rPr>
                <w:sz w:val="20"/>
                <w:szCs w:val="20"/>
                <w:color w:val="auto"/>
              </w:rPr>
            </w:pPr>
            <w:r>
              <w:rPr>
                <w:rFonts w:ascii="Times New Roman" w:cs="Times New Roman" w:eastAsia="Times New Roman" w:hAnsi="Times New Roman"/>
                <w:sz w:val="22"/>
                <w:szCs w:val="22"/>
                <w:color w:val="auto"/>
              </w:rPr>
              <w:t>118</w:t>
            </w: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6"/>
        </w:trPr>
        <w:tc>
          <w:tcPr>
            <w:tcW w:w="2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10.06.</w:t>
            </w:r>
          </w:p>
        </w:tc>
        <w:tc>
          <w:tcPr>
            <w:tcW w:w="284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Obligations Absolute  119</w:t>
            </w: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7"/>
        </w:trPr>
        <w:tc>
          <w:tcPr>
            <w:tcW w:w="2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10.07.</w:t>
            </w:r>
          </w:p>
        </w:tc>
        <w:tc>
          <w:tcPr>
            <w:tcW w:w="3400" w:type="dxa"/>
            <w:vAlign w:val="bottom"/>
            <w:gridSpan w:val="5"/>
          </w:tcPr>
          <w:p>
            <w:pPr>
              <w:ind w:left="180"/>
              <w:spacing w:after="0"/>
              <w:rPr>
                <w:sz w:val="20"/>
                <w:szCs w:val="20"/>
                <w:color w:val="auto"/>
              </w:rPr>
            </w:pPr>
            <w:r>
              <w:rPr>
                <w:rFonts w:ascii="Times New Roman" w:cs="Times New Roman" w:eastAsia="Times New Roman" w:hAnsi="Times New Roman"/>
                <w:sz w:val="22"/>
                <w:szCs w:val="22"/>
                <w:color w:val="auto"/>
                <w:w w:val="98"/>
              </w:rPr>
              <w:t>Effect of Letter of Credit Documents</w:t>
            </w:r>
          </w:p>
        </w:tc>
        <w:tc>
          <w:tcPr>
            <w:tcW w:w="840" w:type="dxa"/>
            <w:vAlign w:val="bottom"/>
            <w:gridSpan w:val="2"/>
          </w:tcPr>
          <w:p>
            <w:pPr>
              <w:jc w:val="right"/>
              <w:ind w:right="212"/>
              <w:spacing w:after="0"/>
              <w:rPr>
                <w:sz w:val="20"/>
                <w:szCs w:val="20"/>
                <w:color w:val="auto"/>
              </w:rPr>
            </w:pPr>
            <w:r>
              <w:rPr>
                <w:rFonts w:ascii="Times New Roman" w:cs="Times New Roman" w:eastAsia="Times New Roman" w:hAnsi="Times New Roman"/>
                <w:sz w:val="22"/>
                <w:szCs w:val="22"/>
                <w:color w:val="auto"/>
              </w:rPr>
              <w:t>121</w:t>
            </w:r>
          </w:p>
        </w:tc>
        <w:tc>
          <w:tcPr>
            <w:tcW w:w="14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7"/>
        </w:trPr>
        <w:tc>
          <w:tcPr>
            <w:tcW w:w="2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10.08.</w:t>
            </w:r>
          </w:p>
        </w:tc>
        <w:tc>
          <w:tcPr>
            <w:tcW w:w="4240" w:type="dxa"/>
            <w:vAlign w:val="bottom"/>
            <w:gridSpan w:val="7"/>
          </w:tcPr>
          <w:p>
            <w:pPr>
              <w:ind w:left="180"/>
              <w:spacing w:after="0"/>
              <w:rPr>
                <w:sz w:val="20"/>
                <w:szCs w:val="20"/>
                <w:color w:val="auto"/>
              </w:rPr>
            </w:pPr>
            <w:r>
              <w:rPr>
                <w:rFonts w:ascii="Times New Roman" w:cs="Times New Roman" w:eastAsia="Times New Roman" w:hAnsi="Times New Roman"/>
                <w:sz w:val="22"/>
                <w:szCs w:val="22"/>
                <w:color w:val="auto"/>
              </w:rPr>
              <w:t>Removal and Resignation of Issuing Lenders</w:t>
            </w:r>
          </w:p>
        </w:tc>
        <w:tc>
          <w:tcPr>
            <w:tcW w:w="148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121</w:t>
            </w:r>
          </w:p>
        </w:tc>
        <w:tc>
          <w:tcPr>
            <w:tcW w:w="1460" w:type="dxa"/>
            <w:vAlign w:val="bottom"/>
          </w:tcPr>
          <w:p>
            <w:pPr>
              <w:spacing w:after="0"/>
              <w:rPr>
                <w:sz w:val="22"/>
                <w:szCs w:val="22"/>
                <w:color w:val="auto"/>
              </w:rPr>
            </w:pPr>
          </w:p>
        </w:tc>
      </w:tr>
      <w:tr>
        <w:trPr>
          <w:trHeight w:val="256"/>
        </w:trPr>
        <w:tc>
          <w:tcPr>
            <w:tcW w:w="2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10.09.</w:t>
            </w:r>
          </w:p>
        </w:tc>
        <w:tc>
          <w:tcPr>
            <w:tcW w:w="5720" w:type="dxa"/>
            <w:vAlign w:val="bottom"/>
            <w:gridSpan w:val="8"/>
          </w:tcPr>
          <w:p>
            <w:pPr>
              <w:ind w:left="180"/>
              <w:spacing w:after="0"/>
              <w:rPr>
                <w:sz w:val="20"/>
                <w:szCs w:val="20"/>
                <w:color w:val="auto"/>
              </w:rPr>
            </w:pPr>
            <w:r>
              <w:rPr>
                <w:rFonts w:ascii="Times New Roman" w:cs="Times New Roman" w:eastAsia="Times New Roman" w:hAnsi="Times New Roman"/>
                <w:sz w:val="22"/>
                <w:szCs w:val="22"/>
                <w:color w:val="auto"/>
                <w:w w:val="97"/>
              </w:rPr>
              <w:t>Reporting of Letter of Credit Information and L/C Commitment</w:t>
            </w:r>
          </w:p>
        </w:tc>
        <w:tc>
          <w:tcPr>
            <w:tcW w:w="14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122</w:t>
            </w:r>
          </w:p>
        </w:tc>
      </w:tr>
      <w:tr>
        <w:trPr>
          <w:trHeight w:val="270"/>
        </w:trPr>
        <w:tc>
          <w:tcPr>
            <w:tcW w:w="2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10.10.</w:t>
            </w:r>
          </w:p>
        </w:tc>
        <w:tc>
          <w:tcPr>
            <w:tcW w:w="368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w w:val="99"/>
              </w:rPr>
              <w:t>Letters of Credit Issued for Subsidiaries</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w:t>
            </w:r>
          </w:p>
        </w:tc>
        <w:tc>
          <w:tcPr>
            <w:tcW w:w="14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7"/>
        </w:trPr>
        <w:tc>
          <w:tcPr>
            <w:tcW w:w="2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10.11.</w:t>
            </w:r>
          </w:p>
        </w:tc>
        <w:tc>
          <w:tcPr>
            <w:tcW w:w="3400" w:type="dxa"/>
            <w:vAlign w:val="bottom"/>
            <w:gridSpan w:val="5"/>
          </w:tcPr>
          <w:p>
            <w:pPr>
              <w:ind w:left="180"/>
              <w:spacing w:after="0"/>
              <w:rPr>
                <w:sz w:val="20"/>
                <w:szCs w:val="20"/>
                <w:color w:val="auto"/>
              </w:rPr>
            </w:pPr>
            <w:r>
              <w:rPr>
                <w:rFonts w:ascii="Times New Roman" w:cs="Times New Roman" w:eastAsia="Times New Roman" w:hAnsi="Times New Roman"/>
                <w:sz w:val="22"/>
                <w:szCs w:val="22"/>
                <w:color w:val="auto"/>
              </w:rPr>
              <w:t>Letter of Credit Amounts  122</w:t>
            </w: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82"/>
        </w:trPr>
        <w:tc>
          <w:tcPr>
            <w:tcW w:w="2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10.12.</w:t>
            </w:r>
          </w:p>
        </w:tc>
        <w:tc>
          <w:tcPr>
            <w:tcW w:w="4240" w:type="dxa"/>
            <w:vAlign w:val="bottom"/>
            <w:gridSpan w:val="7"/>
          </w:tcPr>
          <w:p>
            <w:pPr>
              <w:ind w:left="180"/>
              <w:spacing w:after="0"/>
              <w:rPr>
                <w:sz w:val="20"/>
                <w:szCs w:val="20"/>
                <w:color w:val="auto"/>
              </w:rPr>
            </w:pPr>
            <w:r>
              <w:rPr>
                <w:rFonts w:ascii="Times New Roman" w:cs="Times New Roman" w:eastAsia="Times New Roman" w:hAnsi="Times New Roman"/>
                <w:sz w:val="22"/>
                <w:szCs w:val="22"/>
                <w:color w:val="auto"/>
                <w:w w:val="99"/>
              </w:rPr>
              <w:t>Cash Collateral for Extended Letters of Credit</w:t>
            </w:r>
          </w:p>
        </w:tc>
        <w:tc>
          <w:tcPr>
            <w:tcW w:w="148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123</w:t>
            </w:r>
          </w:p>
        </w:tc>
        <w:tc>
          <w:tcPr>
            <w:tcW w:w="1460" w:type="dxa"/>
            <w:vAlign w:val="bottom"/>
          </w:tcPr>
          <w:p>
            <w:pPr>
              <w:spacing w:after="0"/>
              <w:rPr>
                <w:sz w:val="24"/>
                <w:szCs w:val="24"/>
                <w:color w:val="auto"/>
              </w:rPr>
            </w:pPr>
          </w:p>
        </w:tc>
      </w:tr>
    </w:tbl>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I – Commitments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III – Restatement Effective Date Guarantors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1.01 – Existing Letters of Credit</w:t>
      </w:r>
    </w:p>
    <w:p>
      <w:pPr>
        <w:spacing w:after="0" w:line="15" w:lineRule="exact"/>
        <w:rPr>
          <w:sz w:val="20"/>
          <w:szCs w:val="20"/>
          <w:color w:val="auto"/>
        </w:rPr>
      </w:pPr>
    </w:p>
    <w:p>
      <w:pPr>
        <w:ind w:right="2999"/>
        <w:spacing w:after="0" w:line="243" w:lineRule="auto"/>
        <w:rPr>
          <w:sz w:val="20"/>
          <w:szCs w:val="20"/>
          <w:color w:val="auto"/>
        </w:rPr>
      </w:pPr>
      <w:r>
        <w:rPr>
          <w:rFonts w:ascii="Times New Roman" w:cs="Times New Roman" w:eastAsia="Times New Roman" w:hAnsi="Times New Roman"/>
          <w:sz w:val="22"/>
          <w:szCs w:val="22"/>
          <w:color w:val="auto"/>
        </w:rPr>
        <w:t>Schedule 2.14(f) - Scheme Reference Numbers and Jurisdictions of Tax Residence Schedule 5.02(a) – Existing Liens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5.02(d) – Existing Debt and Investments</w:t>
      </w:r>
    </w:p>
    <w:p>
      <w:pPr>
        <w:sectPr>
          <w:pgSz w:w="11900" w:h="16838" w:orient="portrait"/>
          <w:cols w:equalWidth="0" w:num="1">
            <w:col w:w="10139"/>
          </w:cols>
          <w:pgMar w:left="320" w:top="14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0139"/>
          </w:cols>
          <w:pgMar w:left="320" w:top="1422" w:right="1440" w:bottom="1440" w:gutter="0" w:footer="0" w:header="0"/>
          <w:type w:val="continuous"/>
        </w:sectPr>
      </w:pPr>
    </w:p>
    <w:bookmarkStart w:id="113" w:name="page114"/>
    <w:bookmarkEnd w:id="113"/>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Exhibits</w:t>
            </w:r>
          </w:p>
        </w:tc>
        <w:tc>
          <w:tcPr>
            <w:tcW w:w="2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35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w w:val="97"/>
              </w:rPr>
              <w:t>Exhibit A-1</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0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Form of Revolving Note</w:t>
            </w:r>
          </w:p>
        </w:tc>
      </w:tr>
      <w:tr>
        <w:trPr>
          <w:trHeight w:val="257"/>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w w:val="97"/>
              </w:rPr>
              <w:t>Exhibit A-2</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0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Form of Term Note</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w w:val="98"/>
              </w:rPr>
              <w:t>Exhibit B-1</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Form of Notice of Borrowing</w:t>
            </w:r>
          </w:p>
        </w:tc>
      </w:tr>
      <w:tr>
        <w:trPr>
          <w:trHeight w:val="257"/>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w w:val="98"/>
              </w:rPr>
              <w:t>Exhibit B-2</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06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7"/>
              </w:rPr>
              <w:t>Form of Notice of Continuation/Conversion</w:t>
            </w:r>
          </w:p>
        </w:tc>
      </w:tr>
      <w:tr>
        <w:trPr>
          <w:trHeight w:val="257"/>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Exhibit C</w:t>
            </w:r>
          </w:p>
        </w:tc>
        <w:tc>
          <w:tcPr>
            <w:tcW w:w="2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40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Form of Assignment and Assumption</w:t>
            </w:r>
          </w:p>
        </w:tc>
      </w:tr>
      <w:tr>
        <w:trPr>
          <w:trHeight w:val="257"/>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Exhibit D</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40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Form of Assumption Agreement</w:t>
            </w:r>
          </w:p>
        </w:tc>
      </w:tr>
      <w:tr>
        <w:trPr>
          <w:trHeight w:val="256"/>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Exhibit E</w:t>
            </w:r>
          </w:p>
        </w:tc>
        <w:tc>
          <w:tcPr>
            <w:tcW w:w="28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40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Notice of Account Designation</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Exhibit F</w:t>
            </w:r>
          </w:p>
        </w:tc>
        <w:tc>
          <w:tcPr>
            <w:tcW w:w="28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4060" w:type="dxa"/>
            <w:vAlign w:val="bottom"/>
          </w:tcPr>
          <w:p>
            <w:pPr>
              <w:spacing w:after="0"/>
              <w:rPr>
                <w:sz w:val="20"/>
                <w:szCs w:val="20"/>
                <w:color w:val="auto"/>
              </w:rPr>
            </w:pPr>
            <w:r>
              <w:rPr>
                <w:rFonts w:ascii="Times New Roman" w:cs="Times New Roman" w:eastAsia="Times New Roman" w:hAnsi="Times New Roman"/>
                <w:sz w:val="22"/>
                <w:szCs w:val="22"/>
                <w:color w:val="auto"/>
              </w:rPr>
              <w:t>Notice of Prepayments</w:t>
            </w: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Exhibit G</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Form of Solvency Certificate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0139"/>
          </w:cols>
          <w:pgMar w:left="320" w:top="1440" w:right="1440"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2"/>
          <w:szCs w:val="22"/>
          <w:color w:val="auto"/>
        </w:rPr>
        <w:t>THIRD AMENDED AND RESTATED FIVE YEAR CREDIT AGREEMENT</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November 24, 2025</w:t>
      </w:r>
    </w:p>
    <w:p>
      <w:pPr>
        <w:spacing w:after="0" w:line="12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Graham Holdings Company,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Kaplan U.K. Limited, a private limited company organized under the laws of England and Wales with registered number 04678712, as a Foreign Borrower, the other Foreign Borrowers from time to time party hereto, the Guarantors from time to time party hereto, the banks, financial institutions and other institutional lenders (the “</w:t>
      </w:r>
      <w:r>
        <w:rPr>
          <w:rFonts w:ascii="Times New Roman" w:cs="Times New Roman" w:eastAsia="Times New Roman" w:hAnsi="Times New Roman"/>
          <w:sz w:val="22"/>
          <w:szCs w:val="22"/>
          <w:u w:val="single" w:color="auto"/>
          <w:color w:val="auto"/>
        </w:rPr>
        <w:t>Initial Lenders</w:t>
      </w:r>
      <w:r>
        <w:rPr>
          <w:rFonts w:ascii="Times New Roman" w:cs="Times New Roman" w:eastAsia="Times New Roman" w:hAnsi="Times New Roman"/>
          <w:sz w:val="22"/>
          <w:szCs w:val="22"/>
          <w:color w:val="auto"/>
        </w:rPr>
        <w:t>”) from time to time party hereto, the other Lenders (as hereinafter defined) from time to time party hereto, the Issuing Lenders (as hereinafter defined) from time to time party hereto, and Wells Fargo Bank, National Association (“</w:t>
      </w:r>
      <w:r>
        <w:rPr>
          <w:rFonts w:ascii="Times New Roman" w:cs="Times New Roman" w:eastAsia="Times New Roman" w:hAnsi="Times New Roman"/>
          <w:sz w:val="22"/>
          <w:szCs w:val="22"/>
          <w:u w:val="single" w:color="auto"/>
          <w:color w:val="auto"/>
        </w:rPr>
        <w:t>Wells Fargo Bank</w:t>
      </w:r>
      <w:r>
        <w:rPr>
          <w:rFonts w:ascii="Times New Roman" w:cs="Times New Roman" w:eastAsia="Times New Roman" w:hAnsi="Times New Roman"/>
          <w:sz w:val="22"/>
          <w:szCs w:val="22"/>
          <w:color w:val="auto"/>
        </w:rPr>
        <w:t>”), as administrative agent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for the Lenders and the Issuing Lenders, agree as follows: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DEFINITIONS AND ACCOUNTING TERMS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Certain Defined Terms</w:t>
      </w:r>
      <w:r>
        <w:rPr>
          <w:rFonts w:ascii="Times New Roman" w:cs="Times New Roman" w:eastAsia="Times New Roman" w:hAnsi="Times New Roman"/>
          <w:sz w:val="22"/>
          <w:szCs w:val="22"/>
          <w:color w:val="auto"/>
        </w:rPr>
        <w:t>. As used in this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the following terms shall have the following meanings (such meanings to be equally applicable to both the singular and plural forms of the terms defined):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Advance</w:t>
      </w:r>
      <w:r>
        <w:rPr>
          <w:rFonts w:ascii="Times New Roman" w:cs="Times New Roman" w:eastAsia="Times New Roman" w:hAnsi="Times New Roman"/>
          <w:sz w:val="22"/>
          <w:szCs w:val="22"/>
          <w:color w:val="auto"/>
        </w:rPr>
        <w:t>” means (a) a Revolving Advance, or (b) the making of the Term Loans by the Term Loan Lenders.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Questionnaire</w:t>
      </w:r>
      <w:r>
        <w:rPr>
          <w:rFonts w:ascii="Times New Roman" w:cs="Times New Roman" w:eastAsia="Times New Roman" w:hAnsi="Times New Roman"/>
          <w:sz w:val="21"/>
          <w:szCs w:val="21"/>
          <w:color w:val="auto"/>
        </w:rPr>
        <w:t>” means an Administrative Questionnaire in a form supplied by the Administrative Agent.</w:t>
      </w:r>
    </w:p>
    <w:p>
      <w:pPr>
        <w:spacing w:after="0" w:line="24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Eurocurrency Rate</w:t>
      </w:r>
      <w:r>
        <w:rPr>
          <w:rFonts w:ascii="Times New Roman" w:cs="Times New Roman" w:eastAsia="Times New Roman" w:hAnsi="Times New Roman"/>
          <w:sz w:val="22"/>
          <w:szCs w:val="22"/>
          <w:color w:val="auto"/>
        </w:rPr>
        <w:t>” means, as to any Revolving Advance denominated in any applicable Currency not bearing interest based on an RFR (which, as of the Restatement Effective Date, is each Foreign Currency, other than Canadian Dollars, Sterling and Singapore Dollars) for any Interest Period, a rate per annum (rounded upwards, if necessary, to the next 1/10,000 of 1%) determined by the Administrative Agent pursuant to the following formula:</w:t>
      </w:r>
    </w:p>
    <w:p>
      <w:pPr>
        <w:spacing w:after="0" w:line="197" w:lineRule="exact"/>
        <w:rPr>
          <w:sz w:val="20"/>
          <w:szCs w:val="20"/>
          <w:color w:val="auto"/>
        </w:rPr>
      </w:pPr>
    </w:p>
    <w:tbl>
      <w:tblPr>
        <w:tblLayout w:type="fixed"/>
        <w:tblInd w:w="1540" w:type="dxa"/>
        <w:tblCellMar>
          <w:top w:w="0" w:type="dxa"/>
          <w:left w:w="0" w:type="dxa"/>
          <w:bottom w:w="0" w:type="dxa"/>
          <w:right w:w="0" w:type="dxa"/>
        </w:tblCellMar>
      </w:tblPr>
      <w:tr>
        <w:trPr>
          <w:trHeight w:val="253"/>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Adjusted Eurocurrency Rate =</w:t>
            </w:r>
          </w:p>
        </w:tc>
        <w:tc>
          <w:tcPr>
            <w:tcW w:w="53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Eurocurrency Rate for such Currency for such Interest</w:t>
            </w:r>
          </w:p>
        </w:tc>
      </w:tr>
      <w:tr>
        <w:trPr>
          <w:trHeight w:val="283"/>
        </w:trPr>
        <w:tc>
          <w:tcPr>
            <w:tcW w:w="3520" w:type="dxa"/>
            <w:vAlign w:val="bottom"/>
          </w:tcPr>
          <w:p>
            <w:pPr>
              <w:spacing w:after="0"/>
              <w:rPr>
                <w:sz w:val="24"/>
                <w:szCs w:val="24"/>
                <w:color w:val="auto"/>
              </w:rPr>
            </w:pP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Period</w:t>
            </w:r>
          </w:p>
        </w:tc>
      </w:tr>
      <w:tr>
        <w:trPr>
          <w:trHeight w:val="276"/>
        </w:trPr>
        <w:tc>
          <w:tcPr>
            <w:tcW w:w="352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1.00-Eurocurrency Reserve Percentage</w:t>
            </w:r>
          </w:p>
        </w:tc>
      </w:tr>
    </w:tbl>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as to any Person, any other Person that, directly or indirectly, controls, is controlled by or is under common control with such Person or is a director or executive officer of such Person. For purposes of this definition, the term “control” (including the terms “controlling”, “controlled by” and “under common control with”) of a Person means the possession, direct or indirect, of the power to direct or cause the direction of the management and policies of such Person, whether through the ownership of Voting Stock, by contract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381" w:right="339" w:bottom="1440" w:gutter="0" w:footer="0" w:header="0"/>
        </w:sectPr>
      </w:pPr>
    </w:p>
    <w:bookmarkStart w:id="115" w:name="page116"/>
    <w:bookmarkEnd w:id="115"/>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 Parties</w:t>
      </w:r>
      <w:r>
        <w:rPr>
          <w:rFonts w:ascii="Times New Roman" w:cs="Times New Roman" w:eastAsia="Times New Roman" w:hAnsi="Times New Roman"/>
          <w:sz w:val="22"/>
          <w:szCs w:val="22"/>
          <w:color w:val="auto"/>
        </w:rPr>
        <w:t>” has the meaning specified in Section 9.02(d)(ii).</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Announcements</w:t>
      </w:r>
      <w:r>
        <w:rPr>
          <w:rFonts w:ascii="Times New Roman" w:cs="Times New Roman" w:eastAsia="Times New Roman" w:hAnsi="Times New Roman"/>
          <w:sz w:val="22"/>
          <w:szCs w:val="22"/>
          <w:color w:val="auto"/>
        </w:rPr>
        <w:t>” has the meaning specified in Section 1.06.</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all laws, rules, and regulations of any jurisdiction applicable to the Company or any of its Subsidiaries from time to time concerning or relating to bribery or corruption, including the United States Foreign Corrupt Practices Act of 1977 and the rules and regulations thereunder and the U.K. Bribery Act 2010 and the rules and regulations thereunder.</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Anti-Money Laundering Laws</w:t>
      </w:r>
      <w:r>
        <w:rPr>
          <w:rFonts w:ascii="Times New Roman" w:cs="Times New Roman" w:eastAsia="Times New Roman" w:hAnsi="Times New Roman"/>
          <w:sz w:val="22"/>
          <w:szCs w:val="22"/>
          <w:color w:val="auto"/>
        </w:rPr>
        <w:t>” means any and all laws, statutes, regulations or obligatory government orders, decrees, ordinances or rules applicable to the Company or any of its Subsidiaries related to terrorism financing or money laundering, including any applicable provision of the PATRIOT Act and The Currency and Foreign Transactions Reporting Act (also known as the “Bank Secrecy Act,” 31 U.S.C. §§ 5311-5330 and 12 U.S.C. §§ 1818(s), 1820(b) and 1951-1959).</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Anti-Terrorism Order</w:t>
      </w:r>
      <w:r>
        <w:rPr>
          <w:rFonts w:ascii="Times New Roman" w:cs="Times New Roman" w:eastAsia="Times New Roman" w:hAnsi="Times New Roman"/>
          <w:sz w:val="22"/>
          <w:szCs w:val="22"/>
          <w:color w:val="auto"/>
        </w:rPr>
        <w:t>” means Executive Order No. 13,224 of September 24, 2001, Blocking Property and Prohibiting Transactions with Persons Who Commit, Threaten to Commit or Support Terrorism, 66 U.S. Fed. Reg. 49, 079 (2001), as amended.</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means all applicable provisions of constitutions, laws, statutes, ordinances, rules, treaties, regulations, permits, licenses, approvals, interpretations and orders of Governmental Authorities and all orders and decrees of all courts and arbitrators.</w:t>
      </w:r>
    </w:p>
    <w:p>
      <w:pPr>
        <w:spacing w:after="0" w:line="16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Lending Office</w:t>
      </w:r>
      <w:r>
        <w:rPr>
          <w:rFonts w:ascii="Times New Roman" w:cs="Times New Roman" w:eastAsia="Times New Roman" w:hAnsi="Times New Roman"/>
          <w:sz w:val="22"/>
          <w:szCs w:val="22"/>
          <w:color w:val="auto"/>
        </w:rPr>
        <w:t>” means, (x) with respect to any Lender, the office(s) of such Lender maintaining such Lender’s Advances, which office(s) may include an office of any Affiliate of such Lender or any domestic or foreign branch of such Lender or Affiliate and (y) with respect to any Issuing Lender, the office(s) of such Issuing Lender providing any Letters of Credit hereunder, which office(s) may include an office of any Affiliate of such Issuing Lender or any domestic or foreign branch of such Issuing Lender or Affiliate.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Margin</w:t>
      </w:r>
      <w:r>
        <w:rPr>
          <w:rFonts w:ascii="Times New Roman" w:cs="Times New Roman" w:eastAsia="Times New Roman" w:hAnsi="Times New Roman"/>
          <w:sz w:val="22"/>
          <w:szCs w:val="22"/>
          <w:color w:val="auto"/>
        </w:rPr>
        <w:t>” means as of any date,</w:t>
      </w:r>
    </w:p>
    <w:p>
      <w:pPr>
        <w:spacing w:after="0" w:line="220" w:lineRule="exact"/>
        <w:rPr>
          <w:sz w:val="20"/>
          <w:szCs w:val="20"/>
          <w:color w:val="auto"/>
        </w:rPr>
      </w:pPr>
    </w:p>
    <w:p>
      <w:pPr>
        <w:ind w:right="20" w:firstLine="656"/>
        <w:spacing w:after="0" w:line="271" w:lineRule="auto"/>
        <w:tabs>
          <w:tab w:leader="none" w:pos="1126"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the Term Loans, a percentage per annum equal to (i) for Term SOFR Advances, [reserved], and (ii) for Base Rate Advances, [reserved]; and</w:t>
      </w:r>
    </w:p>
    <w:p>
      <w:pPr>
        <w:spacing w:after="0" w:line="171" w:lineRule="exact"/>
        <w:rPr>
          <w:rFonts w:ascii="Times New Roman" w:cs="Times New Roman" w:eastAsia="Times New Roman" w:hAnsi="Times New Roman"/>
          <w:sz w:val="22"/>
          <w:szCs w:val="22"/>
          <w:color w:val="auto"/>
        </w:rPr>
      </w:pPr>
    </w:p>
    <w:p>
      <w:pPr>
        <w:ind w:firstLine="656"/>
        <w:spacing w:after="0" w:line="271" w:lineRule="auto"/>
        <w:tabs>
          <w:tab w:leader="none" w:pos="1197"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Revolving Advances, a percentage per annum determined by reference to the Performance Level in effect on such date as set forth below:</w:t>
      </w:r>
    </w:p>
    <w:p>
      <w:pPr>
        <w:spacing w:after="0" w:line="212" w:lineRule="exact"/>
        <w:rPr>
          <w:sz w:val="20"/>
          <w:szCs w:val="20"/>
          <w:color w:val="auto"/>
        </w:rPr>
      </w:pPr>
    </w:p>
    <w:tbl>
      <w:tblPr>
        <w:tblLayout w:type="fixed"/>
        <w:tblInd w:w="1400" w:type="dxa"/>
        <w:tblCellMar>
          <w:top w:w="0" w:type="dxa"/>
          <w:left w:w="0" w:type="dxa"/>
          <w:bottom w:w="0" w:type="dxa"/>
          <w:right w:w="0" w:type="dxa"/>
        </w:tblCellMar>
      </w:tblPr>
      <w:tr>
        <w:trPr>
          <w:trHeight w:val="257"/>
        </w:trPr>
        <w:tc>
          <w:tcPr>
            <w:tcW w:w="2380" w:type="dxa"/>
            <w:vAlign w:val="bottom"/>
          </w:tcPr>
          <w:p>
            <w:pPr>
              <w:spacing w:after="0"/>
              <w:rPr>
                <w:sz w:val="22"/>
                <w:szCs w:val="22"/>
                <w:color w:val="auto"/>
              </w:rPr>
            </w:pPr>
          </w:p>
        </w:tc>
        <w:tc>
          <w:tcPr>
            <w:tcW w:w="27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Applicable Margin for</w:t>
            </w:r>
          </w:p>
        </w:tc>
        <w:tc>
          <w:tcPr>
            <w:tcW w:w="1940" w:type="dxa"/>
            <w:vAlign w:val="bottom"/>
          </w:tcPr>
          <w:p>
            <w:pPr>
              <w:spacing w:after="0"/>
              <w:rPr>
                <w:sz w:val="22"/>
                <w:szCs w:val="22"/>
                <w:color w:val="auto"/>
              </w:rPr>
            </w:pPr>
          </w:p>
        </w:tc>
      </w:tr>
      <w:tr>
        <w:trPr>
          <w:trHeight w:val="257"/>
        </w:trPr>
        <w:tc>
          <w:tcPr>
            <w:tcW w:w="2380" w:type="dxa"/>
            <w:vAlign w:val="bottom"/>
          </w:tcPr>
          <w:p>
            <w:pPr>
              <w:spacing w:after="0"/>
              <w:rPr>
                <w:sz w:val="22"/>
                <w:szCs w:val="22"/>
                <w:color w:val="auto"/>
              </w:rPr>
            </w:pPr>
          </w:p>
        </w:tc>
        <w:tc>
          <w:tcPr>
            <w:tcW w:w="272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Eurocurrency Rate</w:t>
            </w:r>
          </w:p>
        </w:tc>
        <w:tc>
          <w:tcPr>
            <w:tcW w:w="19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Applicable Margin</w:t>
            </w:r>
          </w:p>
        </w:tc>
      </w:tr>
      <w:tr>
        <w:trPr>
          <w:trHeight w:val="256"/>
        </w:trPr>
        <w:tc>
          <w:tcPr>
            <w:tcW w:w="2380" w:type="dxa"/>
            <w:vAlign w:val="bottom"/>
          </w:tcPr>
          <w:p>
            <w:pPr>
              <w:spacing w:after="0"/>
              <w:rPr>
                <w:sz w:val="22"/>
                <w:szCs w:val="22"/>
                <w:color w:val="auto"/>
              </w:rPr>
            </w:pPr>
          </w:p>
        </w:tc>
        <w:tc>
          <w:tcPr>
            <w:tcW w:w="27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Advances and RFR</w:t>
            </w:r>
          </w:p>
        </w:tc>
        <w:tc>
          <w:tcPr>
            <w:tcW w:w="19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for Base Rate</w:t>
            </w:r>
          </w:p>
        </w:tc>
      </w:tr>
      <w:tr>
        <w:trPr>
          <w:trHeight w:val="304"/>
        </w:trPr>
        <w:tc>
          <w:tcPr>
            <w:tcW w:w="2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Performance Level</w:t>
            </w:r>
          </w:p>
        </w:tc>
        <w:tc>
          <w:tcPr>
            <w:tcW w:w="272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22"/>
                <w:szCs w:val="22"/>
                <w:color w:val="auto"/>
              </w:rPr>
              <w:t>Advances</w:t>
            </w: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Advances</w:t>
            </w:r>
          </w:p>
        </w:tc>
      </w:tr>
      <w:tr>
        <w:trPr>
          <w:trHeight w:val="295"/>
        </w:trPr>
        <w:tc>
          <w:tcPr>
            <w:tcW w:w="2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w:t>
            </w:r>
          </w:p>
        </w:tc>
        <w:tc>
          <w:tcPr>
            <w:tcW w:w="27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1.125%</w:t>
            </w:r>
          </w:p>
        </w:tc>
        <w:tc>
          <w:tcPr>
            <w:tcW w:w="194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rPr>
              <w:t>0.125%</w:t>
            </w:r>
          </w:p>
        </w:tc>
      </w:tr>
      <w:tr>
        <w:trPr>
          <w:trHeight w:val="311"/>
        </w:trPr>
        <w:tc>
          <w:tcPr>
            <w:tcW w:w="2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II</w:t>
            </w:r>
          </w:p>
        </w:tc>
        <w:tc>
          <w:tcPr>
            <w:tcW w:w="27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1.375%</w:t>
            </w:r>
          </w:p>
        </w:tc>
        <w:tc>
          <w:tcPr>
            <w:tcW w:w="194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rPr>
              <w:t>0.375%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260" w:right="339" w:bottom="1440" w:gutter="0" w:footer="0" w:header="0"/>
        </w:sectPr>
      </w:pPr>
    </w:p>
    <w:bookmarkStart w:id="116" w:name="page117"/>
    <w:bookmarkEnd w:id="116"/>
    <w:tbl>
      <w:tblPr>
        <w:tblLayout w:type="fixed"/>
        <w:tblInd w:w="1400" w:type="dxa"/>
        <w:tblCellMar>
          <w:top w:w="0" w:type="dxa"/>
          <w:left w:w="0" w:type="dxa"/>
          <w:bottom w:w="0" w:type="dxa"/>
          <w:right w:w="0" w:type="dxa"/>
        </w:tblCellMar>
      </w:tblPr>
      <w:tr>
        <w:trPr>
          <w:trHeight w:val="257"/>
        </w:trPr>
        <w:tc>
          <w:tcPr>
            <w:tcW w:w="2380" w:type="dxa"/>
            <w:vAlign w:val="bottom"/>
          </w:tcPr>
          <w:p>
            <w:pPr>
              <w:spacing w:after="0"/>
              <w:rPr>
                <w:sz w:val="22"/>
                <w:szCs w:val="22"/>
                <w:color w:val="auto"/>
              </w:rPr>
            </w:pPr>
          </w:p>
        </w:tc>
        <w:tc>
          <w:tcPr>
            <w:tcW w:w="27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Applicable Margin for</w:t>
            </w:r>
          </w:p>
        </w:tc>
        <w:tc>
          <w:tcPr>
            <w:tcW w:w="1940" w:type="dxa"/>
            <w:vAlign w:val="bottom"/>
          </w:tcPr>
          <w:p>
            <w:pPr>
              <w:spacing w:after="0"/>
              <w:rPr>
                <w:sz w:val="22"/>
                <w:szCs w:val="22"/>
                <w:color w:val="auto"/>
              </w:rPr>
            </w:pPr>
          </w:p>
        </w:tc>
      </w:tr>
      <w:tr>
        <w:trPr>
          <w:trHeight w:val="257"/>
        </w:trPr>
        <w:tc>
          <w:tcPr>
            <w:tcW w:w="2380" w:type="dxa"/>
            <w:vAlign w:val="bottom"/>
          </w:tcPr>
          <w:p>
            <w:pPr>
              <w:spacing w:after="0"/>
              <w:rPr>
                <w:sz w:val="22"/>
                <w:szCs w:val="22"/>
                <w:color w:val="auto"/>
              </w:rPr>
            </w:pPr>
          </w:p>
        </w:tc>
        <w:tc>
          <w:tcPr>
            <w:tcW w:w="272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Eurocurrency Rate</w:t>
            </w:r>
          </w:p>
        </w:tc>
        <w:tc>
          <w:tcPr>
            <w:tcW w:w="19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Applicable Margin</w:t>
            </w:r>
          </w:p>
        </w:tc>
      </w:tr>
      <w:tr>
        <w:trPr>
          <w:trHeight w:val="257"/>
        </w:trPr>
        <w:tc>
          <w:tcPr>
            <w:tcW w:w="2380" w:type="dxa"/>
            <w:vAlign w:val="bottom"/>
          </w:tcPr>
          <w:p>
            <w:pPr>
              <w:spacing w:after="0"/>
              <w:rPr>
                <w:sz w:val="22"/>
                <w:szCs w:val="22"/>
                <w:color w:val="auto"/>
              </w:rPr>
            </w:pPr>
          </w:p>
        </w:tc>
        <w:tc>
          <w:tcPr>
            <w:tcW w:w="27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Advances and RFR</w:t>
            </w:r>
          </w:p>
        </w:tc>
        <w:tc>
          <w:tcPr>
            <w:tcW w:w="19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for Base Rate</w:t>
            </w:r>
          </w:p>
        </w:tc>
      </w:tr>
      <w:tr>
        <w:trPr>
          <w:trHeight w:val="304"/>
        </w:trPr>
        <w:tc>
          <w:tcPr>
            <w:tcW w:w="2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Performance Level</w:t>
            </w:r>
          </w:p>
        </w:tc>
        <w:tc>
          <w:tcPr>
            <w:tcW w:w="272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22"/>
                <w:szCs w:val="22"/>
                <w:color w:val="auto"/>
              </w:rPr>
              <w:t>Advances</w:t>
            </w: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Advances</w:t>
            </w:r>
          </w:p>
        </w:tc>
      </w:tr>
      <w:tr>
        <w:trPr>
          <w:trHeight w:val="296"/>
        </w:trPr>
        <w:tc>
          <w:tcPr>
            <w:tcW w:w="2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III</w:t>
            </w:r>
          </w:p>
        </w:tc>
        <w:tc>
          <w:tcPr>
            <w:tcW w:w="27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1.625%</w:t>
            </w:r>
          </w:p>
        </w:tc>
        <w:tc>
          <w:tcPr>
            <w:tcW w:w="194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rPr>
              <w:t>0.625%</w:t>
            </w:r>
          </w:p>
        </w:tc>
      </w:tr>
      <w:tr>
        <w:trPr>
          <w:trHeight w:val="310"/>
        </w:trPr>
        <w:tc>
          <w:tcPr>
            <w:tcW w:w="2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IV</w:t>
            </w:r>
          </w:p>
        </w:tc>
        <w:tc>
          <w:tcPr>
            <w:tcW w:w="27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1.875%</w:t>
            </w:r>
          </w:p>
        </w:tc>
        <w:tc>
          <w:tcPr>
            <w:tcW w:w="194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rPr>
              <w:t>0.875%</w:t>
            </w:r>
          </w:p>
        </w:tc>
      </w:tr>
    </w:tbl>
    <w:p>
      <w:pPr>
        <w:spacing w:after="0" w:line="200" w:lineRule="exact"/>
        <w:rPr>
          <w:sz w:val="20"/>
          <w:szCs w:val="20"/>
          <w:color w:val="auto"/>
        </w:rPr>
      </w:pPr>
    </w:p>
    <w:p>
      <w:pPr>
        <w:spacing w:after="0" w:line="24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The Applicable Margin for Revolving Advances shall be determined and adjusted quarterly on the date that is five Business Days after the day on which the Company provides a compliance certificate pursuant to Section 5.01(i) for the most recently ended fiscal quarter of the Company (each such date, a “</w:t>
      </w:r>
      <w:r>
        <w:rPr>
          <w:rFonts w:ascii="Times New Roman" w:cs="Times New Roman" w:eastAsia="Times New Roman" w:hAnsi="Times New Roman"/>
          <w:sz w:val="22"/>
          <w:szCs w:val="22"/>
          <w:u w:val="single" w:color="auto"/>
          <w:color w:val="auto"/>
        </w:rPr>
        <w:t>Calculation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such Applicable Margin shall be based on Performance Level II until the first Calculation Date occurring after the Restatement Effective Date and, thereafter the Performance Level shall be determined by reference to the Total Net Leverage Ratio as of the last day of the most recently ended fiscal quarter of the Company preceding the applicable Calculation Date, and (b) if the Company fails to provide a compliance certificate when due as required by Section 5.01(i) for the most recently ended fiscal quarter of the Company preceding the applicable Calculation Date, such Applicable Margin from the date on which such compliance certificate was required to have been delivered shall be based on Performance Level IV until such time as such compliance certificate is delivered, at which time the Performance Level shall be determined by reference to the Total Net Leverage Ratio as of the last day of the most recently ended fiscal quarter of the Company preceding such Calculation Date. The applicable Performance Level shall be effective from one Calculation Date until the next Calculation Date. Any adjustment in the Performance Level shall be applicable to all Revolving Advances then existing or subsequently made or issued.</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Notwithstanding the foregoing, in the event that any financial statement or compliance certificate delivered pursuant to Section 5.01(i) is shown to be inaccurate (regardless of whether (i) this Agreement is in effect, (ii) any Commitments are in effect, or</w:t>
      </w:r>
    </w:p>
    <w:p>
      <w:pPr>
        <w:spacing w:after="0" w:line="2" w:lineRule="exact"/>
        <w:rPr>
          <w:sz w:val="20"/>
          <w:szCs w:val="20"/>
          <w:color w:val="auto"/>
        </w:rPr>
      </w:pPr>
    </w:p>
    <w:p>
      <w:pPr>
        <w:jc w:val="both"/>
        <w:ind w:firstLine="8"/>
        <w:spacing w:after="0" w:line="247" w:lineRule="auto"/>
        <w:tabs>
          <w:tab w:leader="none" w:pos="421"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Revolving Advance is outstanding when such inaccuracy is discovered or such financial statement or compliance certificate was delivered), and such inaccuracy, if corrected, would have led to the application of a higher Applicable Margin for Revolving Advances for any period (an “</w:t>
      </w:r>
      <w:r>
        <w:rPr>
          <w:rFonts w:ascii="Times New Roman" w:cs="Times New Roman" w:eastAsia="Times New Roman" w:hAnsi="Times New Roman"/>
          <w:sz w:val="22"/>
          <w:szCs w:val="22"/>
          <w:u w:val="single" w:color="auto"/>
          <w:color w:val="auto"/>
        </w:rPr>
        <w:t>Applicable Period</w:t>
      </w:r>
      <w:r>
        <w:rPr>
          <w:rFonts w:ascii="Times New Roman" w:cs="Times New Roman" w:eastAsia="Times New Roman" w:hAnsi="Times New Roman"/>
          <w:sz w:val="22"/>
          <w:szCs w:val="22"/>
          <w:color w:val="auto"/>
        </w:rPr>
        <w:t>”) than the Applicable Margin for Revolving Advances applied for such Applicable Period, then (A) the Company shall promptly deliver to the Administrative Agent a corrected compliance certificate for such Applicable Period, (B) such Applicable Margin for such Applicable Period shall be determined as if the Total Net Leverage Ratio in the corrected compliance certificate were applicable for such Applicable Period, and (C) the applicable Borrower shall promptly and retroactively be obligated to pay to the Administrative Agent the accrued additional interest owing as a result of such increased Applicable Margin for such Applicable Period, which payment shall be promptly applied by the Administrative Agent in accordance with Section 2.13. Nothing in this paragraph shall limit the rights of the Administrative Agent and Lenders with respect to Sections 2.07 and 6.01 nor any of their other rights under this Agreement or any other Loan Document. The Borrowers’ obligations under this paragraph shall survive the termination of the Commitments and the repayment of all other Borrower Obligations for one year after the date of such termination and 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14" w:right="339" w:bottom="1440" w:gutter="0" w:footer="0" w:header="0"/>
        </w:sectPr>
      </w:pPr>
    </w:p>
    <w:bookmarkStart w:id="117" w:name="page118"/>
    <w:bookmarkEnd w:id="117"/>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Percentage</w:t>
      </w:r>
      <w:r>
        <w:rPr>
          <w:rFonts w:ascii="Times New Roman" w:cs="Times New Roman" w:eastAsia="Times New Roman" w:hAnsi="Times New Roman"/>
          <w:sz w:val="22"/>
          <w:szCs w:val="22"/>
          <w:color w:val="auto"/>
        </w:rPr>
        <w:t>” means, as of any date, a percentage per annum determined by reference to the Performance Level in effect on such date as set forth below:</w:t>
      </w:r>
    </w:p>
    <w:p>
      <w:pPr>
        <w:spacing w:after="0" w:line="198" w:lineRule="exact"/>
        <w:rPr>
          <w:sz w:val="20"/>
          <w:szCs w:val="20"/>
          <w:color w:val="auto"/>
        </w:rPr>
      </w:pPr>
    </w:p>
    <w:tbl>
      <w:tblPr>
        <w:tblLayout w:type="fixed"/>
        <w:tblInd w:w="2700" w:type="dxa"/>
        <w:tblCellMar>
          <w:top w:w="0" w:type="dxa"/>
          <w:left w:w="0" w:type="dxa"/>
          <w:bottom w:w="0" w:type="dxa"/>
          <w:right w:w="0" w:type="dxa"/>
        </w:tblCellMar>
      </w:tblPr>
      <w:tr>
        <w:trPr>
          <w:trHeight w:val="291"/>
        </w:trPr>
        <w:tc>
          <w:tcPr>
            <w:tcW w:w="43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Performance Level</w:t>
            </w:r>
          </w:p>
        </w:tc>
        <w:tc>
          <w:tcPr>
            <w:tcW w:w="234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Applicable Percentage</w:t>
            </w:r>
          </w:p>
        </w:tc>
      </w:tr>
      <w:tr>
        <w:trPr>
          <w:trHeight w:val="296"/>
        </w:trPr>
        <w:tc>
          <w:tcPr>
            <w:tcW w:w="21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w:t>
            </w:r>
          </w:p>
        </w:tc>
        <w:tc>
          <w:tcPr>
            <w:tcW w:w="2220" w:type="dxa"/>
            <w:vAlign w:val="bottom"/>
          </w:tcPr>
          <w:p>
            <w:pPr>
              <w:spacing w:after="0"/>
              <w:rPr>
                <w:sz w:val="24"/>
                <w:szCs w:val="24"/>
                <w:color w:val="auto"/>
              </w:rPr>
            </w:pPr>
          </w:p>
        </w:tc>
        <w:tc>
          <w:tcPr>
            <w:tcW w:w="2340" w:type="dxa"/>
            <w:vAlign w:val="bottom"/>
            <w:tcBorders>
              <w:top w:val="single" w:sz="8" w:color="auto"/>
            </w:tcBorders>
          </w:tcPr>
          <w:p>
            <w:pPr>
              <w:jc w:val="right"/>
              <w:ind w:right="1272"/>
              <w:spacing w:after="0"/>
              <w:rPr>
                <w:sz w:val="20"/>
                <w:szCs w:val="20"/>
                <w:color w:val="auto"/>
              </w:rPr>
            </w:pPr>
            <w:r>
              <w:rPr>
                <w:rFonts w:ascii="Times New Roman" w:cs="Times New Roman" w:eastAsia="Times New Roman" w:hAnsi="Times New Roman"/>
                <w:sz w:val="22"/>
                <w:szCs w:val="22"/>
                <w:color w:val="auto"/>
              </w:rPr>
              <w:t>0.150%</w:t>
            </w:r>
          </w:p>
        </w:tc>
      </w:tr>
      <w:tr>
        <w:trPr>
          <w:trHeight w:val="310"/>
        </w:trPr>
        <w:tc>
          <w:tcPr>
            <w:tcW w:w="43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II</w:t>
            </w:r>
          </w:p>
        </w:tc>
        <w:tc>
          <w:tcPr>
            <w:tcW w:w="234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0.200%</w:t>
            </w:r>
          </w:p>
        </w:tc>
      </w:tr>
      <w:tr>
        <w:trPr>
          <w:trHeight w:val="311"/>
        </w:trPr>
        <w:tc>
          <w:tcPr>
            <w:tcW w:w="43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III</w:t>
            </w:r>
          </w:p>
        </w:tc>
        <w:tc>
          <w:tcPr>
            <w:tcW w:w="234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0.250%</w:t>
            </w:r>
          </w:p>
        </w:tc>
      </w:tr>
      <w:tr>
        <w:trPr>
          <w:trHeight w:val="310"/>
        </w:trPr>
        <w:tc>
          <w:tcPr>
            <w:tcW w:w="43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IV</w:t>
            </w:r>
          </w:p>
        </w:tc>
        <w:tc>
          <w:tcPr>
            <w:tcW w:w="234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0.300%</w:t>
            </w:r>
          </w:p>
        </w:tc>
      </w:tr>
    </w:tbl>
    <w:p>
      <w:pPr>
        <w:spacing w:after="0" w:line="200" w:lineRule="exact"/>
        <w:rPr>
          <w:sz w:val="20"/>
          <w:szCs w:val="20"/>
          <w:color w:val="auto"/>
        </w:rPr>
      </w:pPr>
    </w:p>
    <w:p>
      <w:pPr>
        <w:spacing w:after="0" w:line="24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Time</w:t>
      </w:r>
      <w:r>
        <w:rPr>
          <w:rFonts w:ascii="Times New Roman" w:cs="Times New Roman" w:eastAsia="Times New Roman" w:hAnsi="Times New Roman"/>
          <w:sz w:val="22"/>
          <w:szCs w:val="22"/>
          <w:color w:val="auto"/>
        </w:rPr>
        <w:t>” means, with respect to any Advance, any Letter of Credit and payments in any Foreign Currency, the local time in the place of settlement for such Foreign Currency as may be determined by the Administrative Agent or the applicable Issuing Lender (with notice to the Administrative Agent), as the case may be, to be necessary for timely settlement on the relevant date in accordance with normal banking procedures in the place of payment.</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Fund</w:t>
      </w:r>
      <w:r>
        <w:rPr>
          <w:rFonts w:ascii="Times New Roman" w:cs="Times New Roman" w:eastAsia="Times New Roman" w:hAnsi="Times New Roman"/>
          <w:sz w:val="22"/>
          <w:szCs w:val="22"/>
          <w:color w:val="auto"/>
        </w:rPr>
        <w:t>” means any Fund that is administered or managed by (a) a Lender, (b) an Affiliate of a Lender or (c) an entity or an Affiliate of an entity that administers or manages a Lender.</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means an assignment and assumption entered into by a Lender and an Eligible Assignee (with the consent of any party whose consent is required by Section 8.07 (b)(iii)), and accepted by the Administrative Agent, in substantially the form of Exhibit C or any other form approved by the Administrative Agent.</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Assuming Lender</w:t>
      </w:r>
      <w:r>
        <w:rPr>
          <w:rFonts w:ascii="Times New Roman" w:cs="Times New Roman" w:eastAsia="Times New Roman" w:hAnsi="Times New Roman"/>
          <w:sz w:val="22"/>
          <w:szCs w:val="22"/>
          <w:color w:val="auto"/>
        </w:rPr>
        <w:t>” means an Eligible Assignee not previously a Lender that becomes a Lender hereunder pursuant to either Section 2.05(b) or Section 2.17.</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Assumption Agreement</w:t>
      </w:r>
      <w:r>
        <w:rPr>
          <w:rFonts w:ascii="Times New Roman" w:cs="Times New Roman" w:eastAsia="Times New Roman" w:hAnsi="Times New Roman"/>
          <w:sz w:val="22"/>
          <w:szCs w:val="22"/>
          <w:color w:val="auto"/>
        </w:rPr>
        <w:t>” means an agreement in substantially the form of Exhibit D hereto by which an Eligible Assignee agrees to become a Lender hereunder pursuant to either Section 2.05(b) or Section 2.17, in each case agreeing to be bound by all obligations of a Lender hereunder.</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Australian Dollar</w:t>
      </w:r>
      <w:r>
        <w:rPr>
          <w:rFonts w:ascii="Times New Roman" w:cs="Times New Roman" w:eastAsia="Times New Roman" w:hAnsi="Times New Roman"/>
          <w:sz w:val="22"/>
          <w:szCs w:val="22"/>
          <w:color w:val="auto"/>
        </w:rPr>
        <w:t>” means Australian dollar, the lawful currency of Australia.</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Tenor</w:t>
      </w:r>
      <w:r>
        <w:rPr>
          <w:rFonts w:ascii="Times New Roman" w:cs="Times New Roman" w:eastAsia="Times New Roman" w:hAnsi="Times New Roman"/>
          <w:sz w:val="22"/>
          <w:szCs w:val="22"/>
          <w:color w:val="auto"/>
        </w:rPr>
        <w:t xml:space="preserve">” means, as of any date of determination and with respect to any then-current Benchmark for any Currency, as applicable, if such Benchmark is a term rate, any tenor for such Benchmark (or component thereof) that is or may be used for determining the length of an interest period pursuant to this Agreement,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2"/>
          <w:szCs w:val="22"/>
          <w:u w:val="single" w:color="auto"/>
          <w:color w:val="auto"/>
        </w:rPr>
        <w:t>Section 2.20(c)(iv)</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means the exercise of any Write-Down and Conversion Powers by the applicable Resolution Authority in respect of any liability of an Affected Financial Institution.</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w:t>
      </w:r>
    </w:p>
    <w:p>
      <w:pPr>
        <w:sectPr>
          <w:pgSz w:w="11900" w:h="16838" w:orient="portrait"/>
          <w:cols w:equalWidth="0" w:num="1">
            <w:col w:w="11240"/>
          </w:cols>
          <w:pgMar w:left="320" w:top="12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260" w:right="339" w:bottom="1440" w:gutter="0" w:footer="0" w:header="0"/>
          <w:type w:val="continuous"/>
        </w:sectPr>
      </w:pPr>
    </w:p>
    <w:bookmarkStart w:id="118" w:name="page119"/>
    <w:bookmarkEnd w:id="118"/>
    <w:p>
      <w:pPr>
        <w:jc w:val="both"/>
        <w:spacing w:after="0" w:line="257" w:lineRule="auto"/>
        <w:rPr>
          <w:sz w:val="20"/>
          <w:szCs w:val="20"/>
          <w:color w:val="auto"/>
        </w:rPr>
      </w:pPr>
      <w:r>
        <w:rPr>
          <w:rFonts w:ascii="Times New Roman" w:cs="Times New Roman" w:eastAsia="Times New Roman" w:hAnsi="Times New Roman"/>
          <w:sz w:val="22"/>
          <w:szCs w:val="22"/>
          <w:color w:val="auto"/>
        </w:rPr>
        <w:t>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w:t>
      </w:r>
      <w:r>
        <w:rPr>
          <w:rFonts w:ascii="Times New Roman" w:cs="Times New Roman" w:eastAsia="Times New Roman" w:hAnsi="Times New Roman"/>
          <w:sz w:val="22"/>
          <w:szCs w:val="22"/>
          <w:color w:val="auto"/>
        </w:rPr>
        <w:t xml:space="preserve">” means, at any time, the highest of (a) the Prime Rate, (b) the Federal Funds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0.50% and (c) Term SOFR for a one-month tenor in effect on such day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1.00%; each change in the Base Rate shall take effect simultaneously with the corresponding change or changes in the Prime Rate, the Federal Funds Rate or Term SOFR,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shall not be applicable during any period in which Term SOFR is unavailable or unascertainable). Notwithstanding the foregoing, in no event shall the Base Rate be less than 0%.</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 Advance</w:t>
      </w:r>
      <w:r>
        <w:rPr>
          <w:rFonts w:ascii="Times New Roman" w:cs="Times New Roman" w:eastAsia="Times New Roman" w:hAnsi="Times New Roman"/>
          <w:sz w:val="22"/>
          <w:szCs w:val="22"/>
          <w:color w:val="auto"/>
        </w:rPr>
        <w:t>” means an Advance that bears interest as provided in Section 2.07(a)(i). All Base Rate Advances shall be denominated in US Dollars.</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means the Bankruptcy Code in Title 11 of the United States Code, as amended, modified, succeeded or replaced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BBSY</w:t>
      </w:r>
      <w:r>
        <w:rPr>
          <w:rFonts w:ascii="Times New Roman" w:cs="Times New Roman" w:eastAsia="Times New Roman" w:hAnsi="Times New Roman"/>
          <w:sz w:val="22"/>
          <w:szCs w:val="22"/>
          <w:color w:val="auto"/>
        </w:rPr>
        <w:t>” has the meaning assigned thereto in the definition of “Eurocurrency Rate”.</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w:t>
      </w:r>
      <w:r>
        <w:rPr>
          <w:rFonts w:ascii="Times New Roman" w:cs="Times New Roman" w:eastAsia="Times New Roman" w:hAnsi="Times New Roman"/>
          <w:sz w:val="22"/>
          <w:szCs w:val="22"/>
          <w:color w:val="auto"/>
        </w:rPr>
        <w:t xml:space="preserve">” means, initially, with respect to any (a) Obligations, interest, fees, commissions or other amounts denominated in, or calculated with respect to, US Dollars, the Term SOFR Reference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Benchmark Transition Event has occurred with respect to the Term SOFR Reference Rate or then-current Benchmark for US Dollars, then “Benchmark” means, with respect to such Obligations, interest, fees, commissions or other amounts, the applicable Benchmark Replacement to the extent that such Benchmark Replacement has replaced such prior benchmark rate pursuant to Section 2.20(c) (i), (b) Obligations, interest, fees, commissions or other amounts denominated in, or calculated with respect to, Canadian Dollars, the Term CORRA Reference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Benchmark Transition Event has occurred with respect to the Term CORRA Reference Rate or then-current Benchmark for Canadian Dollars, then “Benchmark” means, with respect to such Obligations, interest, fees, commissions or other amounts, the applicable Benchmark Replacement to the extent that such Benchmark Replacement has replaced such prior benchmark rate pursuant to Section 2.20(c)(i), (c) Obligations, interest, fees, commissions or other amounts denominated in, or calculated with respect to, Sterling or Singapore Dollars, the Daily Simple RFR applicable for such Currency;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Benchmark Transition Event has occurred with respect to such Daily Simple RFR or the then-current Benchmark for such Currency, then “Benchmark” means, with respect to such Obligations, interest, fees, commissions or other amounts, the applicable Benchmark Replacement to the extent that such Benchmark Replacement has replaced such prior benchmark rate pursuant to Section 2.20(c)(i) and (d) Obligations, interest, fees, commissions or other amounts denominated in, or calculated with respect to, Euros, Australian Dollars, EURIBOR or BBSY, respectively;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Benchmark Transition Event has occurred with respect to EURIBOR or BBSY, as applicable, or the then-current Benchmark for such Currency, then “Benchmark” means, with respect to such Obligations, interest, fees, commissions or other amounts, the applicable Benchmark Replacement to the extent that such Benchmark Replacement has replaced such prior benchmark rate pursuant to Section 2.20(c)(i).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260" w:right="339" w:bottom="1440" w:gutter="0" w:footer="0" w:header="0"/>
        </w:sectPr>
      </w:pPr>
    </w:p>
    <w:bookmarkStart w:id="119" w:name="page120"/>
    <w:bookmarkEnd w:id="119"/>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xml:space="preserve">” means, with respect to any Benchmark Transition Event for any then-current Benchmark, the sum of: (a) the alternate benchmark rate that has been selected by the Administrative Agent and the Company as the replacement for such Benchmark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such Benchmark for syndicated credit facilities denominated in the applicable Currency at such time and (b) the related Benchmark Replacement Adjustment;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Benchmark Replacement as so determined would be less than the Floor, such Benchmark Replacement will be deemed to be the Floor for the purposes of this Agreement and the other Loan Documents.</w:t>
      </w:r>
    </w:p>
    <w:p>
      <w:pPr>
        <w:spacing w:after="0" w:line="19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 Adjustment</w:t>
      </w:r>
      <w:r>
        <w:rPr>
          <w:rFonts w:ascii="Times New Roman" w:cs="Times New Roman" w:eastAsia="Times New Roman" w:hAnsi="Times New Roman"/>
          <w:sz w:val="21"/>
          <w:szCs w:val="21"/>
          <w:color w:val="auto"/>
        </w:rPr>
        <w:t>” means, with respect to any replacement of any then-current Benchmark with an Unadjusted Benchmark Replacement, the spread adjustment, or method for calculating or determining such spread adjustment, (which may be a positive or negative value or zero) that has been selected by the Administrative Agent and the Company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at such time.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Date</w:t>
      </w:r>
      <w:r>
        <w:rPr>
          <w:rFonts w:ascii="Times New Roman" w:cs="Times New Roman" w:eastAsia="Times New Roman" w:hAnsi="Times New Roman"/>
          <w:sz w:val="22"/>
          <w:szCs w:val="22"/>
          <w:color w:val="auto"/>
        </w:rPr>
        <w:t>” means the earliest to occur of the following events with respect to the then-current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Benchmark for any Currency:</w:t>
      </w:r>
    </w:p>
    <w:p>
      <w:pPr>
        <w:spacing w:after="0" w:line="196" w:lineRule="exact"/>
        <w:rPr>
          <w:sz w:val="20"/>
          <w:szCs w:val="20"/>
          <w:color w:val="auto"/>
        </w:rPr>
      </w:pPr>
    </w:p>
    <w:p>
      <w:pPr>
        <w:jc w:val="both"/>
        <w:ind w:firstLine="656"/>
        <w:spacing w:after="0" w:line="253" w:lineRule="auto"/>
        <w:tabs>
          <w:tab w:leader="none" w:pos="1189"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such Benchmark (or such component thereof) or, if such Benchmark is a term rate, all Available Tenors of such Benchmark (or such component thereof); or</w:t>
      </w:r>
    </w:p>
    <w:p>
      <w:pPr>
        <w:spacing w:after="0" w:line="70" w:lineRule="exact"/>
        <w:rPr>
          <w:rFonts w:ascii="Times New Roman" w:cs="Times New Roman" w:eastAsia="Times New Roman" w:hAnsi="Times New Roman"/>
          <w:sz w:val="22"/>
          <w:szCs w:val="22"/>
          <w:color w:val="auto"/>
        </w:rPr>
      </w:pPr>
    </w:p>
    <w:p>
      <w:pPr>
        <w:jc w:val="both"/>
        <w:ind w:firstLine="656"/>
        <w:spacing w:after="0" w:line="250" w:lineRule="auto"/>
        <w:tabs>
          <w:tab w:leader="none" w:pos="1137"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clause (c) of the definition of “Benchmark Transition Event,” the first date on which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non-representative;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non-representativeness will be determined by reference to the most recent statement or publication referenced in such clause (c) and even if such Benchmark (or such component thereof) or, if such Benchmark is a term rate, any Available Tenor of such Benchmark (or such component thereof) continues to be provided on such date.</w:t>
      </w:r>
    </w:p>
    <w:p>
      <w:pPr>
        <w:spacing w:after="0" w:line="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For the avoidance of doubt, if such Benchmark is a term rate,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260" w:right="339" w:bottom="1440" w:gutter="0" w:footer="0" w:header="0"/>
        </w:sectPr>
      </w:pPr>
    </w:p>
    <w:bookmarkStart w:id="120" w:name="page121"/>
    <w:bookmarkEnd w:id="120"/>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Event</w:t>
      </w:r>
      <w:r>
        <w:rPr>
          <w:rFonts w:ascii="Times New Roman" w:cs="Times New Roman" w:eastAsia="Times New Roman" w:hAnsi="Times New Roman"/>
          <w:sz w:val="22"/>
          <w:szCs w:val="22"/>
          <w:color w:val="auto"/>
        </w:rPr>
        <w:t>” means, with respect to the then-current Benchmark for any Currency, the occurrence of one or more of the following events with respect to such Benchmark:</w:t>
      </w:r>
    </w:p>
    <w:p>
      <w:pPr>
        <w:spacing w:after="0" w:line="158" w:lineRule="exact"/>
        <w:rPr>
          <w:sz w:val="20"/>
          <w:szCs w:val="20"/>
          <w:color w:val="auto"/>
        </w:rPr>
      </w:pPr>
    </w:p>
    <w:p>
      <w:pPr>
        <w:jc w:val="both"/>
        <w:ind w:firstLine="656"/>
        <w:spacing w:after="0" w:line="251" w:lineRule="auto"/>
        <w:tabs>
          <w:tab w:leader="none" w:pos="1195"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w:t>
      </w:r>
    </w:p>
    <w:p>
      <w:pPr>
        <w:spacing w:after="0" w:line="86" w:lineRule="exact"/>
        <w:rPr>
          <w:rFonts w:ascii="Times New Roman" w:cs="Times New Roman" w:eastAsia="Times New Roman" w:hAnsi="Times New Roman"/>
          <w:sz w:val="22"/>
          <w:szCs w:val="22"/>
          <w:color w:val="auto"/>
        </w:rPr>
      </w:pPr>
    </w:p>
    <w:p>
      <w:pPr>
        <w:jc w:val="both"/>
        <w:ind w:firstLine="656"/>
        <w:spacing w:after="0" w:line="247" w:lineRule="auto"/>
        <w:tabs>
          <w:tab w:leader="none" w:pos="132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the regulatory supervisor for the administrator of such Benchmark (or the published component used in the calculation thereof), the FRB, the Federal Reserve Bank of New York, the central bank for the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 or</w:t>
      </w:r>
    </w:p>
    <w:p>
      <w:pPr>
        <w:spacing w:after="0" w:line="82" w:lineRule="exact"/>
        <w:rPr>
          <w:rFonts w:ascii="Times New Roman" w:cs="Times New Roman" w:eastAsia="Times New Roman" w:hAnsi="Times New Roman"/>
          <w:sz w:val="22"/>
          <w:szCs w:val="22"/>
          <w:color w:val="auto"/>
        </w:rPr>
      </w:pPr>
    </w:p>
    <w:p>
      <w:pPr>
        <w:jc w:val="both"/>
        <w:ind w:firstLine="656"/>
        <w:spacing w:after="0" w:line="256" w:lineRule="auto"/>
        <w:tabs>
          <w:tab w:leader="none" w:pos="1311"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not, or as of a specified future date will not be, representative.</w:t>
      </w:r>
    </w:p>
    <w:p>
      <w:pPr>
        <w:spacing w:after="0" w:line="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For the avoidance of doubt, if such Benchmark is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6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Start Date</w:t>
      </w:r>
      <w:r>
        <w:rPr>
          <w:rFonts w:ascii="Times New Roman" w:cs="Times New Roman" w:eastAsia="Times New Roman" w:hAnsi="Times New Roman"/>
          <w:sz w:val="22"/>
          <w:szCs w:val="22"/>
          <w:color w:val="auto"/>
        </w:rPr>
        <w:t>” means, with respect to any Benchmark for any Currency,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means, with respect to any then-current Benchmark for any Currency, the period (if any) (x) beginning at the time that a Benchmark Replacement Date with respect to such Benchmark has occurred if, at such time, no Benchmark Replacement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260" w:right="339" w:bottom="1440" w:gutter="0" w:footer="0" w:header="0"/>
        </w:sectPr>
      </w:pPr>
    </w:p>
    <w:bookmarkStart w:id="121" w:name="page122"/>
    <w:bookmarkEnd w:id="121"/>
    <w:p>
      <w:pPr>
        <w:jc w:val="both"/>
        <w:spacing w:after="0" w:line="257" w:lineRule="auto"/>
        <w:rPr>
          <w:sz w:val="20"/>
          <w:szCs w:val="20"/>
          <w:color w:val="auto"/>
        </w:rPr>
      </w:pPr>
      <w:r>
        <w:rPr>
          <w:rFonts w:ascii="Times New Roman" w:cs="Times New Roman" w:eastAsia="Times New Roman" w:hAnsi="Times New Roman"/>
          <w:sz w:val="22"/>
          <w:szCs w:val="22"/>
          <w:color w:val="auto"/>
        </w:rPr>
        <w:t>replaced such Benchmark for all purposes hereunder and under any Loan Document in accordance with Section 2.20(c)(i) and (y) ending at the time that a Benchmark Replacement has replaced such Benchmark for all purposes hereunder and under any Loan Document in accordance with Section 2.20(c)(i).</w:t>
      </w:r>
    </w:p>
    <w:p>
      <w:pPr>
        <w:spacing w:after="0" w:line="18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means a certification regarding beneficial ownership as required by the Beneficial Ownership Regulation.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means 31 C.F.R. § 1010.230.</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w:t>
      </w:r>
      <w:r>
        <w:rPr>
          <w:rFonts w:ascii="Times New Roman" w:cs="Times New Roman" w:eastAsia="Times New Roman" w:hAnsi="Times New Roman"/>
          <w:sz w:val="22"/>
          <w:szCs w:val="22"/>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has the meaning specified in Section 9.20(b).</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DTTP Filing</w:t>
      </w:r>
      <w:r>
        <w:rPr>
          <w:rFonts w:ascii="Times New Roman" w:cs="Times New Roman" w:eastAsia="Times New Roman" w:hAnsi="Times New Roman"/>
          <w:sz w:val="22"/>
          <w:szCs w:val="22"/>
          <w:color w:val="auto"/>
        </w:rPr>
        <w:t>” means an HM Revenue &amp; Customs’ Form DTTP2, duly completed and filed by the relevant UK Borrower within the applicable time limit, which contains the scheme reference number and jurisdiction of tax residence provided by the Lender to such UK Borrower and the Administrative Agent. Such scheme reference numbers and jurisdictions of tax residence as of the Restatement Effective Date are listed on Schedule 2.14(f) hereto.</w:t>
      </w:r>
    </w:p>
    <w:p>
      <w:pPr>
        <w:spacing w:after="0" w:line="17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Obligations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means, in each case, whether now in existence or hereafter arising: (a) the principal of and interest on (including interest accruing after the filing of any bankruptcy or similar petition) the Advances, (b) the L/C Obligations and (c) all other fees and commissions (including attorneys’ fees), charges, indebtedness, loans, liabilities, financial accommodations and monetary obligations owing by the Credit Parties to the Lenders, the Issuing Lenders or the Administrative Agent, in each case under any Loan Document, with respect to any Advance or Letter of Credit of every kind, nature and description, direct or indirect, absolute or contingent, due or to become due, contractual or tortious, liquidated or unliquidated, and whether or not evidenced by any note and including interest and fees that accrue after the commencement by or against any Credit Party of any proceeding under any Debtor Relief Laws, naming such Person as the debtor in such proceeding, regardless of whether such interest and fees are allowed claims in such proceeding.</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 means, collectively, the Foreign Borrowers and the Company.</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means a borrowing consisting of simultaneous Advances of the same Type made by each of the applicable Lenders pursuant to Section 2.01.</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that (a) is not a Saturday, Sunday or other day on which the Federal Reserve Bank of New York is closed and (b) is not a day on which commercial banks in New York City are closed.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Dollars</w:t>
      </w:r>
      <w:r>
        <w:rPr>
          <w:rFonts w:ascii="Times New Roman" w:cs="Times New Roman" w:eastAsia="Times New Roman" w:hAnsi="Times New Roman"/>
          <w:sz w:val="22"/>
          <w:szCs w:val="22"/>
          <w:color w:val="auto"/>
        </w:rPr>
        <w:t>” means Canadian Dollars, the lawful currency of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260" w:right="339" w:bottom="1440" w:gutter="0" w:footer="0" w:header="0"/>
        </w:sectPr>
      </w:pPr>
    </w:p>
    <w:bookmarkStart w:id="122" w:name="page123"/>
    <w:bookmarkEnd w:id="122"/>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Collateralize</w:t>
      </w:r>
      <w:r>
        <w:rPr>
          <w:rFonts w:ascii="Times New Roman" w:cs="Times New Roman" w:eastAsia="Times New Roman" w:hAnsi="Times New Roman"/>
          <w:sz w:val="22"/>
          <w:szCs w:val="22"/>
          <w:color w:val="auto"/>
        </w:rPr>
        <w:t>” means, to pledge and deposit with, or deliver to the Administrative Agent, or directly to the applicable Issuing Lender (with notice thereof to the Administrative Agent), for the benefit of one or more of the Issuing Lenders or the Lenders, as collateral for L/C Obligations or obligations of the Revolving Lenders to fund participations in respect of L/C Obligations, cash or deposit account balances in the applicable Currency or, if the Administrative Agent and the applicable Issuing Lender shall agree, in their sole discretion, other credit support, in each case pursuant to documentation in form and substance reasonably satisfactory to the Administrative Agent, such Issuing Lender. “</w:t>
      </w:r>
      <w:r>
        <w:rPr>
          <w:rFonts w:ascii="Times New Roman" w:cs="Times New Roman" w:eastAsia="Times New Roman" w:hAnsi="Times New Roman"/>
          <w:sz w:val="22"/>
          <w:szCs w:val="22"/>
          <w:u w:val="single" w:color="auto"/>
          <w:color w:val="auto"/>
        </w:rPr>
        <w:t>Cash Collateral</w:t>
      </w:r>
      <w:r>
        <w:rPr>
          <w:rFonts w:ascii="Times New Roman" w:cs="Times New Roman" w:eastAsia="Times New Roman" w:hAnsi="Times New Roman"/>
          <w:sz w:val="22"/>
          <w:szCs w:val="22"/>
          <w:color w:val="auto"/>
        </w:rPr>
        <w:t>” shall have a meaning correlative to the foregoing and shall include the proceeds of such cash collateral and other credit support.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Collateralized Letter of Credit</w:t>
      </w:r>
      <w:r>
        <w:rPr>
          <w:rFonts w:ascii="Times New Roman" w:cs="Times New Roman" w:eastAsia="Times New Roman" w:hAnsi="Times New Roman"/>
          <w:sz w:val="22"/>
          <w:szCs w:val="22"/>
          <w:color w:val="auto"/>
        </w:rPr>
        <w:t xml:space="preserve">” has the meaning assigned thereto in </w:t>
      </w:r>
      <w:r>
        <w:rPr>
          <w:rFonts w:ascii="Times New Roman" w:cs="Times New Roman" w:eastAsia="Times New Roman" w:hAnsi="Times New Roman"/>
          <w:sz w:val="22"/>
          <w:szCs w:val="22"/>
          <w:u w:val="single" w:color="auto"/>
          <w:color w:val="auto"/>
        </w:rPr>
        <w:t>Section 10.12(d)</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Management Agreement</w:t>
      </w:r>
      <w:r>
        <w:rPr>
          <w:rFonts w:ascii="Times New Roman" w:cs="Times New Roman" w:eastAsia="Times New Roman" w:hAnsi="Times New Roman"/>
          <w:sz w:val="22"/>
          <w:szCs w:val="22"/>
          <w:color w:val="auto"/>
        </w:rPr>
        <w:t>” means any agreement to provide cash management services, including treasury, depository, overdraft, credit or debit card (including non-card electronic payables and purchasing cards), electronic funds transfer and other cash management arrangements.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CFC</w:t>
      </w:r>
      <w:r>
        <w:rPr>
          <w:rFonts w:ascii="Times New Roman" w:cs="Times New Roman" w:eastAsia="Times New Roman" w:hAnsi="Times New Roman"/>
          <w:sz w:val="22"/>
          <w:szCs w:val="22"/>
          <w:color w:val="auto"/>
        </w:rPr>
        <w:t>” means a Person that is a “controlled foreign corporation” as defined in Section 957 of the Internal Revenue Code, but only if a “United States person” (within the meaning of Section 7701(a)(30) of the Internal Revenue Code) that is a Credit Party or an Affiliate of a Credit Party is, with respect to such Person, a “United States shareholder” (within the meaning of Section 951(b) of the Internal Revenue Code) as described in Section 951(a)(1) of the Internal Revenue Code.</w:t>
      </w:r>
    </w:p>
    <w:p>
      <w:pPr>
        <w:spacing w:after="0" w:line="17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CFC Holdco</w:t>
      </w:r>
      <w:r>
        <w:rPr>
          <w:rFonts w:ascii="Times New Roman" w:cs="Times New Roman" w:eastAsia="Times New Roman" w:hAnsi="Times New Roman"/>
          <w:sz w:val="22"/>
          <w:szCs w:val="22"/>
          <w:color w:val="auto"/>
        </w:rPr>
        <w:t>” means any Subsidiary all or substantially all of the assets of which consist of the Equity Interest or indebtedness of one or more CFCs (either directly or indirectly through other such Subsidiaries).</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means the occurrence, after the Restatement Effective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(i) the Dodd-Frank Wall Street Reform and Consumer Protection Act and all requests, rules, guidelines, requirements or directives thereunder or issued in connection therewith or in implementation thereof and (ii)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implemented or issued.</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xml:space="preserve">” means, (a) with respect to any Revolving Lender at any time, (i) the obligation of such Revolving Lender to make Revolving Advances to, and to purchase participations in L/C Obligations for the account of, the Borrowers hereunder in an aggregate principal amount at any time outstanding not to exceed the US Dollar amount set forth opposite such Lender’s name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attached hereto and identified as such, (ii) if such Revolving Lender has become a Revolving Lender hereunder pursuant to an Assumption Agreement,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260" w:right="339" w:bottom="1440" w:gutter="0" w:footer="0" w:header="0"/>
        </w:sectPr>
      </w:pPr>
    </w:p>
    <w:bookmarkStart w:id="123" w:name="page124"/>
    <w:bookmarkEnd w:id="123"/>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amount set forth as its Commitment in such Assumption Agreement or (iii) if such Revolving Lender has entered into one or more Assignment and Assumptions, the amount set forth for such Revolving Lender in the Register maintained by the Administrative Agent pursuant to Section 9.07(c), as such amount may be increased, terminated or reduced, as the case may be, at or prior to such time pursuant to Section 2.05 and (b) as to all Revolving Lenders, the aggregate commitment of all Revolving Lenders to make Revolving Advances, as such amount may be modified at any time or from time to time pursuant to the terms hereof (including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The aggregate amount of the Commitments of all the Revolving Lenders on the Restatement Effective Date is $400,000,000.</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Date</w:t>
      </w:r>
      <w:r>
        <w:rPr>
          <w:rFonts w:ascii="Times New Roman" w:cs="Times New Roman" w:eastAsia="Times New Roman" w:hAnsi="Times New Roman"/>
          <w:sz w:val="22"/>
          <w:szCs w:val="22"/>
          <w:color w:val="auto"/>
        </w:rPr>
        <w:t>” has the meaning specified in Section 2.05(b)(i).</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Fee</w:t>
      </w:r>
      <w:r>
        <w:rPr>
          <w:rFonts w:ascii="Times New Roman" w:cs="Times New Roman" w:eastAsia="Times New Roman" w:hAnsi="Times New Roman"/>
          <w:sz w:val="22"/>
          <w:szCs w:val="22"/>
          <w:color w:val="auto"/>
        </w:rPr>
        <w:t>” has the meaning specified in Section 2.04(a).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Increase</w:t>
      </w:r>
      <w:r>
        <w:rPr>
          <w:rFonts w:ascii="Times New Roman" w:cs="Times New Roman" w:eastAsia="Times New Roman" w:hAnsi="Times New Roman"/>
          <w:sz w:val="22"/>
          <w:szCs w:val="22"/>
          <w:color w:val="auto"/>
        </w:rPr>
        <w:t>” has the meaning specified in Section 2.05(b)(i).</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Percentage</w:t>
      </w:r>
      <w:r>
        <w:rPr>
          <w:rFonts w:ascii="Times New Roman" w:cs="Times New Roman" w:eastAsia="Times New Roman" w:hAnsi="Times New Roman"/>
          <w:sz w:val="22"/>
          <w:szCs w:val="22"/>
          <w:color w:val="auto"/>
        </w:rPr>
        <w:t xml:space="preserve">” means, with respect to any Revolving Lender at any time, the percentage of the total Commitments of all the Revolving Lenders represented by such Revolving Lender’s Commitment. If the Commitments have terminated or expired, the Commitment Percentages shall be determined based upon the Commitments most recently in effect, giving effect to any assignments. The Commitment Percentage of each Lender on the Restatement Effective Date is set forth opposite the name of such Revolving Lender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Communications</w:t>
      </w:r>
      <w:r>
        <w:rPr>
          <w:rFonts w:ascii="Times New Roman" w:cs="Times New Roman" w:eastAsia="Times New Roman" w:hAnsi="Times New Roman"/>
          <w:sz w:val="22"/>
          <w:szCs w:val="22"/>
          <w:color w:val="auto"/>
        </w:rPr>
        <w:t>” has the meaning specified in Section 9.02(d)(ii).</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Commodity Exchange Act</w:t>
      </w:r>
      <w:r>
        <w:rPr>
          <w:rFonts w:ascii="Times New Roman" w:cs="Times New Roman" w:eastAsia="Times New Roman" w:hAnsi="Times New Roman"/>
          <w:sz w:val="22"/>
          <w:szCs w:val="22"/>
          <w:color w:val="auto"/>
        </w:rPr>
        <w:t>” means the Commodity Exchange Act (7 U.S.C. § 1 et seq.).</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information that is furnished by or on behalf of the Company to the Administrative Agent or any Lender in a writing designated as confidential, but does not include any such information that is or becomes generally available to the public or that is or becomes available to the Administrative Agent or such Lender from a source other than the Company that is not, to the best of the Administrative Agent’s or such Lender’s knowledge, acting in violation of a confidentiality agreement with or for the benefit of the Company.</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Conforming Changes</w:t>
      </w:r>
      <w:r>
        <w:rPr>
          <w:rFonts w:ascii="Times New Roman" w:cs="Times New Roman" w:eastAsia="Times New Roman" w:hAnsi="Times New Roman"/>
          <w:sz w:val="21"/>
          <w:szCs w:val="21"/>
          <w:color w:val="auto"/>
        </w:rPr>
        <w:t xml:space="preserve">” means, with respect to the use or administration of an initial Benchmark or the use, administration, adoption or implementation of any Benchmark Replacement, any technical, administrative or operational changes (including changes to the definition of “Base Rate”, the definition of “Business Day,” the definition of “Eurocurrency Banking Day”, the definition of “RFR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21"/>
          <w:szCs w:val="21"/>
          <w:u w:val="single" w:color="auto"/>
          <w:color w:val="auto"/>
        </w:rPr>
        <w:t>Section 2.20</w:t>
      </w:r>
      <w:r>
        <w:rPr>
          <w:rFonts w:ascii="Times New Roman" w:cs="Times New Roman" w:eastAsia="Times New Roman" w:hAnsi="Times New Roman"/>
          <w:sz w:val="21"/>
          <w:szCs w:val="21"/>
          <w:color w:val="auto"/>
        </w:rPr>
        <w:t xml:space="preserve">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260" w:right="339" w:bottom="1440" w:gutter="0" w:footer="0" w:header="0"/>
        </w:sectPr>
      </w:pPr>
    </w:p>
    <w:bookmarkStart w:id="124" w:name="page125"/>
    <w:bookmarkEnd w:id="124"/>
    <w:p>
      <w:pPr>
        <w:jc w:val="both"/>
        <w:ind w:right="20"/>
        <w:spacing w:after="0" w:line="295" w:lineRule="auto"/>
        <w:rPr>
          <w:sz w:val="20"/>
          <w:szCs w:val="20"/>
          <w:color w:val="auto"/>
        </w:rPr>
      </w:pPr>
      <w:r>
        <w:rPr>
          <w:rFonts w:ascii="Times New Roman" w:cs="Times New Roman" w:eastAsia="Times New Roman" w:hAnsi="Times New Roman"/>
          <w:sz w:val="21"/>
          <w:szCs w:val="21"/>
          <w:color w:val="auto"/>
        </w:rPr>
        <w:t>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3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Connection Income Taxes</w:t>
      </w:r>
      <w:r>
        <w:rPr>
          <w:rFonts w:ascii="Times New Roman" w:cs="Times New Roman" w:eastAsia="Times New Roman" w:hAnsi="Times New Roman"/>
          <w:sz w:val="22"/>
          <w:szCs w:val="22"/>
          <w:color w:val="auto"/>
        </w:rPr>
        <w:t>” means Other Connection Taxes that are imposed on or measured by net income (however denominated) or that are franchise Taxes or branch profits Taxes.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Consenting Lender</w:t>
      </w:r>
      <w:r>
        <w:rPr>
          <w:rFonts w:ascii="Times New Roman" w:cs="Times New Roman" w:eastAsia="Times New Roman" w:hAnsi="Times New Roman"/>
          <w:sz w:val="22"/>
          <w:szCs w:val="22"/>
          <w:color w:val="auto"/>
        </w:rPr>
        <w:t>” has the meaning specified in Section 2.17(b).</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w:t>
      </w:r>
      <w:r>
        <w:rPr>
          <w:rFonts w:ascii="Times New Roman" w:cs="Times New Roman" w:eastAsia="Times New Roman" w:hAnsi="Times New Roman"/>
          <w:sz w:val="22"/>
          <w:szCs w:val="22"/>
          <w:color w:val="auto"/>
        </w:rPr>
        <w:t>” refers to the consolidation of accounts in accordance with GAAP.</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Assets</w:t>
      </w:r>
      <w:r>
        <w:rPr>
          <w:rFonts w:ascii="Times New Roman" w:cs="Times New Roman" w:eastAsia="Times New Roman" w:hAnsi="Times New Roman"/>
          <w:sz w:val="22"/>
          <w:szCs w:val="22"/>
          <w:color w:val="auto"/>
        </w:rPr>
        <w:t>” means, as of any date of determination, the total consolidated assets of the Company and its Subsidiaries at such date, as determined in accordance with GAAP on a Consolidated basis.</w:t>
      </w:r>
    </w:p>
    <w:p>
      <w:pPr>
        <w:spacing w:after="0" w:line="17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Debt</w:t>
      </w:r>
      <w:r>
        <w:rPr>
          <w:rFonts w:ascii="Times New Roman" w:cs="Times New Roman" w:eastAsia="Times New Roman" w:hAnsi="Times New Roman"/>
          <w:sz w:val="22"/>
          <w:szCs w:val="22"/>
          <w:color w:val="auto"/>
        </w:rPr>
        <w:t>” means, as of any date of determination, the aggregate principal amount of Debt of the Company and its Subsidiaries outstanding as of such date, in the amount that would be required to be reflected on a balance sheet prepared as of such date on a Consolidated basis in accordance with GAAP. Notwithstanding anything to the contrary herein, Consolidated Debt will exclude (a) any Debt (“</w:t>
      </w:r>
      <w:r>
        <w:rPr>
          <w:rFonts w:ascii="Times New Roman" w:cs="Times New Roman" w:eastAsia="Times New Roman" w:hAnsi="Times New Roman"/>
          <w:sz w:val="22"/>
          <w:szCs w:val="22"/>
          <w:u w:val="single" w:color="auto"/>
          <w:color w:val="auto"/>
        </w:rPr>
        <w:t>Refinanced Debt</w:t>
      </w:r>
      <w:r>
        <w:rPr>
          <w:rFonts w:ascii="Times New Roman" w:cs="Times New Roman" w:eastAsia="Times New Roman" w:hAnsi="Times New Roman"/>
          <w:sz w:val="22"/>
          <w:szCs w:val="22"/>
          <w:color w:val="auto"/>
        </w:rPr>
        <w:t>”) outstanding on any determination date which is to be refinanced pursuant to a refinancing permitted under this Agreement with the proceeds (the “</w:t>
      </w:r>
      <w:r>
        <w:rPr>
          <w:rFonts w:ascii="Times New Roman" w:cs="Times New Roman" w:eastAsia="Times New Roman" w:hAnsi="Times New Roman"/>
          <w:sz w:val="22"/>
          <w:szCs w:val="22"/>
          <w:u w:val="single" w:color="auto"/>
          <w:color w:val="auto"/>
        </w:rPr>
        <w:t>Refinancing Proceeds</w:t>
      </w:r>
      <w:r>
        <w:rPr>
          <w:rFonts w:ascii="Times New Roman" w:cs="Times New Roman" w:eastAsia="Times New Roman" w:hAnsi="Times New Roman"/>
          <w:sz w:val="22"/>
          <w:szCs w:val="22"/>
          <w:color w:val="auto"/>
        </w:rPr>
        <w:t xml:space="preserve">”) of previously incurred refinancing Debt that is included in Consolidated Debt on such date (and such Refinancing Proceeds shall not be included as unrestricted cash for purposes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notice of redemption of, or an offer to purchase, such Refinanced Debt has been given or made (and, in the case of an offer to purchase, not withdrawn) on or prior to such date, and (b) any Debt consisting of a Floorplan Financing.</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EBITDA</w:t>
      </w:r>
      <w:r>
        <w:rPr>
          <w:rFonts w:ascii="Times New Roman" w:cs="Times New Roman" w:eastAsia="Times New Roman" w:hAnsi="Times New Roman"/>
          <w:sz w:val="22"/>
          <w:szCs w:val="22"/>
          <w:color w:val="auto"/>
        </w:rPr>
        <w:t xml:space="preserve">” means, as of any date of determination, calculated on a Pro Forma Basis for the most recent four consecutive fiscal quarter period ending on or prior to such date, without duplication, (a) Consolidated Net Income for such period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sum of the following to the extent deducted in calculating Consolidated Net Income for such period:</w:t>
      </w:r>
    </w:p>
    <w:p>
      <w:pPr>
        <w:spacing w:after="0" w:line="1" w:lineRule="exact"/>
        <w:rPr>
          <w:sz w:val="20"/>
          <w:szCs w:val="20"/>
          <w:color w:val="auto"/>
        </w:rPr>
      </w:pPr>
    </w:p>
    <w:p>
      <w:pPr>
        <w:jc w:val="both"/>
        <w:ind w:firstLine="8"/>
        <w:spacing w:after="0" w:line="246" w:lineRule="auto"/>
        <w:tabs>
          <w:tab w:leader="none" w:pos="27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Consolidated Interest Expense of the Company and its Subsidiaries for such period, (ii) consolidated tax expense (including, without limitation, any federal, state, local and foreign income and similar taxes) of the Company and its Subsidiaries for such period, (iii) depreciation and amortization expense of the Company and its Subsidiaries for such period, (iv) any extraordinary losses or charges of the Company and its Subsidiaries for such period, (v) non-cash charges of the Company and its Subsidiaries for such period (excluding pension plan credits and any pension charges), (vi) non-recurring losses, expenses or charges of the Company and its Subsidiaries for such period, (vii) losses attributable to the early extinguishment of Debt of the Company and its Subsidiaries for such period, (viii) any unrealized losses of the Company and its Subsidiaries for such period attributable to the application of “mark to market” accounting in respect of marketable equity securities and hedging agreements, (ix) losses of the Company and its Subsidiaries from the sale or exchange of assets and (x) the cumulative effect for such period of a change in accounting principles,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(c) the sum of the following to the extent included in calculating Consolidated Net Income for such period: (i) non-cash charges of the Company and its Subsidiaries for such period previously added back in determining Consolidated EBITDA to the extent such non-cash charges have become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260" w:right="339" w:bottom="1440" w:gutter="0" w:footer="0" w:header="0"/>
        </w:sectPr>
      </w:pPr>
    </w:p>
    <w:bookmarkStart w:id="125" w:name="page126"/>
    <w:bookmarkEnd w:id="125"/>
    <w:p>
      <w:pPr>
        <w:jc w:val="both"/>
        <w:spacing w:after="0" w:line="249" w:lineRule="auto"/>
        <w:rPr>
          <w:sz w:val="20"/>
          <w:szCs w:val="20"/>
          <w:color w:val="auto"/>
        </w:rPr>
      </w:pPr>
      <w:r>
        <w:rPr>
          <w:rFonts w:ascii="Times New Roman" w:cs="Times New Roman" w:eastAsia="Times New Roman" w:hAnsi="Times New Roman"/>
          <w:sz w:val="22"/>
          <w:szCs w:val="22"/>
          <w:color w:val="auto"/>
        </w:rPr>
        <w:t>charges during such period, (ii) any extraordinary gains of the Company and its Subsidiaries for such period, (iii) any non-recurring gains of the Company and its Subsidiaries for such period (including, without limitation, (A) gains from the sale or exchange of assets, (B) gains from early extinguishment of Debt of the Company and its Subsidiaries and (C) income received from joint venture investments to the extent not received in cash of the Company and its Subsidiaries for such period, but excluding pension plan credits and any pension charges), (iv) interest income of the Company and its Subsidiaries for such period, (v) any unrealized gains of the Company and its Subsidiaries for such period attributable to the application of “mark to market” accounting in respect of marketable equity securities and hedging agreements and (vi) the cumulative effect for such period of a change in accounting principles.</w:t>
      </w:r>
    </w:p>
    <w:p>
      <w:pPr>
        <w:spacing w:after="0" w:line="1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Interest Coverage Ratio</w:t>
      </w:r>
      <w:r>
        <w:rPr>
          <w:rFonts w:ascii="Times New Roman" w:cs="Times New Roman" w:eastAsia="Times New Roman" w:hAnsi="Times New Roman"/>
          <w:sz w:val="22"/>
          <w:szCs w:val="22"/>
          <w:color w:val="auto"/>
        </w:rPr>
        <w:t>” means, as of any date of determination, for the Company and its Subsidiaries on a Consolidated basis, the ratio of (a) Consolidated EBITDA for the most recent four consecutive fiscal quarter period ending on or prior to such date, to (b) Consolidated Interest Expense for the most recent four consecutive fiscal quarter period ending on or prior to such date.</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Interest Expense</w:t>
      </w:r>
      <w:r>
        <w:rPr>
          <w:rFonts w:ascii="Times New Roman" w:cs="Times New Roman" w:eastAsia="Times New Roman" w:hAnsi="Times New Roman"/>
          <w:sz w:val="22"/>
          <w:szCs w:val="22"/>
          <w:color w:val="auto"/>
        </w:rPr>
        <w:t>” means, as of any date of determination, for the Company and its Subsidiaries on a Consolidated basis and for the most recent four consecutive fiscal quarter period ending on or prior to such date, all interest expense paid or payable in cash (excluding interest expense related to changes in the valuation of any noncontrolling interests, amortization of debt discount and premium and financing fees and expenses, but including the cash interest component under capital leases and synthetic leases).</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Net Income</w:t>
      </w:r>
      <w:r>
        <w:rPr>
          <w:rFonts w:ascii="Times New Roman" w:cs="Times New Roman" w:eastAsia="Times New Roman" w:hAnsi="Times New Roman"/>
          <w:sz w:val="22"/>
          <w:szCs w:val="22"/>
          <w:color w:val="auto"/>
        </w:rPr>
        <w:t>” means, as of any date of determination for the most recent four consecutive fiscal quarter period ending on or prior to such date, the net income of the Company and its Subsidiaries on a Consolidated basis for such period, all as determined in accordance with GAAP.</w:t>
      </w:r>
    </w:p>
    <w:p>
      <w:pPr>
        <w:spacing w:after="0" w:line="16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CORRA</w:t>
      </w:r>
      <w:r>
        <w:rPr>
          <w:rFonts w:ascii="Times New Roman" w:cs="Times New Roman" w:eastAsia="Times New Roman" w:hAnsi="Times New Roman"/>
          <w:sz w:val="22"/>
          <w:szCs w:val="22"/>
          <w:color w:val="auto"/>
        </w:rPr>
        <w:t>” means a rate equal to the Canadian Overnight Repo Rate Average, as administered and published by the CORRA Administrator.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CORRA Administrator</w:t>
      </w:r>
      <w:r>
        <w:rPr>
          <w:rFonts w:ascii="Times New Roman" w:cs="Times New Roman" w:eastAsia="Times New Roman" w:hAnsi="Times New Roman"/>
          <w:sz w:val="22"/>
          <w:szCs w:val="22"/>
          <w:color w:val="auto"/>
        </w:rPr>
        <w:t>” means the Bank of Canada (or any successor administrator of the Term CORRA Reference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Rate).</w:t>
      </w:r>
    </w:p>
    <w:p>
      <w:pPr>
        <w:spacing w:after="0" w:line="20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Conversion</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Converted</w:t>
      </w:r>
      <w:r>
        <w:rPr>
          <w:rFonts w:ascii="Times New Roman" w:cs="Times New Roman" w:eastAsia="Times New Roman" w:hAnsi="Times New Roman"/>
          <w:sz w:val="22"/>
          <w:szCs w:val="22"/>
          <w:color w:val="auto"/>
        </w:rPr>
        <w:t>” each refers to a conversion of Advances of one Type into Advances of the other Type pursuant to Section 2.09.</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has the meaning specified in Section 9.20(b).</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has the meaning specified in Section 9.20(b).</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Parties</w:t>
      </w:r>
      <w:r>
        <w:rPr>
          <w:rFonts w:ascii="Times New Roman" w:cs="Times New Roman" w:eastAsia="Times New Roman" w:hAnsi="Times New Roman"/>
          <w:sz w:val="22"/>
          <w:szCs w:val="22"/>
          <w:color w:val="auto"/>
        </w:rPr>
        <w:t>” means, collectively, the Borrowers and the Guarantors.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Currencies</w:t>
      </w:r>
      <w:r>
        <w:rPr>
          <w:rFonts w:ascii="Times New Roman" w:cs="Times New Roman" w:eastAsia="Times New Roman" w:hAnsi="Times New Roman"/>
          <w:sz w:val="22"/>
          <w:szCs w:val="22"/>
          <w:color w:val="auto"/>
        </w:rPr>
        <w:t>” means US Dollars and each Foreign Currency, and “</w:t>
      </w:r>
      <w:r>
        <w:rPr>
          <w:rFonts w:ascii="Times New Roman" w:cs="Times New Roman" w:eastAsia="Times New Roman" w:hAnsi="Times New Roman"/>
          <w:sz w:val="22"/>
          <w:szCs w:val="22"/>
          <w:u w:val="single" w:color="auto"/>
          <w:color w:val="auto"/>
        </w:rPr>
        <w:t>Currency</w:t>
      </w:r>
      <w:r>
        <w:rPr>
          <w:rFonts w:ascii="Times New Roman" w:cs="Times New Roman" w:eastAsia="Times New Roman" w:hAnsi="Times New Roman"/>
          <w:sz w:val="22"/>
          <w:szCs w:val="22"/>
          <w:color w:val="auto"/>
        </w:rPr>
        <w:t>” means any of such Currencies.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260" w:right="339" w:bottom="1440" w:gutter="0" w:footer="0" w:header="0"/>
        </w:sectPr>
      </w:pPr>
    </w:p>
    <w:bookmarkStart w:id="126" w:name="page127"/>
    <w:bookmarkEnd w:id="126"/>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Simple RFR</w:t>
      </w:r>
      <w:r>
        <w:rPr>
          <w:rFonts w:ascii="Times New Roman" w:cs="Times New Roman" w:eastAsia="Times New Roman" w:hAnsi="Times New Roman"/>
          <w:sz w:val="22"/>
          <w:szCs w:val="22"/>
          <w:color w:val="auto"/>
        </w:rPr>
        <w:t>” means, for any RFR Rate Day, a rate per annum equal to, for any Borrower Obligations, interest, fees, commissions or other amounts denominated in, or calculated with respect to:</w:t>
      </w:r>
    </w:p>
    <w:p>
      <w:pPr>
        <w:spacing w:after="0" w:line="158" w:lineRule="exact"/>
        <w:rPr>
          <w:sz w:val="20"/>
          <w:szCs w:val="20"/>
          <w:color w:val="auto"/>
        </w:rPr>
      </w:pPr>
    </w:p>
    <w:p>
      <w:pPr>
        <w:jc w:val="both"/>
        <w:ind w:firstLine="656"/>
        <w:spacing w:after="0" w:line="248" w:lineRule="auto"/>
        <w:tabs>
          <w:tab w:leader="none" w:pos="1174"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Singapore Dollars, the greater of (i) SORA for the day (such day, a “</w:t>
      </w:r>
      <w:r>
        <w:rPr>
          <w:rFonts w:ascii="Times New Roman" w:cs="Times New Roman" w:eastAsia="Times New Roman" w:hAnsi="Times New Roman"/>
          <w:sz w:val="22"/>
          <w:szCs w:val="22"/>
          <w:u w:val="single" w:color="auto"/>
          <w:color w:val="auto"/>
        </w:rPr>
        <w:t>Singapore Dollar RFR Determination Day</w:t>
      </w:r>
      <w:r>
        <w:rPr>
          <w:rFonts w:ascii="Times New Roman" w:cs="Times New Roman" w:eastAsia="Times New Roman" w:hAnsi="Times New Roman"/>
          <w:sz w:val="22"/>
          <w:szCs w:val="22"/>
          <w:color w:val="auto"/>
        </w:rPr>
        <w:t xml:space="preserve">”) that is five RFR Business Days prior to (A) if such RFR Rate Day is an RFR Business Day, such RFR Rate Day or (B) if such RFR Rate Day is not an RFR Business Day, the RFR Business Day immediately preceding such RFR Rate Day, in each case, as such SORA is published by the SORA Administrator on the SORA Administrator’s Website;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by 5:00 p.m. (Singapore time) on the second RFR Business Day immediately following any Singapore Dollar RFR Determination Day, SORA in respect of such Singapore Dollar RFR Determination Day has not been published on the SORA Administrator’s Website and a Benchmark Replacement Date with respect to the Daily Simple RFR for Singapore Dollars has not occurred, then SORA for such Singapore Dollar RFR Determination Day will be SORA as published in respect of the first preceding RFR Business Day for which such SORA was published on the SORA Administrator’s Website;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SORA as determined pursuant to this proviso shall be utilized for purposes of calculation of Daily Simple RFR for no more than three consecutive RFR Rate Days and (ii) the Floor; and</w:t>
      </w:r>
    </w:p>
    <w:p>
      <w:pPr>
        <w:spacing w:after="0" w:line="188" w:lineRule="exact"/>
        <w:rPr>
          <w:rFonts w:ascii="Times New Roman" w:cs="Times New Roman" w:eastAsia="Times New Roman" w:hAnsi="Times New Roman"/>
          <w:sz w:val="22"/>
          <w:szCs w:val="22"/>
          <w:color w:val="auto"/>
        </w:rPr>
      </w:pPr>
    </w:p>
    <w:p>
      <w:pPr>
        <w:jc w:val="both"/>
        <w:ind w:firstLine="656"/>
        <w:spacing w:after="0" w:line="254" w:lineRule="auto"/>
        <w:tabs>
          <w:tab w:leader="none" w:pos="1150"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Sterling, the greater of (i) SONIA for the day (such day, a “</w:t>
      </w:r>
      <w:r>
        <w:rPr>
          <w:rFonts w:ascii="Times New Roman" w:cs="Times New Roman" w:eastAsia="Times New Roman" w:hAnsi="Times New Roman"/>
          <w:sz w:val="21"/>
          <w:szCs w:val="21"/>
          <w:u w:val="single" w:color="auto"/>
          <w:color w:val="auto"/>
        </w:rPr>
        <w:t>Sterling RFR Determination Day</w:t>
      </w:r>
      <w:r>
        <w:rPr>
          <w:rFonts w:ascii="Times New Roman" w:cs="Times New Roman" w:eastAsia="Times New Roman" w:hAnsi="Times New Roman"/>
          <w:sz w:val="21"/>
          <w:szCs w:val="21"/>
          <w:color w:val="auto"/>
        </w:rPr>
        <w:t xml:space="preserve">”) that is five (5) RFR Business Days prior to (I) if such RFR Rate Day is an RFR Business Day, such RFR Rate Day or (II) if such RFR Rate Day is not an RFR Business Day, the RFR Business Day immediately preceding such RFR Rate Day, in each case, as such SONIA is published by the SONIA Administrator on the SONIA Administrator’s Website;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by 5:00 p.m. (London time) on the second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xml:space="preserve">) RFR Business Day immediately following any Sterling RFR Determination Day, SONIA in respect of such Sterling RFR Determination Day has not been published on the SONIA Administrator’s Website and a Benchmark Replacement Date with respect to the Daily Simple RFR for Sterling has not occurred, then SONIA for such Sterling RFR Determination Day will be SONIA as published in respect of the first preceding RFR Business Day for which such SONIA was published on the SONIA Administrator’s Website;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SONIA as determined pursuant to this proviso shall be utilized for purposes of calculation of Daily Simple RFR for no more than three (3) consecutive RFR Rate Days and (ii) the Floor.</w:t>
      </w:r>
    </w:p>
    <w:p>
      <w:pPr>
        <w:spacing w:after="0" w:line="17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Any change in Daily Simple RFR due to a change in the applicable RFR shall be effective from and including the effective date of such change in the RFR without notice to the Borrowers.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Simple RFR Advance</w:t>
      </w:r>
      <w:r>
        <w:rPr>
          <w:rFonts w:ascii="Times New Roman" w:cs="Times New Roman" w:eastAsia="Times New Roman" w:hAnsi="Times New Roman"/>
          <w:sz w:val="22"/>
          <w:szCs w:val="22"/>
          <w:color w:val="auto"/>
        </w:rPr>
        <w:t>” means an Advance that bears interest at a rate based on Daily Simple RFR.</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w:t>
      </w:r>
      <w:r>
        <w:rPr>
          <w:rFonts w:ascii="Times New Roman" w:cs="Times New Roman" w:eastAsia="Times New Roman" w:hAnsi="Times New Roman"/>
          <w:sz w:val="22"/>
          <w:szCs w:val="22"/>
          <w:color w:val="auto"/>
        </w:rPr>
        <w:t>” of any Person means, without duplication, (a) all indebtedness of such Person for borrowed money, (b) all obligations of such Person for the deferred purchase price of property or services (other than trade payables not overdue by more than 120 days incurred in the ordinary course of such Person’s business), (c) all obligations of such Person evidenced by notes, bonds, debentures or other similar instruments,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subject to Section 1.03,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260" w:right="339" w:bottom="1440" w:gutter="0" w:footer="0" w:header="0"/>
        </w:sectPr>
      </w:pPr>
    </w:p>
    <w:bookmarkStart w:id="127" w:name="page128"/>
    <w:bookmarkEnd w:id="127"/>
    <w:p>
      <w:pPr>
        <w:jc w:val="both"/>
        <w:spacing w:after="0" w:line="248" w:lineRule="auto"/>
        <w:rPr>
          <w:sz w:val="20"/>
          <w:szCs w:val="20"/>
          <w:color w:val="auto"/>
        </w:rPr>
      </w:pPr>
      <w:r>
        <w:rPr>
          <w:rFonts w:ascii="Times New Roman" w:cs="Times New Roman" w:eastAsia="Times New Roman" w:hAnsi="Times New Roman"/>
          <w:sz w:val="22"/>
          <w:szCs w:val="22"/>
          <w:color w:val="auto"/>
        </w:rPr>
        <w:t>obligations of such Person as lessee under leases that have been or should be, in accordance with GAAP, recorded as capital leases, (f) all obligations, contingent or otherwise, of such Person in respect of acceptances, letters of credit or similar extensions of credit, (g) all Debt of others referred to in clauses (a) through (f) above or clause (h) below guaranteed directly or indirectly in any manner by such Person, or in effect guaranteed directly or indirectly by such Person through an agreement (1) to pay or purchase such Debt or to advance or supply funds for the payment or purchase of such Debt, (2) to purchase, sell or lease (as lessee or lessor) property, or to purchase or sell services, primarily for the purpose of enabling the debtor to make payment of such Debt or to assure the holder of such Debt against loss, (3) to supply funds to or in any other manner invest in the debtor (including any agreement to pay for property or services irrespective of whether such property is received or such services are rendered) or (4) otherwise to assure a creditor against loss, and (h) all Debt referred to in clauses (a) through (g) above secured by (or for which the holder of such Debt has an existing right, contingent or otherwise, to be secured by) any Lien on property (including, without limitation, accounts and contract rights) owned by such Person, even though such Person has not assumed or become liable for the payment of such Debt.</w:t>
      </w:r>
    </w:p>
    <w:p>
      <w:pPr>
        <w:spacing w:after="0" w:line="18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Issuance</w:t>
      </w:r>
      <w:r>
        <w:rPr>
          <w:rFonts w:ascii="Times New Roman" w:cs="Times New Roman" w:eastAsia="Times New Roman" w:hAnsi="Times New Roman"/>
          <w:sz w:val="22"/>
          <w:szCs w:val="22"/>
          <w:color w:val="auto"/>
        </w:rPr>
        <w:t>” means the issuance of any Indebtedness for borrowed money by any Credit Party or any of its Subsidiaries.</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Debtor Relief Laws</w:t>
      </w:r>
      <w:r>
        <w:rPr>
          <w:rFonts w:ascii="Times New Roman" w:cs="Times New Roman" w:eastAsia="Times New Roman" w:hAnsi="Times New Roman"/>
          <w:sz w:val="22"/>
          <w:szCs w:val="22"/>
          <w:color w:val="auto"/>
        </w:rPr>
        <w:t>” means the Bankruptcy Code, and all other laws relating to liquidation, conservatorship, bankruptcy, assignment for the benefit of creditors, moratorium, rearrangement, receivership, insolvency, reorganization, administration, deed of company arrangement, scheme of arrangement or similar debtor relief laws of the United States or other applicable jurisdictions from time to time in effect.</w:t>
      </w:r>
    </w:p>
    <w:p>
      <w:pPr>
        <w:spacing w:after="0" w:line="17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Event of Default or any event that would constitute an Event of Default but for the requirement that notice be given or time elapse or both.</w:t>
      </w:r>
    </w:p>
    <w:p>
      <w:pPr>
        <w:spacing w:after="0" w:line="14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Defaulting Lender</w:t>
      </w:r>
      <w:r>
        <w:rPr>
          <w:rFonts w:ascii="Times New Roman" w:cs="Times New Roman" w:eastAsia="Times New Roman" w:hAnsi="Times New Roman"/>
          <w:sz w:val="21"/>
          <w:szCs w:val="21"/>
          <w:color w:val="auto"/>
        </w:rPr>
        <w:t>” means, subject to Section 2.18(b), any Lender that (a) has failed to (i) fund all or any portion of its Advances within two Business Days of the date such Advances were required to be funded hereunder unless such Lender notifies the Administrative Agent and the Company in writing that such failure is the result of such Lender’s good faith determination that one or more conditions precedent to funding (each of which conditions precedent, together with any applicable default, shall be specifically identified in such writing) has not been satisfied, or (ii) pay to the Administrative Agent, any Issuing Lender or any other Lender any other amount required to be paid by it hereunder within two Business Days of the date when due, (b) has notified the Company, the Administrative Agent or any Issuing Lender in writing that it does not intend to comply with its funding obligations hereunder, or has made a public statement to that effect (unless such writing or public statement relates to such Lenders’ obligation to fund an Advance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Company, to confirm in writing to the Administrative Agent and the Company that it will comply with its prospective funding obligations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Lender shall cease to be a Defaulting Lender pursuant to this clause (c) upon receipt of such written confirmation by the Administrative Agent and the Company), or</w:t>
      </w:r>
    </w:p>
    <w:p>
      <w:pPr>
        <w:spacing w:after="0" w:line="8" w:lineRule="exact"/>
        <w:rPr>
          <w:sz w:val="20"/>
          <w:szCs w:val="20"/>
          <w:color w:val="auto"/>
        </w:rPr>
      </w:pPr>
    </w:p>
    <w:p>
      <w:pPr>
        <w:ind w:left="320" w:hanging="312"/>
        <w:spacing w:after="0"/>
        <w:tabs>
          <w:tab w:leader="none" w:pos="32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or has a direct or indirect parent company that has, (i) become the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73" w:lineRule="exact"/>
        <w:rPr>
          <w:rFonts w:ascii="Times New Roman" w:cs="Times New Roman" w:eastAsia="Times New Roman" w:hAnsi="Times New Roman"/>
          <w:sz w:val="22"/>
          <w:szCs w:val="22"/>
          <w:color w:val="auto"/>
        </w:rPr>
      </w:pPr>
    </w:p>
    <w:p>
      <w:pPr>
        <w:ind w:left="55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260" w:right="339" w:bottom="1440" w:gutter="0" w:footer="0" w:header="0"/>
        </w:sectPr>
      </w:pPr>
    </w:p>
    <w:bookmarkStart w:id="128" w:name="page129"/>
    <w:bookmarkEnd w:id="128"/>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subject of a proceeding under any Debtor Relief Laws,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demonstrable error, and such Lender shall be deemed to be a Defaulting Lender (subject to Section 2.18(b)) upon delivery of written notice of such determination to the Company, each Issuing Lender and each other Lender.</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Interest</w:t>
      </w:r>
      <w:r>
        <w:rPr>
          <w:rFonts w:ascii="Times New Roman" w:cs="Times New Roman" w:eastAsia="Times New Roman" w:hAnsi="Times New Roman"/>
          <w:sz w:val="22"/>
          <w:szCs w:val="22"/>
          <w:color w:val="auto"/>
        </w:rPr>
        <w:t>” has the meaning specified in Section 2.07(b).</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Right</w:t>
      </w:r>
      <w:r>
        <w:rPr>
          <w:rFonts w:ascii="Times New Roman" w:cs="Times New Roman" w:eastAsia="Times New Roman" w:hAnsi="Times New Roman"/>
          <w:sz w:val="22"/>
          <w:szCs w:val="22"/>
          <w:color w:val="auto"/>
        </w:rPr>
        <w:t>” has the meaning specified in Section 9.20(b).</w:t>
      </w:r>
    </w:p>
    <w:p>
      <w:pPr>
        <w:spacing w:after="0" w:line="26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Equivalent</w:t>
      </w:r>
      <w:r>
        <w:rPr>
          <w:rFonts w:ascii="Times New Roman" w:cs="Times New Roman" w:eastAsia="Times New Roman" w:hAnsi="Times New Roman"/>
          <w:sz w:val="22"/>
          <w:szCs w:val="22"/>
          <w:color w:val="auto"/>
        </w:rPr>
        <w:t>” means, subject to Section 1.05, for any amount, at the time of determination thereof, (a) if such amount is expressed in US Dollars, such amount, and (b) if such amount is expressed in a Foreign Currency, the equivalent amount thereof in US Dollars as determined by the Administrative Agent in its sole discretion by reference to the most recent Spot Rate for such Foreign Currency determined as of the most recent Revaluation Date for the purchase of US Dollars with such Foreign Currency.</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Subsidiary</w:t>
      </w:r>
      <w:r>
        <w:rPr>
          <w:rFonts w:ascii="Times New Roman" w:cs="Times New Roman" w:eastAsia="Times New Roman" w:hAnsi="Times New Roman"/>
          <w:sz w:val="22"/>
          <w:szCs w:val="22"/>
          <w:color w:val="auto"/>
        </w:rPr>
        <w:t>” means any Subsidiary that is organized and existing under the laws of the United States or any state thereof or under the laws of the District of Columbia.</w:t>
      </w:r>
    </w:p>
    <w:p>
      <w:pPr>
        <w:spacing w:after="0" w:line="158"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Downgrade</w:t>
      </w:r>
      <w:r>
        <w:rPr>
          <w:rFonts w:ascii="Times New Roman" w:cs="Times New Roman" w:eastAsia="Times New Roman" w:hAnsi="Times New Roman"/>
          <w:sz w:val="21"/>
          <w:szCs w:val="21"/>
          <w:color w:val="auto"/>
        </w:rPr>
        <w:t>” means, with respect to any Lender, the lowest rating that has been most recently announced for any class of non-credit enhanced long-term senior unsecured debt issued by such Lender is lower than BBB- by S&amp;P or Baa3 by Moody’s.</w:t>
      </w:r>
    </w:p>
    <w:p>
      <w:pPr>
        <w:spacing w:after="0" w:line="13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means (a) any credit institution or investment firm established in any EEA Member Country that is subject to the supervision of an EEA Resolution Authority, (b) any entity established in an EEA Member Country that is a parent of an institution described in clause (a) of this definition, or (c) any financial institution established in an EEA Member Country that is a subsidiary of an institution described in clauses (a) or (b) of this definition and is subject to consolidated supervision with its parent.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of the member states of the European Union, Iceland, Liechtenstein, and Norway.</w:t>
      </w:r>
    </w:p>
    <w:p>
      <w:pPr>
        <w:spacing w:after="0" w:line="22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260"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22"/>
          <w:szCs w:val="22"/>
          <w:color w:val="auto"/>
        </w:rPr>
        <w:t>having responsibility for the resolution of any credit institution or investment firm established in any EEA Member Country.</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Record</w:t>
      </w:r>
      <w:r>
        <w:rPr>
          <w:rFonts w:ascii="Times New Roman" w:cs="Times New Roman" w:eastAsia="Times New Roman" w:hAnsi="Times New Roman"/>
          <w:sz w:val="22"/>
          <w:szCs w:val="22"/>
          <w:color w:val="auto"/>
        </w:rPr>
        <w:t>” has the meaning assigned to that term in, and shall be interpreted in accordance with, 15 U.S.C.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7006.</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Signature</w:t>
      </w:r>
      <w:r>
        <w:rPr>
          <w:rFonts w:ascii="Times New Roman" w:cs="Times New Roman" w:eastAsia="Times New Roman" w:hAnsi="Times New Roman"/>
          <w:sz w:val="22"/>
          <w:szCs w:val="22"/>
          <w:color w:val="auto"/>
        </w:rPr>
        <w:t>” has the meaning assigned to that term in, and shall be interpreted in accordance with, 15 U.S.C.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7006.</w:t>
      </w:r>
    </w:p>
    <w:p>
      <w:pPr>
        <w:spacing w:after="0" w:line="19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Assignee</w:t>
      </w:r>
      <w:r>
        <w:rPr>
          <w:rFonts w:ascii="Times New Roman" w:cs="Times New Roman" w:eastAsia="Times New Roman" w:hAnsi="Times New Roman"/>
          <w:sz w:val="22"/>
          <w:szCs w:val="22"/>
          <w:color w:val="auto"/>
        </w:rPr>
        <w:t xml:space="preserve">” means (a) a Lender and any Affiliate of a Lender organized in the United States; (b) a commercial bank organized under the laws of the United States, or any State thereof, and having total assets in excess of $5,000,000,000; (c) a savings and loan association or savings bank organized under the laws of the United States, or any State thereof, and having total assets in excess of $5,000,000,000; (d) a commercial bank organized under the laws of any other country that is a member of the Organization for Economic Cooperation and Development or has concluded special lending arrangements with the International Monetary Fund associated with its General Arrangements to Borrow or of the Cayman Islands, or a political subdivision of any such country, and having total assets in excess of $5,000,000,000 so long as such bank is acting through a branch or agency located in the United States or in the country in which it is organized or another country that is described in this clause (d); (e) the central bank of any country that is a member of the Organization for Economic Cooperation and Development; and (f) any other Person approved by the Administrative Agent and the Company, on behalf of the Borrowers, such approval not to be unreasonably withheld or delayed;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Borrower nor an Affiliate of any Borrower nor any natural person shall qualify as an Eligible Assignee.</w:t>
      </w:r>
    </w:p>
    <w:p>
      <w:pPr>
        <w:spacing w:after="0" w:line="18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EMU Legislation</w:t>
      </w:r>
      <w:r>
        <w:rPr>
          <w:rFonts w:ascii="Times New Roman" w:cs="Times New Roman" w:eastAsia="Times New Roman" w:hAnsi="Times New Roman"/>
          <w:sz w:val="22"/>
          <w:szCs w:val="22"/>
          <w:color w:val="auto"/>
        </w:rPr>
        <w:t>” means the legislative measures of the European Council for the introduction of changeover to or operation of a single or unified European currency.</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Engagement Letter</w:t>
      </w:r>
      <w:r>
        <w:rPr>
          <w:rFonts w:ascii="Times New Roman" w:cs="Times New Roman" w:eastAsia="Times New Roman" w:hAnsi="Times New Roman"/>
          <w:sz w:val="22"/>
          <w:szCs w:val="22"/>
          <w:color w:val="auto"/>
        </w:rPr>
        <w:t>” means that certain Engagement Letter, dated as of April 6, 2022, by and among the Company, on behalf of the Borrowers and Wells Fargo Securities, LLC.</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Action</w:t>
      </w:r>
      <w:r>
        <w:rPr>
          <w:rFonts w:ascii="Times New Roman" w:cs="Times New Roman" w:eastAsia="Times New Roman" w:hAnsi="Times New Roman"/>
          <w:sz w:val="22"/>
          <w:szCs w:val="22"/>
          <w:color w:val="auto"/>
        </w:rPr>
        <w:t>” means any action, suit, demand, demand letter, claim, notice of noncompliance or violation, notice of liability or potential liability, consent order or consent agreement relating in any way to any Environmental Law, Environmental Permit or Hazardous Materials or arising from alleged injury or threat of injury to health, safety or the environment, including, without limitation, (a) by any governmental or regulatory authority for enforcement, cleanup, removal, response, remedial or other actions or damages and (b) by any governmental or regulatory authority or any third party for damages, contribution, indemnification, cost recovery, compensation or injunctive relief.</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w:t>
      </w:r>
      <w:r>
        <w:rPr>
          <w:rFonts w:ascii="Times New Roman" w:cs="Times New Roman" w:eastAsia="Times New Roman" w:hAnsi="Times New Roman"/>
          <w:sz w:val="22"/>
          <w:szCs w:val="22"/>
          <w:color w:val="auto"/>
        </w:rPr>
        <w:t>” means any applicable federal, state, local or foreign statute, law, ordinance, rule, regulation, code, order, judgment or decree relating to pollution or protection of the environment, health, safety or natural resources, including, without limitation, those relating to the use, handling, transportation, treatment, storage, disposal, release or discharge of Hazardous Materials.</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Permit</w:t>
      </w:r>
      <w:r>
        <w:rPr>
          <w:rFonts w:ascii="Times New Roman" w:cs="Times New Roman" w:eastAsia="Times New Roman" w:hAnsi="Times New Roman"/>
          <w:sz w:val="22"/>
          <w:szCs w:val="22"/>
          <w:color w:val="auto"/>
        </w:rPr>
        <w:t>” means any permit, approval, identification number, license or other authorization required under any Environmental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260" w:right="339" w:bottom="1440" w:gutter="0" w:footer="0" w:header="0"/>
        </w:sectPr>
      </w:pPr>
    </w:p>
    <w:bookmarkStart w:id="130" w:name="page131"/>
    <w:bookmarkEnd w:id="130"/>
    <w:p>
      <w:pPr>
        <w:jc w:val="both"/>
        <w:ind w:firstLine="648"/>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Equity Interests</w:t>
      </w:r>
      <w:r>
        <w:rPr>
          <w:rFonts w:ascii="Times New Roman" w:cs="Times New Roman" w:eastAsia="Times New Roman" w:hAnsi="Times New Roman"/>
          <w:sz w:val="21"/>
          <w:szCs w:val="21"/>
          <w:color w:val="auto"/>
        </w:rPr>
        <w:t>” means (a) in the case of a corporation, capital stock, (b) in the case of an association or business entity, any and all shares, interests, participations, rights or other equivalents (however designated) of capital stock, (c) in the case of a partnership, partnership interests (whether general or limited), (d) in the case of a limited liability company, membership interests and (e) any and all warrants, rights or options entitling the holder thereof to purchase any of the foregoing.</w:t>
      </w:r>
    </w:p>
    <w:p>
      <w:pPr>
        <w:spacing w:after="0" w:line="16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 from time to time, and the regulations promulgated and rulings issued thereunder.</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any Person that for purposes of Title IV of ERISA is a member of any Borrower’s controlled group, or under common control with any Borrower, within the meaning of Section 414(b) or (c) of the Internal Revenue Code or, solely for purposes of Sections 302 and 303 of ERISA and Section 412 of the Internal Revenue Code, is treated as a single employer under Section 414(b), (c), (m) and (o) of the Internal Revenue Code.</w:t>
      </w:r>
    </w:p>
    <w:p>
      <w:pPr>
        <w:spacing w:after="0" w:line="17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Event</w:t>
      </w:r>
      <w:r>
        <w:rPr>
          <w:rFonts w:ascii="Times New Roman" w:cs="Times New Roman" w:eastAsia="Times New Roman" w:hAnsi="Times New Roman"/>
          <w:sz w:val="22"/>
          <w:szCs w:val="22"/>
          <w:color w:val="auto"/>
        </w:rPr>
        <w:t>” means (a) (i) the occurrence of a reportable event, within the meaning of Section 4043 of ERISA, with respect to any Plan unless the 30-day notice requirement with respect to such event has been waived by the PBGC, or (ii) the requirements of subsection (1) of Section 4043(b) of ERISA (without regard to subsection (2) of such Section) are met with respect to a contributing sponsor, as defined in Section 4001(a)(13) of ERISA, of a Plan, and an event described in paragraph (9), (10), (11), (12) or (13) of Section 4043(c) of ERISA is reasonably expected to occur with respect to such Plan within the following 30 days; (b) the application for a minimum funding waiver with respect to a Plan; (c) the provision by the administrator of any Plan of a notice of intent to terminate such Plan pursuant to Section 4041(a)(2) of ERISA (including any such notice with respect to a plan amendment referred to in Section 4041(e) of ERISA); (d) the cessation of operations at a facility of any Borrower or any ERISA Affiliate in the circumstances described in Section 4062(e) of ERISA; (e) the withdrawal by any Borrower or any ERISA Affiliate from a Multiple Employer Plan during a plan year for which it was a substantial employer, as defined in Section 4001(a)(2) of ERISA; (f) the conditions for the imposition of a lien under Section 303(k) of ERISA shall have been met with respect to any Plan; (g) a determination that any Plan is in “at risk” status (within the meaning of Section 303 of ERISA); or (h) the institution by the PBGC of proceedings to terminate a Plan pursuant to Section 4042 of ERISA, or the occurrence of any event or condition described in Section 4042 of ERISA that constitutes grounds for the termination of, or the appointment of a trustee to administer, a Plan.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w:t>
      </w:r>
      <w:r>
        <w:rPr>
          <w:rFonts w:ascii="Times New Roman" w:cs="Times New Roman" w:eastAsia="Times New Roman" w:hAnsi="Times New Roman"/>
          <w:sz w:val="22"/>
          <w:szCs w:val="22"/>
          <w:color w:val="auto"/>
        </w:rPr>
        <w:t>” has the meaning assigned to such term in Section 7.11(a).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Deficiency Assignment</w:t>
      </w:r>
      <w:r>
        <w:rPr>
          <w:rFonts w:ascii="Times New Roman" w:cs="Times New Roman" w:eastAsia="Times New Roman" w:hAnsi="Times New Roman"/>
          <w:sz w:val="22"/>
          <w:szCs w:val="22"/>
          <w:color w:val="auto"/>
        </w:rPr>
        <w:t>” has the meaning assigned to such term in Section 7.11(d).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Impacted Class</w:t>
      </w:r>
      <w:r>
        <w:rPr>
          <w:rFonts w:ascii="Times New Roman" w:cs="Times New Roman" w:eastAsia="Times New Roman" w:hAnsi="Times New Roman"/>
          <w:sz w:val="22"/>
          <w:szCs w:val="22"/>
          <w:color w:val="auto"/>
        </w:rPr>
        <w:t>” has the meaning assigned to such term in Section 7.11(d).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Return Deficiency</w:t>
      </w:r>
      <w:r>
        <w:rPr>
          <w:rFonts w:ascii="Times New Roman" w:cs="Times New Roman" w:eastAsia="Times New Roman" w:hAnsi="Times New Roman"/>
          <w:sz w:val="22"/>
          <w:szCs w:val="22"/>
          <w:color w:val="auto"/>
        </w:rPr>
        <w:t>” has the meaning assigned to such term in Section 7.11(d).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260" w:right="339" w:bottom="1440" w:gutter="0" w:footer="0" w:header="0"/>
        </w:sectPr>
      </w:pPr>
    </w:p>
    <w:bookmarkStart w:id="131" w:name="page132"/>
    <w:bookmarkEnd w:id="131"/>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thereto), as in effect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EURIBOR</w:t>
      </w:r>
      <w:r>
        <w:rPr>
          <w:rFonts w:ascii="Times New Roman" w:cs="Times New Roman" w:eastAsia="Times New Roman" w:hAnsi="Times New Roman"/>
          <w:sz w:val="22"/>
          <w:szCs w:val="22"/>
          <w:color w:val="auto"/>
        </w:rPr>
        <w:t>” has the meaning assigned thereto in the definition of “Eurocurrency Rate”.</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 the single currency of the Participating Member States introduced in accordance with the EMU Legislation.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 Unit</w:t>
      </w:r>
      <w:r>
        <w:rPr>
          <w:rFonts w:ascii="Times New Roman" w:cs="Times New Roman" w:eastAsia="Times New Roman" w:hAnsi="Times New Roman"/>
          <w:sz w:val="22"/>
          <w:szCs w:val="22"/>
          <w:color w:val="auto"/>
        </w:rPr>
        <w:t>” means the currency unit of the Euro.</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Eurocurrency Banking Day</w:t>
      </w:r>
      <w:r>
        <w:rPr>
          <w:rFonts w:ascii="Times New Roman" w:cs="Times New Roman" w:eastAsia="Times New Roman" w:hAnsi="Times New Roman"/>
          <w:sz w:val="22"/>
          <w:szCs w:val="22"/>
          <w:color w:val="auto"/>
        </w:rPr>
        <w:t xml:space="preserve"> ” means (i) for Borrower Obligations, interest, fees, commissions or other amounts denominated in, or calculated with respect to, Euros, a TARGET Day and (ii) for Borrower Obligations, interest, fees, commissions or other amounts denominated in, or calculated with respect to, Australian Dollars, any day (other than a Saturday or Sunday) on which banks are open for business in Melbourne;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purposes of notice requirements in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2.10</w:t>
      </w:r>
      <w:r>
        <w:rPr>
          <w:rFonts w:ascii="Times New Roman" w:cs="Times New Roman" w:eastAsia="Times New Roman" w:hAnsi="Times New Roman"/>
          <w:sz w:val="22"/>
          <w:szCs w:val="22"/>
          <w:color w:val="auto"/>
        </w:rPr>
        <w:t>, in each case, such day is also a Business Day.</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Eurocurrency Liabilities</w:t>
      </w:r>
      <w:r>
        <w:rPr>
          <w:rFonts w:ascii="Times New Roman" w:cs="Times New Roman" w:eastAsia="Times New Roman" w:hAnsi="Times New Roman"/>
          <w:sz w:val="22"/>
          <w:szCs w:val="22"/>
          <w:color w:val="auto"/>
        </w:rPr>
        <w:t>” has the meaning assigned to that term in Regulation D of the Board of Governors of the Federal Reserve System, as in effect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Eurocurrency Rate</w:t>
      </w:r>
      <w:r>
        <w:rPr>
          <w:rFonts w:ascii="Times New Roman" w:cs="Times New Roman" w:eastAsia="Times New Roman" w:hAnsi="Times New Roman"/>
          <w:sz w:val="22"/>
          <w:szCs w:val="22"/>
          <w:color w:val="auto"/>
        </w:rPr>
        <w:t>” means, for any Eurocurrency Rate Advance for any Interest Period:</w:t>
      </w:r>
    </w:p>
    <w:p>
      <w:pPr>
        <w:spacing w:after="0" w:line="233" w:lineRule="exact"/>
        <w:rPr>
          <w:sz w:val="20"/>
          <w:szCs w:val="20"/>
          <w:color w:val="auto"/>
        </w:rPr>
      </w:pPr>
    </w:p>
    <w:p>
      <w:pPr>
        <w:jc w:val="both"/>
        <w:ind w:firstLine="656"/>
        <w:spacing w:after="0" w:line="252" w:lineRule="auto"/>
        <w:tabs>
          <w:tab w:leader="none" w:pos="1195"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denominated in Euros, the greater of (i) the rate of interest per annum equal to the Euro Interbank Offered Rate (“</w:t>
      </w:r>
      <w:r>
        <w:rPr>
          <w:rFonts w:ascii="Times New Roman" w:cs="Times New Roman" w:eastAsia="Times New Roman" w:hAnsi="Times New Roman"/>
          <w:sz w:val="22"/>
          <w:szCs w:val="22"/>
          <w:u w:val="single" w:color="auto"/>
          <w:color w:val="auto"/>
        </w:rPr>
        <w:t>EURIBOR</w:t>
      </w:r>
      <w:r>
        <w:rPr>
          <w:rFonts w:ascii="Times New Roman" w:cs="Times New Roman" w:eastAsia="Times New Roman" w:hAnsi="Times New Roman"/>
          <w:sz w:val="22"/>
          <w:szCs w:val="22"/>
          <w:color w:val="auto"/>
        </w:rPr>
        <w:t>”) as administered by the European Money Markets Institute, or a comparable or successor administrator approved by the Administrative Agent, for a period comparable to the applicable Interest Period, at approximately 11:00 a.m. (Brussels time) on the applicable Rate Determination Date and (ii) the Floor;</w:t>
      </w:r>
    </w:p>
    <w:p>
      <w:pPr>
        <w:spacing w:after="0" w:line="179" w:lineRule="exact"/>
        <w:rPr>
          <w:rFonts w:ascii="Times New Roman" w:cs="Times New Roman" w:eastAsia="Times New Roman" w:hAnsi="Times New Roman"/>
          <w:sz w:val="22"/>
          <w:szCs w:val="22"/>
          <w:color w:val="auto"/>
        </w:rPr>
      </w:pPr>
    </w:p>
    <w:p>
      <w:pPr>
        <w:jc w:val="both"/>
        <w:ind w:firstLine="656"/>
        <w:spacing w:after="0" w:line="272" w:lineRule="auto"/>
        <w:tabs>
          <w:tab w:leader="none" w:pos="1144"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denominated in Australian Dollars, the greater of (i) the rate per annum equal to the Bank Bill Swap Reference Bid Rate (“</w:t>
      </w:r>
      <w:r>
        <w:rPr>
          <w:rFonts w:ascii="Times New Roman" w:cs="Times New Roman" w:eastAsia="Times New Roman" w:hAnsi="Times New Roman"/>
          <w:sz w:val="21"/>
          <w:szCs w:val="21"/>
          <w:u w:val="single" w:color="auto"/>
          <w:color w:val="auto"/>
        </w:rPr>
        <w:t>BBSY</w:t>
      </w:r>
      <w:r>
        <w:rPr>
          <w:rFonts w:ascii="Times New Roman" w:cs="Times New Roman" w:eastAsia="Times New Roman" w:hAnsi="Times New Roman"/>
          <w:sz w:val="21"/>
          <w:szCs w:val="21"/>
          <w:color w:val="auto"/>
        </w:rPr>
        <w:t>”) as published on the applicable Reuters screen page (or such other commercially available source providing such quotations as may be designated by the Administrative Agent from time to time), for a period comparable to the applicable Interest Period, at approximately 10:30 a.m. (Melbourne time) on the applicable Rate Determination Date and (ii) the Floor; and</w:t>
      </w:r>
    </w:p>
    <w:p>
      <w:pPr>
        <w:spacing w:after="0" w:line="160" w:lineRule="exact"/>
        <w:rPr>
          <w:rFonts w:ascii="Times New Roman" w:cs="Times New Roman" w:eastAsia="Times New Roman" w:hAnsi="Times New Roman"/>
          <w:sz w:val="21"/>
          <w:szCs w:val="21"/>
          <w:color w:val="auto"/>
        </w:rPr>
      </w:pPr>
    </w:p>
    <w:p>
      <w:pPr>
        <w:jc w:val="both"/>
        <w:ind w:firstLine="656"/>
        <w:spacing w:after="0" w:line="263" w:lineRule="auto"/>
        <w:tabs>
          <w:tab w:leader="none" w:pos="1318"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denominated in any other Currency (other than a Currency referenced in clauses (a) and (b) above, Canadian Dollars, Sterling or Singapore Dollars) approved by all Lenders, the rate designated with respect to such Currency at the time such currency is approved by the Administrative Agent and the Lenders.</w:t>
      </w:r>
    </w:p>
    <w:p>
      <w:pPr>
        <w:spacing w:after="0" w:line="16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Eurocurrency Rate Advance</w:t>
      </w:r>
      <w:r>
        <w:rPr>
          <w:rFonts w:ascii="Times New Roman" w:cs="Times New Roman" w:eastAsia="Times New Roman" w:hAnsi="Times New Roman"/>
          <w:sz w:val="22"/>
          <w:szCs w:val="22"/>
          <w:color w:val="auto"/>
        </w:rPr>
        <w:t>” means any Advance bearing interest at a rate based on the Adjusted Eurocurrency Rate other than pursuant to clause (c) of the definition of “Base Rate”.</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Eurocurrency Reserve Percentage</w:t>
      </w:r>
      <w:r>
        <w:rPr>
          <w:rFonts w:ascii="Times New Roman" w:cs="Times New Roman" w:eastAsia="Times New Roman" w:hAnsi="Times New Roman"/>
          <w:sz w:val="22"/>
          <w:szCs w:val="22"/>
          <w:color w:val="auto"/>
        </w:rPr>
        <w:t>” means, for any day, the percentage which is in effect for such day as prescribed by the FRB for determining the maximum reserve requirement (including any basic, supplemental or emergency reserves) in respect of Eurocurrency Liabilities or any similar category of liabilities for a member bank of the Federal Reserve System in New York City or any other reserve ratio or analogous requirement of any central banking or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260" w:right="339" w:bottom="1440" w:gutter="0" w:footer="0" w:header="0"/>
        </w:sectPr>
      </w:pPr>
    </w:p>
    <w:bookmarkStart w:id="132" w:name="page133"/>
    <w:bookmarkEnd w:id="132"/>
    <w:p>
      <w:pPr>
        <w:jc w:val="both"/>
        <w:spacing w:after="0" w:line="257" w:lineRule="auto"/>
        <w:rPr>
          <w:sz w:val="20"/>
          <w:szCs w:val="20"/>
          <w:color w:val="auto"/>
        </w:rPr>
      </w:pPr>
      <w:r>
        <w:rPr>
          <w:rFonts w:ascii="Times New Roman" w:cs="Times New Roman" w:eastAsia="Times New Roman" w:hAnsi="Times New Roman"/>
          <w:sz w:val="22"/>
          <w:szCs w:val="22"/>
          <w:color w:val="auto"/>
        </w:rPr>
        <w:t>regulatory authority imposed in respect of the maintenance of the Commitments or the funding of the Advances. The Adjusted Eurocurrency Rate for each outstanding Advance shall be adjusted automatically as of the effective date of any change in the Eurocurrency Reserve Percentage.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Events of Default</w:t>
      </w:r>
      <w:r>
        <w:rPr>
          <w:rFonts w:ascii="Times New Roman" w:cs="Times New Roman" w:eastAsia="Times New Roman" w:hAnsi="Times New Roman"/>
          <w:sz w:val="22"/>
          <w:szCs w:val="22"/>
          <w:color w:val="auto"/>
        </w:rPr>
        <w:t>” has the meaning specified in Section 6.01.</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Swap Obligation</w:t>
      </w:r>
      <w:r>
        <w:rPr>
          <w:rFonts w:ascii="Times New Roman" w:cs="Times New Roman" w:eastAsia="Times New Roman" w:hAnsi="Times New Roman"/>
          <w:sz w:val="22"/>
          <w:szCs w:val="22"/>
          <w:color w:val="auto"/>
        </w:rPr>
        <w:t>” means, with respect to any Credit Party, any Swap Obligation if, and to the extent that, all or a portion of the liability of such Credit Party for or the guarantee of such Credit Party of, or the grant by such Credit Party of a security interest to secure, such Swap Obligation (or any liability or guarantee thereof) is or becomes illegal under the Commodity Exchange Act or any rule, regulation or order of the Commodity Futures Trading Commission (or the application or official interpretation of any thereof) by virtue of such Credit Party’s failure for any reason to constitute an “eligible contract participant” as defined in the Commodity Exchange Act and the regulations thereunder at the time the liability for or the guarantee of such Credit Party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 for the reasons identified in the immediately preceding sentence of this definition.</w:t>
      </w:r>
    </w:p>
    <w:p>
      <w:pPr>
        <w:spacing w:after="0" w:line="20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United States Federal withholding Taxes and, with respect to any applicable Foreign Borrower, in the case of a Lender which is not a UK Treaty Lender, withholding Taxes of the United Kingdom, Canada, Australia, Singapore or any other foreign jurisdiction under the laws of which such Foreign Borrower is organized, imposed on amounts payable to or for the account of such Lender with respect to an applicable interest in an Advance or Commitment pursuant to a law in effect on the date on which (i) such Lender acquires such interest in the Advance or Commitment (other than pursuant to an assignment request by the Company under Section 2.19(b)) or (ii) such Lender changes its lending office, except in each case to the extent that, pursuant to Section 2.14, amounts with respect to such Taxes were payable either to such Lender’s assignor immediately before such Lender acquired the applicable interest in such Advance or Commitment or to such Lender immediately before it changed its lending office, (c) Taxes attributable to such Recipient’s failure to comply with Sections 2.14(d) and 2.14(f), (d) if any Lender is found as the result of a determination (as defined in Section 1313(a) of the Internal Revenue Code) to be a conduit entity participating in a conduit financing arrangement as defined in Treasury Regulations promulgated under Section 7701(l) of the Internal Revenue Code, the excess of the United States Taxes imposed with respect to such Lender over the amount of United States Taxes that would have been imposed with respect to such Lender if such determination had not been made with respect to such Lender and (e) any withholding Taxes imposed under FATCA.</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means this Agreement as in effect immediately prior to the Restatement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260" w:right="339" w:bottom="1440" w:gutter="0" w:footer="0" w:header="0"/>
        </w:sectPr>
      </w:pPr>
    </w:p>
    <w:bookmarkStart w:id="133" w:name="page134"/>
    <w:bookmarkEnd w:id="133"/>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Letters of Credit</w:t>
      </w:r>
      <w:r>
        <w:rPr>
          <w:rFonts w:ascii="Times New Roman" w:cs="Times New Roman" w:eastAsia="Times New Roman" w:hAnsi="Times New Roman"/>
          <w:sz w:val="22"/>
          <w:szCs w:val="22"/>
          <w:color w:val="auto"/>
        </w:rPr>
        <w:t xml:space="preserve">” means those letters of credit existing on the Restatement Effective Date and identified on </w:t>
      </w:r>
      <w:r>
        <w:rPr>
          <w:rFonts w:ascii="Times New Roman" w:cs="Times New Roman" w:eastAsia="Times New Roman" w:hAnsi="Times New Roman"/>
          <w:sz w:val="22"/>
          <w:szCs w:val="22"/>
          <w:u w:val="single" w:color="auto"/>
          <w:color w:val="auto"/>
        </w:rPr>
        <w:t>Schedule 1.01</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Extended Letter of Credit</w:t>
      </w:r>
      <w:r>
        <w:rPr>
          <w:rFonts w:ascii="Times New Roman" w:cs="Times New Roman" w:eastAsia="Times New Roman" w:hAnsi="Times New Roman"/>
          <w:sz w:val="22"/>
          <w:szCs w:val="22"/>
          <w:color w:val="auto"/>
        </w:rPr>
        <w:t>” has the meaning specified in Section 10.01(b).</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Extension Date</w:t>
      </w:r>
      <w:r>
        <w:rPr>
          <w:rFonts w:ascii="Times New Roman" w:cs="Times New Roman" w:eastAsia="Times New Roman" w:hAnsi="Times New Roman"/>
          <w:sz w:val="22"/>
          <w:szCs w:val="22"/>
          <w:color w:val="auto"/>
        </w:rPr>
        <w:t>” has the meaning specified in Section 2.17(b).</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Extensions of Credit</w:t>
      </w:r>
      <w:r>
        <w:rPr>
          <w:rFonts w:ascii="Times New Roman" w:cs="Times New Roman" w:eastAsia="Times New Roman" w:hAnsi="Times New Roman"/>
          <w:sz w:val="22"/>
          <w:szCs w:val="22"/>
          <w:color w:val="auto"/>
        </w:rPr>
        <w:t>” means, as to any Lender at any time, (a) an amount equal to the sum of (i) the aggregate principal amount of all Revolving Advances made by such Lender then outstanding and (ii) such Lender’s Commitment Percentage of the L/C Obligations then outstanding, or (b) the making of any Advance or participation in any Letter of Credit by such Lender, as the context requires.</w:t>
      </w:r>
    </w:p>
    <w:p>
      <w:pPr>
        <w:spacing w:after="0" w:line="19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Sections 1471 through 1474 of the Internal Revenue Code, as of the date of this Agreement (including any amended or successor provisions thereto to the extent substantially comparable thereto), any current or future regulations or official interpretations thereof, any agreements entered into pursuant to Section 1471(b)(1) of the Internal Revenue Code (or any amended or successor provisions as described above), and any fiscal or regulatory legislation, rules or practices adopted pursuant to any intergovernmental agreement, treaty or convention among Governmental Authorities entered into in connection with the implementation of the foregoing.</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FCA</w:t>
      </w:r>
      <w:r>
        <w:rPr>
          <w:rFonts w:ascii="Times New Roman" w:cs="Times New Roman" w:eastAsia="Times New Roman" w:hAnsi="Times New Roman"/>
          <w:sz w:val="22"/>
          <w:szCs w:val="22"/>
          <w:color w:val="auto"/>
        </w:rPr>
        <w:t>” means the Financial Conduct Authority, the regulatory supervisor of “</w:t>
      </w:r>
      <w:r>
        <w:rPr>
          <w:rFonts w:ascii="Times New Roman" w:cs="Times New Roman" w:eastAsia="Times New Roman" w:hAnsi="Times New Roman"/>
          <w:sz w:val="22"/>
          <w:szCs w:val="22"/>
          <w:u w:val="single" w:color="auto"/>
          <w:color w:val="auto"/>
        </w:rPr>
        <w:t>IBA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FCPA</w:t>
      </w:r>
      <w:r>
        <w:rPr>
          <w:rFonts w:ascii="Times New Roman" w:cs="Times New Roman" w:eastAsia="Times New Roman" w:hAnsi="Times New Roman"/>
          <w:sz w:val="22"/>
          <w:szCs w:val="22"/>
          <w:color w:val="auto"/>
        </w:rPr>
        <w:t>” means the Foreign Corrupt Practices Act, 15 U.S.C. §§ 78dd-1, et seq., as of the date of this Agreement (including any amended or successor provisions thereto to the extent substantially comparable thereto) and any current or future regulations or official interpretations thereof.</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Rate</w:t>
      </w:r>
      <w:r>
        <w:rPr>
          <w:rFonts w:ascii="Times New Roman" w:cs="Times New Roman" w:eastAsia="Times New Roman" w:hAnsi="Times New Roman"/>
          <w:sz w:val="22"/>
          <w:szCs w:val="22"/>
          <w:color w:val="auto"/>
        </w:rPr>
        <w:t>” means, for any day, the rate per annum equal to the weighted average of the rates on overnight federal funds transactions with members of the Federal Reserve System, as published by the Federal Reserve Bank of New York on the Business Day next succeeding such day, provided that if such rate is not so published for any day which is a Business Day, the Federal Funds Rate for such day shall be the average of the quotation for such day on such transactions received by the Administrative Agent from three federal funds brokers of recognized standing selected by the Administrative Agent. Notwithstanding the foregoing, if the Federal Funds Rate shall be less than zero, such rate shall be deemed to be zero for purposes of this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Fixed Incremental Amount</w:t>
      </w:r>
      <w:r>
        <w:rPr>
          <w:rFonts w:ascii="Times New Roman" w:cs="Times New Roman" w:eastAsia="Times New Roman" w:hAnsi="Times New Roman"/>
          <w:sz w:val="22"/>
          <w:szCs w:val="22"/>
          <w:color w:val="auto"/>
        </w:rPr>
        <w:t>” has the meaning specified in the definition of “Incremental Cap”.</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w:t>
      </w:r>
      <w:r>
        <w:rPr>
          <w:rFonts w:ascii="Times New Roman" w:cs="Times New Roman" w:eastAsia="Times New Roman" w:hAnsi="Times New Roman"/>
          <w:sz w:val="22"/>
          <w:szCs w:val="22"/>
          <w:color w:val="auto"/>
        </w:rPr>
        <w:t>” means a rate of interest equal to 0%.</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Floorplan Financing</w:t>
      </w:r>
      <w:r>
        <w:rPr>
          <w:rFonts w:ascii="Times New Roman" w:cs="Times New Roman" w:eastAsia="Times New Roman" w:hAnsi="Times New Roman"/>
          <w:sz w:val="22"/>
          <w:szCs w:val="22"/>
          <w:color w:val="auto"/>
        </w:rPr>
        <w:t>” means, with respect to a Credit Party or any Subsidiary thereof, any dealership floorplan financing incurred by any such Person with respect to vehicles sold, leased, held for sale or lease or otherwise used by any such Person at any dealership of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259" w:right="339" w:bottom="1440" w:gutter="0" w:footer="0" w:header="0"/>
        </w:sectPr>
      </w:pPr>
    </w:p>
    <w:bookmarkStart w:id="134" w:name="page135"/>
    <w:bookmarkEnd w:id="134"/>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Borrower Obligations</w:t>
      </w:r>
      <w:r>
        <w:rPr>
          <w:rFonts w:ascii="Times New Roman" w:cs="Times New Roman" w:eastAsia="Times New Roman" w:hAnsi="Times New Roman"/>
          <w:sz w:val="22"/>
          <w:szCs w:val="22"/>
          <w:color w:val="auto"/>
        </w:rPr>
        <w:t>” means the obligations of each Foreign Borrower hereunder and under the other Loan Documents.</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Borrowers</w:t>
      </w:r>
      <w:r>
        <w:rPr>
          <w:rFonts w:ascii="Times New Roman" w:cs="Times New Roman" w:eastAsia="Times New Roman" w:hAnsi="Times New Roman"/>
          <w:sz w:val="22"/>
          <w:szCs w:val="22"/>
          <w:color w:val="auto"/>
        </w:rPr>
        <w:t xml:space="preserve">” means any Subsidiary of the Company organized under the laws of England, Wales, Scotland, Northern Ireland, Canada, Australia, Singapore or any other foreign jurisdiction as approved by each of the Lenders that is joined as a Foreign Borrower pursuant to Section 5.01(j)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election of the Company, any Foreign Borrower may be removed as a Foreign Borrower so long as on the date of such removal, such Foreign Borrower has no outstanding Advances.</w:t>
      </w:r>
    </w:p>
    <w:p>
      <w:pPr>
        <w:spacing w:after="0" w:line="206"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Currency</w:t>
      </w:r>
      <w:r>
        <w:rPr>
          <w:rFonts w:ascii="Times New Roman" w:cs="Times New Roman" w:eastAsia="Times New Roman" w:hAnsi="Times New Roman"/>
          <w:sz w:val="22"/>
          <w:szCs w:val="22"/>
          <w:color w:val="auto"/>
        </w:rPr>
        <w:t>” means (a) Euros, (b) Sterling, (c) Canadian Dollars, (d) Australian Dollars, (e) Singapore Dollars and (f) such other currencies approved by each of the Lenders.</w:t>
      </w:r>
    </w:p>
    <w:p>
      <w:pPr>
        <w:spacing w:after="0" w:line="14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Currency Equivalent</w:t>
      </w:r>
      <w:r>
        <w:rPr>
          <w:rFonts w:ascii="Times New Roman" w:cs="Times New Roman" w:eastAsia="Times New Roman" w:hAnsi="Times New Roman"/>
          <w:sz w:val="22"/>
          <w:szCs w:val="22"/>
          <w:color w:val="auto"/>
        </w:rPr>
        <w:t>” means, subject to Section 1.05, for any amount, at the time of determination thereof, with respect to any amount expressed in US Dollars, the equivalent of such amount thereof in a Foreign Currency as determined by the Administrative Agent in its sole discretion at such time by reference to the most recent Spot Rate (determined as of the most recent Revaluation Date) for the purchase of such Foreign Currency with US Dollars.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Lender</w:t>
      </w:r>
      <w:r>
        <w:rPr>
          <w:rFonts w:ascii="Times New Roman" w:cs="Times New Roman" w:eastAsia="Times New Roman" w:hAnsi="Times New Roman"/>
          <w:sz w:val="22"/>
          <w:szCs w:val="22"/>
          <w:color w:val="auto"/>
        </w:rPr>
        <w:t>” has the meaning specified in Section 2.14(d)(i).</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Subsidiary</w:t>
      </w:r>
      <w:r>
        <w:rPr>
          <w:rFonts w:ascii="Times New Roman" w:cs="Times New Roman" w:eastAsia="Times New Roman" w:hAnsi="Times New Roman"/>
          <w:sz w:val="22"/>
          <w:szCs w:val="22"/>
          <w:color w:val="auto"/>
        </w:rPr>
        <w:t>” means any direct or indirect Subsidiary of the Company that is not a Domestic Subsidiary.</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w:t>
      </w:r>
      <w:r>
        <w:rPr>
          <w:rFonts w:ascii="Times New Roman" w:cs="Times New Roman" w:eastAsia="Times New Roman" w:hAnsi="Times New Roman"/>
          <w:sz w:val="22"/>
          <w:szCs w:val="22"/>
          <w:color w:val="auto"/>
        </w:rPr>
        <w:t>” means any Person (other than a natural Person) that is (or will be) engaged in making, purchasing, holding or otherwise investing in commercial loans, bonds and similar extensions of credit in the ordinary course of its activities.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FRB</w:t>
      </w:r>
      <w:r>
        <w:rPr>
          <w:rFonts w:ascii="Times New Roman" w:cs="Times New Roman" w:eastAsia="Times New Roman" w:hAnsi="Times New Roman"/>
          <w:sz w:val="22"/>
          <w:szCs w:val="22"/>
          <w:color w:val="auto"/>
        </w:rPr>
        <w:t>” means the Board of Governors of the Federal Reserve System of the United States.</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Fronting Exposure</w:t>
      </w:r>
      <w:r>
        <w:rPr>
          <w:rFonts w:ascii="Times New Roman" w:cs="Times New Roman" w:eastAsia="Times New Roman" w:hAnsi="Times New Roman"/>
          <w:sz w:val="22"/>
          <w:szCs w:val="22"/>
          <w:color w:val="auto"/>
        </w:rPr>
        <w:t>” means, at any time there is a Defaulting Lender, with respect to any Issuing Lender, such Defaulting Lender’s Commitment Percentage of the outstanding L/C Obligations with respect to Letters of Credit issued by such Issuing Lender, other than such L/C Obligations as to which such Defaulting Lender’s participation obligation has been reallocated to other Lenders or Cash Collateralized in accordance with the terms 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has the meaning specified in Section 1.03.</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Graham Interests</w:t>
      </w:r>
      <w:r>
        <w:rPr>
          <w:rFonts w:ascii="Times New Roman" w:cs="Times New Roman" w:eastAsia="Times New Roman" w:hAnsi="Times New Roman"/>
          <w:sz w:val="22"/>
          <w:szCs w:val="22"/>
          <w:color w:val="auto"/>
        </w:rPr>
        <w:t>” means Donald E. Graham and his siblings, their descendants and any relative by marriage of the foregoing, and any trust for the benefit of any of the foregoing whether as an income or residual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259" w:right="339" w:bottom="1440" w:gutter="0" w:footer="0" w:header="0"/>
        </w:sectPr>
      </w:pPr>
    </w:p>
    <w:bookmarkStart w:id="135" w:name="page136"/>
    <w:bookmarkEnd w:id="135"/>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of or by any Person (the “</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means any obligation, contingent or otherwise, of the guarantor guaranteeing or having the economic effect of guaranteeing any Debt of any other Person (the “</w:t>
      </w:r>
      <w:r>
        <w:rPr>
          <w:rFonts w:ascii="Times New Roman" w:cs="Times New Roman" w:eastAsia="Times New Roman" w:hAnsi="Times New Roman"/>
          <w:sz w:val="22"/>
          <w:szCs w:val="22"/>
          <w:u w:val="single" w:color="auto"/>
          <w:color w:val="auto"/>
        </w:rPr>
        <w:t>primary obligor</w:t>
      </w:r>
      <w:r>
        <w:rPr>
          <w:rFonts w:ascii="Times New Roman" w:cs="Times New Roman" w:eastAsia="Times New Roman" w:hAnsi="Times New Roman"/>
          <w:sz w:val="22"/>
          <w:szCs w:val="22"/>
          <w:color w:val="auto"/>
        </w:rPr>
        <w:t xml:space="preserve">”) in any manner, whether directly or indirectly, and including any obligation of the guarantor, direct or indirect, (a) to purchase or pay (or advance or supply funds for the purchase or payment of) such Debt or to purchase (or to advance or supply funds for the purchase of) any security for the payment thereof, (b) to purchase or lease property, securities or services for the purpose of assuring the owner of such Debt of the payment thereof, (c) to maintain working capital, equity capital or any other financial statement condition or liquidity of the primary obligor so as to enable the primary obligor to pay such Debt or (d) as an account party in respect of any letter of credit or letter of guaranty issued to support such Debt;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term “Guarantee” shall not include endorsements for collection or deposit in the ordinary course of business.</w:t>
      </w:r>
    </w:p>
    <w:p>
      <w:pPr>
        <w:spacing w:after="0" w:line="1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Guaranteed Cash Management Agreement</w:t>
      </w:r>
      <w:r>
        <w:rPr>
          <w:rFonts w:ascii="Times New Roman" w:cs="Times New Roman" w:eastAsia="Times New Roman" w:hAnsi="Times New Roman"/>
          <w:sz w:val="22"/>
          <w:szCs w:val="22"/>
          <w:color w:val="auto"/>
        </w:rPr>
        <w:t>” means (a) any Cash Management Agreement in effect on the Restatement Effective Date between or among any Credit Party or any of its Subsidiaries and a counterparty that is (i) a Lender, (ii) the Administrative Agent or (iii) an Affiliate of a Lender or the Administrative Agent, in each case as determined as of the Restatement Effective Date, or (b) any Cash Management Agreement entered into after the Restatement Effective Date between or among any Credit Party or any of its Subsidiaries and a counterparty that is (i) a Lender, (ii) the Administrative Agent or (iii) an Affiliate of a Lender or the Administrative Agent, in each case as determined at the time such Cash Management Agreement is entered into.</w:t>
      </w:r>
    </w:p>
    <w:p>
      <w:pPr>
        <w:spacing w:after="0" w:line="18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Guaranteed Cash Management Obligations</w:t>
      </w:r>
      <w:r>
        <w:rPr>
          <w:rFonts w:ascii="Times New Roman" w:cs="Times New Roman" w:eastAsia="Times New Roman" w:hAnsi="Times New Roman"/>
          <w:sz w:val="22"/>
          <w:szCs w:val="22"/>
          <w:color w:val="auto"/>
        </w:rPr>
        <w:t>” means all existing or future payment and other obligations owing by any Credit Party or any of its Subsidiaries under any Guaranteed Cash Management Agreement.</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Guaranteed Hedge Agreement</w:t>
      </w:r>
      <w:r>
        <w:rPr>
          <w:rFonts w:ascii="Times New Roman" w:cs="Times New Roman" w:eastAsia="Times New Roman" w:hAnsi="Times New Roman"/>
          <w:sz w:val="22"/>
          <w:szCs w:val="22"/>
          <w:color w:val="auto"/>
        </w:rPr>
        <w:t>” means (a) any Hedge Agreement in effect on the Restatement Effective Date between or among any Credit Party or any of its Subsidiaries and a counterparty that is (i) a Lender, (ii) the Administrative Agent or (iii) an Affiliate of a Lender or the Administrative Agent, in each case as determined as of the Restatement Effective Date, or (b) any Hedge Agreement entered into after the Restatement Effective Date between or among any Credit Party or any of its Subsidiaries and a counterparty that is (i) a Lender, (ii) the Administrative Agent or (iii) an Affiliate of a Lender or the Administrative Agent, in each case as determined at the time such Hedge Agreement is entered into.</w:t>
      </w:r>
    </w:p>
    <w:p>
      <w:pPr>
        <w:spacing w:after="0" w:line="19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Guaranteed Hedge Obligations</w:t>
      </w:r>
      <w:r>
        <w:rPr>
          <w:rFonts w:ascii="Times New Roman" w:cs="Times New Roman" w:eastAsia="Times New Roman" w:hAnsi="Times New Roman"/>
          <w:sz w:val="22"/>
          <w:szCs w:val="22"/>
          <w:color w:val="auto"/>
        </w:rPr>
        <w:t xml:space="preserve">” means all existing or future payment and other obligations owing by any Credit Party or any of its Subsidiaries under any Guaranteed Hedge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“Guaranteed Hedge Obligations” of a Credit Party shall exclude any Excluded Swap Obligations with respect to such Credit Party.</w:t>
      </w:r>
    </w:p>
    <w:p>
      <w:pPr>
        <w:spacing w:after="0" w:line="17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Guaranteed Obligations</w:t>
      </w:r>
      <w:r>
        <w:rPr>
          <w:rFonts w:ascii="Times New Roman" w:cs="Times New Roman" w:eastAsia="Times New Roman" w:hAnsi="Times New Roman"/>
          <w:sz w:val="22"/>
          <w:szCs w:val="22"/>
          <w:color w:val="auto"/>
        </w:rPr>
        <w:t>” means, collectively, (a) the Borrower Obligations, (b) any Guaranteed Hedge Obligations and (c) any Guaranteed Cash Management Obligations.</w:t>
      </w:r>
    </w:p>
    <w:p>
      <w:pPr>
        <w:spacing w:after="0" w:line="158"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Guarantor</w:t>
      </w:r>
      <w:r>
        <w:rPr>
          <w:rFonts w:ascii="Times New Roman" w:cs="Times New Roman" w:eastAsia="Times New Roman" w:hAnsi="Times New Roman"/>
          <w:sz w:val="21"/>
          <w:szCs w:val="21"/>
          <w:color w:val="auto"/>
        </w:rPr>
        <w:t>” means the entities listed on Schedule III attached hereto and each Material Domestic Subsidiary (other than any Subsidiary of a Foreign Subsidiary or any CFC Holdco) as is, or may from time to time become, party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259" w:right="339" w:bottom="1440" w:gutter="0" w:footer="0" w:header="0"/>
        </w:sectPr>
      </w:pPr>
    </w:p>
    <w:bookmarkStart w:id="136" w:name="page137"/>
    <w:bookmarkEnd w:id="136"/>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means the guaranty of the Guarantors set forth in Article VIII.</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means (a) petroleum and petroleum products, byproducts or breakdown products, radioactive materials, asbestos-containing materials, polychlorinated biphenyls and radon gas and (b) any other chemicals, materials or substances designated, classified or regulated as hazardous or toxic under any Environmental Law and any pollutant or contaminant regulated under the Clean Water Act, 33 U.S.C. Sections 1251 et seq., or the Clean Air Act, 42 U.S.C. Sections 7401 et seq.</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Agreement</w:t>
      </w:r>
      <w:r>
        <w:rPr>
          <w:rFonts w:ascii="Times New Roman" w:cs="Times New Roman" w:eastAsia="Times New Roman" w:hAnsi="Times New Roman"/>
          <w:sz w:val="22"/>
          <w:szCs w:val="22"/>
          <w:color w:val="auto"/>
        </w:rPr>
        <w:t>” means any agreement with respect to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w:t>
      </w:r>
    </w:p>
    <w:p>
      <w:pPr>
        <w:spacing w:after="0" w:line="18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HMRC DT Treaty Passport Scheme</w:t>
      </w:r>
      <w:r>
        <w:rPr>
          <w:rFonts w:ascii="Times New Roman" w:cs="Times New Roman" w:eastAsia="Times New Roman" w:hAnsi="Times New Roman"/>
          <w:sz w:val="22"/>
          <w:szCs w:val="22"/>
          <w:color w:val="auto"/>
        </w:rPr>
        <w:t>” means the Board of H.M. Revenue and Customs Double Taxation Treaty Passport scheme.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IBA</w:t>
      </w:r>
      <w:r>
        <w:rPr>
          <w:rFonts w:ascii="Times New Roman" w:cs="Times New Roman" w:eastAsia="Times New Roman" w:hAnsi="Times New Roman"/>
          <w:sz w:val="22"/>
          <w:szCs w:val="22"/>
          <w:color w:val="auto"/>
        </w:rPr>
        <w:t>” means the ICE Benchmark Administration, the administrator of the London interbank offer rate.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Increase Date</w:t>
      </w:r>
      <w:r>
        <w:rPr>
          <w:rFonts w:ascii="Times New Roman" w:cs="Times New Roman" w:eastAsia="Times New Roman" w:hAnsi="Times New Roman"/>
          <w:sz w:val="22"/>
          <w:szCs w:val="22"/>
          <w:color w:val="auto"/>
        </w:rPr>
        <w:t>” has the meaning specified in Section 2.05(b)(i).</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Increasing Lender</w:t>
      </w:r>
      <w:r>
        <w:rPr>
          <w:rFonts w:ascii="Times New Roman" w:cs="Times New Roman" w:eastAsia="Times New Roman" w:hAnsi="Times New Roman"/>
          <w:sz w:val="22"/>
          <w:szCs w:val="22"/>
          <w:color w:val="auto"/>
        </w:rPr>
        <w:t>” has the meaning specified in Section 2.05(b)(i).</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Cap</w:t>
      </w:r>
      <w:r>
        <w:rPr>
          <w:rFonts w:ascii="Times New Roman" w:cs="Times New Roman" w:eastAsia="Times New Roman" w:hAnsi="Times New Roman"/>
          <w:sz w:val="22"/>
          <w:szCs w:val="22"/>
          <w:color w:val="auto"/>
        </w:rPr>
        <w:t>” means, as of any date of determination, an amount equal to the sum of:</w:t>
      </w:r>
    </w:p>
    <w:p>
      <w:pPr>
        <w:spacing w:after="0" w:line="220" w:lineRule="exact"/>
        <w:rPr>
          <w:sz w:val="20"/>
          <w:szCs w:val="20"/>
          <w:color w:val="auto"/>
        </w:rPr>
      </w:pPr>
    </w:p>
    <w:p>
      <w:pPr>
        <w:ind w:firstLine="656"/>
        <w:spacing w:after="0" w:line="271" w:lineRule="auto"/>
        <w:tabs>
          <w:tab w:leader="none" w:pos="1104"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$250,000,000 (the “</w:t>
      </w:r>
      <w:r>
        <w:rPr>
          <w:rFonts w:ascii="Times New Roman" w:cs="Times New Roman" w:eastAsia="Times New Roman" w:hAnsi="Times New Roman"/>
          <w:sz w:val="22"/>
          <w:szCs w:val="22"/>
          <w:u w:val="single" w:color="auto"/>
          <w:color w:val="auto"/>
        </w:rPr>
        <w:t>Fixed Incremental Amount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all amounts incurred on or prior to such time in respect of all Incremental Facilities incurred in reliance on the Fixed Incremental Amount; </w:t>
      </w:r>
      <w:r>
        <w:rPr>
          <w:rFonts w:ascii="Times New Roman" w:cs="Times New Roman" w:eastAsia="Times New Roman" w:hAnsi="Times New Roman"/>
          <w:sz w:val="22"/>
          <w:szCs w:val="22"/>
          <w:u w:val="single" w:color="auto"/>
          <w:color w:val="auto"/>
        </w:rPr>
        <w:t>plus</w:t>
      </w:r>
    </w:p>
    <w:p>
      <w:pPr>
        <w:spacing w:after="0" w:line="171" w:lineRule="exact"/>
        <w:rPr>
          <w:rFonts w:ascii="Times New Roman" w:cs="Times New Roman" w:eastAsia="Times New Roman" w:hAnsi="Times New Roman"/>
          <w:sz w:val="22"/>
          <w:szCs w:val="22"/>
          <w:color w:val="auto"/>
        </w:rPr>
      </w:pPr>
    </w:p>
    <w:p>
      <w:pPr>
        <w:jc w:val="both"/>
        <w:ind w:firstLine="656"/>
        <w:spacing w:after="0" w:line="248" w:lineRule="auto"/>
        <w:tabs>
          <w:tab w:leader="none" w:pos="1214"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unlimited amount so long as, on a Pro Forma Basis after giving effect to the incurrence of such Incremental Facility (assuming the commitments thereunder are fully drawn), the borrowings thereunder and application of proceeds thereof (but without giving effect to any substantially simultaneous incurrence of any Incremental Facility made pursuant to the Fixed Incremental Amount in connection therewith), the Total Net Leverage Ratio does not exceed 3.00:1.00, calculated as of the last day of the most recently ended fiscal quarter of the Company for which financial statements have been delivered pursuant to Section 5.01(i) (the “</w:t>
      </w:r>
      <w:r>
        <w:rPr>
          <w:rFonts w:ascii="Times New Roman" w:cs="Times New Roman" w:eastAsia="Times New Roman" w:hAnsi="Times New Roman"/>
          <w:sz w:val="22"/>
          <w:szCs w:val="22"/>
          <w:u w:val="single" w:color="auto"/>
          <w:color w:val="auto"/>
        </w:rPr>
        <w:t>Ratio Incremental Amount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259" w:right="339" w:bottom="1440" w:gutter="0" w:footer="0" w:header="0"/>
        </w:sectPr>
      </w:pPr>
    </w:p>
    <w:bookmarkStart w:id="137" w:name="page138"/>
    <w:bookmarkEnd w:id="137"/>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Facility</w:t>
      </w:r>
      <w:r>
        <w:rPr>
          <w:rFonts w:ascii="Times New Roman" w:cs="Times New Roman" w:eastAsia="Times New Roman" w:hAnsi="Times New Roman"/>
          <w:sz w:val="22"/>
          <w:szCs w:val="22"/>
          <w:color w:val="auto"/>
        </w:rPr>
        <w:t>” has the meaning specified in Section 2.05(b).</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Term Loan Commitment</w:t>
      </w:r>
      <w:r>
        <w:rPr>
          <w:rFonts w:ascii="Times New Roman" w:cs="Times New Roman" w:eastAsia="Times New Roman" w:hAnsi="Times New Roman"/>
          <w:sz w:val="22"/>
          <w:szCs w:val="22"/>
          <w:color w:val="auto"/>
        </w:rPr>
        <w:t>” has the meaning specified in Section 2.05(b).</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means (a) Taxes, other than Excluded Taxes, imposed on or with respect to any payment made by or on account of any obligation of a Credit Party under any Loan Document and (b) to the extent not otherwise described in (a), Other Taxes.</w:t>
      </w:r>
    </w:p>
    <w:p>
      <w:pPr>
        <w:spacing w:after="0" w:line="16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Issuing Lender</w:t>
      </w:r>
      <w:r>
        <w:rPr>
          <w:rFonts w:ascii="Times New Roman" w:cs="Times New Roman" w:eastAsia="Times New Roman" w:hAnsi="Times New Roman"/>
          <w:sz w:val="22"/>
          <w:szCs w:val="22"/>
          <w:color w:val="auto"/>
        </w:rPr>
        <w:t>” means each of (a) Wells Fargo Bank, National Association, (b) JPMorgan Chase Bank, N.A. and (c) Bank of America, N.A.</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Payment Date</w:t>
      </w:r>
      <w:r>
        <w:rPr>
          <w:rFonts w:ascii="Times New Roman" w:cs="Times New Roman" w:eastAsia="Times New Roman" w:hAnsi="Times New Roman"/>
          <w:sz w:val="22"/>
          <w:szCs w:val="22"/>
          <w:color w:val="auto"/>
        </w:rPr>
        <w:t xml:space="preserve">” means (a) as to any Base Rate Advance or Daily Simple RFR Advance, the last Business Day of each March, June, September and December and the Termination Date and (b) as to any Eurocurrency Rate Advance, Term CORRA Advance or Term SOFR Advance, the last day of each Interest Period therefor and, in the case of any Interest Period of more than three months’ duration, each day prior to the last day of such Interest Period that occurs at three-month intervals after the first day of such Interest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each such three-month interval payment day shall be the immediately succeeding Business Day if such day is not a Business Day, unless such day is not a Business Day but is a day of the relevant month after which no further Business Day occurs in such month, in which case such day shall be the immediately preceding Business Day and the Termination Date.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xml:space="preserve">” means, as to any Eurocurrency Rate Advance, Term CORRA Advance or Term SOFR Advance, the period commencing on the date such Advance is disbursed or converted to or continued as a Eurocurrency Rate Advance, Term CORRA Advance or Term SOFR Advance, as applicable, and ending on the date one, three or (except with respect to any Term CORRA Advance) six months thereafter, in each case as selected by the applicable Borrower in its Notice of Borrowing or notice of Conversion and subject to availability;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79" w:lineRule="exact"/>
        <w:rPr>
          <w:sz w:val="20"/>
          <w:szCs w:val="20"/>
          <w:color w:val="auto"/>
        </w:rPr>
      </w:pPr>
    </w:p>
    <w:p>
      <w:pPr>
        <w:jc w:val="both"/>
        <w:ind w:right="20" w:firstLine="656"/>
        <w:spacing w:after="0" w:line="257" w:lineRule="auto"/>
        <w:tabs>
          <w:tab w:leader="none" w:pos="1194"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Interest Period shall commence on the date of advance of or conversion to any Eurocurrency Rate Advance, Term CORRA Advance or Term SOFR Advance, as applicable, and, in the case of immediately successive Interest Periods, each successive Interest Period shall commence on the date on which the immediately preceding Interest Period expires;</w:t>
      </w:r>
    </w:p>
    <w:p>
      <w:pPr>
        <w:spacing w:after="0" w:line="172" w:lineRule="exact"/>
        <w:rPr>
          <w:rFonts w:ascii="Times New Roman" w:cs="Times New Roman" w:eastAsia="Times New Roman" w:hAnsi="Times New Roman"/>
          <w:sz w:val="22"/>
          <w:szCs w:val="22"/>
          <w:color w:val="auto"/>
        </w:rPr>
      </w:pPr>
    </w:p>
    <w:p>
      <w:pPr>
        <w:jc w:val="both"/>
        <w:ind w:firstLine="656"/>
        <w:spacing w:after="0" w:line="256" w:lineRule="auto"/>
        <w:tabs>
          <w:tab w:leader="none" w:pos="1116"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Interest Period would otherwise expire on a day that is not a Business Day, such Interest Period shall expire on the next succeeding Business Day;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Interest Period would otherwise expire on a day that is not a Business Day but is a day of the month after which no further Business Day occurs in such month, such Interest Period shall expire on the immediately preceding Business Day;</w:t>
      </w:r>
    </w:p>
    <w:p>
      <w:pPr>
        <w:spacing w:after="0" w:line="176" w:lineRule="exact"/>
        <w:rPr>
          <w:rFonts w:ascii="Times New Roman" w:cs="Times New Roman" w:eastAsia="Times New Roman" w:hAnsi="Times New Roman"/>
          <w:sz w:val="22"/>
          <w:szCs w:val="22"/>
          <w:color w:val="auto"/>
        </w:rPr>
      </w:pPr>
    </w:p>
    <w:p>
      <w:pPr>
        <w:jc w:val="both"/>
        <w:ind w:firstLine="656"/>
        <w:spacing w:after="0" w:line="257" w:lineRule="auto"/>
        <w:tabs>
          <w:tab w:leader="none" w:pos="1197"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Period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spacing w:after="0" w:line="186" w:lineRule="exact"/>
        <w:rPr>
          <w:rFonts w:ascii="Times New Roman" w:cs="Times New Roman" w:eastAsia="Times New Roman" w:hAnsi="Times New Roman"/>
          <w:sz w:val="22"/>
          <w:szCs w:val="22"/>
          <w:color w:val="auto"/>
        </w:rPr>
      </w:pPr>
    </w:p>
    <w:p>
      <w:pPr>
        <w:ind w:firstLine="656"/>
        <w:spacing w:after="0" w:line="271" w:lineRule="auto"/>
        <w:tabs>
          <w:tab w:leader="none" w:pos="1216"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Borrower may not select any Interest Period that ends after any Termination Date if, after giving effect thereto, the amount of such Borrowing would exceed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259"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2"/>
          <w:szCs w:val="22"/>
          <w:color w:val="auto"/>
        </w:rPr>
        <w:t>Commitments of Lenders for which a Termination Date prior to the last day of such Interest Period applies; and</w:t>
      </w:r>
    </w:p>
    <w:p>
      <w:pPr>
        <w:spacing w:after="0" w:line="220" w:lineRule="exact"/>
        <w:rPr>
          <w:sz w:val="20"/>
          <w:szCs w:val="20"/>
          <w:color w:val="auto"/>
        </w:rPr>
      </w:pPr>
    </w:p>
    <w:p>
      <w:pPr>
        <w:ind w:firstLine="656"/>
        <w:spacing w:after="0" w:line="271" w:lineRule="auto"/>
        <w:tabs>
          <w:tab w:leader="none" w:pos="1327"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tenor that has been removed from this definition pursuant to </w:t>
      </w:r>
      <w:r>
        <w:rPr>
          <w:rFonts w:ascii="Times New Roman" w:cs="Times New Roman" w:eastAsia="Times New Roman" w:hAnsi="Times New Roman"/>
          <w:sz w:val="22"/>
          <w:szCs w:val="22"/>
          <w:u w:val="single" w:color="auto"/>
          <w:color w:val="auto"/>
        </w:rPr>
        <w:t>Section 2.20(c)(iv)</w:t>
      </w:r>
      <w:r>
        <w:rPr>
          <w:rFonts w:ascii="Times New Roman" w:cs="Times New Roman" w:eastAsia="Times New Roman" w:hAnsi="Times New Roman"/>
          <w:sz w:val="22"/>
          <w:szCs w:val="22"/>
          <w:color w:val="auto"/>
        </w:rPr>
        <w:t xml:space="preserve"> shall be available for specification in any Notice of Borrowing or notice of Conversion.</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Intermediate Holding Company</w:t>
      </w:r>
      <w:r>
        <w:rPr>
          <w:rFonts w:ascii="Times New Roman" w:cs="Times New Roman" w:eastAsia="Times New Roman" w:hAnsi="Times New Roman"/>
          <w:sz w:val="22"/>
          <w:szCs w:val="22"/>
          <w:color w:val="auto"/>
        </w:rPr>
        <w:t>” means any Wholly-Owned Domestic Subsidiary of the Company that, directly or indirectly, owns 100% of the issued and outstanding Equity Interests of one or more other Wholly-Owned Domestic Subsidiaries of the Company.</w:t>
      </w:r>
    </w:p>
    <w:p>
      <w:pPr>
        <w:spacing w:after="0" w:line="20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Internal Revenue Code</w:t>
      </w:r>
      <w:r>
        <w:rPr>
          <w:rFonts w:ascii="Times New Roman" w:cs="Times New Roman" w:eastAsia="Times New Roman" w:hAnsi="Times New Roman"/>
          <w:sz w:val="22"/>
          <w:szCs w:val="22"/>
          <w:color w:val="auto"/>
        </w:rPr>
        <w:t>” means the Internal Revenue Code of 1986, as amended from time to time, and the regulations promulgated and rulings issued thereunder.</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means (a) the purchase or acquisition of Equity Interests in or evidences of indebtedness of or other securities of, or all or substantially all of the assets of, any Person (whether for cash, property, services, assumption of Debt, securities or otherwise), (b) any advance or loan to, any Person or (c) any other capital contribution to or investment in any Person, including, without limitation, any Guarantee of any obligations of such Person.</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ISP</w:t>
      </w:r>
      <w:r>
        <w:rPr>
          <w:rFonts w:ascii="Times New Roman" w:cs="Times New Roman" w:eastAsia="Times New Roman" w:hAnsi="Times New Roman"/>
          <w:sz w:val="22"/>
          <w:szCs w:val="22"/>
          <w:color w:val="auto"/>
        </w:rPr>
        <w:t>” means the International Standby Practices (1998), International Chamber of Commerce Publication No. 590 (or such later version thereof as may be in effect at the applicable time).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Issuing Lender</w:t>
      </w:r>
      <w:r>
        <w:rPr>
          <w:rFonts w:ascii="Times New Roman" w:cs="Times New Roman" w:eastAsia="Times New Roman" w:hAnsi="Times New Roman"/>
          <w:sz w:val="22"/>
          <w:szCs w:val="22"/>
          <w:color w:val="auto"/>
        </w:rPr>
        <w:t>” means (i) with respect to Letters of Credit issued hereunder on or after the Restatement Effective Date</w:t>
      </w:r>
    </w:p>
    <w:p>
      <w:pPr>
        <w:spacing w:after="0" w:line="28" w:lineRule="exact"/>
        <w:rPr>
          <w:sz w:val="20"/>
          <w:szCs w:val="20"/>
          <w:color w:val="auto"/>
        </w:rPr>
      </w:pPr>
    </w:p>
    <w:p>
      <w:pPr>
        <w:jc w:val="both"/>
        <w:ind w:firstLine="8"/>
        <w:spacing w:after="0" w:line="246" w:lineRule="auto"/>
        <w:tabs>
          <w:tab w:leader="none" w:pos="316"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Initial Issuing Lenders and (b) any other </w:t>
      </w:r>
      <w:r>
        <w:rPr>
          <w:rFonts w:ascii="Times New Roman" w:cs="Times New Roman" w:eastAsia="Times New Roman" w:hAnsi="Times New Roman"/>
          <w:sz w:val="19"/>
          <w:szCs w:val="19"/>
          <w:color w:val="auto"/>
        </w:rPr>
        <w:t>Revolving</w:t>
      </w:r>
      <w:r>
        <w:rPr>
          <w:rFonts w:ascii="Times New Roman" w:cs="Times New Roman" w:eastAsia="Times New Roman" w:hAnsi="Times New Roman"/>
          <w:sz w:val="22"/>
          <w:szCs w:val="22"/>
          <w:color w:val="auto"/>
        </w:rPr>
        <w:t xml:space="preserve"> Lender to the extent it has agreed in its sole discretion to act as an “Issuing Lender” hereunder and that has been approved in writing by the Company and the Administrative Agent (such approval by the Administrative Agent not to be unreasonably delayed or withheld) as an “Issuing Lender” hereunder, in each case in its capacity as issuer of any Letter of Credit (in each case, through itself or through one of its designated Affiliates or branch offices) and (ii) with respect to the Existing Letters of Credit, (A) JPMorgan Chase Bank, N.A., (B) Bank of America, N.A. and (C) Wells Fargo Bank, National Association, in each case, in its capacity as issuer thereof.</w:t>
      </w:r>
    </w:p>
    <w:p>
      <w:pPr>
        <w:spacing w:after="0" w:line="18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Commitment</w:t>
      </w:r>
      <w:r>
        <w:rPr>
          <w:rFonts w:ascii="Times New Roman" w:cs="Times New Roman" w:eastAsia="Times New Roman" w:hAnsi="Times New Roman"/>
          <w:sz w:val="22"/>
          <w:szCs w:val="22"/>
          <w:color w:val="auto"/>
        </w:rPr>
        <w:t xml:space="preserve">” means, as to any Issuing Lender, the obligation of such Issuing Lender to issue Letters of Credit for the account of the Company or one or more of its Subsidiaries from time to time in an aggregate amount equal to (a) for each of the Initial Issuing Lenders, the amount set forth opposite the name of each such Initial Issuing Lender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and (b) for any other Issuing Lender becoming an Issuing Lender after the Restatement Effective Date, such amount as separately agreed to in a written agreement between the Company, on behalf of the Credit Parties, and such Issuing Lender (which such agreement shall be promptly delivered to the Administrative Agent upon execution), in each case of clauses (a) and (b) above, any such amount may be changed after the Restatement Effective Date in a written agreement between the Company, on behalf of the Credit Parties, and such Issuing Lender (which such agreement shall be promptly delivered to the Administrative Agent upon execution);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(i) notwithstanding the amount of aggregate commitments pursuant to clauses (a) and (b), the amount of Letters of Credit issued hereunder shall not exceed the L/C Sublimit and (ii) that the L/C Commitment with respect to any Person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259" w:right="339" w:bottom="1440" w:gutter="0" w:footer="0" w:header="0"/>
        </w:sectPr>
      </w:pPr>
    </w:p>
    <w:bookmarkStart w:id="139" w:name="page140"/>
    <w:bookmarkEnd w:id="139"/>
    <w:p>
      <w:pPr>
        <w:jc w:val="both"/>
        <w:spacing w:after="0" w:line="271" w:lineRule="auto"/>
        <w:rPr>
          <w:sz w:val="20"/>
          <w:szCs w:val="20"/>
          <w:color w:val="auto"/>
        </w:rPr>
      </w:pPr>
      <w:r>
        <w:rPr>
          <w:rFonts w:ascii="Times New Roman" w:cs="Times New Roman" w:eastAsia="Times New Roman" w:hAnsi="Times New Roman"/>
          <w:sz w:val="22"/>
          <w:szCs w:val="22"/>
          <w:color w:val="auto"/>
        </w:rPr>
        <w:t>ceases to be an Issuing Lender for any reason pursuant to the terms hereof shall be $0 (subject to the Letters of Credit of such Person remaining outstanding in accordance with the provisions hereof).</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Facility</w:t>
      </w:r>
      <w:r>
        <w:rPr>
          <w:rFonts w:ascii="Times New Roman" w:cs="Times New Roman" w:eastAsia="Times New Roman" w:hAnsi="Times New Roman"/>
          <w:sz w:val="22"/>
          <w:szCs w:val="22"/>
          <w:color w:val="auto"/>
        </w:rPr>
        <w:t xml:space="preserve">” means the letter of credit facility established pursuant to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Obligations</w:t>
      </w:r>
      <w:r>
        <w:rPr>
          <w:rFonts w:ascii="Times New Roman" w:cs="Times New Roman" w:eastAsia="Times New Roman" w:hAnsi="Times New Roman"/>
          <w:sz w:val="22"/>
          <w:szCs w:val="22"/>
          <w:color w:val="auto"/>
        </w:rPr>
        <w:t xml:space="preserve">” means at any time, an amount equal to the sum of (a) the aggregate undrawn and unexpired amount of the then outstanding Letters of Credit and (b) the aggregate amount of drawings under Letters of Credit which have not then been reimbursed pursuant to </w:t>
      </w:r>
      <w:r>
        <w:rPr>
          <w:rFonts w:ascii="Times New Roman" w:cs="Times New Roman" w:eastAsia="Times New Roman" w:hAnsi="Times New Roman"/>
          <w:sz w:val="22"/>
          <w:szCs w:val="22"/>
          <w:u w:val="single" w:color="auto"/>
          <w:color w:val="auto"/>
        </w:rPr>
        <w:t>Section 10.05</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Participants</w:t>
      </w:r>
      <w:r>
        <w:rPr>
          <w:rFonts w:ascii="Times New Roman" w:cs="Times New Roman" w:eastAsia="Times New Roman" w:hAnsi="Times New Roman"/>
          <w:sz w:val="22"/>
          <w:szCs w:val="22"/>
          <w:color w:val="auto"/>
        </w:rPr>
        <w:t>” means, with respect to any Letter of Credit, the collective reference to all the Lenders other than the applicable Issuing Lender.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Sublimit</w:t>
      </w:r>
      <w:r>
        <w:rPr>
          <w:rFonts w:ascii="Times New Roman" w:cs="Times New Roman" w:eastAsia="Times New Roman" w:hAnsi="Times New Roman"/>
          <w:sz w:val="22"/>
          <w:szCs w:val="22"/>
          <w:color w:val="auto"/>
        </w:rPr>
        <w:t>” means the lesser of (a) $40,000,000 and (b) the aggregate amount of the Commitments.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means the Revolving Lenders, the Term Loan Lenders, each Assuming Lender that shall become a party hereto pursuant to either Section 2.05(b) or Section 2.17 and each Person that shall become a party hereto pursuant to Section 2.19(b) or Section 9.07.</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Application</w:t>
      </w:r>
      <w:r>
        <w:rPr>
          <w:rFonts w:ascii="Times New Roman" w:cs="Times New Roman" w:eastAsia="Times New Roman" w:hAnsi="Times New Roman"/>
          <w:sz w:val="22"/>
          <w:szCs w:val="22"/>
          <w:color w:val="auto"/>
        </w:rPr>
        <w:t>” means an application requesting the applicable Issuing Lender to issue a Letter of Credit in the form specified by the applicable Issuing Lender from time to time.</w:t>
      </w:r>
    </w:p>
    <w:p>
      <w:pPr>
        <w:spacing w:after="0" w:line="171" w:lineRule="exact"/>
        <w:rPr>
          <w:sz w:val="20"/>
          <w:szCs w:val="20"/>
          <w:color w:val="auto"/>
        </w:rPr>
      </w:pPr>
    </w:p>
    <w:p>
      <w:pPr>
        <w:jc w:val="both"/>
        <w:ind w:right="2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Documents</w:t>
      </w:r>
      <w:r>
        <w:rPr>
          <w:rFonts w:ascii="Times New Roman" w:cs="Times New Roman" w:eastAsia="Times New Roman" w:hAnsi="Times New Roman"/>
          <w:sz w:val="22"/>
          <w:szCs w:val="22"/>
          <w:color w:val="auto"/>
        </w:rPr>
        <w:t>” means with respect to any Letter of Credit, such Letter of Credit, the Letter of Credit Application, a letter of credit agreement or reimbursement agreement and any other document, agreement and instrument required by the applicable Issuing Lender and relating to such Letter of Credit, in each case in the form specified by the applicable Issuing Lender from time to time and acceptable to the Company.</w:t>
      </w:r>
    </w:p>
    <w:p>
      <w:pPr>
        <w:spacing w:after="0" w:line="17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Letters of Credit</w:t>
      </w:r>
      <w:r>
        <w:rPr>
          <w:rFonts w:ascii="Times New Roman" w:cs="Times New Roman" w:eastAsia="Times New Roman" w:hAnsi="Times New Roman"/>
          <w:sz w:val="22"/>
          <w:szCs w:val="22"/>
          <w:color w:val="auto"/>
        </w:rPr>
        <w:t xml:space="preserve">” means the collective reference to letters of credit issued pursuant to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and the Existing Letters of Credit. A Letter of Credit may be issued in US Dollars or in any Foreign Currency.</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lien, security interest or other charge or encumbrance of any kind, or any other type of preferential arrangement, including, without limitation, the lien or retained security title of a conditional vendor and any easement, right of way or other encumbrance on title to real property.</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means this Agreement, the Restatement Agreement, the Letter of Credit Documents and the Notes (excluding, for the avoidance of doubt, any Guaranteed Hedge Agreement and any Guaranteed Cash Management Agreement).</w:t>
      </w:r>
    </w:p>
    <w:p>
      <w:pPr>
        <w:spacing w:after="0" w:line="14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London Banking Day</w:t>
      </w:r>
      <w:r>
        <w:rPr>
          <w:rFonts w:ascii="Times New Roman" w:cs="Times New Roman" w:eastAsia="Times New Roman" w:hAnsi="Times New Roman"/>
          <w:sz w:val="22"/>
          <w:szCs w:val="22"/>
          <w:color w:val="auto"/>
        </w:rPr>
        <w:t>” means any day on which dealings in US Dollar deposits are conducted by and between banks in the London interbank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259" w:right="339" w:bottom="1440" w:gutter="0" w:footer="0" w:header="0"/>
        </w:sectPr>
      </w:pPr>
    </w:p>
    <w:bookmarkStart w:id="140" w:name="page141"/>
    <w:bookmarkEnd w:id="140"/>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Margin Stock</w:t>
      </w:r>
      <w:r>
        <w:rPr>
          <w:rFonts w:ascii="Times New Roman" w:cs="Times New Roman" w:eastAsia="Times New Roman" w:hAnsi="Times New Roman"/>
          <w:sz w:val="22"/>
          <w:szCs w:val="22"/>
          <w:color w:val="auto"/>
        </w:rPr>
        <w:t>” has the meaning assigned to such term under Regulation U of the Board of Governors of the Federal Reserve System of the United States as from time to time in effect and all official rulings and interpretations thereunder or thereof.</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material adverse effect on (a) the business, financial condition or results of operations of the Company and its Subsidiaries taken as a whole, (b) the rights and remedies of the Administrative Agent or any Lender under this Agreement or any other Loan Document or (c) the ability of any Credit Party to perform its obligations under this Agreement or any other Loan Document.</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Contract</w:t>
      </w:r>
      <w:r>
        <w:rPr>
          <w:rFonts w:ascii="Times New Roman" w:cs="Times New Roman" w:eastAsia="Times New Roman" w:hAnsi="Times New Roman"/>
          <w:sz w:val="22"/>
          <w:szCs w:val="22"/>
          <w:color w:val="auto"/>
        </w:rPr>
        <w:t>” means any contract or other arrangement to which the Company or any of its Subsidiaries is a party that is required to be filed with the Securities and Exchange Commission (other than any such contract or other arrangement that is related to employee benefits or compensation).</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Debt</w:t>
      </w:r>
      <w:r>
        <w:rPr>
          <w:rFonts w:ascii="Times New Roman" w:cs="Times New Roman" w:eastAsia="Times New Roman" w:hAnsi="Times New Roman"/>
          <w:sz w:val="22"/>
          <w:szCs w:val="22"/>
          <w:color w:val="auto"/>
        </w:rPr>
        <w:t>” has the meaning specified in Section 6.01(d).</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Domestic Subsidiary</w:t>
      </w:r>
      <w:r>
        <w:rPr>
          <w:rFonts w:ascii="Times New Roman" w:cs="Times New Roman" w:eastAsia="Times New Roman" w:hAnsi="Times New Roman"/>
          <w:sz w:val="22"/>
          <w:szCs w:val="22"/>
          <w:color w:val="auto"/>
        </w:rPr>
        <w:t xml:space="preserve">” means, as of any date of determination, any Wholly-Owned Domestic Subsidiary of the Company that, together with its Subsidiaries, (a) generated more than 7.5% of the Consolidated revenues of the Company and its Subsidiaries for the four fiscal quarter period most recently ended on or prior to such date or (b) owns more than 7.5% of the Consolidated Assets as of the last day of the most recently ended fiscal quarter of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Intermediate Holding Company that would constitute a Material Domestic Subsidiary solely by virtue of holding Equity Interests of one or more Material Domestic Subsidiaries shall not itself constitute a Material Domestic Subsidiary.</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Collateral Amount</w:t>
      </w:r>
      <w:r>
        <w:rPr>
          <w:rFonts w:ascii="Times New Roman" w:cs="Times New Roman" w:eastAsia="Times New Roman" w:hAnsi="Times New Roman"/>
          <w:sz w:val="22"/>
          <w:szCs w:val="22"/>
          <w:color w:val="auto"/>
        </w:rPr>
        <w:t>” means, at any time, (a) with respect to Cash Collateral consisting of cash or deposit account balances provided to reduce or eliminate Fronting Exposure during the existence of a Defaulting Lender, an amount equal to the Dollar Equivalent of 103% of the Fronting Exposure of each of the Issuing Lenders with respect to Letters of Credit issued by it and outstanding at such time, (b) with respect to Cash Collateral consisting of cash or deposit account balances provided in accordance with the provisions of Section 10.2(b), an amount equal to the Dollar Equivalent of 103% of the aggregate outstanding amount of all L/C Obligations and (c) otherwise, an amount determined by the Administrative Agent and each of the applicable Issuing Lenders that is entitled to Cash Collateral hereunder at such time in their sole discretion.</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 multiemployer plan, as defined in Section 4001(a)(3) of ERISA, to which any Credit Party or any ERISA Affiliate is making or accruing an obligation to make contributions, or has within any of the preceding five plan years made or accrued an obligation to make contributions.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Multiple Employer Plan</w:t>
      </w:r>
      <w:r>
        <w:rPr>
          <w:rFonts w:ascii="Times New Roman" w:cs="Times New Roman" w:eastAsia="Times New Roman" w:hAnsi="Times New Roman"/>
          <w:sz w:val="22"/>
          <w:szCs w:val="22"/>
          <w:color w:val="auto"/>
        </w:rPr>
        <w:t>” means a single employer plan, as defined in Section 4001(a)(15) of ERISA, that (a) is maintained for employees of any Credit Party or any ERISA Affiliate and at least one Person other than such Credit Party or such ERISA Affiliate or (b) was so maintained and in respect of which such Credit Party or such ERISA Affiliate could have liability under Section 4064 or 4069 of ERISA in the event such plan has been or were to be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259" w:right="339" w:bottom="1440" w:gutter="0" w:footer="0" w:header="0"/>
        </w:sectPr>
      </w:pPr>
    </w:p>
    <w:bookmarkStart w:id="141" w:name="page142"/>
    <w:bookmarkEnd w:id="141"/>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National Currency Unit</w:t>
      </w:r>
      <w:r>
        <w:rPr>
          <w:rFonts w:ascii="Times New Roman" w:cs="Times New Roman" w:eastAsia="Times New Roman" w:hAnsi="Times New Roman"/>
          <w:sz w:val="22"/>
          <w:szCs w:val="22"/>
          <w:color w:val="auto"/>
        </w:rPr>
        <w:t>” means a fraction or multiple of one Euro Unit expressed in units of the former national currency of a Participating Member State.</w:t>
      </w:r>
    </w:p>
    <w:p>
      <w:pPr>
        <w:spacing w:after="0" w:line="158"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Non-Consenting Lender</w:t>
      </w:r>
      <w:r>
        <w:rPr>
          <w:rFonts w:ascii="Times New Roman" w:cs="Times New Roman" w:eastAsia="Times New Roman" w:hAnsi="Times New Roman"/>
          <w:sz w:val="21"/>
          <w:szCs w:val="21"/>
          <w:color w:val="auto"/>
        </w:rPr>
        <w:t>” means any Lender that (a) does not approve any consent, waiver, amendment, modification or termination that (i) requires the approval of all Lenders or all affected Lenders in accordance with the terms of Section 12.2 and</w:t>
      </w:r>
    </w:p>
    <w:p>
      <w:pPr>
        <w:spacing w:after="0" w:line="1" w:lineRule="exact"/>
        <w:rPr>
          <w:sz w:val="20"/>
          <w:szCs w:val="20"/>
          <w:color w:val="auto"/>
        </w:rPr>
      </w:pPr>
    </w:p>
    <w:p>
      <w:pPr>
        <w:ind w:firstLine="8"/>
        <w:spacing w:after="0" w:line="248" w:lineRule="auto"/>
        <w:tabs>
          <w:tab w:leader="none" w:pos="34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been approved by the Required Lenders, or (b) does not consent to an extension of the Termination Date or the Term Loan Maturity Date, as applicable, pursuant to Section 2.17.</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Non-Defaulting Lender</w:t>
      </w:r>
      <w:r>
        <w:rPr>
          <w:rFonts w:ascii="Times New Roman" w:cs="Times New Roman" w:eastAsia="Times New Roman" w:hAnsi="Times New Roman"/>
          <w:sz w:val="22"/>
          <w:szCs w:val="22"/>
          <w:color w:val="auto"/>
        </w:rPr>
        <w:t>” means, at any time, each Lender that is not a Defaulting Lender at such time.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Non-Guarantor Subsidiary</w:t>
      </w:r>
      <w:r>
        <w:rPr>
          <w:rFonts w:ascii="Times New Roman" w:cs="Times New Roman" w:eastAsia="Times New Roman" w:hAnsi="Times New Roman"/>
          <w:sz w:val="22"/>
          <w:szCs w:val="22"/>
          <w:color w:val="auto"/>
        </w:rPr>
        <w:t>” means any Subsidiary of the Company that is not a Guarantor.</w:t>
      </w:r>
    </w:p>
    <w:p>
      <w:pPr>
        <w:spacing w:after="0" w:line="2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Non-Recourse Debt</w:t>
      </w:r>
      <w:r>
        <w:rPr>
          <w:rFonts w:ascii="Times New Roman" w:cs="Times New Roman" w:eastAsia="Times New Roman" w:hAnsi="Times New Roman"/>
          <w:sz w:val="22"/>
          <w:szCs w:val="22"/>
          <w:color w:val="auto"/>
        </w:rPr>
        <w:t>” means Debt of the Company or its Subsidiaries incurred (a) as to which neither the Company nor any of its Subsidiaries (i) provides credit support (including any undertaking, agreement or instrument which would constitute Debt), other than as described in clause (b) below, or has given or made other written assurances regarding repayment or the maintenance of capital or liquidity except such assurances as may be approved by the Required Lenders (such approval not to be unreasonably withheld or delayed), (ii) is directly or indirectly liable or (iii) constitutes the lender and (b) the obligees of which will have recourse solely to certain identified assets (the loss of which would not reasonably be expected to have a Material Adverse Effect) for repayment of the principal of and interest on such Debt and any fees, indemnities, expenses, reimbursements or other amounts of whatever nature accrued or payable in connection with such Debt.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w:t>
      </w:r>
      <w:r>
        <w:rPr>
          <w:rFonts w:ascii="Times New Roman" w:cs="Times New Roman" w:eastAsia="Times New Roman" w:hAnsi="Times New Roman"/>
          <w:sz w:val="22"/>
          <w:szCs w:val="22"/>
          <w:color w:val="auto"/>
        </w:rPr>
        <w:t>” means a Revolving Note or a Term Loan Note.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of Borrowing</w:t>
      </w:r>
      <w:r>
        <w:rPr>
          <w:rFonts w:ascii="Times New Roman" w:cs="Times New Roman" w:eastAsia="Times New Roman" w:hAnsi="Times New Roman"/>
          <w:sz w:val="22"/>
          <w:szCs w:val="22"/>
          <w:color w:val="auto"/>
        </w:rPr>
        <w:t>” has the meaning specified in Section 2.02(a)(i).</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of Continuation/Conversion</w:t>
      </w:r>
      <w:r>
        <w:rPr>
          <w:rFonts w:ascii="Times New Roman" w:cs="Times New Roman" w:eastAsia="Times New Roman" w:hAnsi="Times New Roman"/>
          <w:sz w:val="22"/>
          <w:szCs w:val="22"/>
          <w:color w:val="auto"/>
        </w:rPr>
        <w:t>” has the meaning specified in Section 2.09.</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means the U.S. Department of the Treasury’s Office of Foreign Assets Control.</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Connection Taxes</w:t>
      </w:r>
      <w:r>
        <w:rPr>
          <w:rFonts w:ascii="Times New Roman" w:cs="Times New Roman" w:eastAsia="Times New Roman" w:hAnsi="Times New Roman"/>
          <w:sz w:val="22"/>
          <w:szCs w:val="22"/>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Advance or Loan Documents).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Parties</w:t>
      </w:r>
      <w:r>
        <w:rPr>
          <w:rFonts w:ascii="Times New Roman" w:cs="Times New Roman" w:eastAsia="Times New Roman" w:hAnsi="Times New Roman"/>
          <w:sz w:val="22"/>
          <w:szCs w:val="22"/>
          <w:color w:val="auto"/>
        </w:rPr>
        <w:t>” has the meaning assigned to such term in clause (c) of Section 8.07.</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means all present or future stamp or documentary Taxes or any other excise or property Taxes, charges or similar levies that arise from any payment made hereunder or from the execution, delivery or registration of, performing under, or otherwise with respect to, this Agreement, except any such Taxes that are Other Connection Taxes imposed with respect to an assignment (other than an assignment requested by the Company pursuant to Section 2.19(b)).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259" w:right="339" w:bottom="1440" w:gutter="0" w:footer="0" w:header="0"/>
        </w:sectPr>
      </w:pPr>
    </w:p>
    <w:bookmarkStart w:id="142" w:name="page143"/>
    <w:bookmarkEnd w:id="142"/>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Overnight Rate</w:t>
      </w:r>
      <w:r>
        <w:rPr>
          <w:rFonts w:ascii="Times New Roman" w:cs="Times New Roman" w:eastAsia="Times New Roman" w:hAnsi="Times New Roman"/>
          <w:sz w:val="22"/>
          <w:szCs w:val="22"/>
          <w:color w:val="auto"/>
        </w:rPr>
        <w:t>” means, for any day, (a) with respect to any amount denominated in US Dollars, the greater of (i) the Federal Funds Rate and (ii) an overnight rate determined by the Administrative Agent (or to the extent payable to an Issuing Lender, such Issuing Lender with notice to the Administrative Agent) to be customary in the place of disbursement or payment for the settlement of international banking transactions, and (b) with respect to any amount denominated in a Foreign Currency, an overnight rate determined by the Administrative Agent (or to the extent payable to an Issuing Lender, such Issuing Lender with notice to the Administrative Agent) to be customary in the place of disbursement or payment for the settlement of international banking transactions.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has the meaning assigned to such term in clause (d) of Section 9.07.</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has the meaning assigned to such term in clause (d) of Section 9.07.</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Participating Member State</w:t>
      </w:r>
      <w:r>
        <w:rPr>
          <w:rFonts w:ascii="Times New Roman" w:cs="Times New Roman" w:eastAsia="Times New Roman" w:hAnsi="Times New Roman"/>
          <w:sz w:val="22"/>
          <w:szCs w:val="22"/>
          <w:color w:val="auto"/>
        </w:rPr>
        <w:t>” means any member state of the European Union that has the Euro as its lawful currency in accordance with legislation of the European Union relating to Economic and Monetary Union.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Recipient</w:t>
      </w:r>
      <w:r>
        <w:rPr>
          <w:rFonts w:ascii="Times New Roman" w:cs="Times New Roman" w:eastAsia="Times New Roman" w:hAnsi="Times New Roman"/>
          <w:sz w:val="22"/>
          <w:szCs w:val="22"/>
          <w:color w:val="auto"/>
        </w:rPr>
        <w:t>” has the meaning assigned to such term in Section 7.11(a).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means the Pension Benefit Guaranty Corporation (or any successor).</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Level</w:t>
      </w:r>
      <w:r>
        <w:rPr>
          <w:rFonts w:ascii="Times New Roman" w:cs="Times New Roman" w:eastAsia="Times New Roman" w:hAnsi="Times New Roman"/>
          <w:sz w:val="22"/>
          <w:szCs w:val="22"/>
          <w:color w:val="auto"/>
        </w:rPr>
        <w:t>” means, as of any date of the determination, the level set forth below as then in effect, as determined in accordance with the following provisions of this definition:</w:t>
      </w:r>
    </w:p>
    <w:p>
      <w:pPr>
        <w:spacing w:after="0" w:line="144" w:lineRule="exact"/>
        <w:rPr>
          <w:sz w:val="20"/>
          <w:szCs w:val="20"/>
          <w:color w:val="auto"/>
        </w:rPr>
      </w:pPr>
    </w:p>
    <w:p>
      <w:pPr>
        <w:ind w:left="660"/>
        <w:spacing w:after="0"/>
        <w:tabs>
          <w:tab w:leader="none" w:pos="1580" w:val="left"/>
        </w:tabs>
        <w:rPr>
          <w:sz w:val="20"/>
          <w:szCs w:val="20"/>
          <w:color w:val="auto"/>
        </w:rPr>
      </w:pPr>
      <w:r>
        <w:rPr>
          <w:rFonts w:ascii="Times New Roman" w:cs="Times New Roman" w:eastAsia="Times New Roman" w:hAnsi="Times New Roman"/>
          <w:sz w:val="22"/>
          <w:szCs w:val="22"/>
          <w:color w:val="auto"/>
        </w:rPr>
        <w:t>Level I:</w:t>
      </w:r>
      <w:r>
        <w:rPr>
          <w:sz w:val="20"/>
          <w:szCs w:val="20"/>
          <w:color w:val="auto"/>
        </w:rPr>
        <w:tab/>
      </w:r>
      <w:r>
        <w:rPr>
          <w:rFonts w:ascii="Times New Roman" w:cs="Times New Roman" w:eastAsia="Times New Roman" w:hAnsi="Times New Roman"/>
          <w:sz w:val="21"/>
          <w:szCs w:val="21"/>
          <w:color w:val="auto"/>
        </w:rPr>
        <w:t>Total Net Leverage Ratio of less than 1.00 to 1.00.</w:t>
      </w:r>
    </w:p>
    <w:p>
      <w:pPr>
        <w:spacing w:after="0" w:line="220" w:lineRule="exact"/>
        <w:rPr>
          <w:sz w:val="20"/>
          <w:szCs w:val="20"/>
          <w:color w:val="auto"/>
        </w:rPr>
      </w:pPr>
    </w:p>
    <w:p>
      <w:pPr>
        <w:ind w:left="660"/>
        <w:spacing w:after="0"/>
        <w:tabs>
          <w:tab w:leader="none" w:pos="1660" w:val="left"/>
        </w:tabs>
        <w:rPr>
          <w:sz w:val="20"/>
          <w:szCs w:val="20"/>
          <w:color w:val="auto"/>
        </w:rPr>
      </w:pPr>
      <w:r>
        <w:rPr>
          <w:rFonts w:ascii="Times New Roman" w:cs="Times New Roman" w:eastAsia="Times New Roman" w:hAnsi="Times New Roman"/>
          <w:sz w:val="22"/>
          <w:szCs w:val="22"/>
          <w:color w:val="auto"/>
        </w:rPr>
        <w:t>Level II:</w:t>
      </w:r>
      <w:r>
        <w:rPr>
          <w:sz w:val="20"/>
          <w:szCs w:val="20"/>
          <w:color w:val="auto"/>
        </w:rPr>
        <w:tab/>
      </w:r>
      <w:r>
        <w:rPr>
          <w:rFonts w:ascii="Times New Roman" w:cs="Times New Roman" w:eastAsia="Times New Roman" w:hAnsi="Times New Roman"/>
          <w:sz w:val="21"/>
          <w:szCs w:val="21"/>
          <w:color w:val="auto"/>
        </w:rPr>
        <w:t>Total Net Leverage Ratio of greater than or equal to 1.00 to 1.00 but less than 2.00 to 1.00.</w:t>
      </w:r>
    </w:p>
    <w:p>
      <w:pPr>
        <w:spacing w:after="0" w:line="220"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Level III:</w:t>
      </w:r>
      <w:r>
        <w:rPr>
          <w:sz w:val="20"/>
          <w:szCs w:val="20"/>
          <w:color w:val="auto"/>
        </w:rPr>
        <w:tab/>
      </w:r>
      <w:r>
        <w:rPr>
          <w:rFonts w:ascii="Times New Roman" w:cs="Times New Roman" w:eastAsia="Times New Roman" w:hAnsi="Times New Roman"/>
          <w:sz w:val="21"/>
          <w:szCs w:val="21"/>
          <w:color w:val="auto"/>
        </w:rPr>
        <w:t>Total Net Leverage Ratio of greater than or equal to 2.00 to 1.00 but less than 3.00 to 1.00.</w:t>
      </w:r>
    </w:p>
    <w:p>
      <w:pPr>
        <w:spacing w:after="0" w:line="220"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Level IV:</w:t>
      </w:r>
      <w:r>
        <w:rPr>
          <w:sz w:val="20"/>
          <w:szCs w:val="20"/>
          <w:color w:val="auto"/>
        </w:rPr>
        <w:tab/>
      </w:r>
      <w:r>
        <w:rPr>
          <w:rFonts w:ascii="Times New Roman" w:cs="Times New Roman" w:eastAsia="Times New Roman" w:hAnsi="Times New Roman"/>
          <w:sz w:val="21"/>
          <w:szCs w:val="21"/>
          <w:color w:val="auto"/>
        </w:rPr>
        <w:t>Total Net Leverage Ratio of greater than or equal to 3.00 to 1.00.</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Periodic Term CORRA Determination Date</w:t>
      </w:r>
      <w:r>
        <w:rPr>
          <w:rFonts w:ascii="Times New Roman" w:cs="Times New Roman" w:eastAsia="Times New Roman" w:hAnsi="Times New Roman"/>
          <w:sz w:val="22"/>
          <w:szCs w:val="22"/>
          <w:color w:val="auto"/>
        </w:rPr>
        <w:t>” has the meaning specified in the definition of “Term CORRA”.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Investments</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jc w:val="both"/>
        <w:ind w:firstLine="656"/>
        <w:spacing w:after="0" w:line="257" w:lineRule="auto"/>
        <w:tabs>
          <w:tab w:leader="none" w:pos="1193"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obligations of, or obligations the principal of and interest on which are unconditionally guaranteed by, the United States (or by any agency thereof to the extent such obligations are backed by the full faith and credit of the United States), in each case maturing within one year from the date of acquisition thereof;</w:t>
      </w:r>
    </w:p>
    <w:p>
      <w:pPr>
        <w:spacing w:after="0" w:line="186" w:lineRule="exact"/>
        <w:rPr>
          <w:rFonts w:ascii="Times New Roman" w:cs="Times New Roman" w:eastAsia="Times New Roman" w:hAnsi="Times New Roman"/>
          <w:sz w:val="22"/>
          <w:szCs w:val="22"/>
          <w:color w:val="auto"/>
        </w:rPr>
      </w:pPr>
    </w:p>
    <w:p>
      <w:pPr>
        <w:ind w:right="20" w:firstLine="656"/>
        <w:spacing w:after="0" w:line="271" w:lineRule="auto"/>
        <w:tabs>
          <w:tab w:leader="none" w:pos="1144"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commercial paper maturing within 270 days from the date of acquisition thereof and having, at such date of acquisition, a rating of A1 (or higher) by S&amp;P or P1 (or higher) by Moody’s;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259" w:right="339" w:bottom="1440" w:gutter="0" w:footer="0" w:header="0"/>
        </w:sectPr>
      </w:pPr>
    </w:p>
    <w:bookmarkStart w:id="143" w:name="page144"/>
    <w:bookmarkEnd w:id="143"/>
    <w:p>
      <w:pPr>
        <w:jc w:val="both"/>
        <w:ind w:firstLine="656"/>
        <w:spacing w:after="0" w:line="256" w:lineRule="auto"/>
        <w:tabs>
          <w:tab w:leader="none" w:pos="1209"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certificates of deposit, banker’s acceptances and demand or time deposits, in each case maturing within 180 days from the date of acquisition thereof, issued or guaranteed by or placed with, and money market deposit accounts issued or offered by, any domestic office of any commercial bank organized under the laws of the United States or any State thereof that has a combined capital and surplus and undivided profits of not less than $500,000,000;</w:t>
      </w:r>
    </w:p>
    <w:p>
      <w:pPr>
        <w:spacing w:after="0" w:line="176" w:lineRule="exact"/>
        <w:rPr>
          <w:rFonts w:ascii="Times New Roman" w:cs="Times New Roman" w:eastAsia="Times New Roman" w:hAnsi="Times New Roman"/>
          <w:sz w:val="22"/>
          <w:szCs w:val="22"/>
          <w:color w:val="auto"/>
        </w:rPr>
      </w:pPr>
    </w:p>
    <w:p>
      <w:pPr>
        <w:ind w:right="20" w:firstLine="656"/>
        <w:spacing w:after="0" w:line="271" w:lineRule="auto"/>
        <w:tabs>
          <w:tab w:leader="none" w:pos="1123"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fully collateralized repurchase agreements with a term of not more than 30 days for securities described in clause (a) above and entered into with a financial institution satisfying the criteria described in clause (c) above;</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158"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“money market funds” that (i) comply with the criteria set forth in Rule 2a-7 of the Investment Company Act, (ii) are rated AAA by S&amp;P and Aaa by Moody’s and (iii) have portfolio assets of at least $5,000,000,000; and</w:t>
      </w:r>
    </w:p>
    <w:p>
      <w:pPr>
        <w:spacing w:after="0" w:line="171" w:lineRule="exact"/>
        <w:rPr>
          <w:rFonts w:ascii="Times New Roman" w:cs="Times New Roman" w:eastAsia="Times New Roman" w:hAnsi="Times New Roman"/>
          <w:sz w:val="22"/>
          <w:szCs w:val="22"/>
          <w:color w:val="auto"/>
        </w:rPr>
      </w:pPr>
    </w:p>
    <w:p>
      <w:pPr>
        <w:jc w:val="both"/>
        <w:ind w:firstLine="656"/>
        <w:spacing w:after="0" w:line="257" w:lineRule="auto"/>
        <w:tabs>
          <w:tab w:leader="none" w:pos="1211"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Foreign Subsidiary, other short-term investments that are analogous to the foregoing, are of comparable credit quality and are customarily used by companies in the jurisdiction of such Foreign Subsidiary for cash management purposes.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means any of the following:</w:t>
      </w:r>
    </w:p>
    <w:p>
      <w:pPr>
        <w:spacing w:after="0" w:line="220" w:lineRule="exact"/>
        <w:rPr>
          <w:sz w:val="20"/>
          <w:szCs w:val="20"/>
          <w:color w:val="auto"/>
        </w:rPr>
      </w:pPr>
    </w:p>
    <w:p>
      <w:pPr>
        <w:ind w:firstLine="656"/>
        <w:spacing w:after="0" w:line="271" w:lineRule="auto"/>
        <w:tabs>
          <w:tab w:leader="none" w:pos="1141"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assessments and governmental charges or levies to the extent not required to be paid under Section 5.01(b) hereof;</w:t>
      </w:r>
    </w:p>
    <w:p>
      <w:pPr>
        <w:spacing w:after="0" w:line="171" w:lineRule="exact"/>
        <w:rPr>
          <w:rFonts w:ascii="Times New Roman" w:cs="Times New Roman" w:eastAsia="Times New Roman" w:hAnsi="Times New Roman"/>
          <w:sz w:val="22"/>
          <w:szCs w:val="22"/>
          <w:color w:val="auto"/>
        </w:rPr>
      </w:pPr>
    </w:p>
    <w:p>
      <w:pPr>
        <w:jc w:val="both"/>
        <w:ind w:firstLine="656"/>
        <w:spacing w:after="0" w:line="252" w:lineRule="auto"/>
        <w:tabs>
          <w:tab w:leader="none" w:pos="120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imposed by law, such as materialmen’s, mechanics’, carriers’, workmen’s and repairmen’s Liens and other similar Liens arising in the ordinary course of business securing obligations (other than Debt) that (i) are not overdue for a period of more than 120 days or (ii) are being contested in good faith and by proper proceedings and as to which appropriate reserves are being maintained in accordance with GAAP;</w:t>
      </w:r>
    </w:p>
    <w:p>
      <w:pPr>
        <w:spacing w:after="0" w:line="179" w:lineRule="exact"/>
        <w:rPr>
          <w:rFonts w:ascii="Times New Roman" w:cs="Times New Roman" w:eastAsia="Times New Roman" w:hAnsi="Times New Roman"/>
          <w:sz w:val="22"/>
          <w:szCs w:val="22"/>
          <w:color w:val="auto"/>
        </w:rPr>
      </w:pPr>
    </w:p>
    <w:p>
      <w:pPr>
        <w:ind w:firstLine="656"/>
        <w:spacing w:after="0" w:line="284" w:lineRule="auto"/>
        <w:tabs>
          <w:tab w:leader="none" w:pos="1115"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pledges or deposits to secure obligations under workers’ compensation laws or similar legislation or to secure public or statutory obligations;</w:t>
      </w:r>
    </w:p>
    <w:p>
      <w:pPr>
        <w:spacing w:after="0" w:line="143" w:lineRule="exact"/>
        <w:rPr>
          <w:rFonts w:ascii="Times New Roman" w:cs="Times New Roman" w:eastAsia="Times New Roman" w:hAnsi="Times New Roman"/>
          <w:sz w:val="22"/>
          <w:szCs w:val="22"/>
          <w:color w:val="auto"/>
        </w:rPr>
      </w:pPr>
    </w:p>
    <w:p>
      <w:pPr>
        <w:jc w:val="both"/>
        <w:ind w:firstLine="656"/>
        <w:spacing w:after="0" w:line="257" w:lineRule="auto"/>
        <w:tabs>
          <w:tab w:leader="none" w:pos="1204"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the performance of or payment in respect of, bids, tenders, government contracts (other than for the repayment of Debt), surety and appeal bonds and other obligations of a similar nature incurred in the ordinary course of business; and</w:t>
      </w:r>
    </w:p>
    <w:p>
      <w:pPr>
        <w:spacing w:after="0" w:line="172" w:lineRule="exact"/>
        <w:rPr>
          <w:rFonts w:ascii="Times New Roman" w:cs="Times New Roman" w:eastAsia="Times New Roman" w:hAnsi="Times New Roman"/>
          <w:sz w:val="22"/>
          <w:szCs w:val="22"/>
          <w:color w:val="auto"/>
        </w:rPr>
      </w:pPr>
    </w:p>
    <w:p>
      <w:pPr>
        <w:ind w:right="20" w:firstLine="656"/>
        <w:spacing w:after="0" w:line="284" w:lineRule="auto"/>
        <w:tabs>
          <w:tab w:leader="none" w:pos="1128"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easements, rights of way and other encumbrances on title to real property that do not materially adversely affect the use of such property for its present purposes.</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partnership, corporation (including a business trust), joint stock company, trust, unincorporated association, joint venture, limited liability company or other entity, or a government or any political subdivision or agency thereof.</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a Single Employer Plan or a Multiple Employer Plan subject to the provisions of Title IV of ERISA or Section 412 of the Internal Revenue Code or Section 302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259" w:right="339" w:bottom="1440" w:gutter="0" w:footer="0" w:header="0"/>
        </w:sectPr>
      </w:pPr>
    </w:p>
    <w:bookmarkStart w:id="144" w:name="page145"/>
    <w:bookmarkEnd w:id="144"/>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has the meaning specified in Section 9.02(d)(ii).</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 Forma Basis</w:t>
      </w:r>
      <w:r>
        <w:rPr>
          <w:rFonts w:ascii="Times New Roman" w:cs="Times New Roman" w:eastAsia="Times New Roman" w:hAnsi="Times New Roman"/>
          <w:sz w:val="22"/>
          <w:szCs w:val="22"/>
          <w:color w:val="auto"/>
        </w:rPr>
        <w:t>” means, with respect to any transaction, that such transaction shall be deemed to have occurred as of the first day of the four-quarter period (or twelve month period, as applicable) ending as of the most recent quarter end (or month end, as applicable) preceding the date of such transaction.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Properties</w:t>
      </w:r>
      <w:r>
        <w:rPr>
          <w:rFonts w:ascii="Times New Roman" w:cs="Times New Roman" w:eastAsia="Times New Roman" w:hAnsi="Times New Roman"/>
          <w:sz w:val="22"/>
          <w:szCs w:val="22"/>
          <w:color w:val="auto"/>
        </w:rPr>
        <w:t>” has the meaning ascribed to such term in clause (o) of Section 4.01.</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PTE</w:t>
      </w:r>
      <w:r>
        <w:rPr>
          <w:rFonts w:ascii="Times New Roman" w:cs="Times New Roman" w:eastAsia="Times New Roman" w:hAnsi="Times New Roman"/>
          <w:sz w:val="22"/>
          <w:szCs w:val="22"/>
          <w:color w:val="auto"/>
        </w:rPr>
        <w:t>” means a prohibited transaction class exemption issued by the U.S. Department of Labor, as any such exemption may be amended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has the meaning specified in Section 9.20(b).</w:t>
      </w:r>
    </w:p>
    <w:p>
      <w:pPr>
        <w:spacing w:after="0" w:line="2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Rate Determination Date</w:t>
      </w:r>
      <w:r>
        <w:rPr>
          <w:rFonts w:ascii="Times New Roman" w:cs="Times New Roman" w:eastAsia="Times New Roman" w:hAnsi="Times New Roman"/>
          <w:sz w:val="22"/>
          <w:szCs w:val="22"/>
          <w:color w:val="auto"/>
        </w:rPr>
        <w:t xml:space="preserve">” means, with respect to any Interest Period, two Eurocurrency Banking Days prior to the commencement of such Interest Period (or such other day as is generally treated as the rate fixing day by market practice in the applicable interbank market, as determined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that such market practice is not administratively feasible for the Administrative Agent, such other day as otherwise reasonably determined by the Administrative Agent).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Ratio Incremental Amount</w:t>
      </w:r>
      <w:r>
        <w:rPr>
          <w:rFonts w:ascii="Times New Roman" w:cs="Times New Roman" w:eastAsia="Times New Roman" w:hAnsi="Times New Roman"/>
          <w:sz w:val="22"/>
          <w:szCs w:val="22"/>
          <w:color w:val="auto"/>
        </w:rPr>
        <w:t>” has the meaning specified in the definition of “Incremental Cap”.</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means (a) the Administrative Agent and (b) any Lender.</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Reimbursement Obligation</w:t>
      </w:r>
      <w:r>
        <w:rPr>
          <w:rFonts w:ascii="Times New Roman" w:cs="Times New Roman" w:eastAsia="Times New Roman" w:hAnsi="Times New Roman"/>
          <w:sz w:val="22"/>
          <w:szCs w:val="22"/>
          <w:color w:val="auto"/>
        </w:rPr>
        <w:t>” means the obligation of the Borrowers to reimburse any Issuing Lender pursuant to Section 10.05 for amounts drawn under Letters of Credit issued by such Issuing Lender.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Reinstated Letter of Credit</w:t>
      </w:r>
      <w:r>
        <w:rPr>
          <w:rFonts w:ascii="Times New Roman" w:cs="Times New Roman" w:eastAsia="Times New Roman" w:hAnsi="Times New Roman"/>
          <w:sz w:val="22"/>
          <w:szCs w:val="22"/>
          <w:color w:val="auto"/>
        </w:rPr>
        <w:t>” has the meaning specified in Section 10.12(e).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has the meaning specified in Section 9.07(d).</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Governmental Body</w:t>
      </w:r>
      <w:r>
        <w:rPr>
          <w:rFonts w:ascii="Times New Roman" w:cs="Times New Roman" w:eastAsia="Times New Roman" w:hAnsi="Times New Roman"/>
          <w:sz w:val="22"/>
          <w:szCs w:val="22"/>
          <w:color w:val="auto"/>
        </w:rPr>
        <w:t>” means (a) with respect to a Benchmark Replacement in respect of Borrower Obligations, interest, fees, commissions or other amounts denominated in, or calculated with respect to, US Dollars, the FRB or the Federal Reserve Bank of New York,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232"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22"/>
          <w:szCs w:val="22"/>
          <w:color w:val="auto"/>
        </w:rPr>
        <w:t>committee officially endorsed or convened by the FRB or the Federal Reserve Bank of New York, or any successor thereto and</w:t>
      </w:r>
    </w:p>
    <w:p>
      <w:pPr>
        <w:spacing w:after="0" w:line="28" w:lineRule="exact"/>
        <w:rPr>
          <w:sz w:val="20"/>
          <w:szCs w:val="20"/>
          <w:color w:val="auto"/>
        </w:rPr>
      </w:pPr>
    </w:p>
    <w:p>
      <w:pPr>
        <w:jc w:val="both"/>
        <w:ind w:firstLine="8"/>
        <w:spacing w:after="0" w:line="258" w:lineRule="auto"/>
        <w:tabs>
          <w:tab w:leader="none" w:pos="320"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 Benchmark Replacement in respect of Borrower Obligations, interest, fees, commissions or other amounts denominated in, or calculated with respect to, any Foreign Currency, (1) the central bank for the Currency in which such Borrower Obligations, interest, fees, commissions or other amounts are denominated, or calculated with respect to, or any central bank or other supervisor which is responsible for supervising either (A) such Benchmark Replacement or (B) the administrator of such Benchmark Replacement or (2) any working group or committee officially endorsed or convened by (A) the central bank for the Currency in which such Borrower Obligations, interest, fees, commissions or other amounts are denominated, or calculated with respect to, (B) any central bank or other supervisor that is responsible for supervising either (i) such Benchmark Replacement or (ii) the administrator of such Benchmark Replacement, (C) a group of those central banks or other supervisors or</w:t>
      </w:r>
    </w:p>
    <w:p>
      <w:pPr>
        <w:spacing w:after="0" w:line="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 the Financial Stability Board or any part thereof.</w:t>
      </w:r>
    </w:p>
    <w:p>
      <w:pPr>
        <w:spacing w:after="0" w:line="19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xml:space="preserve">” means (a) if there are fewer than three Lenders at such time, all Non-Defaulting Lenders, and (b) if there are three or more Lenders at such time, Lenders having more than 50% of the Unused Commitments and outstanding Advances or, if the Commitments have been terminated, Lenders holding at least a majority of the then aggregate Revolving Credit Exposure and outstanding Term Loans of all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Lender shall be a Defaulting Lender at such time, there shall be excluded from the determination of Required Lenders at such time the Commitments, Revolving Credit Exposure and Term Loans of such Defaulting Lender at such time.</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Authority</w:t>
      </w:r>
      <w:r>
        <w:rPr>
          <w:rFonts w:ascii="Times New Roman" w:cs="Times New Roman" w:eastAsia="Times New Roman" w:hAnsi="Times New Roman"/>
          <w:sz w:val="22"/>
          <w:szCs w:val="22"/>
          <w:color w:val="auto"/>
        </w:rPr>
        <w:t>” means an EEA Resolution Authority or, with respect to any UK Financial Institution, a UK Resolution Authority.</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Restatement Agreement</w:t>
      </w:r>
      <w:r>
        <w:rPr>
          <w:rFonts w:ascii="Times New Roman" w:cs="Times New Roman" w:eastAsia="Times New Roman" w:hAnsi="Times New Roman"/>
          <w:sz w:val="22"/>
          <w:szCs w:val="22"/>
          <w:color w:val="auto"/>
        </w:rPr>
        <w:t>” means that certain Amendment and Restatement Agreement, dated as of the Restatement Effective Date, to the Existing Credit Agreement.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Restatement Effective Date</w:t>
      </w:r>
      <w:r>
        <w:rPr>
          <w:rFonts w:ascii="Times New Roman" w:cs="Times New Roman" w:eastAsia="Times New Roman" w:hAnsi="Times New Roman"/>
          <w:sz w:val="22"/>
          <w:szCs w:val="22"/>
          <w:color w:val="auto"/>
        </w:rPr>
        <w:t>” means November 24, 2025.</w:t>
      </w:r>
    </w:p>
    <w:p>
      <w:pPr>
        <w:spacing w:after="0" w:line="220"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Payment</w:t>
      </w:r>
      <w:r>
        <w:rPr>
          <w:rFonts w:ascii="Times New Roman" w:cs="Times New Roman" w:eastAsia="Times New Roman" w:hAnsi="Times New Roman"/>
          <w:sz w:val="21"/>
          <w:szCs w:val="21"/>
          <w:color w:val="auto"/>
        </w:rPr>
        <w:t>” means any dividend or other distribution (whether in cash, securities or other property) with respect to any Equity Interest of the Company, or any payment (whether in cash, securities or other property), including any sinking fund or similar deposit, on account of the purchase, redemption, retirement, acquisition, cancellation or termination of any such Equity Interest, or on account of any return of capital to the parent of the Company’s stockholders, partners or members.</w:t>
      </w:r>
    </w:p>
    <w:p>
      <w:pPr>
        <w:spacing w:after="0" w:line="16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Revaluation Date</w:t>
      </w:r>
      <w:r>
        <w:rPr>
          <w:rFonts w:ascii="Times New Roman" w:cs="Times New Roman" w:eastAsia="Times New Roman" w:hAnsi="Times New Roman"/>
          <w:sz w:val="21"/>
          <w:szCs w:val="21"/>
          <w:color w:val="auto"/>
        </w:rPr>
        <w:t>” means, subject to Section 1.05, (a) with respect to any Advance denominated in a Foreign Currency, each of the following: (i) the date of the borrowing of such Advance (including any borrowing or deemed borrowing in respect of any unreimbursed portion of any payment by the applicable Issuing Lender under any Letter of Credit denominated in a Foreign Currency) but only as to the amounts so borrowed on such date, (ii) each date of a continuation of any Advance pursuant to the terms of this Agreement, but only as to the amounts so continued on such date and (iii) such additional dates as the Administrative Agent shall reasonably determine; and (b) with respect to any Letter of Credit denominated in a Foreign Currency, each of the following: (i) each date of issuance of such Letter of Credit, but only as to the stated amount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259" w:right="339" w:bottom="1440" w:gutter="0" w:footer="0" w:header="0"/>
        </w:sectPr>
      </w:pPr>
    </w:p>
    <w:bookmarkStart w:id="146" w:name="page147"/>
    <w:bookmarkEnd w:id="146"/>
    <w:p>
      <w:pPr>
        <w:jc w:val="both"/>
        <w:spacing w:after="0" w:line="257" w:lineRule="auto"/>
        <w:rPr>
          <w:sz w:val="20"/>
          <w:szCs w:val="20"/>
          <w:color w:val="auto"/>
        </w:rPr>
      </w:pPr>
      <w:r>
        <w:rPr>
          <w:rFonts w:ascii="Times New Roman" w:cs="Times New Roman" w:eastAsia="Times New Roman" w:hAnsi="Times New Roman"/>
          <w:sz w:val="22"/>
          <w:szCs w:val="22"/>
          <w:color w:val="auto"/>
        </w:rPr>
        <w:t>Letter of Credit so issued on such date, (ii) in the case of all Existing Letters of Credit denominated in Foreign Currencies, the Restatement Effective Date, but only as to such Existing Letters of Credit and (iii) such additional dates as the Administrative Agent shall reasonably determine.</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Advance</w:t>
      </w:r>
      <w:r>
        <w:rPr>
          <w:rFonts w:ascii="Times New Roman" w:cs="Times New Roman" w:eastAsia="Times New Roman" w:hAnsi="Times New Roman"/>
          <w:sz w:val="22"/>
          <w:szCs w:val="22"/>
          <w:color w:val="auto"/>
        </w:rPr>
        <w:t>” means an advance made by a Revolving Lender to a Borrower in US Dollars or any Foreign Currency as part of a Borrowing pursuant to Section 2.01(a).</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Exposure</w:t>
      </w:r>
      <w:r>
        <w:rPr>
          <w:rFonts w:ascii="Times New Roman" w:cs="Times New Roman" w:eastAsia="Times New Roman" w:hAnsi="Times New Roman"/>
          <w:sz w:val="22"/>
          <w:szCs w:val="22"/>
          <w:color w:val="auto"/>
        </w:rPr>
        <w:t>” means, as to any Revolving Lender at any time, the Dollar Equivalent of the aggregate principal amount at such time of its outstanding Revolving Advances and such Revolving Lender’s participation in L/C Obligations at such time.</w:t>
      </w:r>
    </w:p>
    <w:p>
      <w:pPr>
        <w:spacing w:after="0" w:line="18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Outstandings</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u w:val="single" w:color="auto"/>
          <w:color w:val="auto"/>
        </w:rPr>
        <w:t>sum</w:t>
      </w:r>
      <w:r>
        <w:rPr>
          <w:rFonts w:ascii="Times New Roman" w:cs="Times New Roman" w:eastAsia="Times New Roman" w:hAnsi="Times New Roman"/>
          <w:sz w:val="22"/>
          <w:szCs w:val="22"/>
          <w:color w:val="auto"/>
        </w:rPr>
        <w:t xml:space="preserve"> of (a) with respect to Revolving Advances on any date (but, for the avoidance of doubt, not including any Term Loans), the Dollar Equivalent of the aggregate outstanding principal amount thereof after giving effect to any borrowings and prepayments or repayments of Revolving Advances, as the case may be, occurring on such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with respect to any L/C Obligations on any date, the Dollar Equivalent of the aggregate outstanding amount thereof on such date after giving effect to any Extensions of Credit occurring on such date and any other changes in the aggregate amount of the L/C Obligations as of such date, including as a result of any reimbursements of outstanding unpaid drawings under any Letters of Credit or any reductions in the maximum amount available for drawing under Letters of Credit taking effect on such date.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Lender</w:t>
      </w:r>
      <w:r>
        <w:rPr>
          <w:rFonts w:ascii="Times New Roman" w:cs="Times New Roman" w:eastAsia="Times New Roman" w:hAnsi="Times New Roman"/>
          <w:sz w:val="22"/>
          <w:szCs w:val="22"/>
          <w:color w:val="auto"/>
        </w:rPr>
        <w:t>” means any Lender with a Commitment and/or outstanding Revolving Credit Exposure.</w:t>
      </w:r>
    </w:p>
    <w:p>
      <w:pPr>
        <w:spacing w:after="0" w:line="220"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Revolving Note</w:t>
      </w:r>
      <w:r>
        <w:rPr>
          <w:rFonts w:ascii="Times New Roman" w:cs="Times New Roman" w:eastAsia="Times New Roman" w:hAnsi="Times New Roman"/>
          <w:sz w:val="21"/>
          <w:szCs w:val="21"/>
          <w:color w:val="auto"/>
        </w:rPr>
        <w:t xml:space="preserve">” means a promissory note made by the applicable Borrowers in favor of a Revolving Lender evidencing the portion of the Revolving Advances made by such Revolving Lender, substantially in the form attached as </w:t>
      </w:r>
      <w:r>
        <w:rPr>
          <w:rFonts w:ascii="Times New Roman" w:cs="Times New Roman" w:eastAsia="Times New Roman" w:hAnsi="Times New Roman"/>
          <w:sz w:val="21"/>
          <w:szCs w:val="21"/>
          <w:b w:val="1"/>
          <w:bCs w:val="1"/>
          <w:i w:val="1"/>
          <w:iCs w:val="1"/>
          <w:color w:val="auto"/>
        </w:rPr>
        <w:t>Exhibit A-1</w:t>
      </w:r>
      <w:r>
        <w:rPr>
          <w:rFonts w:ascii="Times New Roman" w:cs="Times New Roman" w:eastAsia="Times New Roman" w:hAnsi="Times New Roman"/>
          <w:sz w:val="21"/>
          <w:szCs w:val="21"/>
          <w:color w:val="auto"/>
        </w:rPr>
        <w:t>, and any substitutes therefor, and any replacements, restatements, renewals or extension thereof, in whole or in part.</w:t>
      </w:r>
    </w:p>
    <w:p>
      <w:pPr>
        <w:spacing w:after="0" w:line="15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RFR</w:t>
      </w:r>
      <w:r>
        <w:rPr>
          <w:rFonts w:ascii="Times New Roman" w:cs="Times New Roman" w:eastAsia="Times New Roman" w:hAnsi="Times New Roman"/>
          <w:sz w:val="22"/>
          <w:szCs w:val="22"/>
          <w:color w:val="auto"/>
        </w:rPr>
        <w:t>” means, for any Borrower Obligations, interest, fees, commissions or other amounts denominated in, or calculated with respect to, (a) US Dollars, SOFR, (b) Canadian Dollars, Term CORRA, (c) Sterling, SONIA and (d) Singapore Dollars, SORA.</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RFR Advance</w:t>
      </w:r>
      <w:r>
        <w:rPr>
          <w:rFonts w:ascii="Times New Roman" w:cs="Times New Roman" w:eastAsia="Times New Roman" w:hAnsi="Times New Roman"/>
          <w:sz w:val="22"/>
          <w:szCs w:val="22"/>
          <w:color w:val="auto"/>
        </w:rPr>
        <w:t>” means a Daily Simple RFR Advance, a Term CORRA Advance or a Term SOFR Advance, as the context may require.</w:t>
      </w:r>
    </w:p>
    <w:p>
      <w:pPr>
        <w:spacing w:after="0" w:line="14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RFR Business Day</w:t>
      </w:r>
      <w:r>
        <w:rPr>
          <w:rFonts w:ascii="Times New Roman" w:cs="Times New Roman" w:eastAsia="Times New Roman" w:hAnsi="Times New Roman"/>
          <w:sz w:val="21"/>
          <w:szCs w:val="21"/>
          <w:color w:val="auto"/>
        </w:rPr>
        <w:t>” means, for any Borrower Obligations, interest, fees, commissions or other amounts denominated in, or calculated with respect to, (a) US Dollars any day except for (i) a Saturday, (ii) a Sunday or (iii) a day on which the Securities Industry and Financial Markets Association recommends that the fixed income departments of its members be closed for the entire day for purposes of trading in United States government securities, (b) Canadian Dollars, any day except for (i) a Saturday,</w:t>
      </w:r>
    </w:p>
    <w:p>
      <w:pPr>
        <w:spacing w:after="0" w:line="4" w:lineRule="exact"/>
        <w:rPr>
          <w:sz w:val="20"/>
          <w:szCs w:val="20"/>
          <w:color w:val="auto"/>
        </w:rPr>
      </w:pPr>
    </w:p>
    <w:p>
      <w:pPr>
        <w:jc w:val="both"/>
        <w:ind w:firstLine="8"/>
        <w:spacing w:after="0" w:line="252" w:lineRule="auto"/>
        <w:tabs>
          <w:tab w:leader="none" w:pos="347"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Sunday or (iii) a day on which banks are closed for general business in Toronto, (c) Sterling, any day except for (i) a Saturday, (ii) a Sunday or (iii) a day on which banks are closed for general business in London and (d) Singapore Dollars, any day except for (i) a Saturday, (ii) a Sunday or (iii) a day on which banks are closed for the settlement of payments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259" w:right="339" w:bottom="1440" w:gutter="0" w:footer="0" w:header="0"/>
        </w:sectPr>
      </w:pPr>
    </w:p>
    <w:bookmarkStart w:id="147" w:name="page148"/>
    <w:bookmarkEnd w:id="147"/>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foreign exchange transactions in Singapore;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purposes of notice requirements in </w:t>
      </w:r>
      <w:r>
        <w:rPr>
          <w:rFonts w:ascii="Times New Roman" w:cs="Times New Roman" w:eastAsia="Times New Roman" w:hAnsi="Times New Roman"/>
          <w:sz w:val="22"/>
          <w:szCs w:val="22"/>
          <w:u w:val="single" w:color="auto"/>
          <w:color w:val="auto"/>
        </w:rPr>
        <w:t>Sections 2.02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2.10</w:t>
      </w:r>
      <w:r>
        <w:rPr>
          <w:rFonts w:ascii="Times New Roman" w:cs="Times New Roman" w:eastAsia="Times New Roman" w:hAnsi="Times New Roman"/>
          <w:sz w:val="22"/>
          <w:szCs w:val="22"/>
          <w:color w:val="auto"/>
        </w:rPr>
        <w:t>, in each case, such day is also a Business Day.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RFR Rate Day</w:t>
      </w:r>
      <w:r>
        <w:rPr>
          <w:rFonts w:ascii="Times New Roman" w:cs="Times New Roman" w:eastAsia="Times New Roman" w:hAnsi="Times New Roman"/>
          <w:sz w:val="22"/>
          <w:szCs w:val="22"/>
          <w:color w:val="auto"/>
        </w:rPr>
        <w:t>” means any day pursuant to which any calculation of Daily Simple RFR is made.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means Standard &amp; Poor’s Ratings Group, a division of The McGraw-Hill Companies, Inc.</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Sale/Leaseback Transaction</w:t>
      </w:r>
      <w:r>
        <w:rPr>
          <w:rFonts w:ascii="Times New Roman" w:cs="Times New Roman" w:eastAsia="Times New Roman" w:hAnsi="Times New Roman"/>
          <w:sz w:val="22"/>
          <w:szCs w:val="22"/>
          <w:color w:val="auto"/>
        </w:rPr>
        <w:t>” means an arrangement relating to real or tangible personal property owned by the Company or a Subsidiary on the Restatement Effective Date or thereafter acquired by the Company or a Subsidiary whereby the Company or a Subsidiary sells or otherwise transfers such property to a Person and the Company or a Subsidiary thereafter rents or leases it for substantially the same purpose or purposes as the property sold or transferred from such Person.</w:t>
      </w:r>
    </w:p>
    <w:p>
      <w:pPr>
        <w:spacing w:after="0" w:line="19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Same Day Funds</w:t>
      </w:r>
      <w:r>
        <w:rPr>
          <w:rFonts w:ascii="Times New Roman" w:cs="Times New Roman" w:eastAsia="Times New Roman" w:hAnsi="Times New Roman"/>
          <w:sz w:val="22"/>
          <w:szCs w:val="22"/>
          <w:color w:val="auto"/>
        </w:rPr>
        <w:t>” means (a) with respect to disbursements and payments in US Dollars, immediately available funds, and (b) with respect to disbursements and payments in a Foreign Currency, same day or other funds as may be determined by the Administrative Agent or the applicable Issuing Lender (with notice thereof to the Administrative Agent), as the case may be, to be customary in the place of disbursement or payment for the settlement of international banking transactions in the relevant Foreign Currency.</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means at any time, a country, region or territory which is itself (or whose government is) the subject or target of any comprehensive Sanctions (including, as of the Restatement Effective Date, Cuba, Iran, North Korea, the Crimea region of Ukraine, the so-called Donetsk People’s Republic and the so-called Luhansk People’s Republic).</w:t>
      </w:r>
    </w:p>
    <w:p>
      <w:pPr>
        <w:spacing w:after="0" w:line="16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means, at any time, (a) any Person listed in any Sanctions-related list of designated Persons maintained by OFAC (including OFAC’s Specially Designated Nationals and Blocked Persons List and OFAC’s Consolidated Non-SDN List), the U.S. Department of State, the United Nations Security Council, the European Union, any European member state or His Majesty’s Treasury, or other relevant sanctions authority, (b) any Person organized or resident in a Sanctioned Country, (c) any Person owned 50% or more , directly or indirectly, or controlled by, or acting or purporting to act for or on behalf of, directly or indirectly, any such Person or Persons described in clauses (a) and (b) or (d) any Person otherwise a target of Sanctions, including vessels and aircraft, that are designated under any Sanctions program.</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any and all economic or financial sanctions, sectoral sanctions, trade embargoes and restrictions and anti-terrorism laws, including but not limited to those imposed, administered or enforced from time to time by the U.S. government (including those administered by OFAC or the U.S. Department of State), the United Nations Security Council, the European Union, any European member state, His Majesty’s Treasury, or other relevant sanctions authority in any jurisdiction in which (a) the Company or any of its Subsidiaries is located or conducts business, (b) in which any of the proceeds of the Extensions of Credit will be used, or (c) from which repayment of the Extensions of Credit will be derived.</w:t>
      </w:r>
    </w:p>
    <w:p>
      <w:pPr>
        <w:spacing w:after="0" w:line="18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Significant Subsidiary</w:t>
      </w:r>
      <w:r>
        <w:rPr>
          <w:rFonts w:ascii="Times New Roman" w:cs="Times New Roman" w:eastAsia="Times New Roman" w:hAnsi="Times New Roman"/>
          <w:sz w:val="22"/>
          <w:szCs w:val="22"/>
          <w:color w:val="auto"/>
        </w:rPr>
        <w:t>” means any Subsidiary that would be a “significant subsidiary” within the meaning of Rule 1-02 of the SEC’s Regulation S-X.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259" w:right="339" w:bottom="1440" w:gutter="0" w:footer="0" w:header="0"/>
        </w:sectPr>
      </w:pPr>
    </w:p>
    <w:bookmarkStart w:id="148" w:name="page149"/>
    <w:bookmarkEnd w:id="148"/>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Singapore Dollar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SGD</w:t>
      </w:r>
      <w:r>
        <w:rPr>
          <w:rFonts w:ascii="Times New Roman" w:cs="Times New Roman" w:eastAsia="Times New Roman" w:hAnsi="Times New Roman"/>
          <w:sz w:val="22"/>
          <w:szCs w:val="22"/>
          <w:color w:val="auto"/>
        </w:rPr>
        <w:t>” means the lawful currency of Singapore.</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Single Employer Plan</w:t>
      </w:r>
      <w:r>
        <w:rPr>
          <w:rFonts w:ascii="Times New Roman" w:cs="Times New Roman" w:eastAsia="Times New Roman" w:hAnsi="Times New Roman"/>
          <w:sz w:val="22"/>
          <w:szCs w:val="22"/>
          <w:color w:val="auto"/>
        </w:rPr>
        <w:t>” means a single employer plan, as defined in Section 4001(a)(15) of ERISA, that (a) is maintained for employees of any Borrower or any ERISA Affiliate and no Person other than the Borrowers and the ERISA Affiliates or (b) was so maintained and in respect of which any Borrower or any ERISA Affiliate could have liability under Section 4069 of ERISA in the event such plan has been or were to be terminated.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means a rate equal to the secured overnight financing rate as administered by the SOFR Administrator.</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w:t>
      </w:r>
      <w:r>
        <w:rPr>
          <w:rFonts w:ascii="Times New Roman" w:cs="Times New Roman" w:eastAsia="Times New Roman" w:hAnsi="Times New Roman"/>
          <w:sz w:val="22"/>
          <w:szCs w:val="22"/>
          <w:color w:val="auto"/>
        </w:rPr>
        <w:t>” means the Federal Reserve Bank of New York (or a successor administrator of the secured overnight financing rate).</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Administrator’s Website</w:t>
      </w:r>
      <w:r>
        <w:rPr>
          <w:rFonts w:ascii="Times New Roman" w:cs="Times New Roman" w:eastAsia="Times New Roman" w:hAnsi="Times New Roman"/>
          <w:sz w:val="22"/>
          <w:szCs w:val="22"/>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SONIA</w:t>
      </w:r>
      <w:r>
        <w:rPr>
          <w:rFonts w:ascii="Times New Roman" w:cs="Times New Roman" w:eastAsia="Times New Roman" w:hAnsi="Times New Roman"/>
          <w:sz w:val="22"/>
          <w:szCs w:val="22"/>
          <w:color w:val="auto"/>
        </w:rPr>
        <w:t>” means a rate equal to the Sterling Overnight Index Average as administered by the SONIA Administrator.</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SONIA Administrator</w:t>
      </w:r>
      <w:r>
        <w:rPr>
          <w:rFonts w:ascii="Times New Roman" w:cs="Times New Roman" w:eastAsia="Times New Roman" w:hAnsi="Times New Roman"/>
          <w:sz w:val="22"/>
          <w:szCs w:val="22"/>
          <w:color w:val="auto"/>
        </w:rPr>
        <w:t>” means the Bank of England (or any successor administrator of the Sterling Overnight Index Average).</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SONIA Administrator’s Website</w:t>
      </w:r>
      <w:r>
        <w:rPr>
          <w:rFonts w:ascii="Times New Roman" w:cs="Times New Roman" w:eastAsia="Times New Roman" w:hAnsi="Times New Roman"/>
          <w:sz w:val="22"/>
          <w:szCs w:val="22"/>
          <w:color w:val="auto"/>
        </w:rPr>
        <w:t>” means the Bank of England’s website, currently at http://www.bankofengland.co.uk, or any successor source for the Sterling Overnight Index Average identified as such by the SONIA Administrator from time to time.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SORA</w:t>
      </w:r>
      <w:r>
        <w:rPr>
          <w:rFonts w:ascii="Times New Roman" w:cs="Times New Roman" w:eastAsia="Times New Roman" w:hAnsi="Times New Roman"/>
          <w:sz w:val="22"/>
          <w:szCs w:val="22"/>
          <w:color w:val="auto"/>
        </w:rPr>
        <w:t>” means a rate equal to the Singapore Overnight Rate Average as administered by the SORA Administrator.</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SORA Administrator</w:t>
      </w:r>
      <w:r>
        <w:rPr>
          <w:rFonts w:ascii="Times New Roman" w:cs="Times New Roman" w:eastAsia="Times New Roman" w:hAnsi="Times New Roman"/>
          <w:sz w:val="22"/>
          <w:szCs w:val="22"/>
          <w:color w:val="auto"/>
        </w:rPr>
        <w:t>” means the Monetary Authority of Singapore (or any successor administrator of the Singapore Overnight Rate Average).</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SORA Administrator’s Website</w:t>
      </w:r>
      <w:r>
        <w:rPr>
          <w:rFonts w:ascii="Times New Roman" w:cs="Times New Roman" w:eastAsia="Times New Roman" w:hAnsi="Times New Roman"/>
          <w:sz w:val="22"/>
          <w:szCs w:val="22"/>
          <w:color w:val="auto"/>
        </w:rPr>
        <w:t>” means the Monetary Authority of Singapore’s website, currently at https://eservices.mas.gov.sg, or any successor source for the Singapore Overnight Rate Average identified as such by the SORA Administrator from time to time.</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Special Notice Currency</w:t>
      </w:r>
      <w:r>
        <w:rPr>
          <w:rFonts w:ascii="Times New Roman" w:cs="Times New Roman" w:eastAsia="Times New Roman" w:hAnsi="Times New Roman"/>
          <w:sz w:val="22"/>
          <w:szCs w:val="22"/>
          <w:color w:val="auto"/>
        </w:rPr>
        <w:t>” means, at any time, a Foreign Currency other than the currency of a country that is a member of the Organization for Economic Cooperation and Development at such time located in North America.</w:t>
      </w:r>
    </w:p>
    <w:p>
      <w:pPr>
        <w:spacing w:after="0" w:line="14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Spot Rate</w:t>
      </w:r>
      <w:r>
        <w:rPr>
          <w:rFonts w:ascii="Times New Roman" w:cs="Times New Roman" w:eastAsia="Times New Roman" w:hAnsi="Times New Roman"/>
          <w:sz w:val="22"/>
          <w:szCs w:val="22"/>
          <w:color w:val="auto"/>
        </w:rPr>
        <w:t>” means, subject to Section 1.05, for a Currency, the rate provided (either by publication or otherwise provided or made available to the Administrative Agent) by Thomson Reuters Corp. (or equivalent service chosen by the Administrative Agent in its reasonable discretion) as the spot rate for the purchase of such Currency with another currency at a time selected by the Administrative Agent in accordance with the procedures generally used by the Administrative Agent for syndicated credit facilities in which it acts 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259" w:right="339" w:bottom="1440" w:gutter="0" w:footer="0" w:header="0"/>
        </w:sectPr>
      </w:pPr>
    </w:p>
    <w:bookmarkStart w:id="149" w:name="page150"/>
    <w:bookmarkEnd w:id="149"/>
    <w:p>
      <w:pPr>
        <w:spacing w:after="0" w:line="6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of any Person means any corporation, partnership, joint venture, limited liability company, trust or estate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limited liability company, partnership or joint venture or (c) the beneficial interest in such trust or estate is at the time directly or indirectly owned or controlled by such Person, by such Person and one or more of its other Subsidiaries or by one or more of such Person’s other Subsidiaries.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Sterling</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means the lawful currency of the United Kingdom.</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Obligation</w:t>
      </w:r>
      <w:r>
        <w:rPr>
          <w:rFonts w:ascii="Times New Roman" w:cs="Times New Roman" w:eastAsia="Times New Roman" w:hAnsi="Times New Roman"/>
          <w:sz w:val="22"/>
          <w:szCs w:val="22"/>
          <w:color w:val="auto"/>
        </w:rPr>
        <w:t>” means, with respect to any Credit Party, any obligation to pay or perform under any agreement, contract or transaction that constitutes a “swap” within the meaning of Section 1a(47) of the Commodity Exchange Act.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T2</w:t>
      </w:r>
      <w:r>
        <w:rPr>
          <w:rFonts w:ascii="Times New Roman" w:cs="Times New Roman" w:eastAsia="Times New Roman" w:hAnsi="Times New Roman"/>
          <w:sz w:val="22"/>
          <w:szCs w:val="22"/>
          <w:color w:val="auto"/>
        </w:rPr>
        <w:t>” means the real time gross settlement system operated by the Eurosystem, or any successor system.</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Day</w:t>
      </w:r>
      <w:r>
        <w:rPr>
          <w:rFonts w:ascii="Times New Roman" w:cs="Times New Roman" w:eastAsia="Times New Roman" w:hAnsi="Times New Roman"/>
          <w:sz w:val="22"/>
          <w:szCs w:val="22"/>
          <w:color w:val="auto"/>
        </w:rPr>
        <w:t>” means any day on which T2 is open for the settlement of payments in Euros.</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CORRA</w:t>
      </w:r>
      <w:r>
        <w:rPr>
          <w:rFonts w:ascii="Times New Roman" w:cs="Times New Roman" w:eastAsia="Times New Roman" w:hAnsi="Times New Roman"/>
          <w:sz w:val="22"/>
          <w:szCs w:val="22"/>
          <w:color w:val="auto"/>
        </w:rPr>
        <w:t>” means, for any calculation with respect to a Term CORRA Advance, the Term CORRA Reference Rate for a tenor comparable to the applicable Interest Period on the day (such day, the “</w:t>
      </w:r>
      <w:r>
        <w:rPr>
          <w:rFonts w:ascii="Times New Roman" w:cs="Times New Roman" w:eastAsia="Times New Roman" w:hAnsi="Times New Roman"/>
          <w:sz w:val="22"/>
          <w:szCs w:val="22"/>
          <w:u w:val="single" w:color="auto"/>
          <w:color w:val="auto"/>
        </w:rPr>
        <w:t>Periodic Term CORRA Determination Date</w:t>
      </w:r>
      <w:r>
        <w:rPr>
          <w:rFonts w:ascii="Times New Roman" w:cs="Times New Roman" w:eastAsia="Times New Roman" w:hAnsi="Times New Roman"/>
          <w:sz w:val="22"/>
          <w:szCs w:val="22"/>
          <w:color w:val="auto"/>
        </w:rPr>
        <w:t xml:space="preserve">”) that is two (2) RFR Business Days prior to the first day of such Interest Period, as such rate is published by the Term CORRA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as of 5:00 p.m. (Toronto time) on any Periodic Term CORRA Determination Date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RFR Business Day for which such Term CORRA Reference Rate for such tenor was published by the Term CORRA Administrator so long as such first preceding RFR Business Day is not more than three (3) RFR Business Days prior to such Periodic Term CORRA Determination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Term CORRA determined as provided above shall ever be less than the Floor, then Term CORRA shall be deemed to be the Floor.</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CORRA Administrator</w:t>
      </w:r>
      <w:r>
        <w:rPr>
          <w:rFonts w:ascii="Times New Roman" w:cs="Times New Roman" w:eastAsia="Times New Roman" w:hAnsi="Times New Roman"/>
          <w:sz w:val="22"/>
          <w:szCs w:val="22"/>
          <w:color w:val="auto"/>
        </w:rPr>
        <w:t>” means CanDeal Benchmark Administration Services Inc. (“CanDeal”) or, in the reasonable discretion of the Administrative Agent, TSX Inc. or an affiliate of TSX Inc. as the publication source of the CanDeal/TMX Term CORRA benchmark that is administered by CanDeal (or a successor administrator of the Term CORRA Reference Rate selected by the Administrative Agent in its reasonable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440" w:right="339" w:bottom="1440" w:gutter="0" w:footer="0" w:header="0"/>
        </w:sectPr>
      </w:pPr>
    </w:p>
    <w:bookmarkStart w:id="150" w:name="page151"/>
    <w:bookmarkEnd w:id="150"/>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CORRA Advance</w:t>
      </w:r>
      <w:r>
        <w:rPr>
          <w:rFonts w:ascii="Times New Roman" w:cs="Times New Roman" w:eastAsia="Times New Roman" w:hAnsi="Times New Roman"/>
          <w:sz w:val="22"/>
          <w:szCs w:val="22"/>
          <w:color w:val="auto"/>
        </w:rPr>
        <w:t>” means an Advance that bears interest at a rate based on Term CORRA.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CORRA Reference Rate</w:t>
      </w:r>
      <w:r>
        <w:rPr>
          <w:rFonts w:ascii="Times New Roman" w:cs="Times New Roman" w:eastAsia="Times New Roman" w:hAnsi="Times New Roman"/>
          <w:sz w:val="22"/>
          <w:szCs w:val="22"/>
          <w:color w:val="auto"/>
        </w:rPr>
        <w:t>” means the forward-looking term rate based on CORRA.</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Commitment</w:t>
      </w:r>
      <w:r>
        <w:rPr>
          <w:rFonts w:ascii="Times New Roman" w:cs="Times New Roman" w:eastAsia="Times New Roman" w:hAnsi="Times New Roman"/>
          <w:sz w:val="22"/>
          <w:szCs w:val="22"/>
          <w:color w:val="auto"/>
        </w:rPr>
        <w:t>” means (a) as to any Term Loan Lender, such Term Loan Lender’s Incremental Term Loan Commitment, if any, and (b) as to all Term Loan Lenders, the aggregate commitment of all Term Loan Lenders to make such Term Loans. The aggregate Term Loan Commitment of all of the Term Loan Lenders on the Restatement Effective Date is $0.</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Lender</w:t>
      </w:r>
      <w:r>
        <w:rPr>
          <w:rFonts w:ascii="Times New Roman" w:cs="Times New Roman" w:eastAsia="Times New Roman" w:hAnsi="Times New Roman"/>
          <w:sz w:val="22"/>
          <w:szCs w:val="22"/>
          <w:color w:val="auto"/>
        </w:rPr>
        <w:t>” means any Lender with a Term Loan Commitment and/or outstanding Term Loans.</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Maturity Date</w:t>
      </w:r>
      <w:r>
        <w:rPr>
          <w:rFonts w:ascii="Times New Roman" w:cs="Times New Roman" w:eastAsia="Times New Roman" w:hAnsi="Times New Roman"/>
          <w:sz w:val="22"/>
          <w:szCs w:val="22"/>
          <w:color w:val="auto"/>
        </w:rPr>
        <w:t xml:space="preserve">” means the first to occur of (a) [reserved], subject to extension thereof pursuant to Section 2.17, and (b) the date of acceleration of the Term Loans pursuant to Section 6.01;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Term Loan Maturity Date of any Term Loan Lender that is a Non-Consenting Lender to any requested extension pursuant to Section 2.17 shall be the Term Loan Maturity Date in effect immediately prior to the applicable Extension Date for all purposes of this Agreement.</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Note</w:t>
      </w:r>
      <w:r>
        <w:rPr>
          <w:rFonts w:ascii="Times New Roman" w:cs="Times New Roman" w:eastAsia="Times New Roman" w:hAnsi="Times New Roman"/>
          <w:sz w:val="22"/>
          <w:szCs w:val="22"/>
          <w:color w:val="auto"/>
        </w:rPr>
        <w:t xml:space="preserve">” means a promissory note made by the applicable Borrowers in favor of a Term Loan Lender evidencing the portion of the Term Loans made by such Term Loan Lender, substantially in the form attached as </w:t>
      </w:r>
      <w:r>
        <w:rPr>
          <w:rFonts w:ascii="Times New Roman" w:cs="Times New Roman" w:eastAsia="Times New Roman" w:hAnsi="Times New Roman"/>
          <w:sz w:val="22"/>
          <w:szCs w:val="22"/>
          <w:b w:val="1"/>
          <w:bCs w:val="1"/>
          <w:i w:val="1"/>
          <w:iCs w:val="1"/>
          <w:color w:val="auto"/>
        </w:rPr>
        <w:t>Exhibit A-2</w:t>
      </w:r>
      <w:r>
        <w:rPr>
          <w:rFonts w:ascii="Times New Roman" w:cs="Times New Roman" w:eastAsia="Times New Roman" w:hAnsi="Times New Roman"/>
          <w:sz w:val="22"/>
          <w:szCs w:val="22"/>
          <w:color w:val="auto"/>
        </w:rPr>
        <w:t>, and any substitutes therefor, and any replacements, restatements, renewals or extension thereof, in whole or in part.</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Percentage</w:t>
      </w:r>
      <w:r>
        <w:rPr>
          <w:rFonts w:ascii="Times New Roman" w:cs="Times New Roman" w:eastAsia="Times New Roman" w:hAnsi="Times New Roman"/>
          <w:sz w:val="22"/>
          <w:szCs w:val="22"/>
          <w:color w:val="auto"/>
        </w:rPr>
        <w:t>” means, with respect to any Term Loan Lender at any time, the percentage of the total outstanding principal balance of the Term Loans represented by the outstanding principal balance of such Term Loan Lender’s Term Loans.</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Loans</w:t>
      </w:r>
      <w:r>
        <w:rPr>
          <w:rFonts w:ascii="Times New Roman" w:cs="Times New Roman" w:eastAsia="Times New Roman" w:hAnsi="Times New Roman"/>
          <w:sz w:val="22"/>
          <w:szCs w:val="22"/>
          <w:color w:val="auto"/>
        </w:rPr>
        <w:t>” means incremental term loans made pursuant to Section 2.05(b). The aggregate amount of Term Loans of all of the Term Loan Lenders on the Restatement Effective Date is $0.</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jc w:val="both"/>
        <w:ind w:firstLine="656"/>
        <w:spacing w:after="0" w:line="261" w:lineRule="auto"/>
        <w:tabs>
          <w:tab w:leader="none" w:pos="1106"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any calculation with respect to a Term SOFR Advance, the Term SOFR Reference Rate for a tenor comparable to the applicable Interest Period on the day (such day, the “</w:t>
      </w:r>
      <w:r>
        <w:rPr>
          <w:rFonts w:ascii="Times New Roman" w:cs="Times New Roman" w:eastAsia="Times New Roman" w:hAnsi="Times New Roman"/>
          <w:sz w:val="21"/>
          <w:szCs w:val="21"/>
          <w:u w:val="single" w:color="auto"/>
          <w:color w:val="auto"/>
        </w:rPr>
        <w:t>Periodic Term SOFR Determination Day</w:t>
      </w:r>
      <w:r>
        <w:rPr>
          <w:rFonts w:ascii="Times New Roman" w:cs="Times New Roman" w:eastAsia="Times New Roman" w:hAnsi="Times New Roman"/>
          <w:sz w:val="21"/>
          <w:szCs w:val="21"/>
          <w:color w:val="auto"/>
        </w:rPr>
        <w:t xml:space="preserve">”) that is two (2) RFR Business Days prior to the first day of such Interest Period, as such rate is published by the Term SOFR Administrator;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as of 5:00 p.m. (Eastern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RFR Business Day for which such Term SOFR Reference Rate for such tenor was published by the Term SOFR Administrator so long as such first preceding RFR Business Day is not more than three (3) RFR Business Days prior to such Periodic Term SOFR Determination Day,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259" w:right="339" w:bottom="1440" w:gutter="0" w:footer="0" w:header="0"/>
        </w:sectPr>
      </w:pPr>
    </w:p>
    <w:bookmarkStart w:id="151" w:name="page152"/>
    <w:bookmarkEnd w:id="151"/>
    <w:p>
      <w:pPr>
        <w:jc w:val="both"/>
        <w:ind w:firstLine="656"/>
        <w:spacing w:after="0" w:line="250" w:lineRule="auto"/>
        <w:tabs>
          <w:tab w:leader="none" w:pos="1155"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 Base Rate Advance on any day, the Term SOFR Reference Rate for a tenor of one month on the day (such day, the “</w:t>
      </w:r>
      <w:r>
        <w:rPr>
          <w:rFonts w:ascii="Times New Roman" w:cs="Times New Roman" w:eastAsia="Times New Roman" w:hAnsi="Times New Roman"/>
          <w:sz w:val="22"/>
          <w:szCs w:val="22"/>
          <w:u w:val="single" w:color="auto"/>
          <w:color w:val="auto"/>
        </w:rPr>
        <w:t>Base Rate Term SOFR Determination Day</w:t>
      </w:r>
      <w:r>
        <w:rPr>
          <w:rFonts w:ascii="Times New Roman" w:cs="Times New Roman" w:eastAsia="Times New Roman" w:hAnsi="Times New Roman"/>
          <w:sz w:val="22"/>
          <w:szCs w:val="22"/>
          <w:color w:val="auto"/>
        </w:rPr>
        <w:t xml:space="preserve">”) that is two (2) RFR Business Days prior to such day, as such rate is published by the Term SOFR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as of 5:00 p.m. (Eastern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RFR Business Day for which such Term SOFR Reference Rate for such tenor was published by the Term SOFR Administrator so long as such first preceding RFR Business Day is not more than three (3) RFR Business Days prior to such Base Rate SOFR Determination Day</w:t>
      </w:r>
      <w:r>
        <w:rPr>
          <w:rFonts w:ascii="Times New Roman" w:cs="Times New Roman" w:eastAsia="Times New Roman" w:hAnsi="Times New Roman"/>
          <w:sz w:val="22"/>
          <w:szCs w:val="22"/>
          <w:b w:val="1"/>
          <w:bCs w:val="1"/>
          <w:color w:val="auto"/>
        </w:rPr>
        <w:t>;</w:t>
      </w:r>
    </w:p>
    <w:p>
      <w:pPr>
        <w:spacing w:after="0" w:line="18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Term SOFR determined as provided above (including pursuant to the proviso under clause (a) or clause (b) above) shall ever be less than the Floor, then Term SOFR shall be deemed to be the Floor.</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Advance</w:t>
      </w:r>
      <w:r>
        <w:rPr>
          <w:rFonts w:ascii="Times New Roman" w:cs="Times New Roman" w:eastAsia="Times New Roman" w:hAnsi="Times New Roman"/>
          <w:sz w:val="22"/>
          <w:szCs w:val="22"/>
          <w:color w:val="auto"/>
        </w:rPr>
        <w:t>” means any Advance that bears interest at a rate based on Term SOFR other than pursuant to clause (c) of the definition of “Base Rate”.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Reference Rate</w:t>
      </w:r>
      <w:r>
        <w:rPr>
          <w:rFonts w:ascii="Times New Roman" w:cs="Times New Roman" w:eastAsia="Times New Roman" w:hAnsi="Times New Roman"/>
          <w:sz w:val="22"/>
          <w:szCs w:val="22"/>
          <w:color w:val="auto"/>
        </w:rPr>
        <w:t>” means the forward-looking term rate based on SOFR.</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xml:space="preserve">” means the earlier of (a) November 24, 2030, subject to the extension thereof pursuant to Section 2.17 and (b) the date of termination of all of the Commitments pursuant to Section 2.05 or 6.01;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Termination Date of any Lender that is a Non-Consenting Lender to any requested extension pursuant to Section 2.17 shall be the Termination Date in effect immediately prior to the applicable Extension Date for all purposes of this Agreement.</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Net Leverage Ratio</w:t>
      </w:r>
      <w:r>
        <w:rPr>
          <w:rFonts w:ascii="Times New Roman" w:cs="Times New Roman" w:eastAsia="Times New Roman" w:hAnsi="Times New Roman"/>
          <w:sz w:val="22"/>
          <w:szCs w:val="22"/>
          <w:color w:val="auto"/>
        </w:rPr>
        <w:t xml:space="preserve">” means, as of any date of determination, for the Company and its Subsidiaries on a Consolidated basis, the ratio of (a) (i) Consolidated Debt as of such date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(ii) (x) if the aggregate amount of unrestricted cash and cash equivalents of the Company and its Subsidiaries on such date is less than or equal to $150,000,000, 100% of the aggregate amount of unrestricted cash and cash equivalents of the Company and its Subsidiaries and (y) if the aggregate amount of unrestricted cash and cash equivalents of the Company and its Subsidiaries on such date is greater than $150,000,000, an aggregate amount of unrestricted cash and cash equivalents of the Company and its Subsidiaries not to exceed the greater of (I) $150,000,000 and (II) 100% of the unrestricted cash and cash equivalents of the Company and its Subsidiaries held in accounts in the United States on such date to (b) Consolidated EBITDA for the most recent period of four consecutive quarters ending on or prior to such date.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with the Enemy Act</w:t>
      </w:r>
      <w:r>
        <w:rPr>
          <w:rFonts w:ascii="Times New Roman" w:cs="Times New Roman" w:eastAsia="Times New Roman" w:hAnsi="Times New Roman"/>
          <w:sz w:val="22"/>
          <w:szCs w:val="22"/>
          <w:color w:val="auto"/>
        </w:rPr>
        <w:t>” has the meaning assigned to such term in clause (l) of Section 4.01.</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Tranche</w:t>
      </w:r>
      <w:r>
        <w:rPr>
          <w:rFonts w:ascii="Times New Roman" w:cs="Times New Roman" w:eastAsia="Times New Roman" w:hAnsi="Times New Roman"/>
          <w:sz w:val="22"/>
          <w:szCs w:val="22"/>
          <w:color w:val="auto"/>
        </w:rPr>
        <w:t>” means a category of Commitments, Term Loan Commitments and any Extensions of Credit thereunder.</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Type</w:t>
      </w:r>
      <w:r>
        <w:rPr>
          <w:rFonts w:ascii="Times New Roman" w:cs="Times New Roman" w:eastAsia="Times New Roman" w:hAnsi="Times New Roman"/>
          <w:sz w:val="22"/>
          <w:szCs w:val="22"/>
          <w:color w:val="auto"/>
        </w:rPr>
        <w:t>”, means, when used in reference to any Advance or Borrowing, refers to whether the rate of interest on such Advance, or on the Advances comprising such Borrowing, is determined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259" w:right="339" w:bottom="1440" w:gutter="0" w:footer="0" w:header="0"/>
        </w:sectPr>
      </w:pPr>
    </w:p>
    <w:bookmarkStart w:id="152" w:name="page153"/>
    <w:bookmarkEnd w:id="152"/>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reference to the Base Rate or the Eurocurrency Rate, or that such Advance is a Daily Simple RFR Advance, a Term CORRA Advance or a Term SOFR Advance.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UCP</w:t>
      </w:r>
      <w:r>
        <w:rPr>
          <w:rFonts w:ascii="Times New Roman" w:cs="Times New Roman" w:eastAsia="Times New Roman" w:hAnsi="Times New Roman"/>
          <w:sz w:val="22"/>
          <w:szCs w:val="22"/>
          <w:color w:val="auto"/>
        </w:rPr>
        <w:t>” means the Uniform Customs and Practice for Documentary Credits, International Chamber of Commerce Publication No. 600 (or such later version thereof as may be in effect at the applicable time).</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Borrower</w:t>
      </w:r>
      <w:r>
        <w:rPr>
          <w:rFonts w:ascii="Times New Roman" w:cs="Times New Roman" w:eastAsia="Times New Roman" w:hAnsi="Times New Roman"/>
          <w:sz w:val="22"/>
          <w:szCs w:val="22"/>
          <w:color w:val="auto"/>
        </w:rPr>
        <w:t xml:space="preserve"> ” means any Foreign Borrower (i) that is organized or formed under the laws of the United Kingdom or (ii) payments from which under this Agreement or any other Loan Document are subject to withholding Taxes imposed by the laws of the United Kingdom.</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Financial Institution</w:t>
      </w:r>
      <w:r>
        <w:rPr>
          <w:rFonts w:ascii="Times New Roman" w:cs="Times New Roman" w:eastAsia="Times New Roman" w:hAnsi="Times New Roman"/>
          <w:sz w:val="22"/>
          <w:szCs w:val="22"/>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Resolution Authority</w:t>
      </w:r>
      <w:r>
        <w:rPr>
          <w:rFonts w:ascii="Times New Roman" w:cs="Times New Roman" w:eastAsia="Times New Roman" w:hAnsi="Times New Roman"/>
          <w:sz w:val="22"/>
          <w:szCs w:val="22"/>
          <w:color w:val="auto"/>
        </w:rPr>
        <w:t>” means the Bank of England or any other public administrative authority having responsibility for the resolution of any UK Financial Institution.</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Treaty</w:t>
      </w:r>
      <w:r>
        <w:rPr>
          <w:rFonts w:ascii="Times New Roman" w:cs="Times New Roman" w:eastAsia="Times New Roman" w:hAnsi="Times New Roman"/>
          <w:sz w:val="22"/>
          <w:szCs w:val="22"/>
          <w:color w:val="auto"/>
        </w:rPr>
        <w:t>” means a double taxation agreement with the United Kingdom which makes provision for full exemption or relief from or reduction in the rate of tax imposed by the United Kingdom on interest.</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Treaty Lender</w:t>
      </w:r>
      <w:r>
        <w:rPr>
          <w:rFonts w:ascii="Times New Roman" w:cs="Times New Roman" w:eastAsia="Times New Roman" w:hAnsi="Times New Roman"/>
          <w:sz w:val="22"/>
          <w:szCs w:val="22"/>
          <w:color w:val="auto"/>
        </w:rPr>
        <w:t>” means a Lender which (i) is treated as a resident of a UK Treaty State for the purposes of such UK Treaty, (ii) does not carry on a business in the United Kingdom through a permanent establishment with which such Lender’s participation in the applicable Advance is effectively connected and (iii) meets all requirements in the relevant UK Treaty for full exemption or relief from or reduction in the rate of tax imposed by the United Kingdom on interest assuming the completion of any procedural process.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Treaty State</w:t>
      </w:r>
      <w:r>
        <w:rPr>
          <w:rFonts w:ascii="Times New Roman" w:cs="Times New Roman" w:eastAsia="Times New Roman" w:hAnsi="Times New Roman"/>
          <w:sz w:val="22"/>
          <w:szCs w:val="22"/>
          <w:color w:val="auto"/>
        </w:rPr>
        <w:t>” means a jurisdiction having a UK Treaty.</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means the United States of America.</w:t>
      </w:r>
    </w:p>
    <w:p>
      <w:pPr>
        <w:spacing w:after="0" w:line="220"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Unused Commitment</w:t>
      </w:r>
      <w:r>
        <w:rPr>
          <w:rFonts w:ascii="Times New Roman" w:cs="Times New Roman" w:eastAsia="Times New Roman" w:hAnsi="Times New Roman"/>
          <w:sz w:val="22"/>
          <w:szCs w:val="22"/>
          <w:color w:val="auto"/>
        </w:rPr>
        <w:t>” means, with respect to any Revolving Lender at any time, (a) such Revolving Lender’s Commitment in US Dollars at such time minus (b) the Dollar Equivalent of the aggregate principal amount of Revolving Credit Exposure of such Revolving Lender outstanding at such time.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Dollars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means lawful money of the United States.</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Voting Stock</w:t>
      </w:r>
      <w:r>
        <w:rPr>
          <w:rFonts w:ascii="Times New Roman" w:cs="Times New Roman" w:eastAsia="Times New Roman" w:hAnsi="Times New Roman"/>
          <w:sz w:val="22"/>
          <w:szCs w:val="22"/>
          <w:color w:val="auto"/>
        </w:rPr>
        <w:t>” means capital stock issued by a corporation, or equivalent interests in any other Person, the holders of which are ordinarily, in the absence of contingencies, entitled to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260" w:right="339" w:bottom="1440" w:gutter="0" w:footer="0" w:header="0"/>
        </w:sectPr>
      </w:pPr>
    </w:p>
    <w:bookmarkStart w:id="153" w:name="page154"/>
    <w:bookmarkEnd w:id="153"/>
    <w:p>
      <w:pPr>
        <w:jc w:val="both"/>
        <w:spacing w:after="0" w:line="271" w:lineRule="auto"/>
        <w:rPr>
          <w:sz w:val="20"/>
          <w:szCs w:val="20"/>
          <w:color w:val="auto"/>
        </w:rPr>
      </w:pPr>
      <w:r>
        <w:rPr>
          <w:rFonts w:ascii="Times New Roman" w:cs="Times New Roman" w:eastAsia="Times New Roman" w:hAnsi="Times New Roman"/>
          <w:sz w:val="22"/>
          <w:szCs w:val="22"/>
          <w:color w:val="auto"/>
        </w:rPr>
        <w:t>for the election of not less than a majority of the directors (or persons performing similar functions) of such Person, even if the right so to vote has been suspended by the happening of such a contingency.</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Wholly-Owned</w:t>
      </w:r>
      <w:r>
        <w:rPr>
          <w:rFonts w:ascii="Times New Roman" w:cs="Times New Roman" w:eastAsia="Times New Roman" w:hAnsi="Times New Roman"/>
          <w:sz w:val="22"/>
          <w:szCs w:val="22"/>
          <w:color w:val="auto"/>
        </w:rPr>
        <w:t>” means, with respect to a Subsidiary, that all of the Equity Interests of such Subsidiary are, directly or indirectly, owned or controlled by the Company and/or one or more of its Wholly-Owned Subsidiaries (except for directors’ qualifying shares or other shares required by Applicable Law to be owned by a Person other than the Company and/or one or more of its Wholly-Owned Subsidiaries).</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Computation of Time Periods</w:t>
      </w:r>
      <w:r>
        <w:rPr>
          <w:rFonts w:ascii="Times New Roman" w:cs="Times New Roman" w:eastAsia="Times New Roman" w:hAnsi="Times New Roman"/>
          <w:sz w:val="22"/>
          <w:szCs w:val="22"/>
          <w:color w:val="auto"/>
        </w:rPr>
        <w:t>. In this Agreement in the computation of periods of time from a specified date to a later specified date, the word “from” means “from and including” and the words “to” and “until” each mean “to but excluding”.</w:t>
      </w:r>
    </w:p>
    <w:p>
      <w:pPr>
        <w:spacing w:after="0" w:line="11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u w:val="single" w:color="auto"/>
          <w:color w:val="auto"/>
        </w:rPr>
        <w:t>Accounting Terms</w:t>
      </w:r>
      <w:r>
        <w:rPr>
          <w:rFonts w:ascii="Times New Roman" w:cs="Times New Roman" w:eastAsia="Times New Roman" w:hAnsi="Times New Roman"/>
          <w:sz w:val="22"/>
          <w:szCs w:val="22"/>
          <w:color w:val="auto"/>
        </w:rPr>
        <w:t>. All terms of an accounting or financial nature shall be construed in accordance with generally accepted accounting principles (“</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xml:space="preserve">”), as in effect from time to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Company notifies the Administrative Agent that the Borrowers wish to amend any provision hereof to eliminate the effect of any change in GAAP or the application thereof occurring after the date of this Agreement on the operation of such provision, or if the Administrative Agent notifies the Company that the Required Lenders wish to amend any provision hereof for such purpose, then the Borrowers’ compliance with such provision shall be determined on the basis of GAAP in effect immediately before the relevant change in GAAP or the application thereof became effective, until either such notice is withdrawn or such provision is amended in a manner satisfactory to the Company and the Required Lenders. Notwithstanding any other provision contained herein, all terms of an accounting or financial nature used herein shall be construed, and all computations of amounts and ratios referred to herein shall be made, without giving effect to any change in accounting for leases pursuant to GAAP resulting from the implementation of FASB ASC 842 to the extent such adoption would require treating any lease (or similar arrangement conveying the right to use) as a capital lease where such lease (or similar arrangement) would not have been required to be so treated under GAAP as in effect on December 31, 2015.</w:t>
      </w:r>
    </w:p>
    <w:p>
      <w:pPr>
        <w:spacing w:after="0" w:line="8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u w:val="single" w:color="auto"/>
          <w:color w:val="auto"/>
        </w:rPr>
        <w:t>Guarantees</w:t>
      </w:r>
      <w:r>
        <w:rPr>
          <w:rFonts w:ascii="Times New Roman" w:cs="Times New Roman" w:eastAsia="Times New Roman" w:hAnsi="Times New Roman"/>
          <w:sz w:val="22"/>
          <w:szCs w:val="22"/>
          <w:color w:val="auto"/>
        </w:rPr>
        <w:t>. Unless otherwise specified, the amount of any Guarantee shall be the lesser of the principal amount of the obligations guaranteed and still outstanding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260" w:right="339" w:bottom="1440" w:gutter="0" w:footer="0" w:header="0"/>
        </w:sectPr>
      </w:pPr>
    </w:p>
    <w:bookmarkStart w:id="154" w:name="page155"/>
    <w:bookmarkEnd w:id="154"/>
    <w:p>
      <w:pPr>
        <w:spacing w:after="0" w:line="271" w:lineRule="auto"/>
        <w:rPr>
          <w:sz w:val="20"/>
          <w:szCs w:val="20"/>
          <w:color w:val="auto"/>
        </w:rPr>
      </w:pPr>
      <w:r>
        <w:rPr>
          <w:rFonts w:ascii="Times New Roman" w:cs="Times New Roman" w:eastAsia="Times New Roman" w:hAnsi="Times New Roman"/>
          <w:sz w:val="22"/>
          <w:szCs w:val="22"/>
          <w:color w:val="auto"/>
        </w:rPr>
        <w:t>maximum amount for which the guaranteeing Person may be liable pursuant to the terms of the instrument embodying such Guarantee.</w:t>
      </w:r>
    </w:p>
    <w:p>
      <w:pPr>
        <w:spacing w:after="0" w:line="104"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u w:val="single" w:color="auto"/>
          <w:color w:val="auto"/>
        </w:rPr>
        <w:t>Redenominations of Certain Foreign Currencies and Computation of US Dollar Amounts; Exchange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Rates; Currency Equivalents; Daily Simple RFR Advances</w:t>
      </w:r>
      <w:r>
        <w:rPr>
          <w:rFonts w:ascii="Times New Roman" w:cs="Times New Roman" w:eastAsia="Times New Roman" w:hAnsi="Times New Roman"/>
          <w:sz w:val="22"/>
          <w:szCs w:val="22"/>
          <w:color w:val="auto"/>
        </w:rPr>
        <w:t>.</w:t>
      </w:r>
    </w:p>
    <w:p>
      <w:pPr>
        <w:spacing w:after="0" w:line="90" w:lineRule="exact"/>
        <w:rPr>
          <w:sz w:val="20"/>
          <w:szCs w:val="20"/>
          <w:color w:val="auto"/>
        </w:rPr>
      </w:pPr>
    </w:p>
    <w:p>
      <w:pPr>
        <w:jc w:val="both"/>
        <w:ind w:firstLine="656"/>
        <w:spacing w:after="0" w:line="262" w:lineRule="auto"/>
        <w:tabs>
          <w:tab w:leader="none" w:pos="1168"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obligation of each Borrower to make a payment denominated in the National Currency Unit of any member state of the European Union that adopts the Euro as its lawful currency after the date hereof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or applicable offshore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any Advance in the currency of such member state is outstanding immediately prior to such date, such replacement shall take effect, with respect to such Advance, at the end of the then current Interest Period.</w:t>
      </w:r>
    </w:p>
    <w:p>
      <w:pPr>
        <w:spacing w:after="0" w:line="172" w:lineRule="exact"/>
        <w:rPr>
          <w:rFonts w:ascii="Times New Roman" w:cs="Times New Roman" w:eastAsia="Times New Roman" w:hAnsi="Times New Roman"/>
          <w:sz w:val="21"/>
          <w:szCs w:val="21"/>
          <w:color w:val="auto"/>
        </w:rPr>
      </w:pPr>
    </w:p>
    <w:p>
      <w:pPr>
        <w:jc w:val="both"/>
        <w:ind w:firstLine="656"/>
        <w:spacing w:after="0" w:line="263" w:lineRule="auto"/>
        <w:tabs>
          <w:tab w:leader="none" w:pos="1146"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provision of this Agreement shall be subject to such reasonable changes of construction as the Administrative Agent and the Company may from time to time agree to be appropriate to reflect the adoption of the Euro by any member state of the European Union and any relevant market conventions or practices relating to the Euro.</w:t>
      </w:r>
    </w:p>
    <w:p>
      <w:pPr>
        <w:spacing w:after="0" w:line="167" w:lineRule="exact"/>
        <w:rPr>
          <w:rFonts w:ascii="Times New Roman" w:cs="Times New Roman" w:eastAsia="Times New Roman" w:hAnsi="Times New Roman"/>
          <w:sz w:val="22"/>
          <w:szCs w:val="22"/>
          <w:color w:val="auto"/>
        </w:rPr>
      </w:pPr>
    </w:p>
    <w:p>
      <w:pPr>
        <w:jc w:val="both"/>
        <w:ind w:firstLine="656"/>
        <w:spacing w:after="0" w:line="251" w:lineRule="auto"/>
        <w:tabs>
          <w:tab w:leader="none" w:pos="1108"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determine the Dollar Equivalent amount of each Extension of Credit denominated in a Foreign Currency. Such Dollar Equivalent shall become effective as of the Revaluation Date and shall be the Dollar Equivalent of such amounts until the next Revaluation Date to occur. Except for purposes of financial statements delivered by the Company hereunder or calculating financial covenants hereunder or except as otherwise provided herein, the applicable amount of any Currency (other than US Dollars) for purposes of the Loan Documents shall be such Dollar Equivalent amount as so determined by the Administrative Agent.</w:t>
      </w:r>
    </w:p>
    <w:p>
      <w:pPr>
        <w:spacing w:after="0" w:line="181" w:lineRule="exact"/>
        <w:rPr>
          <w:rFonts w:ascii="Times New Roman" w:cs="Times New Roman" w:eastAsia="Times New Roman" w:hAnsi="Times New Roman"/>
          <w:sz w:val="22"/>
          <w:szCs w:val="22"/>
          <w:color w:val="auto"/>
        </w:rPr>
      </w:pPr>
    </w:p>
    <w:p>
      <w:pPr>
        <w:jc w:val="both"/>
        <w:ind w:firstLine="656"/>
        <w:spacing w:after="0" w:line="251" w:lineRule="auto"/>
        <w:tabs>
          <w:tab w:leader="none" w:pos="1337"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Wherever in this Agreement, in connection with any Revolving Advance, any conversion, continuation or prepayment of a Revolving Advance or the issuance, amendment or extension of a Letter of Credit, an amount, such as a required minimum or multiple amount, is expressed in US Dollars, but such Revolving Advance or such Letter of Credit is denominated in a Foreign Currency, such amount shall be the relevant Foreign Currency Equivalent of such US Dollar amount (rounded to the nearest unit of such Foreign Currency, with 0.5 of a unit being rounded upward), as reasonably determined by the Administrative Agent.</w:t>
      </w:r>
    </w:p>
    <w:p>
      <w:pPr>
        <w:spacing w:after="0" w:line="181" w:lineRule="exact"/>
        <w:rPr>
          <w:rFonts w:ascii="Times New Roman" w:cs="Times New Roman" w:eastAsia="Times New Roman" w:hAnsi="Times New Roman"/>
          <w:sz w:val="22"/>
          <w:szCs w:val="22"/>
          <w:color w:val="auto"/>
        </w:rPr>
      </w:pPr>
    </w:p>
    <w:p>
      <w:pPr>
        <w:ind w:firstLine="656"/>
        <w:spacing w:after="0" w:line="271" w:lineRule="auto"/>
        <w:tabs>
          <w:tab w:leader="none" w:pos="125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Wherever in this Agreement an amount is expressed in US Dollars, it shall be deemed to refer to the Dollar Equivalent or Foreign Currency Equivalent thereof, as applicable.</w:t>
      </w:r>
    </w:p>
    <w:p>
      <w:pPr>
        <w:spacing w:after="0" w:line="157"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Determinations by the Administrative Agent pursuant to this Section 1.05 shall be conclusive absent demonstrable</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error.</w:t>
      </w:r>
    </w:p>
    <w:p>
      <w:pPr>
        <w:spacing w:after="0" w:line="207" w:lineRule="exact"/>
        <w:rPr>
          <w:rFonts w:ascii="Times New Roman" w:cs="Times New Roman" w:eastAsia="Times New Roman" w:hAnsi="Times New Roman"/>
          <w:sz w:val="22"/>
          <w:szCs w:val="22"/>
          <w:color w:val="auto"/>
        </w:rPr>
      </w:pPr>
    </w:p>
    <w:p>
      <w:pPr>
        <w:jc w:val="both"/>
        <w:ind w:firstLine="656"/>
        <w:spacing w:after="0" w:line="257" w:lineRule="auto"/>
        <w:tabs>
          <w:tab w:leader="none" w:pos="1146"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Section 9.16, each provision in this Agreement relating to payments to be made by any Borrower on account of principal and interest which requires payment in US Dollars, shall be deemed to mean (i) in the case of Advances, Letters of Credit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260" w:right="339" w:bottom="1440" w:gutter="0" w:footer="0" w:header="0"/>
        </w:sectPr>
      </w:pPr>
    </w:p>
    <w:bookmarkStart w:id="155" w:name="page156"/>
    <w:bookmarkEnd w:id="155"/>
    <w:p>
      <w:pPr>
        <w:spacing w:after="0" w:line="271" w:lineRule="auto"/>
        <w:rPr>
          <w:sz w:val="20"/>
          <w:szCs w:val="20"/>
          <w:color w:val="auto"/>
        </w:rPr>
      </w:pPr>
      <w:r>
        <w:rPr>
          <w:rFonts w:ascii="Times New Roman" w:cs="Times New Roman" w:eastAsia="Times New Roman" w:hAnsi="Times New Roman"/>
          <w:sz w:val="22"/>
          <w:szCs w:val="22"/>
          <w:color w:val="auto"/>
        </w:rPr>
        <w:t>other amounts denominated in US Dollars, payment in US Dollars, and (ii) in the case of Advances, Letters of Credit or other amounts denominated in a Foreign Currency, payment in such Foreign Currency.</w:t>
      </w:r>
    </w:p>
    <w:p>
      <w:pPr>
        <w:spacing w:after="0" w:line="158" w:lineRule="exact"/>
        <w:rPr>
          <w:sz w:val="20"/>
          <w:szCs w:val="20"/>
          <w:color w:val="auto"/>
        </w:rPr>
      </w:pPr>
    </w:p>
    <w:p>
      <w:pPr>
        <w:jc w:val="both"/>
        <w:ind w:firstLine="656"/>
        <w:spacing w:after="0" w:line="256" w:lineRule="auto"/>
        <w:tabs>
          <w:tab w:leader="none" w:pos="1119"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of this Section 1.05 or any other provision of this Agreement, each Issuing Lender may compute the Dollar Equivalent of the maximum amount of each applicable Letter of Credit issued by such Issuing Lender by reference to exchange rates determined using any reasonable method customarily employed by such Issuing Lender for such purpose.</w:t>
      </w:r>
    </w:p>
    <w:p>
      <w:pPr>
        <w:spacing w:after="0" w:line="176" w:lineRule="exact"/>
        <w:rPr>
          <w:rFonts w:ascii="Times New Roman" w:cs="Times New Roman" w:eastAsia="Times New Roman" w:hAnsi="Times New Roman"/>
          <w:sz w:val="22"/>
          <w:szCs w:val="22"/>
          <w:color w:val="auto"/>
        </w:rPr>
      </w:pPr>
    </w:p>
    <w:p>
      <w:pPr>
        <w:jc w:val="both"/>
        <w:ind w:firstLine="656"/>
        <w:spacing w:after="0" w:line="253" w:lineRule="auto"/>
        <w:tabs>
          <w:tab w:leader="none" w:pos="127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of this Section 1.05 or any other provision of this Agreement, in connection with any Daily Simple RFR Advance in a Foreign Currency for a particular Borrower, the Spot Rate on each date of borrowing by such Borrower shall be the Spot Rate in effect as of the Revaluation Date applicable to the first borrowing of any such Daily Simple RFR Advance by such Borrower in such Foreign Currency (or, if applicable, any later Revaluation Date pursuant to clause (a)(iii) of the definition of “Revaluation Date”).</w:t>
      </w:r>
    </w:p>
    <w:p>
      <w:pPr>
        <w:spacing w:after="0" w:line="17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1.06. </w:t>
      </w:r>
      <w:r>
        <w:rPr>
          <w:rFonts w:ascii="Times New Roman" w:cs="Times New Roman" w:eastAsia="Times New Roman" w:hAnsi="Times New Roman"/>
          <w:sz w:val="22"/>
          <w:szCs w:val="22"/>
          <w:u w:val="single" w:color="auto"/>
          <w:color w:val="auto"/>
        </w:rPr>
        <w:t>Rates</w:t>
      </w:r>
      <w:r>
        <w:rPr>
          <w:rFonts w:ascii="Times New Roman" w:cs="Times New Roman" w:eastAsia="Times New Roman" w:hAnsi="Times New Roman"/>
          <w:sz w:val="22"/>
          <w:szCs w:val="22"/>
          <w:color w:val="auto"/>
        </w:rPr>
        <w:t>. The Administrative Agent does not warrant or accept any responsibility for, and shall not have any liability with respect to, (a) the continuation of, administration of, submission of, calculation of or any other matter related to the Term SOFR Reference Rate, Term SOFR, the Term CORRA Reference Rate, Term CORRA, any Daily Simple RFR, the Eurocurrency Rate, the Adjusted Eurocurrency Rate or any other Benchmark,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Section 2.20(c), will be similar to, or produce the same value or economic equivalence of, or have the same volume or liquidity as, the Term SOFR Reference Rate, Term SOFR, the Term CORRA Reference Rate, Term CORRA, any Daily Simple RFR, the Eurocurrency Rate, the Adjusted Eurocurrency Rate, such Benchmark or any other Benchmark prior to its discontinuance or unavailability, or (b) the effect, implementation or composition of any Conforming Changes. The Administrative Agent and its Affiliates or other related entities may engage in transactions that affect the calculation of a Benchmark, any alternative, successor or replacement rate (including any Benchmark Replacement) or any relevant adjustments thereto and such transactions may be adverse to the Borrowers. The Administrative Agent may select information sources or services in its reasonable discretion to ascertain any Benchmark, any component definition thereof or rates referred to in the definition thereof,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4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 xml:space="preserve">SECTION 1.07. </w:t>
      </w:r>
      <w:r>
        <w:rPr>
          <w:rFonts w:ascii="Times New Roman" w:cs="Times New Roman" w:eastAsia="Times New Roman" w:hAnsi="Times New Roman"/>
          <w:sz w:val="21"/>
          <w:szCs w:val="21"/>
          <w:u w:val="single" w:color="auto"/>
          <w:color w:val="auto"/>
        </w:rPr>
        <w:t>Divisions</w:t>
      </w:r>
      <w:r>
        <w:rPr>
          <w:rFonts w:ascii="Times New Roman" w:cs="Times New Roman" w:eastAsia="Times New Roman" w:hAnsi="Times New Roman"/>
          <w:sz w:val="21"/>
          <w:szCs w:val="21"/>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260" w:right="339" w:bottom="1440" w:gutter="0" w:footer="0" w:header="0"/>
        </w:sectPr>
      </w:pPr>
    </w:p>
    <w:bookmarkStart w:id="156" w:name="page157"/>
    <w:bookmarkEnd w:id="156"/>
    <w:p>
      <w:pPr>
        <w:jc w:val="both"/>
        <w:spacing w:after="0" w:line="295" w:lineRule="auto"/>
        <w:rPr>
          <w:sz w:val="20"/>
          <w:szCs w:val="20"/>
          <w:color w:val="auto"/>
        </w:rPr>
      </w:pPr>
      <w:r>
        <w:rPr>
          <w:rFonts w:ascii="Times New Roman" w:cs="Times New Roman" w:eastAsia="Times New Roman" w:hAnsi="Times New Roman"/>
          <w:sz w:val="21"/>
          <w:szCs w:val="21"/>
          <w:color w:val="auto"/>
        </w:rPr>
        <w:t>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1.08. </w:t>
      </w:r>
      <w:r>
        <w:rPr>
          <w:rFonts w:ascii="Times New Roman" w:cs="Times New Roman" w:eastAsia="Times New Roman" w:hAnsi="Times New Roman"/>
          <w:sz w:val="22"/>
          <w:szCs w:val="22"/>
          <w:u w:val="single" w:color="auto"/>
          <w:color w:val="auto"/>
        </w:rPr>
        <w:t>Rounding</w:t>
      </w:r>
      <w:r>
        <w:rPr>
          <w:rFonts w:ascii="Times New Roman" w:cs="Times New Roman" w:eastAsia="Times New Roman" w:hAnsi="Times New Roman"/>
          <w:sz w:val="22"/>
          <w:szCs w:val="22"/>
          <w:color w:val="auto"/>
        </w:rPr>
        <w:t>. Any financial ratios required to be maintained pursuant to this Agreement shall be calculated by dividing the appropriate component by the other component, carrying the result to one place more than the number of places by which such ratio or percentage is expressed herein and rounding the result up or down to the nearest number (with a rounding-up if there is no nearest number).</w:t>
      </w:r>
    </w:p>
    <w:p>
      <w:pPr>
        <w:spacing w:after="0" w:line="12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1.09. </w:t>
      </w:r>
      <w:r>
        <w:rPr>
          <w:rFonts w:ascii="Times New Roman" w:cs="Times New Roman" w:eastAsia="Times New Roman" w:hAnsi="Times New Roman"/>
          <w:sz w:val="22"/>
          <w:szCs w:val="22"/>
          <w:u w:val="single" w:color="auto"/>
          <w:color w:val="auto"/>
        </w:rPr>
        <w:t>References to Agreements and Laws</w:t>
      </w:r>
      <w:r>
        <w:rPr>
          <w:rFonts w:ascii="Times New Roman" w:cs="Times New Roman" w:eastAsia="Times New Roman" w:hAnsi="Times New Roman"/>
          <w:sz w:val="22"/>
          <w:szCs w:val="22"/>
          <w:color w:val="auto"/>
        </w:rPr>
        <w:t>. Unless otherwise expressly provided herein, (a) any definition or reference to formation documents, governing documents, agreements (including the Loan Documents) and other contractual documents or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(b) any definition or reference to any Applicable Law, including Anti-Corruption Laws, Anti-Money Laundering Laws, the Bankruptcy Code, the Internal Revenue Code, the Commodity Exchange Act, ERISA, the PATRIOT Act, the Trading with the Enemy Act or any of the foreign assets control regulations of the United States Treasury Department, shall include all statutory and regulatory provisions consolidating, amending, replacing, supplementing or interpreting such Applicable Law.</w:t>
      </w:r>
    </w:p>
    <w:p>
      <w:pPr>
        <w:spacing w:after="0" w:line="12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ARTICLE II</w:t>
      </w:r>
    </w:p>
    <w:p>
      <w:pPr>
        <w:spacing w:after="0" w:line="19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AMOUNTS AND TERMS OF THE ADVANCES</w:t>
      </w:r>
    </w:p>
    <w:p>
      <w:pPr>
        <w:spacing w:after="0" w:line="206"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2.01.</w:t>
      </w:r>
      <w:r>
        <w:rPr>
          <w:sz w:val="20"/>
          <w:szCs w:val="20"/>
          <w:color w:val="auto"/>
        </w:rPr>
        <w:tab/>
      </w:r>
      <w:r>
        <w:rPr>
          <w:rFonts w:ascii="Times New Roman" w:cs="Times New Roman" w:eastAsia="Times New Roman" w:hAnsi="Times New Roman"/>
          <w:sz w:val="21"/>
          <w:szCs w:val="21"/>
          <w:u w:val="single" w:color="auto"/>
          <w:color w:val="auto"/>
        </w:rPr>
        <w:t>The Advances</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jc w:val="both"/>
        <w:ind w:firstLine="656"/>
        <w:spacing w:after="0" w:line="260" w:lineRule="auto"/>
        <w:tabs>
          <w:tab w:leader="none" w:pos="1104"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Revolving Advances</w:t>
      </w:r>
      <w:r>
        <w:rPr>
          <w:rFonts w:ascii="Times New Roman" w:cs="Times New Roman" w:eastAsia="Times New Roman" w:hAnsi="Times New Roman"/>
          <w:sz w:val="21"/>
          <w:szCs w:val="21"/>
          <w:color w:val="auto"/>
        </w:rPr>
        <w:t xml:space="preserve">. Subject to the terms and conditions of this Agreement and the other Loan Documents, and in reliance upon the representations and warranties set forth in this Agreement and the other Loan Documents, each Revolving Lender severally agrees to make Revolving Advances to the Borrowers (including the Company) in US Dollars and Foreign Currencies from time to time from the Restatement Effective Date through, but not including, the Termination Date as requested by the Company, on behalf of one or more Borrowers, in accordance with the terms of Section 2.02;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 after giving effect to any amount requested, (A) the Dollar Equivalent of the Revolving Credit Outstandings shall not exceed the aggregate Commitments and (B) the Dollar Equivalent of the Revolving Credit Exposure of each Revolving Lender shall not at any time exceed such Revolving Lender’s Commitment and (ii) a Revolving Lender may designate an Applicable Lending Office as a lender of all or a portion of its Commitment under this Agreement. Subject to the terms and conditions hereof, the Borrowers may borrow, repay and reborrow Revolving Advances hereunder until the Termination Date. Each Revolving Advance shall be comprised entirely of (i) in the case of a Revolving Advance denominated in Euros or other Currencies (other than US Dollars, Canadian Dollars, Sterling or Singapore Dollars), Eurocurrency Rate Advances, (ii) in the case of a Revolving Advance denominated in Canadian Dollars, Term CORRA Advances, (iii) in the case of a Revolving Advance denominated in Sterling, Daily Simple RFR Advances, (iv) in the case of a Revolving Advance denominated in Singapore Dollars, Daily Simple RFR Advances and (v) in the case of a Revolving Advance denominated in US Dollars, (A) Base Rate Advances or (B) Term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260" w:right="339" w:bottom="1440" w:gutter="0" w:footer="0" w:header="0"/>
        </w:sectPr>
      </w:pPr>
    </w:p>
    <w:bookmarkStart w:id="157" w:name="page158"/>
    <w:bookmarkEnd w:id="157"/>
    <w:p>
      <w:pPr>
        <w:spacing w:after="0" w:line="271" w:lineRule="auto"/>
        <w:rPr>
          <w:sz w:val="20"/>
          <w:szCs w:val="20"/>
          <w:color w:val="auto"/>
        </w:rPr>
      </w:pPr>
      <w:r>
        <w:rPr>
          <w:rFonts w:ascii="Times New Roman" w:cs="Times New Roman" w:eastAsia="Times New Roman" w:hAnsi="Times New Roman"/>
          <w:sz w:val="22"/>
          <w:szCs w:val="22"/>
          <w:color w:val="auto"/>
        </w:rPr>
        <w:t>Advances, each as further provided herein, in each case as the Company, on behalf of one or more Borrowers, may request in accordance therewith.</w:t>
      </w:r>
    </w:p>
    <w:p>
      <w:pPr>
        <w:spacing w:after="0" w:line="212" w:lineRule="exact"/>
        <w:rPr>
          <w:sz w:val="20"/>
          <w:szCs w:val="20"/>
          <w:color w:val="auto"/>
        </w:rPr>
      </w:pPr>
    </w:p>
    <w:p>
      <w:pPr>
        <w:ind w:left="1120" w:hanging="464"/>
        <w:spacing w:after="0"/>
        <w:tabs>
          <w:tab w:leader="none" w:pos="112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Loans</w:t>
      </w:r>
      <w:r>
        <w:rPr>
          <w:rFonts w:ascii="Times New Roman" w:cs="Times New Roman" w:eastAsia="Times New Roman" w:hAnsi="Times New Roman"/>
          <w:sz w:val="22"/>
          <w:szCs w:val="22"/>
          <w:color w:val="auto"/>
        </w:rPr>
        <w:t>.  [Reserved].</w:t>
      </w:r>
    </w:p>
    <w:p>
      <w:pPr>
        <w:spacing w:after="0" w:line="287" w:lineRule="exact"/>
        <w:rPr>
          <w:rFonts w:ascii="Times New Roman" w:cs="Times New Roman" w:eastAsia="Times New Roman" w:hAnsi="Times New Roman"/>
          <w:sz w:val="22"/>
          <w:szCs w:val="22"/>
          <w:color w:val="auto"/>
        </w:rPr>
      </w:pPr>
    </w:p>
    <w:p>
      <w:pPr>
        <w:ind w:right="20" w:firstLine="656"/>
        <w:spacing w:after="0" w:line="271" w:lineRule="auto"/>
        <w:tabs>
          <w:tab w:leader="none" w:pos="1246"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in the Loan Documents to the contrary, no Foreign Borrower or other Foreign Subsidiary shall be liable for Advances made to the Company or other Borrower Obligations of the Company.</w:t>
      </w:r>
    </w:p>
    <w:p>
      <w:pPr>
        <w:spacing w:after="0" w:line="212"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2.02.</w:t>
      </w:r>
      <w:r>
        <w:rPr>
          <w:sz w:val="20"/>
          <w:szCs w:val="20"/>
          <w:color w:val="auto"/>
        </w:rPr>
        <w:tab/>
      </w:r>
      <w:r>
        <w:rPr>
          <w:rFonts w:ascii="Times New Roman" w:cs="Times New Roman" w:eastAsia="Times New Roman" w:hAnsi="Times New Roman"/>
          <w:sz w:val="21"/>
          <w:szCs w:val="21"/>
          <w:u w:val="single" w:color="auto"/>
          <w:color w:val="auto"/>
        </w:rPr>
        <w:t>Making the Advances</w:t>
      </w:r>
      <w:r>
        <w:rPr>
          <w:rFonts w:ascii="Times New Roman" w:cs="Times New Roman" w:eastAsia="Times New Roman" w:hAnsi="Times New Roman"/>
          <w:sz w:val="21"/>
          <w:szCs w:val="21"/>
          <w:color w:val="auto"/>
        </w:rPr>
        <w:t>.</w:t>
      </w:r>
    </w:p>
    <w:p>
      <w:pPr>
        <w:spacing w:after="0" w:line="274" w:lineRule="exact"/>
        <w:rPr>
          <w:sz w:val="20"/>
          <w:szCs w:val="20"/>
          <w:color w:val="auto"/>
        </w:rPr>
      </w:pPr>
    </w:p>
    <w:p>
      <w:pPr>
        <w:jc w:val="both"/>
        <w:ind w:firstLine="656"/>
        <w:spacing w:after="0" w:line="258" w:lineRule="auto"/>
        <w:tabs>
          <w:tab w:leader="none" w:pos="1140" w:val="left"/>
        </w:tabs>
        <w:numPr>
          <w:ilvl w:val="1"/>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on behalf of one or more Borrowers in the case of an Advance, shall give the Administrative Agent irrevocable prior written notice substantially in the form of Exhibit B-1 (a “</w:t>
      </w:r>
      <w:r>
        <w:rPr>
          <w:rFonts w:ascii="Times New Roman" w:cs="Times New Roman" w:eastAsia="Times New Roman" w:hAnsi="Times New Roman"/>
          <w:sz w:val="21"/>
          <w:szCs w:val="21"/>
          <w:u w:val="single" w:color="auto"/>
          <w:color w:val="auto"/>
        </w:rPr>
        <w:t>Notice of Borrowing</w:t>
      </w:r>
      <w:r>
        <w:rPr>
          <w:rFonts w:ascii="Times New Roman" w:cs="Times New Roman" w:eastAsia="Times New Roman" w:hAnsi="Times New Roman"/>
          <w:sz w:val="21"/>
          <w:szCs w:val="21"/>
          <w:color w:val="auto"/>
        </w:rPr>
        <w:t>”) not later than 11:00 a.m. (New York City time) in the case of any Advance denominated in US Dollars and not later than the Applicable Time specified by the Administrative Agent in the case of any Advance denominated in a Foreign Currency (i) on (x) the same Business Day as each Base Rate Advance to the Company that will be funded in the United States and (y) the date that is at least two Business Days before each other Base Rate Advance (including any Base Rate Advance to a Foreign Borrower) and (ii)(A) in the case of a Term SOFR Advance, at least two RFR Business Days before such Term SOFR Advance, (B) in the case of a Term CORRA Advance, at least three RFR Business Days before such Term CORRA Advance, (C) in the case of an RFR Advance denominated in any Foreign Currency (other than a Term CORRA Advance), at least five RFR Business Days before such RFR Advance, and (D) in the case of a Eurocurrency Rate Advance denominated in any Foreign Currency, at least four Eurocurrency Banking Days before such Eurocurrency Rate Advance (or five Eurocurrency Banking Days in the case of a Special Notice Currency), of its intention to borrow, specifying (I) the date of such Borrowing, which shall be a Business Day, (II) the amount of such Borrowing, which shall be, (x) with respect to Base Rate Advances, in an aggregate principal amount of $3,000,000 or a Foreign Currency Equivalent thereof or a whole multiple of $1,000,000 or a Foreign Currency Equivalent thereof in excess thereof and (y) with respect to Eurocurrency Rate Advances and RFR Advances, in an aggregate principal amount of $5,000,000 or a Foreign Currency Equivalent thereof or a whole multiple of $1,000,000 or a Foreign Currency Equivalent thereof in excess thereof,</w:t>
      </w:r>
    </w:p>
    <w:p>
      <w:pPr>
        <w:spacing w:after="0" w:line="15" w:lineRule="exact"/>
        <w:rPr>
          <w:rFonts w:ascii="Times New Roman" w:cs="Times New Roman" w:eastAsia="Times New Roman" w:hAnsi="Times New Roman"/>
          <w:sz w:val="21"/>
          <w:szCs w:val="21"/>
          <w:color w:val="auto"/>
        </w:rPr>
      </w:pPr>
    </w:p>
    <w:p>
      <w:pPr>
        <w:jc w:val="both"/>
        <w:ind w:firstLine="8"/>
        <w:spacing w:after="0" w:line="259" w:lineRule="auto"/>
        <w:tabs>
          <w:tab w:leader="none" w:pos="430"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whether the Advances are to be Eurocurrency Rate Advances, Daily Simple RFR Advances, Term SOFR Advances, Term CORRA Advances or Base Rate Advances, (IV) the Currency of such Advances, (V) in the case of a Eurocurrency Rate Advance, a Term CORRA Advance or a Term SOFR Advance, the duration of the Interest Period applicable thereto and (VI) the applicable Borrower. If the Company fails to specify the Currency of an Advance in a Notice of Borrowing, then the applicable Advances shall be made in US Dollars. In connection with an Advance denominated in US Dollars, if the Company fails to specify a type of Advance in a Notice of Borrowing, then the applicable Advances shall be made as Base Rate Advances. If the Company fails to specify a Borrower, the Borrower shall be the Company. If the Company requests a Borrowing of a Eurocurrency Rate Advance, a Term CORRA Advance or a Term SOFR Advance in any such Notice of Borrowing, but fails to specify an Interest Period, it will be deemed to have specified an Interest Period of one month. A Notice of Borrowing received after 11:00 a.m. (New York City time) shall be deemed received on the next Business Day, RFR Business Day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260" w:right="339" w:bottom="1440" w:gutter="0" w:footer="0" w:header="0"/>
        </w:sectPr>
      </w:pPr>
    </w:p>
    <w:bookmarkStart w:id="158" w:name="page159"/>
    <w:bookmarkEnd w:id="158"/>
    <w:p>
      <w:pPr>
        <w:spacing w:after="0" w:line="271" w:lineRule="auto"/>
        <w:rPr>
          <w:sz w:val="20"/>
          <w:szCs w:val="20"/>
          <w:color w:val="auto"/>
        </w:rPr>
      </w:pPr>
      <w:r>
        <w:rPr>
          <w:rFonts w:ascii="Times New Roman" w:cs="Times New Roman" w:eastAsia="Times New Roman" w:hAnsi="Times New Roman"/>
          <w:sz w:val="22"/>
          <w:szCs w:val="22"/>
          <w:color w:val="auto"/>
        </w:rPr>
        <w:t>Eurocurrency Banking Day, as applicable. The Administrative Agent shall promptly notify the Lenders of each Notice of Borrowing.</w:t>
      </w:r>
    </w:p>
    <w:p>
      <w:pPr>
        <w:spacing w:after="0" w:line="158" w:lineRule="exact"/>
        <w:rPr>
          <w:sz w:val="20"/>
          <w:szCs w:val="20"/>
          <w:color w:val="auto"/>
        </w:rPr>
      </w:pPr>
    </w:p>
    <w:p>
      <w:pPr>
        <w:jc w:val="both"/>
        <w:ind w:firstLine="656"/>
        <w:spacing w:after="0" w:line="248" w:lineRule="auto"/>
        <w:tabs>
          <w:tab w:leader="none" w:pos="1133"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later than 1:00 p.m. (New York City time), in the case of any Advance denominated in US Dollars and not later than the Applicable Time specified by the Administrative Agent in the case of any Advance denominated in a Foreign Currency, in each case on the proposed borrowing date, each Lender will make available to the Administrative Agent, for the account of the applicable Borrower, at the office of the Administrative Agent in Same Day Funds in the applicable currency of such Borrowing immediately available to the Administrative Agent, such Lender’s ratable portion of such Borrowing. Each Borrower hereby irrevocably authorizes the Administrative Agent to disburse the proceeds of each Borrowing requested pursuant to this Section in immediately available funds by crediting or wiring such proceeds to the deposit account of the applicable Borrower identified in the most recent notice substantially in the form attached as Exhibit E (a “</w:t>
      </w:r>
      <w:r>
        <w:rPr>
          <w:rFonts w:ascii="Times New Roman" w:cs="Times New Roman" w:eastAsia="Times New Roman" w:hAnsi="Times New Roman"/>
          <w:sz w:val="22"/>
          <w:szCs w:val="22"/>
          <w:u w:val="single" w:color="auto"/>
          <w:color w:val="auto"/>
        </w:rPr>
        <w:t>Notice of Account Designation</w:t>
      </w:r>
      <w:r>
        <w:rPr>
          <w:rFonts w:ascii="Times New Roman" w:cs="Times New Roman" w:eastAsia="Times New Roman" w:hAnsi="Times New Roman"/>
          <w:sz w:val="22"/>
          <w:szCs w:val="22"/>
          <w:color w:val="auto"/>
        </w:rPr>
        <w:t>”) delivered by each Borrower to the Administrative Agent or as may be otherwise agreed upon by such Borrower and the Administrative Agent from time to time. The Administrative Agent shall not be obligated to disburse the portion of the proceeds of any Borrowing requested pursuant to this Section to the extent that any Lender has not made available to the Administrative Agent its ratable portion of such Borrowing.</w:t>
      </w:r>
    </w:p>
    <w:p>
      <w:pPr>
        <w:spacing w:after="0" w:line="198"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2.03.</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2.04.</w:t>
      </w:r>
      <w:r>
        <w:rPr>
          <w:sz w:val="20"/>
          <w:szCs w:val="20"/>
          <w:color w:val="auto"/>
        </w:rPr>
        <w:tab/>
      </w: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firstLine="656"/>
        <w:spacing w:after="0" w:line="251" w:lineRule="auto"/>
        <w:tabs>
          <w:tab w:leader="none" w:pos="1401"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Commitment Fee</w:t>
      </w:r>
      <w:r>
        <w:rPr>
          <w:rFonts w:ascii="Times New Roman" w:cs="Times New Roman" w:eastAsia="Times New Roman" w:hAnsi="Times New Roman"/>
          <w:sz w:val="22"/>
          <w:szCs w:val="22"/>
          <w:color w:val="auto"/>
        </w:rPr>
        <w:t>. Commencing on the Restatement Effective Date, the Company agrees to pay to the Administrative Agent in US Dollars, for the account of the Lenders, a non-refundable commitment fee (the “</w:t>
      </w:r>
      <w:r>
        <w:rPr>
          <w:rFonts w:ascii="Times New Roman" w:cs="Times New Roman" w:eastAsia="Times New Roman" w:hAnsi="Times New Roman"/>
          <w:sz w:val="22"/>
          <w:szCs w:val="22"/>
          <w:u w:val="single" w:color="auto"/>
          <w:color w:val="auto"/>
        </w:rPr>
        <w:t>Commitment Fee</w:t>
      </w:r>
      <w:r>
        <w:rPr>
          <w:rFonts w:ascii="Times New Roman" w:cs="Times New Roman" w:eastAsia="Times New Roman" w:hAnsi="Times New Roman"/>
          <w:sz w:val="22"/>
          <w:szCs w:val="22"/>
          <w:color w:val="auto"/>
        </w:rPr>
        <w:t>”) at a rate per annum equal to the Applicable Percentage in effect from time to time on the average daily Unused Commitments of the Lenders (other than the Defaulting Lenders, if any). The Commitment Fee shall be payable in arrears on the last Business Day of each calendar quarter during the term of this Agreement commencing June 30, 2022, and ending on the date upon which all Commitments have been terminated.</w:t>
      </w:r>
    </w:p>
    <w:p>
      <w:pPr>
        <w:spacing w:after="0" w:line="181" w:lineRule="exact"/>
        <w:rPr>
          <w:rFonts w:ascii="Times New Roman" w:cs="Times New Roman" w:eastAsia="Times New Roman" w:hAnsi="Times New Roman"/>
          <w:sz w:val="22"/>
          <w:szCs w:val="22"/>
          <w:color w:val="auto"/>
        </w:rPr>
      </w:pPr>
    </w:p>
    <w:p>
      <w:pPr>
        <w:ind w:firstLine="656"/>
        <w:spacing w:after="0" w:line="271" w:lineRule="auto"/>
        <w:tabs>
          <w:tab w:leader="none" w:pos="1129"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Fees</w:t>
      </w:r>
      <w:r>
        <w:rPr>
          <w:rFonts w:ascii="Times New Roman" w:cs="Times New Roman" w:eastAsia="Times New Roman" w:hAnsi="Times New Roman"/>
          <w:sz w:val="22"/>
          <w:szCs w:val="22"/>
          <w:color w:val="auto"/>
        </w:rPr>
        <w:t>. The Company shall pay to the Administrative Agent for its account fees in the amounts and at the times specified in the Engagement Letter.</w:t>
      </w:r>
    </w:p>
    <w:p>
      <w:pPr>
        <w:spacing w:after="0" w:line="171"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2.05.</w:t>
      </w:r>
      <w:r>
        <w:rPr>
          <w:sz w:val="20"/>
          <w:szCs w:val="20"/>
          <w:color w:val="auto"/>
        </w:rPr>
        <w:tab/>
      </w:r>
      <w:r>
        <w:rPr>
          <w:rFonts w:ascii="Times New Roman" w:cs="Times New Roman" w:eastAsia="Times New Roman" w:hAnsi="Times New Roman"/>
          <w:sz w:val="21"/>
          <w:szCs w:val="21"/>
          <w:u w:val="single" w:color="auto"/>
          <w:color w:val="auto"/>
        </w:rPr>
        <w:t>Termination, Reduction or Increase of the Commitments; Incremental Facilities</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jc w:val="both"/>
        <w:ind w:firstLine="656"/>
        <w:spacing w:after="0" w:line="250" w:lineRule="auto"/>
        <w:tabs>
          <w:tab w:leader="none" w:pos="1104"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Optional Termination or Reduction</w:t>
      </w:r>
      <w:r>
        <w:rPr>
          <w:rFonts w:ascii="Times New Roman" w:cs="Times New Roman" w:eastAsia="Times New Roman" w:hAnsi="Times New Roman"/>
          <w:sz w:val="22"/>
          <w:szCs w:val="22"/>
          <w:color w:val="auto"/>
        </w:rPr>
        <w:t xml:space="preserve">. The Borrowers shall have the right, upon at least three Business Days’ notice by the Company to the Administrative Agent, to terminate in whole or reduce ratably in part the Unused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partial reduction shall be in the aggregate amount of $10,000,000 or an integral multiple of $1,000,000, in excess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a notice of termination delivered by the Company may state that such notice is conditioned upon the consummation of another transaction, in which case such notice may be revoked by the Company (by notice to the Administrative Agent on or prior to the specified effective date) if such condition is not satisfied. The aggregate amount of the Commitments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260"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22"/>
          <w:szCs w:val="22"/>
          <w:color w:val="auto"/>
        </w:rPr>
        <w:t>Tranche once reduced as provided in this Section 2.05(a), may not be reinstated, except as provided in Section 2.05(b) below.</w:t>
      </w:r>
    </w:p>
    <w:p>
      <w:pPr>
        <w:spacing w:after="0" w:line="220" w:lineRule="exact"/>
        <w:rPr>
          <w:sz w:val="20"/>
          <w:szCs w:val="20"/>
          <w:color w:val="auto"/>
        </w:rPr>
      </w:pPr>
    </w:p>
    <w:p>
      <w:pPr>
        <w:jc w:val="both"/>
        <w:ind w:firstLine="656"/>
        <w:spacing w:after="0" w:line="246" w:lineRule="auto"/>
        <w:tabs>
          <w:tab w:leader="none" w:pos="1143"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Incremental Facilities</w:t>
      </w:r>
      <w:r>
        <w:rPr>
          <w:rFonts w:ascii="Times New Roman" w:cs="Times New Roman" w:eastAsia="Times New Roman" w:hAnsi="Times New Roman"/>
          <w:sz w:val="22"/>
          <w:szCs w:val="22"/>
          <w:color w:val="auto"/>
        </w:rPr>
        <w:t>. The Company, on behalf of the Borrowers, may at any time, by notice to the Administrative Agent, propose that the aggregate amount of the Commitments or Term Loan Commitments of any Tranche be increased (such aggregate amount being, a “Commitment Increase”) or that a new Tranche of term loans be established (an “Incremental Term Loan Commitment”, and together with a Commitment Increase, each an “Incremental Facility”), effective as at a date prior to the date of the termination of all of the Commitments or Term Loan Commitments, as applicable, of such Tranche (as such date may be changed by the Company by notice to the Administrative Agent, an “Increase Date”) as to which agreement is to be reached by an earlier date specified in such notice (as such date may be changed by the Company by notice to the Administrative Agent, a “Commitment Date”); provided, however, that (A) the minimum proposed Incremental Facility per notice shall be $25,000,000 (or such lesser amount as the Administrative Agent may agree), (B) in no event shall the aggregate amount of the Incremental Facilities exceed the Incremental Cap and (C) no Default or Event of Default shall have occurred and be continuing on such Increase Date. The Administrative Agent shall notify the Lenders thereof promptly upon its receipt of any such notice. The Administrative Agent agrees that it will cooperate with the Borrowers in discussions with the Lenders and other Eligible Assignees with a view to arranging the proposed Incremental Facility through the increase of the Commitments or Term Loan Commitments, as applicable, or the establishment of an Incremental Term Loan Commitment of one or more of the applicable Lenders (each such Lender that is willing to increase its Commitment or Term Loan Commitment, as applicable, or provide a portion of such Incremental Term Loan Commitment hereunder being an “Increasing Lender”) and the addition of one or more other Eligible Assignees as Assuming Lenders and as parties to this Agreement; provided, however, that it shall be in each Lender’s sole discretion whether to increase its Commitment or Term Loan Commitment, as applicable, or provide a portion of such Incremental Term Loan Commitment hereunder in connection with the proposed Incremental Facility; and provided further that the minimum Commitment, Term Loan Commitment or Incremental Term Loan Commitment, as applicable, of each such Assuming Lender that becomes a party to this Agreement pursuant to this Section 2.05(b), shall be at least equal to $10,000,000 (or such lesser amount as the Administrative Agent may agree). If any of the Lenders agree to increase their respective Commitments or Term Loan Commitments, as applicable, or provide an Incremental Term Loan Commitment by an aggregate amount in excess of the proposed Incremental Facility, the proposed Incremental Facility shall be allocated among such Lenders in proportion to their respective Commitments or Term Loan Commitments, as applicable, immediately prior to the Incremental Facility. If agreement is reached on or prior to the applicable Commitment Date with any Increasing Lenders and Assuming Lenders as to an Incremental Facility (which may be less than but not greater than specified in the applicable notice from the Company), such agreement to be evidenced by a notice in reasonable detail from the Company to the Administrative Agent on or prior to the applicable Commitment Date, such Assuming Lenders, if any, shall become Lenders hereunder as of the applicable Incremental Facility and the Commitments, Term Loan Commitments or Incremental Term Loan Commitments of such Increasing Lenders and such Assuming Lenders shall become or be, as the case may be, as of the Increase Date, the amounts specified in such notice; provided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260" w:right="339" w:bottom="1440" w:gutter="0" w:footer="0" w:header="0"/>
        </w:sectPr>
      </w:pPr>
    </w:p>
    <w:bookmarkStart w:id="160" w:name="page161"/>
    <w:bookmarkEnd w:id="160"/>
    <w:p>
      <w:pPr>
        <w:jc w:val="both"/>
        <w:ind w:left="660" w:firstLine="644"/>
        <w:spacing w:after="0" w:line="253" w:lineRule="auto"/>
        <w:tabs>
          <w:tab w:leader="none" w:pos="1836"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(with copies for each Lender, including each such Assuming Lender) by no later than 10:00 A.M. (New York City time) on the applicable Increase Date (1) certified copies of resolutions of the board of directors (or equivalent governing body) of the Borrowers approving the Incremental Facility and (2) an opinion of counsel for the Borrowers, in form and substance reasonably satisfactory to the Administrative Agent;</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27"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such Assuming Lender shall have delivered to the Administrative Agent, by no later than 10:00 A.M. (New York City time) on such Increase Date, an appropriate Assumption Agreement in substantially the form of Exhibit D hereto, duly executed by such Assuming Lender and the Company, on behalf of the Borrowers;</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22"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such Increasing Lender shall have delivered to the Administrative Agent, by no later than 10:00 A.M. (New York City time) on such Increase Date, (A) its existing Note, if any, and (B) confirmation in writing satisfactory to the Administrative Agent as to its increased Commitment or Term Loan Commitment or its Incremental Term Loan Commitment;</w:t>
      </w:r>
    </w:p>
    <w:p>
      <w:pPr>
        <w:spacing w:after="0" w:line="17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proceeds of any Incremental Facility shall be used for general corporate purposes of the Company and its</w:t>
      </w:r>
    </w:p>
    <w:p>
      <w:pPr>
        <w:spacing w:after="0" w:line="3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Subsidiaries;</w:t>
      </w:r>
    </w:p>
    <w:p>
      <w:pPr>
        <w:spacing w:after="0" w:line="209" w:lineRule="exact"/>
        <w:rPr>
          <w:rFonts w:ascii="Times New Roman" w:cs="Times New Roman" w:eastAsia="Times New Roman" w:hAnsi="Times New Roman"/>
          <w:sz w:val="21"/>
          <w:szCs w:val="21"/>
          <w:color w:val="auto"/>
        </w:rPr>
      </w:pPr>
    </w:p>
    <w:p>
      <w:pPr>
        <w:jc w:val="both"/>
        <w:ind w:left="660" w:firstLine="644"/>
        <w:spacing w:after="0" w:line="257" w:lineRule="auto"/>
        <w:tabs>
          <w:tab w:leader="none" w:pos="1815"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Incremental Facility (and the loans made thereunder) shall constitute obligations of the Borrowers and shall be guaranteed with the other Extensions of Credit and Guaranteed Obligations on a pari passu basis as set forth in Article VIII;</w:t>
      </w:r>
    </w:p>
    <w:p>
      <w:pPr>
        <w:spacing w:after="0" w:line="172" w:lineRule="exact"/>
        <w:rPr>
          <w:rFonts w:ascii="Times New Roman" w:cs="Times New Roman" w:eastAsia="Times New Roman" w:hAnsi="Times New Roman"/>
          <w:sz w:val="22"/>
          <w:szCs w:val="22"/>
          <w:color w:val="auto"/>
        </w:rPr>
      </w:pPr>
    </w:p>
    <w:p>
      <w:pPr>
        <w:ind w:left="660" w:firstLine="644"/>
        <w:spacing w:after="0" w:line="271" w:lineRule="auto"/>
        <w:tabs>
          <w:tab w:leader="none" w:pos="1786"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be in pro forma compliance with each of the financial covenants set forth in Section 5.03, both before and after giving effect (on a Pro Forma Basis) to any Incremental Facility;</w:t>
      </w:r>
    </w:p>
    <w:p>
      <w:pPr>
        <w:spacing w:after="0" w:line="171" w:lineRule="exact"/>
        <w:rPr>
          <w:rFonts w:ascii="Times New Roman" w:cs="Times New Roman" w:eastAsia="Times New Roman" w:hAnsi="Times New Roman"/>
          <w:sz w:val="22"/>
          <w:szCs w:val="22"/>
          <w:color w:val="auto"/>
        </w:rPr>
      </w:pPr>
    </w:p>
    <w:p>
      <w:pPr>
        <w:ind w:left="660" w:firstLine="644"/>
        <w:spacing w:after="0" w:line="271" w:lineRule="auto"/>
        <w:tabs>
          <w:tab w:leader="none" w:pos="1789"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terms and conditions applicable to any Incremental Facility with respect to an incremental term loan shall be reasonably satisfactory to the Administrative Agent and the Company; and</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89"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Incremental Facility with respect to a revolving credit facility increase shall be subject to the same terms and conditions as the existing Revolving Advances but shall bear interest and be entitled to fees, in each case at a rate determined by the applicable Increasing Lenders and the Company;</w:t>
      </w:r>
    </w:p>
    <w:p>
      <w:pPr>
        <w:spacing w:after="0" w:line="186"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21"/>
          <w:szCs w:val="21"/>
          <w:color w:val="auto"/>
        </w:rPr>
        <w:t>In the event that the Administrative Agent shall have received notice from the Company as to its agreement to an Incremental Facility on or prior to the applicable Commitment Date and each of the actions provided for in clauses (1) through</w:t>
      </w:r>
    </w:p>
    <w:p>
      <w:pPr>
        <w:spacing w:after="0" w:line="2" w:lineRule="exact"/>
        <w:rPr>
          <w:sz w:val="20"/>
          <w:szCs w:val="20"/>
          <w:color w:val="auto"/>
        </w:rPr>
      </w:pPr>
    </w:p>
    <w:p>
      <w:pPr>
        <w:jc w:val="both"/>
        <w:ind w:firstLine="8"/>
        <w:spacing w:after="0" w:line="247" w:lineRule="auto"/>
        <w:tabs>
          <w:tab w:leader="none" w:pos="34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shall have occurred prior to 10:00 A.M. (New York City time) on the applicable Increase Date to the reasonable satisfaction of the Administrative Agent, the Administrative Agent shall notify the Lenders (including any Assuming Lenders) and the Company of the occurrence of such Incremental Facility by telephone, confirmed at once in writing, or telecopier, and in any event no later than 1:00 P.M. (New York City time) on such Increase Date and shall record in the Register the relevant information with respect to each Increasing Lender and Assuming Lender. Each Increasing Lender and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260" w:right="339" w:bottom="1440" w:gutter="0" w:footer="0" w:header="0"/>
        </w:sectPr>
      </w:pPr>
    </w:p>
    <w:bookmarkStart w:id="161" w:name="page162"/>
    <w:bookmarkEnd w:id="161"/>
    <w:p>
      <w:pPr>
        <w:jc w:val="both"/>
        <w:spacing w:after="0" w:line="256" w:lineRule="auto"/>
        <w:rPr>
          <w:sz w:val="20"/>
          <w:szCs w:val="20"/>
          <w:color w:val="auto"/>
        </w:rPr>
      </w:pPr>
      <w:r>
        <w:rPr>
          <w:rFonts w:ascii="Times New Roman" w:cs="Times New Roman" w:eastAsia="Times New Roman" w:hAnsi="Times New Roman"/>
          <w:sz w:val="22"/>
          <w:szCs w:val="22"/>
          <w:color w:val="auto"/>
        </w:rPr>
        <w:t>Assuming Lender shall, to the extent applicable, before 2:00 P.M. (New York City time) on the applicable Increase Date, purchase at par that portion of outstanding Revolving Advances and L/C Obligations of the other Lenders or take such other actions as the Administrative Agent may reasonably determine to be necessary to cause the Revolving Advances to be funded and L/C Obligations held pro rata by the Lenders in accordance with the Revolving Commitments.</w:t>
      </w:r>
    </w:p>
    <w:p>
      <w:pPr>
        <w:spacing w:after="0" w:line="176" w:lineRule="exact"/>
        <w:rPr>
          <w:sz w:val="20"/>
          <w:szCs w:val="20"/>
          <w:color w:val="auto"/>
        </w:rPr>
      </w:pPr>
    </w:p>
    <w:p>
      <w:pPr>
        <w:jc w:val="both"/>
        <w:ind w:firstLine="656"/>
        <w:spacing w:after="0" w:line="265" w:lineRule="auto"/>
        <w:tabs>
          <w:tab w:leader="none" w:pos="1111"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Administrative Agent shall not have received notice from the Company as to such agreement on or prior to the applicable Commitment Date or the Company shall, by notice to the Administrative Agent prior to the applicable Increase Date, withdraw its proposal for an Incremental Facility or any of the actions provided for above in clauses (b)(1) through (b)(3) shall not have occurred by 10:00 A.M. (New York City time) on such Increase Date, such proposal by the Company shall be deemed not to have been made. In such event, any actions theretofore taken under clauses (b)(1) through (b)(3) above shall be deemed to be of no effect and all the rights and obligations of the parties shall continue as if no such proposal had been made.</w:t>
      </w:r>
    </w:p>
    <w:p>
      <w:pPr>
        <w:spacing w:after="0" w:line="168" w:lineRule="exact"/>
        <w:rPr>
          <w:rFonts w:ascii="Times New Roman" w:cs="Times New Roman" w:eastAsia="Times New Roman" w:hAnsi="Times New Roman"/>
          <w:sz w:val="21"/>
          <w:szCs w:val="21"/>
          <w:color w:val="auto"/>
        </w:rPr>
      </w:pPr>
    </w:p>
    <w:p>
      <w:pPr>
        <w:jc w:val="both"/>
        <w:ind w:firstLine="656"/>
        <w:spacing w:after="0" w:line="252" w:lineRule="auto"/>
        <w:tabs>
          <w:tab w:leader="none" w:pos="1185"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set forth in Section 9.01, the Company, on behalf of the Borrowers, the Administrative Agent, each Increasing Lender and each Assuming Lender may enter into amendments to this Agreement (without the consent of any other Lender) to implement and effect any Commitment Increase complying with the above provisions and each Lender hereto agrees to the foregoing.</w:t>
      </w:r>
    </w:p>
    <w:p>
      <w:pPr>
        <w:spacing w:after="0" w:line="1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2.06. </w:t>
      </w:r>
      <w:r>
        <w:rPr>
          <w:rFonts w:ascii="Times New Roman" w:cs="Times New Roman" w:eastAsia="Times New Roman" w:hAnsi="Times New Roman"/>
          <w:sz w:val="22"/>
          <w:szCs w:val="22"/>
          <w:u w:val="single" w:color="auto"/>
          <w:color w:val="auto"/>
        </w:rPr>
        <w:t>Repayment of Revolving Advances</w:t>
      </w:r>
      <w:r>
        <w:rPr>
          <w:rFonts w:ascii="Times New Roman" w:cs="Times New Roman" w:eastAsia="Times New Roman" w:hAnsi="Times New Roman"/>
          <w:sz w:val="22"/>
          <w:szCs w:val="22"/>
          <w:color w:val="auto"/>
        </w:rPr>
        <w:t xml:space="preserve">. The Borrowers shall repay the outstanding principal amount of all Revolving Advances in full on the Termination Date in the Currencies in which such Advances are denominated, together with all accrued but unpaid interest thereon and other amounts payable with respect to such Advances. If at any time the Dollar Equivalent of Revolving Credit Outstandings exceed the aggregate Commitments (other than as a result of changes in the Spot Rate), the Company agrees to repay promptly upon notice from the Administrative Agent, by payment to the Administrative Agent for the account of the Revolving Lenders, Extensions of Credit in an amount equal to such excess with each such repayment applied,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the principal amount of outstanding Revolving Advances and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to Cash Collateralize Letters of Credit then outstanding, in an amount necessary to eliminate such excess.</w:t>
      </w:r>
    </w:p>
    <w:p>
      <w:pPr>
        <w:spacing w:after="0" w:line="12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2.07. </w:t>
      </w:r>
      <w:r>
        <w:rPr>
          <w:rFonts w:ascii="Times New Roman" w:cs="Times New Roman" w:eastAsia="Times New Roman" w:hAnsi="Times New Roman"/>
          <w:sz w:val="22"/>
          <w:szCs w:val="22"/>
          <w:u w:val="single" w:color="auto"/>
          <w:color w:val="auto"/>
        </w:rPr>
        <w:t>Interest on Advances</w:t>
      </w:r>
      <w:r>
        <w:rPr>
          <w:rFonts w:ascii="Times New Roman" w:cs="Times New Roman" w:eastAsia="Times New Roman" w:hAnsi="Times New Roman"/>
          <w:sz w:val="22"/>
          <w:szCs w:val="22"/>
          <w:color w:val="auto"/>
        </w:rPr>
        <w:t>. (a) Scheduled Interest. Each Borrower shall pay interest on the unpaid principal amount of each Advance to it owing to each Lender from the date of such Advance until such principal amount shall be paid in full, at the following rates per annum:</w:t>
      </w:r>
    </w:p>
    <w:p>
      <w:pPr>
        <w:spacing w:after="0" w:line="113" w:lineRule="exact"/>
        <w:rPr>
          <w:sz w:val="20"/>
          <w:szCs w:val="20"/>
          <w:color w:val="auto"/>
        </w:rPr>
      </w:pPr>
    </w:p>
    <w:p>
      <w:pPr>
        <w:jc w:val="both"/>
        <w:ind w:left="660" w:firstLine="644"/>
        <w:spacing w:after="0" w:line="252" w:lineRule="auto"/>
        <w:tabs>
          <w:tab w:leader="none" w:pos="1755"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Rate Advances</w:t>
      </w:r>
      <w:r>
        <w:rPr>
          <w:rFonts w:ascii="Times New Roman" w:cs="Times New Roman" w:eastAsia="Times New Roman" w:hAnsi="Times New Roman"/>
          <w:sz w:val="22"/>
          <w:szCs w:val="22"/>
          <w:color w:val="auto"/>
        </w:rPr>
        <w:t xml:space="preserve">. During such periods as an Advance is a Base Rate Advance, a rate per annum equal at all times to the sum of (x) the Base Rate in effect from time to time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(y) the Applicable Margin in effect from time to time, payable in arrears quarterly on the last day of each March, June, September and December during such periods and on the date such Base Rate Advance shall be Converted or paid in full; or</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81" w:lineRule="auto"/>
        <w:tabs>
          <w:tab w:leader="none" w:pos="1842"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Advances</w:t>
      </w:r>
      <w:r>
        <w:rPr>
          <w:rFonts w:ascii="Times New Roman" w:cs="Times New Roman" w:eastAsia="Times New Roman" w:hAnsi="Times New Roman"/>
          <w:sz w:val="21"/>
          <w:szCs w:val="21"/>
          <w:color w:val="auto"/>
        </w:rPr>
        <w:t>. During such periods as an Advance is (A) a Daily Simple RFR Advance denominated in Sterling, a rate per annum equal at all times to the sum of (x) Daily Simple RFR plus (y) the Applicable Margin, (B) a Daily Simple RFR Advance denominated in a Foreign Currency (other than Sterling), a rate per annum equal at all times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260" w:right="339" w:bottom="1440" w:gutter="0" w:footer="0" w:header="0"/>
        </w:sectPr>
      </w:pPr>
    </w:p>
    <w:bookmarkStart w:id="162" w:name="page163"/>
    <w:bookmarkEnd w:id="162"/>
    <w:p>
      <w:pPr>
        <w:jc w:val="both"/>
        <w:ind w:left="660"/>
        <w:spacing w:after="0" w:line="268" w:lineRule="auto"/>
        <w:rPr>
          <w:sz w:val="20"/>
          <w:szCs w:val="20"/>
          <w:color w:val="auto"/>
        </w:rPr>
      </w:pPr>
      <w:r>
        <w:rPr>
          <w:rFonts w:ascii="Times New Roman" w:cs="Times New Roman" w:eastAsia="Times New Roman" w:hAnsi="Times New Roman"/>
          <w:sz w:val="21"/>
          <w:szCs w:val="21"/>
          <w:color w:val="auto"/>
        </w:rPr>
        <w:t>to the sum of (x) Daily Simple RFR plus (y) the Applicable Margin, (C) a Term SOFR Advance, a rate per annum equal at all times to the sum of (x) Term SOFR plus (y) the Applicable Margin, (D) a Term CORRA Advance, a rate per annum equal at all times to the sum of (x) Term CORRA plus (y) the Applicable Margin, and (D) Eurocurrency Rate Advances, a rate per annum equal at all times to the sum of (x) the applicable Adjusted Eurocurrency Rate plus (y) the Applicable Margin, payable in arrears on the Interest Payment Date and on the date such Advance shall be Converted or paid in full.</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Notwithstanding anything in this Agreement (including this Section 2.07) to the contrary, with respect to any Advance denominated in US Dollars as of the Restatement Effective Date, (A) the interest rate with respect to such Advance shall continue to be determined in accordance with the terms of this Agreement immediately prior to the Restatement Effective Date through and until the last day of the current Interest Period with respect to such Advance and (B) after the termination of such current Interest Period with respect to such Advance, the interest rate for such Advance will thereafter be determined in accordance with the current terms of this Agreement.</w:t>
      </w:r>
    </w:p>
    <w:p>
      <w:pPr>
        <w:spacing w:after="0" w:line="181" w:lineRule="exact"/>
        <w:rPr>
          <w:sz w:val="20"/>
          <w:szCs w:val="20"/>
          <w:color w:val="auto"/>
        </w:rPr>
      </w:pPr>
    </w:p>
    <w:p>
      <w:pPr>
        <w:jc w:val="both"/>
        <w:ind w:firstLine="656"/>
        <w:spacing w:after="0" w:line="260" w:lineRule="auto"/>
        <w:tabs>
          <w:tab w:leader="none" w:pos="1143" w:val="left"/>
        </w:tabs>
        <w:numPr>
          <w:ilvl w:val="1"/>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Default Interest</w:t>
      </w:r>
      <w:r>
        <w:rPr>
          <w:rFonts w:ascii="Times New Roman" w:cs="Times New Roman" w:eastAsia="Times New Roman" w:hAnsi="Times New Roman"/>
          <w:sz w:val="21"/>
          <w:szCs w:val="21"/>
          <w:color w:val="auto"/>
        </w:rPr>
        <w:t>. Upon the occurrence and during the continuance of an Event of Default under Section 6.01(a), the Administrative Agent may, and upon the request of the Required Lenders shall, require each applicable Borrower to pay interest (“</w:t>
      </w:r>
      <w:r>
        <w:rPr>
          <w:rFonts w:ascii="Times New Roman" w:cs="Times New Roman" w:eastAsia="Times New Roman" w:hAnsi="Times New Roman"/>
          <w:sz w:val="21"/>
          <w:szCs w:val="21"/>
          <w:u w:val="single" w:color="auto"/>
          <w:color w:val="auto"/>
        </w:rPr>
        <w:t>Default Interest</w:t>
      </w:r>
      <w:r>
        <w:rPr>
          <w:rFonts w:ascii="Times New Roman" w:cs="Times New Roman" w:eastAsia="Times New Roman" w:hAnsi="Times New Roman"/>
          <w:sz w:val="21"/>
          <w:szCs w:val="21"/>
          <w:color w:val="auto"/>
        </w:rPr>
        <w:t>”) on (i) overdue principal of each Advance made to it, or such other Borrower Obligations (including L/C Obligations) arising hereunder or under any other Loan Document, owing to each Lender and Issuing Lender, payable in arrears on the dates referred to in clause (a)(i) or (a)(ii) above, at a rate per annum equal at all times to 2% per annum above the rate per annum required to be paid on such Advance pursuant to clause (a)(i) or (a)(ii) above (or, with respect to such other Borrower Obligations, on the dates and at the rate per annum required to be paid with respect on Base Rate Advances pursuant to clause (a)</w:t>
      </w:r>
    </w:p>
    <w:p>
      <w:pPr>
        <w:spacing w:after="0" w:line="1" w:lineRule="exact"/>
        <w:rPr>
          <w:rFonts w:ascii="Times New Roman" w:cs="Times New Roman" w:eastAsia="Times New Roman" w:hAnsi="Times New Roman"/>
          <w:sz w:val="21"/>
          <w:szCs w:val="21"/>
          <w:color w:val="auto"/>
        </w:rPr>
      </w:pPr>
    </w:p>
    <w:p>
      <w:pPr>
        <w:jc w:val="both"/>
        <w:ind w:firstLine="8"/>
        <w:spacing w:after="0" w:line="246" w:lineRule="auto"/>
        <w:tabs>
          <w:tab w:leader="none" w:pos="267"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above) and (ii) to the fullest extent permitted by law, the amount of any overdue interest, Letter of Credit commission, fee or other amount payable hereunder with respect to Advances made to it, from the date such amount shall be due until such amount shall be paid in full, payable in arrears on the date such amount shall be paid in full and on demand, at a rate per annum equal at all times to 1% per annum above the rate per annum required to be paid on Base Rate Advances pursuant to clause (a)(i) above,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following acceleration of the Advances pursuant to Section 6.01, Default Interest shall accrue and be payable hereunder whether or not previously required by the Administrative Agent.</w:t>
      </w:r>
    </w:p>
    <w:p>
      <w:pPr>
        <w:spacing w:after="0" w:line="148" w:lineRule="exact"/>
        <w:rPr>
          <w:rFonts w:ascii="Times New Roman" w:cs="Times New Roman" w:eastAsia="Times New Roman" w:hAnsi="Times New Roman"/>
          <w:sz w:val="22"/>
          <w:szCs w:val="22"/>
          <w:color w:val="auto"/>
        </w:rPr>
      </w:pPr>
    </w:p>
    <w:p>
      <w:pPr>
        <w:jc w:val="both"/>
        <w:ind w:firstLine="656"/>
        <w:spacing w:after="0" w:line="247" w:lineRule="auto"/>
        <w:tabs>
          <w:tab w:leader="none" w:pos="1104"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Maximum Rate</w:t>
      </w:r>
      <w:r>
        <w:rPr>
          <w:rFonts w:ascii="Times New Roman" w:cs="Times New Roman" w:eastAsia="Times New Roman" w:hAnsi="Times New Roman"/>
          <w:sz w:val="22"/>
          <w:szCs w:val="22"/>
          <w:color w:val="auto"/>
        </w:rPr>
        <w:t>. In no contingency or event whatsoever shall the aggregate of all amounts deemed interest under this Agreement charged or collected pursuant to the terms of this Agreement exceed the highest rate permissible under any Applicable Law which a court of competent jurisdiction shall, in a final determination, deem applicable hereto. In the event that such a court determines that the Lenders have charged or received interest hereunder in excess of the highest applicable rate, the rate in effect hereunder shall automatically be reduced to the maximum rate permitted by Applicable Law and the Lenders shall at the Administrative Agent’s option (i) promptly refund to the applicable Borrower any interest received by the Lenders in excess of the maximum lawful rate or (ii) apply such excess to the principal balance of the Borrower Obligations. It is the intent hereof that the Borrowers not pay or contract to pay, and that neither the Administrative Agent nor any Lender receive or contract to receive, directly or indirectly in any manner whatsoever, interest in excess of that which may be paid by the Borrowers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260" w:right="339" w:bottom="1440" w:gutter="0" w:footer="0" w:header="0"/>
        </w:sectPr>
      </w:pPr>
    </w:p>
    <w:bookmarkStart w:id="163" w:name="page164"/>
    <w:bookmarkEnd w:id="163"/>
    <w:p>
      <w:pPr>
        <w:jc w:val="both"/>
        <w:ind w:firstLine="656"/>
        <w:spacing w:after="0" w:line="251" w:lineRule="auto"/>
        <w:tabs>
          <w:tab w:leader="none" w:pos="1224"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 Act (Canada)</w:t>
      </w:r>
      <w:r>
        <w:rPr>
          <w:rFonts w:ascii="Times New Roman" w:cs="Times New Roman" w:eastAsia="Times New Roman" w:hAnsi="Times New Roman"/>
          <w:sz w:val="22"/>
          <w:szCs w:val="22"/>
          <w:color w:val="auto"/>
        </w:rPr>
        <w:t>. For the purposes of the Interest Act (Canada), (i) whenever a rate of interest or fee rate hereunder is calculated on the basis of a year (the “</w:t>
      </w:r>
      <w:r>
        <w:rPr>
          <w:rFonts w:ascii="Times New Roman" w:cs="Times New Roman" w:eastAsia="Times New Roman" w:hAnsi="Times New Roman"/>
          <w:sz w:val="22"/>
          <w:szCs w:val="22"/>
          <w:u w:val="single" w:color="auto"/>
          <w:color w:val="auto"/>
        </w:rPr>
        <w:t>deemed year</w:t>
      </w:r>
      <w:r>
        <w:rPr>
          <w:rFonts w:ascii="Times New Roman" w:cs="Times New Roman" w:eastAsia="Times New Roman" w:hAnsi="Times New Roman"/>
          <w:sz w:val="22"/>
          <w:szCs w:val="22"/>
          <w:color w:val="auto"/>
        </w:rPr>
        <w:t>”) that contains fewer days than the actual number of days in the calendar year of calculation, such rate of interest or fee rate shall be expressed as a yearly rate by multiplying such rate of interest or fee rate by the actual number of days in the calendar year of calculation and dividing it by the number of days in the deemed year, (ii) the principle of deemed reinvestment of interest shall not apply to any interest calculation hereunder and (iii) the rates of interest stipulated herein are intended to be nominal rates and not effective rates or yields.</w:t>
      </w:r>
    </w:p>
    <w:p>
      <w:pPr>
        <w:spacing w:after="0" w:line="181"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2.08.</w:t>
      </w:r>
      <w:r>
        <w:rPr>
          <w:sz w:val="20"/>
          <w:szCs w:val="20"/>
          <w:color w:val="auto"/>
        </w:rPr>
        <w:tab/>
      </w:r>
      <w:r>
        <w:rPr>
          <w:rFonts w:ascii="Times New Roman" w:cs="Times New Roman" w:eastAsia="Times New Roman" w:hAnsi="Times New Roman"/>
          <w:sz w:val="21"/>
          <w:szCs w:val="21"/>
          <w:u w:val="single" w:color="auto"/>
          <w:color w:val="auto"/>
        </w:rPr>
        <w:t>Repayment of Loans</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ind w:left="1120" w:hanging="464"/>
        <w:spacing w:after="0"/>
        <w:tabs>
          <w:tab w:leader="none" w:pos="112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Loans</w:t>
      </w:r>
      <w:r>
        <w:rPr>
          <w:rFonts w:ascii="Times New Roman" w:cs="Times New Roman" w:eastAsia="Times New Roman" w:hAnsi="Times New Roman"/>
          <w:sz w:val="22"/>
          <w:szCs w:val="22"/>
          <w:color w:val="auto"/>
        </w:rPr>
        <w:t>. [Reserved].</w:t>
      </w:r>
    </w:p>
    <w:p>
      <w:pPr>
        <w:spacing w:after="0" w:line="233" w:lineRule="exact"/>
        <w:rPr>
          <w:rFonts w:ascii="Times New Roman" w:cs="Times New Roman" w:eastAsia="Times New Roman" w:hAnsi="Times New Roman"/>
          <w:sz w:val="22"/>
          <w:szCs w:val="22"/>
          <w:color w:val="auto"/>
        </w:rPr>
      </w:pPr>
    </w:p>
    <w:p>
      <w:pPr>
        <w:jc w:val="both"/>
        <w:ind w:firstLine="656"/>
        <w:spacing w:after="0" w:line="252" w:lineRule="auto"/>
        <w:tabs>
          <w:tab w:leader="none" w:pos="1183"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 Prepayment of Loans</w:t>
      </w:r>
      <w:r>
        <w:rPr>
          <w:rFonts w:ascii="Times New Roman" w:cs="Times New Roman" w:eastAsia="Times New Roman" w:hAnsi="Times New Roman"/>
          <w:sz w:val="22"/>
          <w:szCs w:val="22"/>
          <w:color w:val="auto"/>
        </w:rPr>
        <w:t>. The Company shall make mandatory principal prepayments of the Advances in the manner set forth in clause (c) below in an amount equal to one hundred percent (100%) of the aggregate net proceeds from any Debt Issuance other than any Debt Issuance permitted by Section 5.02(d). Such prepayment shall be made within three (3) Business Days after the date of receipt of the net proceeds of any such Debt Issuance.</w:t>
      </w:r>
    </w:p>
    <w:p>
      <w:pPr>
        <w:spacing w:after="0" w:line="179" w:lineRule="exact"/>
        <w:rPr>
          <w:rFonts w:ascii="Times New Roman" w:cs="Times New Roman" w:eastAsia="Times New Roman" w:hAnsi="Times New Roman"/>
          <w:sz w:val="22"/>
          <w:szCs w:val="22"/>
          <w:color w:val="auto"/>
        </w:rPr>
      </w:pPr>
    </w:p>
    <w:p>
      <w:pPr>
        <w:jc w:val="both"/>
        <w:ind w:firstLine="656"/>
        <w:spacing w:after="0" w:line="251" w:lineRule="auto"/>
        <w:tabs>
          <w:tab w:leader="none" w:pos="1266"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Manner of Payment</w:t>
      </w:r>
      <w:r>
        <w:rPr>
          <w:rFonts w:ascii="Times New Roman" w:cs="Times New Roman" w:eastAsia="Times New Roman" w:hAnsi="Times New Roman"/>
          <w:sz w:val="22"/>
          <w:szCs w:val="22"/>
          <w:color w:val="auto"/>
        </w:rPr>
        <w:t xml:space="preserve">. Upon the occurrence of any event triggering the prepayment requirement under paragraph (b) above, the Company shall promptly deliver notice thereof to the Administrative Agent and upon receipt of such notice, the Administrative Agent shall promptly so notify the Lenders. Each prepayment of the Loans under this Section shall be applied as follows: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ratably to any Term Loans to reduce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the remaining scheduled principal installments of any Term Loans and (ii)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to the extent of any excess, to reduce the Revolving Advances without a corresponding reduction in the Commitments.</w:t>
      </w:r>
    </w:p>
    <w:p>
      <w:pPr>
        <w:spacing w:after="0" w:line="181" w:lineRule="exact"/>
        <w:rPr>
          <w:rFonts w:ascii="Times New Roman" w:cs="Times New Roman" w:eastAsia="Times New Roman" w:hAnsi="Times New Roman"/>
          <w:sz w:val="22"/>
          <w:szCs w:val="22"/>
          <w:color w:val="auto"/>
        </w:rPr>
      </w:pPr>
    </w:p>
    <w:p>
      <w:pPr>
        <w:ind w:left="1680" w:hanging="376"/>
        <w:spacing w:after="0"/>
        <w:tabs>
          <w:tab w:leader="none" w:pos="1680"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No Reborrowings</w:t>
      </w:r>
      <w:r>
        <w:rPr>
          <w:rFonts w:ascii="Times New Roman" w:cs="Times New Roman" w:eastAsia="Times New Roman" w:hAnsi="Times New Roman"/>
          <w:sz w:val="22"/>
          <w:szCs w:val="22"/>
          <w:color w:val="auto"/>
        </w:rPr>
        <w:t>. Amounts prepaid under the Term Loans pursuant to this Section may not be reborrowed.</w:t>
      </w:r>
    </w:p>
    <w:p>
      <w:pPr>
        <w:spacing w:after="0" w:line="23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2.09. </w:t>
      </w:r>
      <w:r>
        <w:rPr>
          <w:rFonts w:ascii="Times New Roman" w:cs="Times New Roman" w:eastAsia="Times New Roman" w:hAnsi="Times New Roman"/>
          <w:sz w:val="22"/>
          <w:szCs w:val="22"/>
          <w:u w:val="single" w:color="auto"/>
          <w:color w:val="auto"/>
        </w:rPr>
        <w:t>Optional Conversion of Advances</w:t>
      </w:r>
      <w:r>
        <w:rPr>
          <w:rFonts w:ascii="Times New Roman" w:cs="Times New Roman" w:eastAsia="Times New Roman" w:hAnsi="Times New Roman"/>
          <w:sz w:val="22"/>
          <w:szCs w:val="22"/>
          <w:color w:val="auto"/>
        </w:rPr>
        <w:t>. The Company may, on behalf of one or more Borrowers, upon notice in substantially the form of Exhibit B-2 hereto (or such other form as shall be reasonably acceptable to the Administrative Agent) (a “</w:t>
      </w:r>
      <w:r>
        <w:rPr>
          <w:rFonts w:ascii="Times New Roman" w:cs="Times New Roman" w:eastAsia="Times New Roman" w:hAnsi="Times New Roman"/>
          <w:sz w:val="22"/>
          <w:szCs w:val="22"/>
          <w:u w:val="single" w:color="auto"/>
          <w:color w:val="auto"/>
        </w:rPr>
        <w:t>Notice of Continuation/Conversion</w:t>
      </w:r>
      <w:r>
        <w:rPr>
          <w:rFonts w:ascii="Times New Roman" w:cs="Times New Roman" w:eastAsia="Times New Roman" w:hAnsi="Times New Roman"/>
          <w:sz w:val="22"/>
          <w:szCs w:val="22"/>
          <w:color w:val="auto"/>
        </w:rPr>
        <w:t>”) given to the Administrative Agent not later than 11:00 A.M. (New York City time) (i) in the case of an Advance denominated in US Dollars that is to be a Term SOFR Advance, at least two RFR Business Days before the day on which a proposed conversion or continuation of such Advance is to be effective, (ii) in the case of an Advance denominated in Canadian Dollars that is to be a Term CORRA Advance, at least three RFR Business Days before the day on which a proposed conversion or continuation of such Advance is to be effective, (iii) in the case of an Advance denominated in any Foreign Currency (other than Canadian Dollars) that is to be an RFR Advance, at least five RFR Business Days before the day on which a proposed conversion or continuation of such Advance is to be effective, and (iv) in the case of an Advance denominated in any Foreign Currency that is to be a Eurocurrency Rate Advance, at least four (4) Eurocurrency Banking Days (or five (5) Eurocurrency Banking Days in the case of a Special Notice Currency) before the day on which a proposed conversion or continuation of such Advance is to be effective, in each case, specifying (A) the Advances to be converted or continued, and, in the case of any Eurocurrency Rate Advance, Term CORRA Advance or Term SOFR Advance to be converted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260" w:right="339" w:bottom="1440" w:gutter="0" w:footer="0" w:header="0"/>
        </w:sectPr>
      </w:pPr>
    </w:p>
    <w:bookmarkStart w:id="164" w:name="page165"/>
    <w:bookmarkEnd w:id="164"/>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continued, the last day of the Interest Period therefor, (B) the effective date of such conversion or continuation (which shall be a Business Day), (C) the principal amount and Currency of such Advances to be converted or continued, and (D) in the case of any Eurocurrency Rate Advance, Term CORRA Advance or Term SOFR Advance, the Interest Period to be applicable to such converted or continued Eurocurrency Rate Advance, Term CORRA Advance or Term SOFR Advance;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Conversion of Base Rate Advances into Eurocurrency Rate Advances or RFR Advances shall be in an amount not less than the minimum amount specified in Section 2.02(a). If a Borrower fails to deliver a timely Notice of Conversion/Continuation with respect to a Daily Simple RFR Advance prior to the Interest Payment Date therefor, then, unless such RFR Advance is repaid as provided herein, the applicable Borrower shall be deemed to have selected that such RFR Advance shall automatically be converted to a Base Rate Advance denominated in US Dollars (in an amount equal to the Dollar Equivalent of the applicable Foreign Currency, if applicable) as of such Interest Payment Date. If a Borrower fails to deliver a timely Notice of Conversion/Continuation with respect to a Eurocurrency Rate Advance, Term CORRA Advance or a Term SOFR Advance prior to the end of the Interest Period therefor, then, unless such Eurocurrency Rate Advance, Term CORRA Advance or Term SOFR Advance, as applicable, is repaid as provided herein, the applicable Borrower shall be deemed to have selected that such Eurocurrency Rate Advance, Term CORRA Advance or Term SOFR Advance, as applicable, shall automatically be converted to a Base Rate Advance denominated in US Dollars (in an amount equal to the Dollar Equivalent of the applicable Foreign Currency) at the end of such Interest Period. If a Borrower requests a conversion to, or continuation of, a Eurocurrency Rate Advance, Term CORRA Advance or a Term SOFR Advance, but fails to specify an Interest Period, it will be deemed to have specified an Interest Period of one month. Each Notice of Continuation/Conversion shall be irrevocable and binding on the Company and the applicable Borrower.</w:t>
      </w:r>
    </w:p>
    <w:p>
      <w:pPr>
        <w:spacing w:after="0" w:line="14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SECTION 2.10. </w:t>
      </w:r>
      <w:r>
        <w:rPr>
          <w:rFonts w:ascii="Times New Roman" w:cs="Times New Roman" w:eastAsia="Times New Roman" w:hAnsi="Times New Roman"/>
          <w:sz w:val="21"/>
          <w:szCs w:val="21"/>
          <w:u w:val="single" w:color="auto"/>
          <w:color w:val="auto"/>
        </w:rPr>
        <w:t>Optional Prepayment of Advances</w:t>
      </w:r>
      <w:r>
        <w:rPr>
          <w:rFonts w:ascii="Times New Roman" w:cs="Times New Roman" w:eastAsia="Times New Roman" w:hAnsi="Times New Roman"/>
          <w:sz w:val="21"/>
          <w:szCs w:val="21"/>
          <w:color w:val="auto"/>
        </w:rPr>
        <w:t>. (a) Each Borrower may at any time and from time to time prepay Advances, in whole or in part, with irrevocable prior written notice to the Administrative Agent from the Company substantially in the form attached as Exhibit F hereto (a “</w:t>
      </w:r>
      <w:r>
        <w:rPr>
          <w:rFonts w:ascii="Times New Roman" w:cs="Times New Roman" w:eastAsia="Times New Roman" w:hAnsi="Times New Roman"/>
          <w:sz w:val="21"/>
          <w:szCs w:val="21"/>
          <w:u w:val="single" w:color="auto"/>
          <w:color w:val="auto"/>
        </w:rPr>
        <w:t>Notice of Prepayment</w:t>
      </w:r>
      <w:r>
        <w:rPr>
          <w:rFonts w:ascii="Times New Roman" w:cs="Times New Roman" w:eastAsia="Times New Roman" w:hAnsi="Times New Roman"/>
          <w:sz w:val="21"/>
          <w:szCs w:val="21"/>
          <w:color w:val="auto"/>
        </w:rPr>
        <w:t>”) given not later than 11:00 a.m., in the case of any Advance denominated in US Dollars, and not later than the Applicable Time specified by the Administrative Agent in the case of any Advance denominated in a Foreign Currency (i) on the same Business Day as such prepayment is to occur, with respect to a Base Rate Advance and (ii)(A) in the case of a Term SOFR Advance, at least two RFR Business Days before prepayment of such Term SOFR Advance, (B) in the case of Term CORRA Advance, at least three RFR Business Days before prepayment of such Term CORRA Advance, (C) in the case of an RFR Advance denominated in any Foreign Currency (other than a Term CORRA Advance), at least five RFR Business Days before prepayment of such RFR Advance, and (D) in the case of a Eurocurrency Rate Advance denominated in any Foreign Currency, at least four Eurocurrency Banking Days before prepayment of such Eurocurrency Rate Advance (or five Eurocurrency Banking Days in the case of a prepayment of Eurocurrency Rate Advances denominated in a Special Notice Currency), specifying the date and amount of prepayment and whether the prepayment is of Eurocurrency Rate Advances, Daily Simple RFR Advances, Term SOFR Advances, Term CORRA Advances, Base Rate Advances, or a combination thereof, and, if of a combination thereof, the amount allocable to each. Prior to any prepayment of Advances the Company shall select the Borrowing or Borrowings to be prepaid and shall specify such selection, including the relevant Tranche, in the Notice of Prepayment. Upon receipt of such notice, the Administrative Agent shall promptly notify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260" w:right="339" w:bottom="1440" w:gutter="0" w:footer="0" w:header="0"/>
        </w:sectPr>
      </w:pPr>
    </w:p>
    <w:bookmarkStart w:id="165" w:name="page166"/>
    <w:bookmarkEnd w:id="165"/>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Lender of the Tranche being prepaid. If any such notice is given, the amount specified in such notice shall be due and payable on the date set forth in such notice;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a Notice of Prepayment is given in connection with a conditional notice of termination of Commitments as contemplated by Section 2.05(a), then such Notice of Prepayment may be revoked if such notice of termination is revoked in accordance with Section 2.05(a) and the applicable Borrower shall remain liable for any amounts in respect of such proposed prepayment as provided in Section 9.04. Partial prepayments shall be in an aggregate amount of $2,000,000 or a whole multiple of $1,000,000 in excess thereof with respect to Base Rate Advances, $5,000,000 or a whole multiple of $1,000,000 in excess thereof with respect to Eurocurrency Rate Advances and RFR Advances. A Notice of Prepayment received after 11:00 a.m. shall be deemed received on the next Business Day, Eurocurrency Banking Day or RFR Business Day, as applicable. Each such repayment shall be accompanied by any amount required to be paid pursuant to Section 9.04(c). No Borrower may prepay any Eurocurrency Rate Advance, Term CORRA Advance or Term SOFR Advance on any day other than on the last day of the Interest Period applicable thereto unless such prepayment is accompanied by any amount required to be paid pursuant to Section 9.04(c). No repayment or prepayment of the Advances pursuant to this Section shall affect any of the Company’s obligations under any Hedge Agreement entered into with respect to the Advances.</w:t>
      </w:r>
    </w:p>
    <w:p>
      <w:pPr>
        <w:spacing w:after="0" w:line="139" w:lineRule="exact"/>
        <w:rPr>
          <w:sz w:val="20"/>
          <w:szCs w:val="20"/>
          <w:color w:val="auto"/>
        </w:rPr>
      </w:pPr>
    </w:p>
    <w:p>
      <w:pPr>
        <w:jc w:val="both"/>
        <w:ind w:firstLine="656"/>
        <w:spacing w:after="0" w:line="263" w:lineRule="auto"/>
        <w:tabs>
          <w:tab w:leader="none" w:pos="1193"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prepayment of Term Loans pursuant to Section 2.10(a) shall be applied to reduce the subsequent scheduled repayments of Term Loans to be made pursuant to Section 2.08(a) as directed by the Company (and in the absence of any such direction shall be applied in direct order of maturity).</w:t>
      </w:r>
    </w:p>
    <w:p>
      <w:pPr>
        <w:spacing w:after="0" w:line="167"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u w:val="single" w:color="auto"/>
          <w:color w:val="auto"/>
        </w:rPr>
        <w:t>SECTION 2.11.</w:t>
      </w:r>
      <w:r>
        <w:rPr>
          <w:sz w:val="20"/>
          <w:szCs w:val="20"/>
          <w:color w:val="auto"/>
        </w:rPr>
        <w:tab/>
      </w:r>
      <w:r>
        <w:rPr>
          <w:rFonts w:ascii="Times New Roman" w:cs="Times New Roman" w:eastAsia="Times New Roman" w:hAnsi="Times New Roman"/>
          <w:sz w:val="21"/>
          <w:szCs w:val="21"/>
          <w:u w:val="single" w:color="auto"/>
          <w:color w:val="auto"/>
        </w:rPr>
        <w:t>Increased Costs</w:t>
      </w:r>
    </w:p>
    <w:p>
      <w:pPr>
        <w:spacing w:after="0" w:line="166" w:lineRule="exact"/>
        <w:rPr>
          <w:sz w:val="20"/>
          <w:szCs w:val="20"/>
          <w:color w:val="auto"/>
        </w:rPr>
      </w:pPr>
    </w:p>
    <w:p>
      <w:pPr>
        <w:ind w:left="1120" w:hanging="464"/>
        <w:spacing w:after="0"/>
        <w:tabs>
          <w:tab w:leader="none" w:pos="112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Increased Costs Generally</w:t>
      </w:r>
      <w:r>
        <w:rPr>
          <w:rFonts w:ascii="Times New Roman" w:cs="Times New Roman" w:eastAsia="Times New Roman" w:hAnsi="Times New Roman"/>
          <w:sz w:val="22"/>
          <w:szCs w:val="22"/>
          <w:color w:val="auto"/>
        </w:rPr>
        <w:t>. If any Change in Law shall:</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693"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impose, modify or deem applicable any reserve (including pursuant to regulations issued from time to time by the FRB for determining the maximum reserve requirement (including any emergency, special, supplemental or other marginal reserve requirement) with respect to eurocurrency funding (currently referred to as “Eurocurrency liabilities” in Regulation D of the FRB, as amended and in effect from time to time)), special deposit, compulsory loan, insurance charge or similar requirement against assets of, deposits with or for the account of, or advances, loans or other credit extended or participated in by, any Lender (except any reserve requirement reflected in the Adjusted Eurocurrency Rate) or any Issuing Lender;</w:t>
      </w:r>
    </w:p>
    <w:p>
      <w:pPr>
        <w:spacing w:after="0" w:line="179" w:lineRule="exact"/>
        <w:rPr>
          <w:rFonts w:ascii="Times New Roman" w:cs="Times New Roman" w:eastAsia="Times New Roman" w:hAnsi="Times New Roman"/>
          <w:sz w:val="20"/>
          <w:szCs w:val="20"/>
          <w:color w:val="auto"/>
        </w:rPr>
      </w:pPr>
    </w:p>
    <w:p>
      <w:pPr>
        <w:jc w:val="both"/>
        <w:ind w:left="660" w:firstLine="644"/>
        <w:spacing w:after="0" w:line="263" w:lineRule="auto"/>
        <w:tabs>
          <w:tab w:leader="none" w:pos="182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67" w:lineRule="exact"/>
        <w:rPr>
          <w:rFonts w:ascii="Times New Roman" w:cs="Times New Roman" w:eastAsia="Times New Roman" w:hAnsi="Times New Roman"/>
          <w:sz w:val="20"/>
          <w:szCs w:val="20"/>
          <w:color w:val="auto"/>
        </w:rPr>
      </w:pPr>
    </w:p>
    <w:p>
      <w:pPr>
        <w:jc w:val="both"/>
        <w:ind w:left="660" w:firstLine="644"/>
        <w:spacing w:after="0" w:line="263" w:lineRule="auto"/>
        <w:tabs>
          <w:tab w:leader="none" w:pos="1802"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impose on any Lender or any Issuing Lender or (with respect to Eurocurrency Rate Advances) the applicable offshore interbank market any other condition, cost or expense (other than Taxes) affecting this Agreement or Advances made by such Lender or any Letter of Credit or participation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260" w:right="339" w:bottom="1440" w:gutter="0" w:footer="0" w:header="0"/>
        </w:sectPr>
      </w:pPr>
    </w:p>
    <w:bookmarkStart w:id="166" w:name="page167"/>
    <w:bookmarkEnd w:id="166"/>
    <w:p>
      <w:pPr>
        <w:jc w:val="both"/>
        <w:spacing w:after="0" w:line="250" w:lineRule="auto"/>
        <w:rPr>
          <w:sz w:val="20"/>
          <w:szCs w:val="20"/>
          <w:color w:val="auto"/>
        </w:rPr>
      </w:pPr>
      <w:r>
        <w:rPr>
          <w:rFonts w:ascii="Times New Roman" w:cs="Times New Roman" w:eastAsia="Times New Roman" w:hAnsi="Times New Roman"/>
          <w:sz w:val="22"/>
          <w:szCs w:val="22"/>
          <w:color w:val="auto"/>
        </w:rPr>
        <w:t>and the result of any of the foregoing shall be to increase the cost to such Lender, any Issuing Lender or such other Recipient of making, converting to, continuing or maintaining any Advance (or of maintaining its obligation to make any such Advance), or to increase the cost to such Lender, such Issuing Lender or such other Recipient of participating in, issuing or maintaining any Letter of Credit (or of maintaining its obligation to participate in or to issue any Letter of Credit), or to reduce the amount of any sum received or receivable by such Lender, such Issuing Lender or such other Recipient hereunder (whether of principal, interest or any other amount) then, upon written request of such Lender, such Issuing Lender or other Recipient, the Company shall promptly pay to any such Lender, such Issuing Lender or other Recipient, as the case may be, such additional amount or amounts as will compensate such Lender, such Issuing Lender or other Recipient, as the case may be, for such additional costs incurred or reduction suffered.</w:t>
      </w:r>
    </w:p>
    <w:p>
      <w:pPr>
        <w:spacing w:after="0" w:line="180" w:lineRule="exact"/>
        <w:rPr>
          <w:sz w:val="20"/>
          <w:szCs w:val="20"/>
          <w:color w:val="auto"/>
        </w:rPr>
      </w:pPr>
    </w:p>
    <w:p>
      <w:pPr>
        <w:jc w:val="both"/>
        <w:ind w:firstLine="656"/>
        <w:spacing w:after="0" w:line="248" w:lineRule="auto"/>
        <w:tabs>
          <w:tab w:leader="none" w:pos="1237"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 Requirements</w:t>
      </w:r>
      <w:r>
        <w:rPr>
          <w:rFonts w:ascii="Times New Roman" w:cs="Times New Roman" w:eastAsia="Times New Roman" w:hAnsi="Times New Roman"/>
          <w:sz w:val="22"/>
          <w:szCs w:val="22"/>
          <w:color w:val="auto"/>
        </w:rPr>
        <w:t>. If any Lender or any Issuing Lender determines that any Change in Law affecting such Lender or such Issuing Lender or any Applicable Lending Office of such Lender or such Lender’s or such Issuing Lender’s holding company, if any, regarding capital or liquidity requirements, has or would have the effect of reducing the rate of return on such Lender’s or such Issuing Lender’s capital or on the capital of such Lender’s or such Issuing Lender’s holding company, if any, as a consequence of this Agreement, the Commitment of such Lender or the Advances made by, or participations in Letters of Credit held by, such Lender, or the Letters of Credit issued by such Issuing Lender, to a level below that which such Lender or such Issuing Lender or such Lender’s or such Issuing Lender’s holding company could have achieved but for such Change in Law (taking into consideration such Lender’s or such Issuing Lender’s policies and the policies of such Lender’s or such Issuing Lender’s holding company with respect to capital adequacy and liquidity), then from time to time upon written request of such Lender or such Issuing Lender the Company shall promptly pay to such Lender or such Issuing Lender, as the case may be, such additional amount or amounts as will compensate such Lender or such Issuing Lender or such Lender’s or such Issuing Lender’s holding company for any such reduction suffered.</w:t>
      </w:r>
    </w:p>
    <w:p>
      <w:pPr>
        <w:spacing w:after="0" w:line="184" w:lineRule="exact"/>
        <w:rPr>
          <w:rFonts w:ascii="Times New Roman" w:cs="Times New Roman" w:eastAsia="Times New Roman" w:hAnsi="Times New Roman"/>
          <w:sz w:val="22"/>
          <w:szCs w:val="22"/>
          <w:color w:val="auto"/>
        </w:rPr>
      </w:pPr>
    </w:p>
    <w:p>
      <w:pPr>
        <w:jc w:val="both"/>
        <w:ind w:firstLine="656"/>
        <w:spacing w:after="0" w:line="253" w:lineRule="auto"/>
        <w:tabs>
          <w:tab w:leader="none" w:pos="1104"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Certificates for Reimbursement</w:t>
      </w:r>
      <w:r>
        <w:rPr>
          <w:rFonts w:ascii="Times New Roman" w:cs="Times New Roman" w:eastAsia="Times New Roman" w:hAnsi="Times New Roman"/>
          <w:sz w:val="22"/>
          <w:szCs w:val="22"/>
          <w:color w:val="auto"/>
        </w:rPr>
        <w:t>. A certificate of a Lender, an Issuing Lender or such other Recipient setting forth the amount or amounts necessary to compensate such Lender or such Issuing Lender, such other Recipient or any of their respective holding companies, as the case may be, as specified in paragraph (a) or (b) of this Section and delivered to the Company, shall be conclusive absent manifest error. The Company shall pay such Lender or such Issuing Lender or such other Recipient, as the case may be, the amount shown as due on any such certificate within ten (10) days after receipt thereof.</w:t>
      </w:r>
    </w:p>
    <w:p>
      <w:pPr>
        <w:spacing w:after="0" w:line="178" w:lineRule="exact"/>
        <w:rPr>
          <w:rFonts w:ascii="Times New Roman" w:cs="Times New Roman" w:eastAsia="Times New Roman" w:hAnsi="Times New Roman"/>
          <w:sz w:val="22"/>
          <w:szCs w:val="22"/>
          <w:color w:val="auto"/>
        </w:rPr>
      </w:pPr>
    </w:p>
    <w:p>
      <w:pPr>
        <w:jc w:val="both"/>
        <w:ind w:firstLine="656"/>
        <w:spacing w:after="0" w:line="250" w:lineRule="auto"/>
        <w:tabs>
          <w:tab w:leader="none" w:pos="1129"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Delay in Request</w:t>
      </w:r>
      <w:r>
        <w:rPr>
          <w:rFonts w:ascii="Times New Roman" w:cs="Times New Roman" w:eastAsia="Times New Roman" w:hAnsi="Times New Roman"/>
          <w:sz w:val="22"/>
          <w:szCs w:val="22"/>
          <w:color w:val="auto"/>
        </w:rPr>
        <w:t>. Failure or delay on the part of any Lender, any Issuing Lender or such other Recipient to demand compensation pursuant to this Section shall not constitute a waiver of such Lender’s, such Issuing Lender’s or such other Recipient’s right to demand such compensation; provided that the Company shall not be required to compensate any Lender, any Issuing Lender or any other Recipient pursuant to this Section for any increased costs incurred or reductions suffered more than nine (9) months prior to the date that such Lender, such Issuing Lender or such other Recipient, as the case may be, notifies the Company of the Change in Law giving rise to such increased costs or reductions, and of such Lender’s, such Issuing Lender’s or such other Recipient’s intention to claim compensation therefor (except that if the Change in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260" w:right="339" w:bottom="1440" w:gutter="0" w:footer="0" w:header="0"/>
        </w:sectPr>
      </w:pPr>
    </w:p>
    <w:bookmarkStart w:id="167" w:name="page168"/>
    <w:bookmarkEnd w:id="167"/>
    <w:p>
      <w:pPr>
        <w:spacing w:after="0" w:line="271" w:lineRule="auto"/>
        <w:rPr>
          <w:sz w:val="20"/>
          <w:szCs w:val="20"/>
          <w:color w:val="auto"/>
        </w:rPr>
      </w:pPr>
      <w:r>
        <w:rPr>
          <w:rFonts w:ascii="Times New Roman" w:cs="Times New Roman" w:eastAsia="Times New Roman" w:hAnsi="Times New Roman"/>
          <w:sz w:val="22"/>
          <w:szCs w:val="22"/>
          <w:color w:val="auto"/>
        </w:rPr>
        <w:t>giving rise to such increased costs or reductions is retroactive, then the nine-month period referred to above shall be extended to include the period of retroactive effect thereof).</w:t>
      </w:r>
    </w:p>
    <w:p>
      <w:pPr>
        <w:spacing w:after="0" w:line="158" w:lineRule="exact"/>
        <w:rPr>
          <w:sz w:val="20"/>
          <w:szCs w:val="20"/>
          <w:color w:val="auto"/>
        </w:rPr>
      </w:pPr>
    </w:p>
    <w:p>
      <w:pPr>
        <w:jc w:val="both"/>
        <w:ind w:firstLine="656"/>
        <w:spacing w:after="0" w:line="263" w:lineRule="auto"/>
        <w:tabs>
          <w:tab w:leader="none" w:pos="1266"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All of the obligations of the Credit Parties under this Section 2.11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67"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2.12.</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2.13. </w:t>
      </w:r>
      <w:r>
        <w:rPr>
          <w:rFonts w:ascii="Times New Roman" w:cs="Times New Roman" w:eastAsia="Times New Roman" w:hAnsi="Times New Roman"/>
          <w:sz w:val="22"/>
          <w:szCs w:val="22"/>
          <w:u w:val="single" w:color="auto"/>
          <w:color w:val="auto"/>
        </w:rPr>
        <w:t>Payments and Computations</w:t>
      </w:r>
      <w:r>
        <w:rPr>
          <w:rFonts w:ascii="Times New Roman" w:cs="Times New Roman" w:eastAsia="Times New Roman" w:hAnsi="Times New Roman"/>
          <w:sz w:val="22"/>
          <w:szCs w:val="22"/>
          <w:color w:val="auto"/>
        </w:rPr>
        <w:t>. (a) Each Borrower shall make each payment required to be made by it hereunder and under any other Loan Documents not later than 12:00 noon (New York City time) on the day when due in US Dollars to the Administrative Agent at its offices at 1525 W. W.T. Harris Blvd., 1st Floor, Charlotte, NC 28262-8522 in same day funds. The Administrative Agent will promptly thereafter cause to be distributed like funds relating to the payment of principal or interest or commitment fees ratably (other than amounts payable pursuant to Section 2.11, 2.14 or 9.04(c)) to the applicable Lenders for the account of their respective Applicable Lending Offices, and like funds relating to the payment of any other amount payable to any Lender to such Lender for the account of its Applicable Lending Office, in each case to be applied in accordance with the terms of this Agreement. Upon its acceptance of an Assignment and Assumption and recording of the information contained therein in the Register pursuant to Section 9.07(c), from and after the effective date specified in such Assignment and Assumption, the Administrative Agent shall make all payments hereunder and under any other Loan Documents in respect of the interest assigned thereby to the Lender assignee thereunder, and the parties to such Assignment and Assumption shall make all appropriate adjustments in such payments for periods prior to such effective date directly between themselves. Upon any Assuming Lender becoming a Lender hereunder as a result of the effectiveness of a Commitment Increase pursuant to Section 2.05(b) or an extension of the Termination Date pursuant to Section 2.17 and upon the Administrative Agent’s receipt of such Lender’s Assumption Agreement and recording of the information contained therein in the Register, from and after the applicable Increase Date or Extension Date, as the case may be, the Administrative Agent shall make all payments hereunder and under any other Loan Documents issued in connection therewith in respect of the interest assumed thereby to the Assuming Lender.</w:t>
      </w:r>
    </w:p>
    <w:p>
      <w:pPr>
        <w:spacing w:after="0" w:line="147" w:lineRule="exact"/>
        <w:rPr>
          <w:sz w:val="20"/>
          <w:szCs w:val="20"/>
          <w:color w:val="auto"/>
        </w:rPr>
      </w:pPr>
    </w:p>
    <w:p>
      <w:pPr>
        <w:jc w:val="both"/>
        <w:ind w:firstLine="656"/>
        <w:spacing w:after="0" w:line="250" w:lineRule="auto"/>
        <w:tabs>
          <w:tab w:leader="none" w:pos="1136"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computations of interest based on Wells Fargo Bank’s prime rate shall be made by the Administrative Agent on the basis of a year of 365 or 366 days, as the case may be, and actual days elapsed. All other computations of fees and interest provided hereunder shall be made on the basis of a 360-day year and actual days elapsed (which results in more fees or interest, as applicable, being paid than if computed on the basis of a 365/366-day year), except that interest on Advances denominated in any Foreign Currency as to which market practice differs from the foregoing shall be computed in accordance with market practice for such Advances. Each determination by the Administrative Agent of an interest rate hereunder shall be conclusive and binding for all purposes, absent demonstrable error.</w:t>
      </w:r>
    </w:p>
    <w:p>
      <w:pPr>
        <w:spacing w:after="0" w:line="180" w:lineRule="exact"/>
        <w:rPr>
          <w:rFonts w:ascii="Times New Roman" w:cs="Times New Roman" w:eastAsia="Times New Roman" w:hAnsi="Times New Roman"/>
          <w:sz w:val="22"/>
          <w:szCs w:val="22"/>
          <w:color w:val="auto"/>
        </w:rPr>
      </w:pPr>
    </w:p>
    <w:p>
      <w:pPr>
        <w:jc w:val="both"/>
        <w:ind w:firstLine="656"/>
        <w:spacing w:after="0" w:line="257" w:lineRule="auto"/>
        <w:tabs>
          <w:tab w:leader="none" w:pos="1131"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any payment hereunder shall be stated to be due on a day other than a Business Day, such payment shall be made on the next succeeding Business Day, and such extension of time shall in such case be included in the computation of payment of interest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260" w:right="339" w:bottom="1440" w:gutter="0" w:footer="0" w:header="0"/>
        </w:sectPr>
      </w:pPr>
    </w:p>
    <w:bookmarkStart w:id="168" w:name="page169"/>
    <w:bookmarkEnd w:id="168"/>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commitment fee, as the case may be;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such extension would cause payment of interest on or principal of Eurocurrency Rate Advances to be made in the next following calendar month, such payment shall be made on the next preceding Business Day.</w:t>
      </w:r>
    </w:p>
    <w:p>
      <w:pPr>
        <w:spacing w:after="0" w:line="186" w:lineRule="exact"/>
        <w:rPr>
          <w:sz w:val="20"/>
          <w:szCs w:val="20"/>
          <w:color w:val="auto"/>
        </w:rPr>
      </w:pPr>
    </w:p>
    <w:p>
      <w:pPr>
        <w:jc w:val="both"/>
        <w:ind w:firstLine="656"/>
        <w:spacing w:after="0" w:line="249" w:lineRule="auto"/>
        <w:tabs>
          <w:tab w:leader="none" w:pos="1239"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Administrative Agent shall have received notice from the Company prior to the date on which any payment is due to the Lenders hereunder that the applicable Borrower will not make such payment in full, the Administrative Agent may assume that such Borrower has made such payment in full to the Administrative Agent on such date and the Administrative Agent may, in reliance upon such assumption, cause to be distributed to each Lender on such due date an amount equal to the amount then due such Lender. If and to the extent the applicable Borrower shall not have so made such payment in full to the Administrative Agent, each Lender shall repay to the Administrative Agent forthwith on demand such amount distributed to such Lender together with interest thereon, for each day from the date such amount is distributed to such Lender until the date such Lender repays such amount to the Administrative Agent, at the Federal Funds Rate.</w:t>
      </w:r>
    </w:p>
    <w:p>
      <w:pPr>
        <w:spacing w:after="0" w:line="18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2.14.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(a) Any and all payments by any Credit Party hereunder shall be made free and clear of and without deduction or withholding for any and all present or future Taxes and all liabilities with respect thereto, except as required by Applicable Law. If any Credit Party shall be required by law to deduct or withhold any Taxes from or in respect of any sum payable hereunder to any Lender or the Administrative Agent, (i) if such Taxes are Indemnified Taxes, the sum payable by the applicable Credit Party shall be increased as may be necessary so that after making all required deductions or withholding (including deductions or withholding applicable to additional sums payable under this Section 2.14) such Lender or the Administrative Agent (as the case may be) receives an amount equal to the sum it would have received had no such deductions or withholding been made, (ii) such Credit Party shall make such deductions and (iii) such Credit Party shall pay the full amount deducted to the relevant Governmental Authority in accordance with Applicable Law.</w:t>
      </w:r>
    </w:p>
    <w:p>
      <w:pPr>
        <w:spacing w:after="0" w:line="12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addition, without duplication of Section 2.14(a), each Credit Party agrees to pay to the relevant Governmental Authority in accordance with Applicable Law, or at the option of the Administrative Agent reimburse it for the payment of, any Other Taxes.</w:t>
      </w:r>
    </w:p>
    <w:p>
      <w:pPr>
        <w:spacing w:after="0" w:line="173" w:lineRule="exact"/>
        <w:rPr>
          <w:sz w:val="20"/>
          <w:szCs w:val="20"/>
          <w:color w:val="auto"/>
        </w:rPr>
      </w:pPr>
    </w:p>
    <w:p>
      <w:pPr>
        <w:jc w:val="both"/>
        <w:ind w:firstLine="656"/>
        <w:spacing w:after="0" w:line="268" w:lineRule="auto"/>
        <w:tabs>
          <w:tab w:leader="none" w:pos="1160"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the Guarantors jointly and severally shall indemnify each Lender and the Administrative Agent for the full amount of Indemnified Taxes (including, without limitation, any Taxes imposed by any jurisdiction on amounts payable under this Section 2.14) imposed on or paid by such Lender or the Administrative Agent (as the case may be) and any liability (including penalties, interest and expenses) arising therefrom or with respect thereto. This indemnification shall be made within 30 days from the date such Lender or the Administrative Agent (as the case may be) makes written demand therefor.</w:t>
      </w:r>
    </w:p>
    <w:p>
      <w:pPr>
        <w:spacing w:after="0" w:line="163" w:lineRule="exact"/>
        <w:rPr>
          <w:rFonts w:ascii="Times New Roman" w:cs="Times New Roman" w:eastAsia="Times New Roman" w:hAnsi="Times New Roman"/>
          <w:sz w:val="21"/>
          <w:szCs w:val="21"/>
          <w:color w:val="auto"/>
        </w:rPr>
      </w:pPr>
    </w:p>
    <w:p>
      <w:pPr>
        <w:jc w:val="both"/>
        <w:ind w:firstLine="656"/>
        <w:spacing w:after="0" w:line="253" w:lineRule="auto"/>
        <w:tabs>
          <w:tab w:leader="none" w:pos="1134"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30 days after the date of any payment of Taxes (including Excluded Taxes) to a Governmental Authority by the Company or any Foreign Borrower pursuant to this Section 2.14, the Company shall furnish to the Administrative Agent, at its address referred to in Section 9.02, the original or a certified copy of a receipt evidencing payment thereof. The Administrative Agent will post any receipt so received in relation to the payment of Taxes (including Excluded Taxes) from the Company or any Foreign Borrower on the Platform promptly upon receipt.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260" w:right="339" w:bottom="1440" w:gutter="0" w:footer="0" w:header="0"/>
        </w:sectPr>
      </w:pPr>
    </w:p>
    <w:bookmarkStart w:id="169" w:name="page170"/>
    <w:bookmarkEnd w:id="169"/>
    <w:p>
      <w:pPr>
        <w:jc w:val="both"/>
        <w:ind w:firstLine="656"/>
        <w:spacing w:after="0" w:line="246" w:lineRule="auto"/>
        <w:tabs>
          <w:tab w:leader="none" w:pos="1187"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Lender that is entitled to an exemption from or reduction of withholding Tax with respect to payments made under any Loan Document shall deliver to the Company and the Administrative Agent, at the time or times reasonably requested the Company or the Administrative Agent, such properly completed and executed documentation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Without limiting the generality of the foregoing, each Lender organized under the laws of a jurisdiction outside the United States (each, a “</w:t>
      </w:r>
      <w:r>
        <w:rPr>
          <w:rFonts w:ascii="Times New Roman" w:cs="Times New Roman" w:eastAsia="Times New Roman" w:hAnsi="Times New Roman"/>
          <w:sz w:val="22"/>
          <w:szCs w:val="22"/>
          <w:u w:val="single" w:color="auto"/>
          <w:color w:val="auto"/>
        </w:rPr>
        <w:t>Foreign Lender</w:t>
      </w:r>
      <w:r>
        <w:rPr>
          <w:rFonts w:ascii="Times New Roman" w:cs="Times New Roman" w:eastAsia="Times New Roman" w:hAnsi="Times New Roman"/>
          <w:sz w:val="22"/>
          <w:szCs w:val="22"/>
          <w:color w:val="auto"/>
        </w:rPr>
        <w:t>”), on or prior to the date of its execution and delivery of this Agreement in the case of each Initial Lender and on the date of the Assumption Agreement or the Assignment and Assumption, as the case may be, pursuant to which it becomes a Lender in the case of each other Lender, and from time to time thereafter as requested in writing by the Company (but only so long as such Lender remains lawfully able to do so), shall provide each of the Administrative Agent and the Company with two original Internal Revenue Service Forms W-8BEN, W-8BEN-E, W-8IMY or W-8ECI, as appropriate, or any successor or other form prescribed by the Internal Revenue Service, certifying that such Lender is exempt from or entitled to a reduced rate of United States Federal withholding Tax on payments pursuant to this Agreement. Each Foreign Lender claiming the benefits of the exemption for portfolio interest under Section 871(h) or 881(c) of the Internal Revenue Code shall further provide each of the Administrative Agent and the Company (x) a certificate to the effect that such Lender is not (A) a “bank” within the meaning of Section 881(c)(3)(A) of the Internal Revenue Code, (B) a “10 percent shareholder” of the Company within the meaning of Section 871(h)(3) or 881(c)(3)(B) of the Internal Revenue Code or (C) a “controlled foreign corporation” described in Section 881(c)(3)(C) of the Internal Revenue Code. In addition, each Lender that is organized under the laws of the United States or any political subdivision thereof shall deliver to the Company and the Administrative Agent two copies of Internal Revenue Service Form W-9 (or any subsequent versions thereof or successors thereto) on or before the date such Lender becomes a party to this Agreement and upon the expiration of any form previously delivered by such Lender.</w:t>
      </w:r>
    </w:p>
    <w:p>
      <w:pPr>
        <w:spacing w:after="0" w:line="216"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23"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payment made to a Lender hereunder would be subject to withholding Tax imposed by FATCA if such Lender were to fail to comply with the applicable reporting requirements of FATCA (including those contained in Section 1471(b) or 1472(b) of the Internal Revenue Code, as applicable), such Lender shall deliver to the Company and the Administrative Agent, at the time or times prescribed by Applicable Law and at such time or times reasonably requested by the Company or the Administrative Agent, such documentation prescribed by Applicable Law (including as prescribed by Section 1471(b)(3)(C)(i) of the Internal Revenue Code) and such additional documentation reasonably requested by such Borrower or the Administrative Agent as may be necessary for such Borrower or the Administrative Agent to comply with its obligations under FATCA, to determine that such Lender has or has not complied with such Lender’s obligations under FATCA and, as necessary, to determine the amount to deduct and withhold from such payment. Solely for purposes of this clause (ii), “FATCA” includes any amendment made to FATCA after the date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1260" w:right="339" w:bottom="1440" w:gutter="0" w:footer="0" w:header="0"/>
        </w:sectPr>
      </w:pPr>
    </w:p>
    <w:bookmarkStart w:id="170" w:name="page171"/>
    <w:bookmarkEnd w:id="170"/>
    <w:p>
      <w:pPr>
        <w:jc w:val="both"/>
        <w:ind w:firstLine="1304"/>
        <w:spacing w:after="0" w:line="257" w:lineRule="auto"/>
        <w:tabs>
          <w:tab w:leader="none" w:pos="1882" w:val="left"/>
        </w:tabs>
        <w:numPr>
          <w:ilvl w:val="1"/>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agrees that if any form or certification it previously delivered expires or becomes obsolete or inaccurate in any respect, it shall update such form or certification or promptly notify the Company and the Administrative Agent in writing of its legal inability to do so.</w:t>
      </w:r>
    </w:p>
    <w:p>
      <w:pPr>
        <w:spacing w:after="0" w:line="186" w:lineRule="exact"/>
        <w:rPr>
          <w:rFonts w:ascii="Times New Roman" w:cs="Times New Roman" w:eastAsia="Times New Roman" w:hAnsi="Times New Roman"/>
          <w:sz w:val="22"/>
          <w:szCs w:val="22"/>
          <w:color w:val="auto"/>
        </w:rPr>
      </w:pPr>
    </w:p>
    <w:p>
      <w:pPr>
        <w:jc w:val="both"/>
        <w:ind w:firstLine="656"/>
        <w:spacing w:after="0" w:line="247" w:lineRule="auto"/>
        <w:tabs>
          <w:tab w:leader="none" w:pos="1155"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severally indemnify the Administrative Agent, within 10 days after demand therefor, for (i) any Indemnified Taxes attributable to such Lender (but only to the extent that any Credit Party has not already indemnified the Administrative Agent for such Indemnified Taxes and without limiting the obligation of the Credit Parties to do so), (ii) any Taxes attributable to such Lender's failure to comply with the provisions of Section 9.07(d)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Section 2.14(e).</w:t>
      </w:r>
    </w:p>
    <w:p>
      <w:pPr>
        <w:spacing w:after="0" w:line="200" w:lineRule="exact"/>
        <w:rPr>
          <w:rFonts w:ascii="Times New Roman" w:cs="Times New Roman" w:eastAsia="Times New Roman" w:hAnsi="Times New Roman"/>
          <w:sz w:val="22"/>
          <w:szCs w:val="22"/>
          <w:color w:val="auto"/>
        </w:rPr>
      </w:pPr>
    </w:p>
    <w:p>
      <w:pPr>
        <w:jc w:val="both"/>
        <w:ind w:right="20" w:firstLine="656"/>
        <w:spacing w:after="0" w:line="252" w:lineRule="auto"/>
        <w:tabs>
          <w:tab w:leader="none" w:pos="1096"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Subject to (ii) below, each Lender and each UK Borrower that makes a payment to such Lender shall cooperate in completing any procedural formalities necessary for such UK Borrower to obtain authorization to make such payment without withholding or deduction for Taxes imposed under the laws of the United Kingdom, to the extent provided by the applicable UK Treaty.</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67"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 Lender on the Restatement Effective Date that (x) holds a passport under the HMRC DT Treaty Passport Scheme and (y) wishes such scheme to apply to this Agreement, shall provide its scheme reference number and its jurisdiction of tax residence to each UK Borrower and the Administrative Agent; and</w:t>
      </w:r>
    </w:p>
    <w:p>
      <w:pPr>
        <w:spacing w:after="0" w:line="167"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568" w:val="left"/>
        </w:tabs>
        <w:numPr>
          <w:ilvl w:val="2"/>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Lender that becomes a Lender hereunder after the Restatement Effective Date that (x) holds a passport under the HMRC DT Treaty Passport Scheme and (y) wishes such scheme to apply to this Agreement, shall provide its scheme reference number and its jurisdiction of tax residence to each UK Borrower and the Administrative Agent.</w:t>
      </w:r>
    </w:p>
    <w:p>
      <w:pPr>
        <w:spacing w:after="0" w:line="176" w:lineRule="exact"/>
        <w:rPr>
          <w:rFonts w:ascii="Times New Roman" w:cs="Times New Roman" w:eastAsia="Times New Roman" w:hAnsi="Times New Roman"/>
          <w:sz w:val="22"/>
          <w:szCs w:val="22"/>
          <w:color w:val="auto"/>
        </w:rPr>
      </w:pPr>
    </w:p>
    <w:p>
      <w:pPr>
        <w:ind w:left="1300" w:firstLine="652"/>
        <w:spacing w:after="0" w:line="271" w:lineRule="auto"/>
        <w:tabs>
          <w:tab w:leader="none" w:pos="2486" w:val="left"/>
        </w:tabs>
        <w:numPr>
          <w:ilvl w:val="2"/>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satisfying either clause (A) or (B) above, such Lender shall have satisfied its obligation under paragraph (f)(i) above.</w:t>
      </w:r>
    </w:p>
    <w:p>
      <w:pPr>
        <w:spacing w:after="0" w:line="158" w:lineRule="exact"/>
        <w:rPr>
          <w:sz w:val="20"/>
          <w:szCs w:val="20"/>
          <w:color w:val="auto"/>
        </w:rPr>
      </w:pPr>
    </w:p>
    <w:p>
      <w:pPr>
        <w:jc w:val="both"/>
        <w:ind w:left="660" w:firstLine="644"/>
        <w:spacing w:after="0" w:line="253" w:lineRule="auto"/>
        <w:tabs>
          <w:tab w:leader="none" w:pos="1905"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Lender has confirmed its scheme reference number and its jurisdiction of tax residence in accordance with paragraph (f)(ii) above, the UK Borrower(s) shall, as soon as reasonably practicable, and in any case within 10 Business Days of receiving such confirmation, make a Borrower DTTP Filing with respect to such Lender, and shall promptly provide such Lender with a copy of such filing; provided that, if each UK Borrower making a payment to such Lender has made a Borrower DTTP Filing in respect of such Lender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1260" w:right="339" w:bottom="1440" w:gutter="0" w:footer="0" w:header="0"/>
        </w:sectPr>
      </w:pPr>
    </w:p>
    <w:bookmarkStart w:id="171" w:name="page172"/>
    <w:bookmarkEnd w:id="171"/>
    <w:p>
      <w:pPr>
        <w:ind w:left="1120" w:hanging="464"/>
        <w:spacing w:after="0"/>
        <w:tabs>
          <w:tab w:leader="none" w:pos="112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Borrower DTTP Filing has been rejected by HM Revenue &amp; Customs; or</w:t>
      </w:r>
    </w:p>
    <w:p>
      <w:pPr>
        <w:spacing w:after="0" w:line="219" w:lineRule="exact"/>
        <w:rPr>
          <w:rFonts w:ascii="Times New Roman" w:cs="Times New Roman" w:eastAsia="Times New Roman" w:hAnsi="Times New Roman"/>
          <w:sz w:val="22"/>
          <w:szCs w:val="22"/>
          <w:color w:val="auto"/>
        </w:rPr>
      </w:pPr>
    </w:p>
    <w:p>
      <w:pPr>
        <w:jc w:val="both"/>
        <w:ind w:firstLine="656"/>
        <w:spacing w:after="0" w:line="256" w:lineRule="auto"/>
        <w:tabs>
          <w:tab w:leader="none" w:pos="118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HM Revenue &amp; Customs has not given such UK Borrower authority to make payments to such Lender without a deduction for tax, or where the UK Treaty does not provide for full relief, HM Revenue &amp; Customs has not given such UK Borrower authority to make payments to such Lender without a reduced deduction for tax in accordance with the provisions of the relevant UK Treaty within 30 days of the date of such Borrower DTTP Filing;</w:t>
      </w:r>
    </w:p>
    <w:p>
      <w:pPr>
        <w:spacing w:after="0" w:line="17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and in each case, such UK Borrower has notified that Lender in writing of (1) or (2) above, then such Lender and such UK Borrower shall cooperate in completing any additional procedural formalities necessary for such UK Borrower to obtain authorization to make that payment without withholding or deduction for Taxes imposed under the laws of the United Kingdom.</w:t>
      </w:r>
    </w:p>
    <w:p>
      <w:pPr>
        <w:spacing w:after="0" w:line="169" w:lineRule="exact"/>
        <w:rPr>
          <w:sz w:val="20"/>
          <w:szCs w:val="20"/>
          <w:color w:val="auto"/>
        </w:rPr>
      </w:pPr>
    </w:p>
    <w:p>
      <w:pPr>
        <w:jc w:val="both"/>
        <w:ind w:left="660" w:firstLine="644"/>
        <w:spacing w:after="0" w:line="252" w:lineRule="auto"/>
        <w:tabs>
          <w:tab w:leader="none" w:pos="1882"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Lender has not confirmed its scheme reference number and jurisdiction of tax residence in accordance with paragraph (f)(ii) above, no UK Borrower shall make a Borrower DTTP Filing or file any other form relating to the HMRC DT Treaty Passport Scheme in respect of that Lender’s Commitments or Loans unless the Lender otherwise agrees.</w:t>
      </w:r>
    </w:p>
    <w:p>
      <w:pPr>
        <w:spacing w:after="0" w:line="179"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46"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UK Borrower shall, promptly on making a Borrower DTTP Filing, deliver a copy of such Borrower DTTP Filing to the Administrative Agent for delivery to the relevant Lender.</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50"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notify the Company, the applicable UK Borrower and the Administrative Agent if it determines in its sole discretion that it ceases to be entitled to claim the benefits of an income tax treaty to which the United Kingdom is a party with respect to payments made by any UK Borrower hereunder.</w:t>
      </w:r>
    </w:p>
    <w:p>
      <w:pPr>
        <w:spacing w:after="0" w:line="172" w:lineRule="exact"/>
        <w:rPr>
          <w:rFonts w:ascii="Times New Roman" w:cs="Times New Roman" w:eastAsia="Times New Roman" w:hAnsi="Times New Roman"/>
          <w:sz w:val="22"/>
          <w:szCs w:val="22"/>
          <w:color w:val="auto"/>
        </w:rPr>
      </w:pPr>
    </w:p>
    <w:p>
      <w:pPr>
        <w:jc w:val="both"/>
        <w:ind w:firstLine="656"/>
        <w:spacing w:after="0" w:line="248" w:lineRule="auto"/>
        <w:tabs>
          <w:tab w:leader="none" w:pos="1135"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party determines, in its sole discretion exercised in good faith, that it has received a refund of any Taxes as to which it has been indemnified pursuant to this Section (including by the payment of additional amounts paid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(plus any penalties, interest or other charges imposed by the relevant Governmental Authority) in the event that such indemnified party is required to repay such refund to such Governmental Authority. Notwithstanding anything to the contrary in this paragraph, in no event will any indemnified party be required to pay any amount to any indemnifying party pursuant to this paragraph the payment of which would place such indemnified party in a less favorable net after-Tax position than such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260" w:right="339" w:bottom="1440" w:gutter="0" w:footer="0" w:header="0"/>
        </w:sectPr>
      </w:pPr>
    </w:p>
    <w:bookmarkStart w:id="172" w:name="page173"/>
    <w:bookmarkEnd w:id="172"/>
    <w:p>
      <w:pPr>
        <w:jc w:val="both"/>
        <w:ind w:firstLine="656"/>
        <w:spacing w:after="0" w:line="257" w:lineRule="auto"/>
        <w:tabs>
          <w:tab w:leader="none" w:pos="1136"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this Agreement and the other Loan Documents.</w:t>
      </w:r>
    </w:p>
    <w:p>
      <w:pPr>
        <w:spacing w:after="0" w:line="18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2.15. </w:t>
      </w:r>
      <w:r>
        <w:rPr>
          <w:rFonts w:ascii="Times New Roman" w:cs="Times New Roman" w:eastAsia="Times New Roman" w:hAnsi="Times New Roman"/>
          <w:sz w:val="22"/>
          <w:szCs w:val="22"/>
          <w:u w:val="single" w:color="auto"/>
          <w:color w:val="auto"/>
        </w:rPr>
        <w:t>Sharing of Payments, Etc.</w:t>
      </w:r>
      <w:r>
        <w:rPr>
          <w:rFonts w:ascii="Times New Roman" w:cs="Times New Roman" w:eastAsia="Times New Roman" w:hAnsi="Times New Roman"/>
          <w:sz w:val="22"/>
          <w:szCs w:val="22"/>
          <w:color w:val="auto"/>
        </w:rPr>
        <w:t xml:space="preserve"> If any Lender shall obtain any payment (whether voluntary, involuntary, through the exercise of any right of set-off, or otherwise) on account of the Advances or L/C Obligations owing to it (other than pursuant to Section 2.11, 2.14 or 9.04(c)) in excess of its ratable share of payments on account of the Advances or L/C Obligations of the relevant Tranche obtained by all the Lenders of such Tranche, such Lender shall forthwith purchase from the other Lenders of such Tranche such participations in the Advances or L/C Obligations of such Tranche owing to them as shall be necessary to cause such purchasing Lender to share the excess payment ratably with each of them;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all or any portion of such excess payment is thereafter recovered from such purchasing Lender, such purchase from each Lender of such Tranche shall be rescinded and such Lender shall repay to the purchasing Lender the purchase price to the extent of such recovery together with an amount equal to such Lender’s ratable share (according to the proportion of (i) the amount of such Lender’s required repayment to (ii) the total amount so recovered from the purchasing Lender) of any interest or other amount paid or payable by the purchasing Lender in respect of the total amount so recovered;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so long as the Advances or L/C Obligations shall not have become due and payable pursuant to Section 6.01, any excess payment received by any Lender shall be shared on a pro rata basis only with other Lenders that have Commitments, Advances or L/C Obligations in such Tranche;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provisions of this paragraph shall not be construed to apply to any payment made by any Borrower pursuant to and in accordance with the express terms of this Agreement or any payment obtained by a Lender as consideration for the assignment of or sale of a participation in any of its Advances to any assignee or participant or participations in Letters of Credit to any assignee or participant. Each Borrower agrees that any Lender so purchasing a participation from another Lender pursuant to this Section 2.15 may, to the fullest extent permitted by law, exercise all its rights of payment (including the right of set-off) with respect to such participation as fully as if such Lender were the direct creditor of such Borrower in the amount of such participation.</w:t>
      </w:r>
    </w:p>
    <w:p>
      <w:pPr>
        <w:spacing w:after="0" w:line="14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2.16. </w:t>
      </w: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The proceeds of the Advances or Letters of Credit shall be available (and each Borrower agrees that it shall use such proceeds) for general corporate purposes of each such Borrower and its Subsidiaries. No Borrower will knowingly, while exercising due care, request any Advances or Letters of Credit, and no Borrower shall knowingly, while exercising due care, use, and, to the knowledge of the Borrower exercising due care, each Borrower shall cause its respective Subsidiaries not to knowingly, while exercising due care, use, the proceeds of any Advances or Letters of Credit (a) in furtherance of an offer, payment, promise to pay, or authorization of the payment or giving of money, or anything else of value, to any Person (i) in violation of any applicable Sanctions or Anti-Corruption Law or (ii) in a manner that would cause any Lender to be in violation of any Sanctions, (b) for the purpose of funding, financing or facilitating any activities, business or transaction in, of or with (including any payments to any agent acting on behalf of the Company in the scope of the Company’s business) any Sanctioned Person in violation of applicable Sanctions or (c) in any manner that would result in the violation of the FCPA and any foreign counterpart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1260" w:right="339" w:bottom="1440" w:gutter="0" w:footer="0" w:header="0"/>
        </w:sectPr>
      </w:pPr>
    </w:p>
    <w:bookmarkStart w:id="173" w:name="page174"/>
    <w:bookmarkEnd w:id="173"/>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2.17. </w:t>
      </w:r>
      <w:r>
        <w:rPr>
          <w:rFonts w:ascii="Times New Roman" w:cs="Times New Roman" w:eastAsia="Times New Roman" w:hAnsi="Times New Roman"/>
          <w:sz w:val="22"/>
          <w:szCs w:val="22"/>
          <w:u w:val="single" w:color="auto"/>
          <w:color w:val="auto"/>
        </w:rPr>
        <w:t>Extension of Termination Date</w:t>
      </w:r>
      <w:r>
        <w:rPr>
          <w:rFonts w:ascii="Times New Roman" w:cs="Times New Roman" w:eastAsia="Times New Roman" w:hAnsi="Times New Roman"/>
          <w:sz w:val="22"/>
          <w:szCs w:val="22"/>
          <w:color w:val="auto"/>
        </w:rPr>
        <w:t xml:space="preserve">. (a) At least 60 days prior to any applicable Termination Date or Term Loan Maturity Date in effect, the Company, on behalf of the Borrowers, by written notice to the Administrative Agent, may request an extension of any Termination Date or the Term Loan Maturity Date in effect at such time by one year from its then scheduled expiration;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may request an extension no more than two times during the term of this Agreement. The Administrative Agent shall promptly notify each Lender of such request, and each Lender shall in turn, in its sole discretion, not later than the date specified in such notice (subject to extension by the Company), notify the Company and the Administrative Agent in writing as to whether such Lender will consent to such extension. If any Lender shall fail to notify the Administrative Agent and the Company in writing of its consent to any such request for extension of the Termination Date or the Term Loan Maturity Date prior to the date specified in such notice (as extended, if applicable), such Lender shall be deemed to be a Non-Consenting Lender with respect to such request. The Administrative Agent shall promptly notify the Company of the decision of the Lenders regarding the Company’s request for an extension of the Termination Date or the Term Loan Maturity Date.</w:t>
      </w:r>
    </w:p>
    <w:p>
      <w:pPr>
        <w:spacing w:after="0" w:line="130" w:lineRule="exact"/>
        <w:rPr>
          <w:sz w:val="20"/>
          <w:szCs w:val="20"/>
          <w:color w:val="auto"/>
        </w:rPr>
      </w:pPr>
    </w:p>
    <w:p>
      <w:pPr>
        <w:jc w:val="both"/>
        <w:ind w:firstLine="656"/>
        <w:spacing w:after="0" w:line="260" w:lineRule="auto"/>
        <w:tabs>
          <w:tab w:leader="none" w:pos="1156"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all the Lenders consent in writing to any such request in accordance with subsection (a) of this Section 2.17, the Termination Date or the Term Loan Maturity Date in effect at such time shall, effective as at the applicable date specified pursuant to subsection (a) above (the “</w:t>
      </w:r>
      <w:r>
        <w:rPr>
          <w:rFonts w:ascii="Times New Roman" w:cs="Times New Roman" w:eastAsia="Times New Roman" w:hAnsi="Times New Roman"/>
          <w:sz w:val="21"/>
          <w:szCs w:val="21"/>
          <w:u w:val="single" w:color="auto"/>
          <w:color w:val="auto"/>
        </w:rPr>
        <w:t>Extension Date</w:t>
      </w:r>
      <w:r>
        <w:rPr>
          <w:rFonts w:ascii="Times New Roman" w:cs="Times New Roman" w:eastAsia="Times New Roman" w:hAnsi="Times New Roman"/>
          <w:sz w:val="21"/>
          <w:szCs w:val="21"/>
          <w:color w:val="auto"/>
        </w:rPr>
        <w:t xml:space="preserve">”), be extended for one year;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on each Extension Date the applicable conditions set forth in Section 3.02 shall be satisfied. If less than all of the Lenders consent in writing to any such request in accordance with subsection (a) of this Section 2.17, the Termination Date or the Term Loan Maturity Date, as applicable, in effect at such time shall, effective as at the applicable Extension Date and subject to subsection (d) of this Section 2.17, be extended as to those Lenders that so consented (each a “</w:t>
      </w:r>
      <w:r>
        <w:rPr>
          <w:rFonts w:ascii="Times New Roman" w:cs="Times New Roman" w:eastAsia="Times New Roman" w:hAnsi="Times New Roman"/>
          <w:sz w:val="21"/>
          <w:szCs w:val="21"/>
          <w:u w:val="single" w:color="auto"/>
          <w:color w:val="auto"/>
        </w:rPr>
        <w:t>Consenting Lender</w:t>
      </w:r>
      <w:r>
        <w:rPr>
          <w:rFonts w:ascii="Times New Roman" w:cs="Times New Roman" w:eastAsia="Times New Roman" w:hAnsi="Times New Roman"/>
          <w:sz w:val="21"/>
          <w:szCs w:val="21"/>
          <w:color w:val="auto"/>
        </w:rPr>
        <w:t xml:space="preserve">”). To the extent that the Termination Date or the Term Loan Maturity Date, as applicable, is not extended as to any Lender pursuant to this Section 2.17 and the Commitments of such Lender are not substituted in accordance with subsection (c) of this Section 2.17 on or prior to the applicable Extension Date, the Commitments of such Non-Consenting Lender shall automatically terminate in whole on such unextended Termination Date or the Term Loan Maturity Date, as applicable, without any further notice or other action by the Company, such Lender or any other Person;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Non-Consenting Lender’s rights under Sections 2.11, 2.14 and 8.04, and its obligations under Section 7.05, shall survive the Termination Date or the Term Loan Maturity Date for such Lender as to matters occurring prior to such date. It is understood and agreed that no Lender shall have any obligation whatsoever to agree to any request made by the Company for any requested extension of the Termination Date or the Term Loan Maturity Date.</w:t>
      </w:r>
    </w:p>
    <w:p>
      <w:pPr>
        <w:spacing w:after="0" w:line="179" w:lineRule="exact"/>
        <w:rPr>
          <w:rFonts w:ascii="Times New Roman" w:cs="Times New Roman" w:eastAsia="Times New Roman" w:hAnsi="Times New Roman"/>
          <w:sz w:val="21"/>
          <w:szCs w:val="21"/>
          <w:color w:val="auto"/>
        </w:rPr>
      </w:pPr>
    </w:p>
    <w:p>
      <w:pPr>
        <w:jc w:val="both"/>
        <w:ind w:firstLine="656"/>
        <w:spacing w:after="0" w:line="249" w:lineRule="auto"/>
        <w:tabs>
          <w:tab w:leader="none" w:pos="1131"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less than all of the applicable Lenders consent to any such request pursuant to subsection (a) of this Section 2.17, the Administrative Agent shall promptly so notify the Consenting Lenders, and each Consenting Lender may, in its sole discretion, give written notice to the Administrative Agent not later than 30 days prior to the applicable Extension Date of the amount of the Non-Consenting Lenders’ Commitments for which it is willing to accept an assignment. If the Consenting Lenders notify the Administrative Agent that they are willing to accept assignments of Commitments in an aggregate amount that exceeds the amount of the Commitments of the Non-Consenting Lenders, such Commitments shall be allocated among the Consenting Lenders willing to accept such assignments in such amounts as are agreed between the Company and the Administrative Agent. If after giving effect to the assignments of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260" w:right="339" w:bottom="1440" w:gutter="0" w:footer="0" w:header="0"/>
        </w:sectPr>
      </w:pPr>
    </w:p>
    <w:bookmarkStart w:id="174" w:name="page175"/>
    <w:bookmarkEnd w:id="174"/>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described above there remain any Commitments of Non-Consenting Lenders, the Company may arrange for one or more Consenting Lenders or other Eligible Assignees as Assuming Lenders to assume, effective as of the applicable Extension Date, all or a portion of Non-Consenting Lender’s Commitments and all of the obligations of such Non-Consenting Lender under this Agreement thereafter arising, without recourse to or warranty by, or expense to, such Non-Consenting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amount of the Commitments of any such Assuming Lender as a result of such substitution shall in no event be less than $10,000,000 unless the amount of the Commitments of such Non-Consenting Lender is less than $10,000,000, in which case such Assuming Lender shall assume all of such lesser amount;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w:t>
      </w:r>
    </w:p>
    <w:p>
      <w:pPr>
        <w:spacing w:after="0" w:line="180" w:lineRule="exact"/>
        <w:rPr>
          <w:sz w:val="20"/>
          <w:szCs w:val="20"/>
          <w:color w:val="auto"/>
        </w:rPr>
      </w:pPr>
    </w:p>
    <w:p>
      <w:pPr>
        <w:jc w:val="both"/>
        <w:ind w:left="660" w:firstLine="644"/>
        <w:spacing w:after="0" w:line="256" w:lineRule="auto"/>
        <w:tabs>
          <w:tab w:leader="none" w:pos="1807"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such Consenting Lender or Assuming Lender shall have paid to such Non-Consenting Lender (A) the aggregate principal amount of, and any interest accrued and unpaid to the effective date of the assignment on, the outstanding Extensions of Credit, if any, of such Non-Consenting Lender plus (B) any accrued but unpaid commitment fees owing to such Non-Consenting Lender as of the effective date of such assignment;</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2011"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additional costs reimbursements, expense reimbursements and indemnities payable to such Non-Consenting Lender, and all other accrued and unpaid amounts owing to such Non-Consenting Lender hereunder, as of the effective date of such assignment shall have been paid to such Non-Consenting Lender; and</w:t>
      </w:r>
    </w:p>
    <w:p>
      <w:pPr>
        <w:spacing w:after="0" w:line="186"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32"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such Assuming Lender, the applicable processing and recordation fee required under Section 9.07(b) for such assignment shall have been paid;</w:t>
      </w:r>
    </w:p>
    <w:p>
      <w:pPr>
        <w:spacing w:after="0" w:line="15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such Non-Consenting Lender’s rights under Sections 2.11, 2.14 and 9.04, and its obligations under Section 7.05, shall survive such substitution as to matters occurring prior to the date of substitution. At least three Business Days prior to any Extension Date, (A) each such Assuming Lender, if any, shall have delivered to the Company and the Administrative Agent an Assumption Agreement, duly executed by such Assuming Lender, such Non-Consenting Lender, the Company and the Administrative Agent and (B) any such Consenting Lender shall have delivered confirmation in writing satisfactory to the Company and the Administrative Agent as to the increase in the amount of its Commitments. Upon the payment or prepayment of all amounts referred to in clauses (i), (ii) and (iii) of the immediately preceding sentence, each such Consenting Lender or Assuming Lender, as of the applicable Extension Date, will be substituted for such Non-Consenting Lender under this Agreement and shall be a Lender for all purposes of this Agreement, without any further acknowledgment by or the consent of the other Lenders, and the obligations of each such Non-Consenting Lender hereunder shall, by the provisions hereof, be released and discharged.</w:t>
      </w:r>
    </w:p>
    <w:p>
      <w:pPr>
        <w:spacing w:after="0" w:line="189" w:lineRule="exact"/>
        <w:rPr>
          <w:sz w:val="20"/>
          <w:szCs w:val="20"/>
          <w:color w:val="auto"/>
        </w:rPr>
      </w:pPr>
    </w:p>
    <w:p>
      <w:pPr>
        <w:jc w:val="both"/>
        <w:ind w:firstLine="656"/>
        <w:spacing w:after="0" w:line="265" w:lineRule="auto"/>
        <w:tabs>
          <w:tab w:leader="none" w:pos="1193"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(after giving effect to any assignments or assumptions pursuant to subsection (c) of this Section 2.17) Lenders having Commitments equal to at least 50% of the Commitments in effect immediately prior to the applicable Extension Date consent in writing to a requested extension (whether by execution or delivery of an Assumption Agreement or otherwise) not later than one Business Day prior to such Extension Date, the Administrative Agent shall so notify the Company, and, subject to the satisfaction to the applicable conditions in Section 3.02, the Termination Date or the Term Loan Maturity Date then in effect shall be extended for the additional one year period as described in subsection (a) of this Section 2.17, and all references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260" w:right="339" w:bottom="1440" w:gutter="0" w:footer="0" w:header="0"/>
        </w:sectPr>
      </w:pPr>
    </w:p>
    <w:bookmarkStart w:id="175" w:name="page176"/>
    <w:bookmarkEnd w:id="175"/>
    <w:p>
      <w:pPr>
        <w:jc w:val="both"/>
        <w:spacing w:after="0" w:line="250" w:lineRule="auto"/>
        <w:rPr>
          <w:sz w:val="20"/>
          <w:szCs w:val="20"/>
          <w:color w:val="auto"/>
        </w:rPr>
      </w:pPr>
      <w:r>
        <w:rPr>
          <w:rFonts w:ascii="Times New Roman" w:cs="Times New Roman" w:eastAsia="Times New Roman" w:hAnsi="Times New Roman"/>
          <w:sz w:val="22"/>
          <w:szCs w:val="22"/>
          <w:color w:val="auto"/>
        </w:rPr>
        <w:t>Agreement, and in the other Loan Documents, if any, to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Term Loan Maturity Date</w:t>
      </w:r>
      <w:r>
        <w:rPr>
          <w:rFonts w:ascii="Times New Roman" w:cs="Times New Roman" w:eastAsia="Times New Roman" w:hAnsi="Times New Roman"/>
          <w:sz w:val="22"/>
          <w:szCs w:val="22"/>
          <w:color w:val="auto"/>
        </w:rPr>
        <w:t>” shall, with respect to each Consenting Lender and each Assuming Lender for such Extension Date, refer to the Termination Date or the Term Loan Maturity Date as so extended. Promptly following each Extension Date, the Administrative Agent shall notify the Lenders (including, without limitation, each Assuming Lender) of the extension of the scheduled Termination Date or the Term Loan Maturity Date in effect immediately prior thereto and shall thereupon record in the Register the relevant information with respect to each such Consenting Lender and each such Assuming Lender. With respect to any Term Loans where the Term Loan Maturity Date is extended, such Term Loans will continue to amortize in the quarterly amount set forth in Section 2.08.</w:t>
      </w:r>
    </w:p>
    <w:p>
      <w:pPr>
        <w:spacing w:after="0" w:line="180"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2.18.</w:t>
      </w:r>
      <w:r>
        <w:rPr>
          <w:sz w:val="20"/>
          <w:szCs w:val="20"/>
          <w:color w:val="auto"/>
        </w:rPr>
        <w:tab/>
      </w:r>
      <w:r>
        <w:rPr>
          <w:rFonts w:ascii="Times New Roman" w:cs="Times New Roman" w:eastAsia="Times New Roman" w:hAnsi="Times New Roman"/>
          <w:sz w:val="21"/>
          <w:szCs w:val="21"/>
          <w:u w:val="single" w:color="auto"/>
          <w:color w:val="auto"/>
        </w:rPr>
        <w:t>Defaulting Lenders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57" w:lineRule="auto"/>
        <w:tabs>
          <w:tab w:leader="none" w:pos="1239"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Defaulting Lender Adjustments</w:t>
      </w:r>
      <w:r>
        <w:rPr>
          <w:rFonts w:ascii="Times New Roman" w:cs="Times New Roman" w:eastAsia="Times New Roman" w:hAnsi="Times New Roman"/>
          <w:sz w:val="22"/>
          <w:szCs w:val="22"/>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72" w:lineRule="exact"/>
        <w:rPr>
          <w:rFonts w:ascii="Times New Roman" w:cs="Times New Roman" w:eastAsia="Times New Roman" w:hAnsi="Times New Roman"/>
          <w:sz w:val="22"/>
          <w:szCs w:val="22"/>
          <w:color w:val="auto"/>
        </w:rPr>
      </w:pPr>
    </w:p>
    <w:p>
      <w:pPr>
        <w:ind w:left="660" w:firstLine="644"/>
        <w:spacing w:after="0" w:line="271" w:lineRule="auto"/>
        <w:tabs>
          <w:tab w:leader="none" w:pos="1741"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Waivers and Amendments</w:t>
      </w:r>
      <w:r>
        <w:rPr>
          <w:rFonts w:ascii="Times New Roman" w:cs="Times New Roman" w:eastAsia="Times New Roman" w:hAnsi="Times New Roman"/>
          <w:sz w:val="22"/>
          <w:szCs w:val="22"/>
          <w:color w:val="auto"/>
        </w:rPr>
        <w:t>. Such Defaulting Lender’s right to approve or disapprove any amendment, waiver or consent with respect to this Agreement shall be restricted as set forth in the definition of Required Lenders.</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47" w:lineRule="auto"/>
        <w:tabs>
          <w:tab w:leader="none" w:pos="1909"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Defaulting Lender Waterfall</w:t>
      </w:r>
      <w:r>
        <w:rPr>
          <w:rFonts w:ascii="Times New Roman" w:cs="Times New Roman" w:eastAsia="Times New Roman" w:hAnsi="Times New Roman"/>
          <w:sz w:val="22"/>
          <w:szCs w:val="22"/>
          <w:color w:val="auto"/>
        </w:rPr>
        <w:t xml:space="preserve">. Any payment of principal, interest, fees or other amounts received by the Administrative Agent for the account of such Defaulting Lender hereunder (whether voluntary or mandatory, at maturity, pursuant to Article VI or otherwise) or received by the Administrative Agent from a Defaulting Lender pursuant to Section 9.05 shall be applied at such time or times as may be determined by the Administrative Agent as follows: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to the payment of any amounts owing by such Defaulting Lender to the Administrative Agent hereunder;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xml:space="preserve">, as the Company, on behalf of the Borrowers, may request (so long as no Default exists), to the funding of any Extensions of Credit in respect of which such Defaulting Lender has failed to fund its portion thereof as required by this Agreement, as determined by the Administrative Agent; </w:t>
      </w: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xml:space="preserve">, to Cash Collateralize the Fronting Exposure of the Issuing Lenders with respect to such Defaulting Lender in accordance with </w:t>
      </w:r>
      <w:r>
        <w:rPr>
          <w:rFonts w:ascii="Times New Roman" w:cs="Times New Roman" w:eastAsia="Times New Roman" w:hAnsi="Times New Roman"/>
          <w:sz w:val="22"/>
          <w:szCs w:val="22"/>
          <w:u w:val="single" w:color="auto"/>
          <w:color w:val="auto"/>
        </w:rPr>
        <w:t>Section 2.21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xml:space="preserve">, if so determined by the Administrative Agent and the Company, to be held in a deposit account and released pro rata in order to (A) satisfy such Defaulting Lender’s potential future funding obligations with respect to Advances under this Agreement and (B) Cash Collateralize the Issuing Lenders’ future Fronting Exposure with respect to such Defaulting Lender with respect to future Letters of Credit issued under this Agreement, in accordance with Section 2.21; </w:t>
      </w:r>
      <w:r>
        <w:rPr>
          <w:rFonts w:ascii="Times New Roman" w:cs="Times New Roman" w:eastAsia="Times New Roman" w:hAnsi="Times New Roman"/>
          <w:sz w:val="22"/>
          <w:szCs w:val="22"/>
          <w:i w:val="1"/>
          <w:iCs w:val="1"/>
          <w:color w:val="auto"/>
        </w:rPr>
        <w:t>fifth</w:t>
      </w:r>
      <w:r>
        <w:rPr>
          <w:rFonts w:ascii="Times New Roman" w:cs="Times New Roman" w:eastAsia="Times New Roman" w:hAnsi="Times New Roman"/>
          <w:sz w:val="22"/>
          <w:szCs w:val="22"/>
          <w:color w:val="auto"/>
        </w:rPr>
        <w:t xml:space="preserve">, to the payment of any amounts owing to the Lenders or the Issuing Lenders as a result of any judgment of a court of competent jurisdiction obtained by any Borrower against such Defaulting Lender as a result of such Defaulting Lender’s breach of its obligations under this Agreement; and </w:t>
      </w:r>
      <w:r>
        <w:rPr>
          <w:rFonts w:ascii="Times New Roman" w:cs="Times New Roman" w:eastAsia="Times New Roman" w:hAnsi="Times New Roman"/>
          <w:sz w:val="22"/>
          <w:szCs w:val="22"/>
          <w:i w:val="1"/>
          <w:iCs w:val="1"/>
          <w:color w:val="auto"/>
        </w:rPr>
        <w:t>sixth</w:t>
      </w:r>
      <w:r>
        <w:rPr>
          <w:rFonts w:ascii="Times New Roman" w:cs="Times New Roman" w:eastAsia="Times New Roman" w:hAnsi="Times New Roman"/>
          <w:sz w:val="22"/>
          <w:szCs w:val="22"/>
          <w:color w:val="auto"/>
        </w:rPr>
        <w:t xml:space="preserve">, to such Defaulting Lender or as otherwise directed by a court of competent jurisdiction;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(x) such payment is a payment of the principal amount of any Advances or funded participations in Letters of Credit in respect of which such Defaulting Lender has not fully funded its appropriate share and (y) such Advances were made or the related Letters of Credit were issued at a time when the conditions set forth in Section 3.02 were satisfied or waived, such payment shall be applied solely to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1260" w:right="339" w:bottom="1440" w:gutter="0" w:footer="0" w:header="0"/>
        </w:sectPr>
      </w:pPr>
    </w:p>
    <w:bookmarkStart w:id="176" w:name="page177"/>
    <w:bookmarkEnd w:id="176"/>
    <w:p>
      <w:pPr>
        <w:jc w:val="both"/>
        <w:ind w:left="640"/>
        <w:spacing w:after="0" w:line="251" w:lineRule="auto"/>
        <w:rPr>
          <w:sz w:val="20"/>
          <w:szCs w:val="20"/>
          <w:color w:val="auto"/>
        </w:rPr>
      </w:pPr>
      <w:r>
        <w:rPr>
          <w:rFonts w:ascii="Times New Roman" w:cs="Times New Roman" w:eastAsia="Times New Roman" w:hAnsi="Times New Roman"/>
          <w:sz w:val="22"/>
          <w:szCs w:val="22"/>
          <w:color w:val="auto"/>
        </w:rPr>
        <w:t>the Advances of, or funded participations in Letters of Credit owed to, all Non-Defaulting Lenders on a pro rata basis prior to being applied to the payment of any Advances of, or funded participations in Letters of Credit owed to, such Defaulting Lender until such time as all Advances are held by the Lenders pro rata in accordance with the Commitments. Any payments, prepayments or other amounts paid or payable to a Defaulting Lender that are applied (or held) to pay amounts owed by a Defaulting Lender pursuant to this Section 2.18(a)(ii) shall be deemed paid to and redirected by such Defaulting Lender, and each Lender irrevocably consents hereto.</w:t>
      </w:r>
    </w:p>
    <w:p>
      <w:pPr>
        <w:spacing w:after="0" w:line="181" w:lineRule="exact"/>
        <w:rPr>
          <w:sz w:val="20"/>
          <w:szCs w:val="20"/>
          <w:color w:val="auto"/>
        </w:rPr>
      </w:pPr>
    </w:p>
    <w:p>
      <w:pPr>
        <w:ind w:left="1820" w:hanging="536"/>
        <w:spacing w:after="0"/>
        <w:tabs>
          <w:tab w:leader="none" w:pos="1820"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Fees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280" w:firstLine="652"/>
        <w:spacing w:after="0" w:line="263" w:lineRule="auto"/>
        <w:tabs>
          <w:tab w:leader="none" w:pos="2457" w:val="left"/>
        </w:tabs>
        <w:numPr>
          <w:ilvl w:val="2"/>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Defaulting Lender shall be entitled to receive a commitment fee for any period during which that Lender is a Defaulting Lender, and no Borrower shall be required to pay such fee otherwise payable to a Defaulting Lender.</w:t>
      </w:r>
    </w:p>
    <w:p>
      <w:pPr>
        <w:spacing w:after="0" w:line="167" w:lineRule="exact"/>
        <w:rPr>
          <w:rFonts w:ascii="Times New Roman" w:cs="Times New Roman" w:eastAsia="Times New Roman" w:hAnsi="Times New Roman"/>
          <w:sz w:val="22"/>
          <w:szCs w:val="22"/>
          <w:color w:val="auto"/>
        </w:rPr>
      </w:pPr>
    </w:p>
    <w:p>
      <w:pPr>
        <w:jc w:val="both"/>
        <w:ind w:left="1280" w:firstLine="652"/>
        <w:spacing w:after="0" w:line="252" w:lineRule="auto"/>
        <w:tabs>
          <w:tab w:leader="none" w:pos="2616" w:val="left"/>
        </w:tabs>
        <w:numPr>
          <w:ilvl w:val="2"/>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Defaulting Lender shall be entitled to receive Letter of Credit commissions pursuant to Section 10.03 for any period during which that Lender is a Defaulting Lender only to the extent allocable to its Commitment Percentage of the stated amount of Letters of Credit for which it has provided Cash Collateral pursuant to Section 2.21.</w:t>
      </w:r>
    </w:p>
    <w:p>
      <w:pPr>
        <w:spacing w:after="0" w:line="192" w:lineRule="exact"/>
        <w:rPr>
          <w:rFonts w:ascii="Times New Roman" w:cs="Times New Roman" w:eastAsia="Times New Roman" w:hAnsi="Times New Roman"/>
          <w:sz w:val="22"/>
          <w:szCs w:val="22"/>
          <w:color w:val="auto"/>
        </w:rPr>
      </w:pPr>
    </w:p>
    <w:p>
      <w:pPr>
        <w:jc w:val="both"/>
        <w:ind w:left="1280" w:firstLine="652"/>
        <w:spacing w:after="0" w:line="250" w:lineRule="auto"/>
        <w:tabs>
          <w:tab w:leader="none" w:pos="2469" w:val="left"/>
        </w:tabs>
        <w:numPr>
          <w:ilvl w:val="2"/>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Commitment Fee or Letter of Credit commission not required to be paid to any Defaulting Lender pursuant to clause (A) or (B) above, the Company shall (1) pay to each Non-Defaulting Lender that portion of any such fee otherwise payable to such Defaulting Lender with respect to such Defaulting Lender’s participation in L/C Obligations that have been reallocated to such Non-Defaulting Lender pursuant to clause (c) below, (2) pay to each applicable Issuing Lender the amount of any such fee otherwise payable to such Defaulting Lender to the extent allocable to such Issuing Lender’s Fronting Exposure to such Defaulting Lender, and (3) not be required to pay the remaining amount of any such fee.</w:t>
      </w:r>
    </w:p>
    <w:p>
      <w:pPr>
        <w:spacing w:after="0" w:line="180" w:lineRule="exact"/>
        <w:rPr>
          <w:rFonts w:ascii="Times New Roman" w:cs="Times New Roman" w:eastAsia="Times New Roman" w:hAnsi="Times New Roman"/>
          <w:sz w:val="22"/>
          <w:szCs w:val="22"/>
          <w:color w:val="auto"/>
        </w:rPr>
      </w:pPr>
    </w:p>
    <w:p>
      <w:pPr>
        <w:jc w:val="both"/>
        <w:ind w:left="-20" w:firstLine="656"/>
        <w:spacing w:after="0" w:line="248" w:lineRule="auto"/>
        <w:tabs>
          <w:tab w:leader="none" w:pos="1136"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Defaulting Lender Cure</w:t>
      </w:r>
      <w:r>
        <w:rPr>
          <w:rFonts w:ascii="Times New Roman" w:cs="Times New Roman" w:eastAsia="Times New Roman" w:hAnsi="Times New Roman"/>
          <w:sz w:val="22"/>
          <w:szCs w:val="22"/>
          <w:color w:val="auto"/>
        </w:rPr>
        <w:t xml:space="preserve">. If the Company, the Administrative Agent and the Issuing Lenders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Advances of the other Lenders or take such other actions as the Administrative Agent may determine to be necessary to cause the Advances and funded and unfunded participations in Letters of Credit to be held pro rata by the Lenders in accordance with the Commitments, whereupon such Lender will cease to be a Defaulting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adjustments will be made retroactively with respect to fees accrued or payments made by or on behalf of any Borrower while that Lender was a Defaulting Lender;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except to the extent otherwise expressly agreed by the affected parties, no change hereunder from Defaulting Lender to Non-Defaulting Lender will constitute a waiver or release of any claim of any party hereunder arising from that Lender’s having been a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20"/>
          </w:cols>
          <w:pgMar w:left="340" w:top="1260" w:right="339" w:bottom="1440" w:gutter="0" w:footer="0" w:header="0"/>
        </w:sectPr>
      </w:pPr>
    </w:p>
    <w:bookmarkStart w:id="177" w:name="page178"/>
    <w:bookmarkEnd w:id="177"/>
    <w:p>
      <w:pPr>
        <w:jc w:val="both"/>
        <w:ind w:firstLine="656"/>
        <w:spacing w:after="0" w:line="249" w:lineRule="auto"/>
        <w:tabs>
          <w:tab w:leader="none" w:pos="1347"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Reallocation of Participations to Reduce Fronting Exposure</w:t>
      </w:r>
      <w:r>
        <w:rPr>
          <w:rFonts w:ascii="Times New Roman" w:cs="Times New Roman" w:eastAsia="Times New Roman" w:hAnsi="Times New Roman"/>
          <w:sz w:val="22"/>
          <w:szCs w:val="22"/>
          <w:color w:val="auto"/>
        </w:rPr>
        <w:t>. All or any part of such Defaulting Lender’s participation in L/C Obligations shall be reallocated among the Non-Defaulting Lenders in accordance with their respective Commitment Percentages (calculated without regard to such Defaulting Lender’s Commitment) but only to the extent that such reallocation does not cause the aggregate Revolving Credit Exposure of any Non-Defaulting Lender to exceed such Non-Defaulting Lender’s Commitment. Subject to Section 9.14,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95" w:lineRule="exact"/>
        <w:rPr>
          <w:rFonts w:ascii="Times New Roman" w:cs="Times New Roman" w:eastAsia="Times New Roman" w:hAnsi="Times New Roman"/>
          <w:sz w:val="22"/>
          <w:szCs w:val="22"/>
          <w:color w:val="auto"/>
        </w:rPr>
      </w:pPr>
    </w:p>
    <w:p>
      <w:pPr>
        <w:jc w:val="both"/>
        <w:ind w:firstLine="656"/>
        <w:spacing w:after="0" w:line="257" w:lineRule="auto"/>
        <w:tabs>
          <w:tab w:leader="none" w:pos="1170"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Collateral</w:t>
      </w:r>
      <w:r>
        <w:rPr>
          <w:rFonts w:ascii="Times New Roman" w:cs="Times New Roman" w:eastAsia="Times New Roman" w:hAnsi="Times New Roman"/>
          <w:sz w:val="22"/>
          <w:szCs w:val="22"/>
          <w:color w:val="auto"/>
        </w:rPr>
        <w:t>. If the reallocation described in subsection (c) above cannot, or can only partially, be effected, the Company shall, without prejudice to any right or remedy available to it hereunder or under law, Cash Collateralize the Issuing Lenders’ Fronting Exposure in accordance with the procedures set forth in Section 2.21.</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2.19. </w:t>
      </w:r>
      <w:r>
        <w:rPr>
          <w:rFonts w:ascii="Times New Roman" w:cs="Times New Roman" w:eastAsia="Times New Roman" w:hAnsi="Times New Roman"/>
          <w:sz w:val="22"/>
          <w:szCs w:val="22"/>
          <w:u w:val="single" w:color="auto"/>
          <w:color w:val="auto"/>
        </w:rPr>
        <w:t>Mitigation of Obligations; Replacement of Lenders</w:t>
      </w:r>
      <w:r>
        <w:rPr>
          <w:rFonts w:ascii="Times New Roman" w:cs="Times New Roman" w:eastAsia="Times New Roman" w:hAnsi="Times New Roman"/>
          <w:sz w:val="22"/>
          <w:szCs w:val="22"/>
          <w:color w:val="auto"/>
        </w:rPr>
        <w:t>. (a) If any Lender requests compensation under Section 2.11, or requires any Borrower to pay additional amounts to any Lender or any Governmental Authority for the account of any Lender pursuant to Section 2.14, then such Lender shall (at the request of the Company) use reasonable efforts to designate a different lending office for funding or booking its Advances hereunder or to assign its rights and obligations hereunder to another of its offices, branches or affiliates, if, in the judgment of such Lender, such designation or assignment (i) would eliminate or reduce amounts payable pursuant to Section 2.11 or 2.14, as the case may be, in the future, and (ii) would not subject such Lender to any material unreimbursed cost or expense and would not otherwise be disadvantageous to such Lender. The Company hereby agrees to pay all reasonable costs and expenses incurred by any Lender in connection with any such designation or assignment.</w:t>
      </w:r>
    </w:p>
    <w:p>
      <w:pPr>
        <w:spacing w:after="0" w:line="126" w:lineRule="exact"/>
        <w:rPr>
          <w:sz w:val="20"/>
          <w:szCs w:val="20"/>
          <w:color w:val="auto"/>
        </w:rPr>
      </w:pPr>
    </w:p>
    <w:p>
      <w:pPr>
        <w:jc w:val="both"/>
        <w:ind w:firstLine="656"/>
        <w:spacing w:after="0" w:line="250" w:lineRule="auto"/>
        <w:tabs>
          <w:tab w:leader="none" w:pos="1123"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Lender requests compensation under Section 2.11, or if any Borrower is required to pay additional amounts to any Lender or any Governmental Authority for the account of any Lender pursuant to Section 2.14, or if any Lender is a Defaulting Lender or Non-Consenting Lender, or following such Lender’s Downgrade, then the Company may, at its sole expense and effort, upon notice to such Lender and the Administrative Agent, require such Lender to assign and delegate, without recourse (in accordance with and subject to the restrictions contained in, and consents required by, Section 9.07(b)), all of its interests, rights and obligations under this Agreement to an Eligible Assignee that shall assume such obligations (which assignee may be another Lender, if a Lender accepts such assignment);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80"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736"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shall have received payment of an amount equal to the outstanding principal of its Advances and funded participations in Letters of Credit, accrued interest thereon, accrued fees and all other amounts payable to it hereunder (including any amounts under Section 9.04(c)) from the assignee (to the extent of such outstanding principal and accrued interest and fees) or the Company (in the case of all other amounts);</w:t>
      </w:r>
    </w:p>
    <w:p>
      <w:pPr>
        <w:spacing w:after="0" w:line="176" w:lineRule="exact"/>
        <w:rPr>
          <w:rFonts w:ascii="Times New Roman" w:cs="Times New Roman" w:eastAsia="Times New Roman" w:hAnsi="Times New Roman"/>
          <w:sz w:val="22"/>
          <w:szCs w:val="22"/>
          <w:color w:val="auto"/>
        </w:rPr>
      </w:pPr>
    </w:p>
    <w:p>
      <w:pPr>
        <w:ind w:left="660" w:firstLine="644"/>
        <w:spacing w:after="0" w:line="271" w:lineRule="auto"/>
        <w:tabs>
          <w:tab w:leader="none" w:pos="1866"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payment of all amounts referred to in Section 2.19(b)(i) has been made, such Lender shall be deemed to have executed and delivered an Assignment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1260" w:right="339" w:bottom="1440" w:gutter="0" w:footer="0" w:header="0"/>
        </w:sectPr>
      </w:pPr>
    </w:p>
    <w:bookmarkStart w:id="178" w:name="page179"/>
    <w:bookmarkEnd w:id="178"/>
    <w:p>
      <w:pPr>
        <w:ind w:left="660"/>
        <w:spacing w:after="0" w:line="271" w:lineRule="auto"/>
        <w:rPr>
          <w:sz w:val="20"/>
          <w:szCs w:val="20"/>
          <w:color w:val="auto"/>
        </w:rPr>
      </w:pPr>
      <w:r>
        <w:rPr>
          <w:rFonts w:ascii="Times New Roman" w:cs="Times New Roman" w:eastAsia="Times New Roman" w:hAnsi="Times New Roman"/>
          <w:sz w:val="22"/>
          <w:szCs w:val="22"/>
          <w:color w:val="auto"/>
        </w:rPr>
        <w:t>Assumption, and the Company shall be entitled (but not obligated) to execute and deliver such Assignment and Assumption on behalf of such Lender;</w:t>
      </w:r>
    </w:p>
    <w:p>
      <w:pPr>
        <w:spacing w:after="0" w:line="158" w:lineRule="exact"/>
        <w:rPr>
          <w:sz w:val="20"/>
          <w:szCs w:val="20"/>
          <w:color w:val="auto"/>
        </w:rPr>
      </w:pPr>
    </w:p>
    <w:p>
      <w:pPr>
        <w:jc w:val="both"/>
        <w:ind w:left="660" w:firstLine="644"/>
        <w:spacing w:after="0" w:line="263" w:lineRule="auto"/>
        <w:tabs>
          <w:tab w:leader="none" w:pos="1866"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such assignment resulting from a claim for compensation under Section 2.11 or payments required to be made pursuant to Section 2.14, such assignment will result in a reduction in such compensation or payments thereafter;</w:t>
      </w:r>
    </w:p>
    <w:p>
      <w:pPr>
        <w:spacing w:after="0" w:line="167"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assignment does not conflict with Applicable Law; and</w:t>
      </w:r>
    </w:p>
    <w:p>
      <w:pPr>
        <w:spacing w:after="0" w:line="219"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43"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assignment resulting from a Lender becoming a Non-Consenting Lender, the applicable assignee shall have consented to the applicable amendment, waiver or consent.</w:t>
      </w:r>
    </w:p>
    <w:p>
      <w:pPr>
        <w:spacing w:after="0" w:line="17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A Lender shall not be required to make any such assignment or delegation if, prior thereto, as a result of a waiver by such Lender or otherwise, the circumstances entitling the Borrowers to require such assignment and delegation cease to apply.</w:t>
      </w:r>
    </w:p>
    <w:p>
      <w:pPr>
        <w:spacing w:after="0" w:line="158"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2.20.</w:t>
      </w:r>
      <w:r>
        <w:rPr>
          <w:sz w:val="20"/>
          <w:szCs w:val="20"/>
          <w:color w:val="auto"/>
        </w:rPr>
        <w:tab/>
      </w:r>
      <w:r>
        <w:rPr>
          <w:rFonts w:ascii="Times New Roman" w:cs="Times New Roman" w:eastAsia="Times New Roman" w:hAnsi="Times New Roman"/>
          <w:sz w:val="21"/>
          <w:szCs w:val="21"/>
          <w:u w:val="single" w:color="auto"/>
          <w:color w:val="auto"/>
        </w:rPr>
        <w:t>Changed Circumstances</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ind w:left="1120" w:hanging="464"/>
        <w:spacing w:after="0"/>
        <w:tabs>
          <w:tab w:leader="none" w:pos="112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Circumstances Affecting Eurocurrency Rate and RFRs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47" w:lineRule="auto"/>
        <w:tabs>
          <w:tab w:leader="none" w:pos="1733"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Subject to clause (c) below, in connection with any RFR Advance or Eurocurrency Rate Advance, a request therefor, a conversion to or a continuation thereof or otherwise, if for any reason (i) the Administrative Agent shall determine (which determination shall be conclusive and binding absent manifest error) that (x) if a Daily Simple RFR is utilized in any calculations hereunder or under any other Loan Document with respect to any Borrower Obligations, interest, fees, commissions or other amounts, reasonable and adequate means do not exist for ascertaining such Daily Simple RFR pursuant to the definition thereof or (y) if Term SOFR, Term CORRA or a Eurocurrency Rate is utilized in any calculations hereunder or under any other Loan Document with respect to any Borrower Obligations, interest, fees, commissions or other amounts, reasonable and adequate means do not exist for ascertaining Term SOFR, Term CORRA or such Eurocurrency Rate, as applicable for the applicable Currency and the applicable Interest Period with respect to a proposed Term SOFR Advance, Term CORRA or Eurocurrency Rate Advance, as applicable, on or prior to the first day of such Interest Period, (ii) the Administrative Agent shall determine (which determination shall be conclusive and binding absent manifest error) that a fundamental change has occurred in the foreign exchange or interbank markets with respect to an applicable Foreign Currency (including changes in national or international financial, political or economic conditions or currency exchange rates or exchange controls), (iii) with respect to any Eurocurrency Rate Advance, the Administrative Agent shall determine (which determination shall be conclusive and binding absent manifest error) that deposits are not being offered in the applicable Currency to banks in the London or other applicable offshore interbank market for the applicable Currency, amount or Interest Period of such Eurocurrency Rate Advance, or (iv) the Required Lenders shall determine (which determination shall be conclusive and binding absent manifest error) that (x) if a Daily Simple RFR is utilized in any calculations hereunder or under any other Loan Document with respect to any Borrower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40"/>
          </w:cols>
          <w:pgMar w:left="320" w:top="1260" w:right="339" w:bottom="1440" w:gutter="0" w:footer="0" w:header="0"/>
        </w:sectPr>
      </w:pPr>
    </w:p>
    <w:bookmarkStart w:id="179" w:name="page180"/>
    <w:bookmarkEnd w:id="179"/>
    <w:p>
      <w:pPr>
        <w:jc w:val="both"/>
        <w:ind w:left="660"/>
        <w:spacing w:after="0" w:line="258" w:lineRule="auto"/>
        <w:rPr>
          <w:sz w:val="20"/>
          <w:szCs w:val="20"/>
          <w:color w:val="auto"/>
        </w:rPr>
      </w:pPr>
      <w:r>
        <w:rPr>
          <w:rFonts w:ascii="Times New Roman" w:cs="Times New Roman" w:eastAsia="Times New Roman" w:hAnsi="Times New Roman"/>
          <w:sz w:val="21"/>
          <w:szCs w:val="21"/>
          <w:color w:val="auto"/>
        </w:rPr>
        <w:t>interest, fees, commissions or other amounts, such Daily Simple RFR does not adequately and fairly reflect the cost to such Lenders of making or maintaining such Advances or (y) if Term SOFR, Term CORRA or a Eurocurrency Rate is utilized in any calculations hereunder or under any other Loan Document with respect to any Borrower Obligations, interest, fees, commissions or other amounts, Term SOFR, Term CORRA or such Eurocurrency Rate, as applicable, does not adequately and fairly reflect the cost to such Lenders of making or maintaining such Advances during the applicable Interest Period and, in the case of (x) or (y), the Required Lenders have provided notice of such determination to the Administrative Agent, then, in each case, the Administrative Agent shall promptly give notice thereof to the Company. Upon notice thereof by the Administrative Agent to the Company, any obligation of the Lenders to make RFR Advances or Eurocurrency Rate Advances, as applicable, in each such Currency, and any right of any Borrower to convert any Advance in each such Currency (if applicable) or to continue any Advance as an RFR Advance or a Eurocurrency Rate Advance, as applicable, in each such Currency, shall be suspended (to the extent of the affected RFR Advances or Eurocurrency Rate Advances or, in the case of Term SOFR Advances, Term CORRA Advances or Eurocurrency Rate Advances, the affected Interest Periods) until the Administrative Agent (with respect to clause (iv), at the instruction of the Required Lenders) revokes such notice. Upon receipt of such notice, (A) any Borrower may revoke any pending request for a borrowing of, conversion to or continuation of RFR Advances or Eurocurrency Rate Advances in each such affected Currency (to the extent of the affected RFR Advances or Eurocurrency Rate Advances or, in the case of Term SOFR Advances, Term CORRA Advances or Eurocurrency Rate Advances, the affected Interest Periods) or, failing that,</w:t>
      </w:r>
    </w:p>
    <w:p>
      <w:pPr>
        <w:spacing w:after="0" w:line="12" w:lineRule="exact"/>
        <w:rPr>
          <w:sz w:val="20"/>
          <w:szCs w:val="20"/>
          <w:color w:val="auto"/>
        </w:rPr>
      </w:pPr>
    </w:p>
    <w:p>
      <w:pPr>
        <w:jc w:val="both"/>
        <w:ind w:left="660" w:hanging="4"/>
        <w:spacing w:after="0" w:line="246" w:lineRule="auto"/>
        <w:tabs>
          <w:tab w:leader="none" w:pos="938"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any request for a borrowing of an affected RFR Advance in US Dollars, such Borrower will be deemed to have converted any such request into a request for a borrowing of or conversion to Base Rate Advances in the amount specified therein and (II) in the case of any request for a borrowing of an affected RFR Advance or Eurocurrency Rate Advances in a Foreign Currency, then such request shall be ineffective and (B)(I) any outstanding affected RFR Advances denominated in US Dollars will be deemed to have been converted into Base Rate Advances immediately or, in the case of Term SOFR Advances, at the end of the applicable Interest Period and (II) any outstanding affected Advances denominated in a Foreign Currency, at the Company’s election, shall either (1) be converted into Base Rate Advances denominated in US Dollars (in an amount equal to the Dollar Equivalent of such Foreign Currency) immediately or, in the case of Eurocurrency Rate Advances or Term CORRA Advances, at the end of the applicable Interest Period or (2) be prepaid in full immediately or, in the case of Eurocurrency Rate Advances, at the end of the applicable Interest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no election is made by the applicable Borrower by the date is the earlier of (x) three (3) Business Days after receipt by the Company of such notice or (y) with respect to a Eurocurrency Rate Advance or Term CORRA Advance, the last day of the current Interest Period the Borrower shall be deemed to have elected clause (1) above. Upon any such prepayment or conversion, the applicable Borrower shall also pay accrued interest (except with respect to any prepayment or conversion of a Daily Simple RFR Advance) on the amount so prepaid or converted, together with any additional amounts required pursuant to Section 9.04(c).</w:t>
      </w:r>
    </w:p>
    <w:p>
      <w:pPr>
        <w:spacing w:after="0" w:line="80" w:lineRule="exact"/>
        <w:rPr>
          <w:sz w:val="20"/>
          <w:szCs w:val="20"/>
          <w:color w:val="auto"/>
        </w:rPr>
      </w:pPr>
    </w:p>
    <w:p>
      <w:pPr>
        <w:ind w:firstLine="656"/>
        <w:spacing w:after="0" w:line="271" w:lineRule="auto"/>
        <w:tabs>
          <w:tab w:leader="none" w:pos="1143"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Laws Affecting Eurocurrency Rate or RFR Availability</w:t>
      </w:r>
      <w:r>
        <w:rPr>
          <w:rFonts w:ascii="Times New Roman" w:cs="Times New Roman" w:eastAsia="Times New Roman" w:hAnsi="Times New Roman"/>
          <w:sz w:val="22"/>
          <w:szCs w:val="22"/>
          <w:color w:val="auto"/>
        </w:rPr>
        <w:t>. If, after the date hereof, the introduction of, or any change in, any Applicable Law or any change in the interpretation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260" w:right="339" w:bottom="1440" w:gutter="0" w:footer="0" w:header="0"/>
        </w:sectPr>
      </w:pPr>
    </w:p>
    <w:bookmarkStart w:id="180" w:name="page181"/>
    <w:bookmarkEnd w:id="180"/>
    <w:p>
      <w:pPr>
        <w:jc w:val="both"/>
        <w:spacing w:after="0" w:line="258" w:lineRule="auto"/>
        <w:rPr>
          <w:sz w:val="20"/>
          <w:szCs w:val="20"/>
          <w:color w:val="auto"/>
        </w:rPr>
      </w:pPr>
      <w:r>
        <w:rPr>
          <w:rFonts w:ascii="Times New Roman" w:cs="Times New Roman" w:eastAsia="Times New Roman" w:hAnsi="Times New Roman"/>
          <w:sz w:val="21"/>
          <w:szCs w:val="21"/>
          <w:color w:val="auto"/>
        </w:rPr>
        <w:t>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any Daily Simple RFR Advance, Term SOFR Advance, Term CORRA Advance or Eurocurrency Rate Advance, or to determine or charge interest based upon any applicable RFR, Daily Simple RFR, the Term SOFR Reference Rate, Term SOFR, the Term CORRA Reference Rate, Term CORRA, the Eurocurrency Rate or the Adjusted Eurocurrency Rate, such Lender shall promptly give notice thereof to the Administrative Agent and the Administrative Agent shall promptly give notice to the Company and the other Lenders (an “</w:t>
      </w:r>
      <w:r>
        <w:rPr>
          <w:rFonts w:ascii="Times New Roman" w:cs="Times New Roman" w:eastAsia="Times New Roman" w:hAnsi="Times New Roman"/>
          <w:sz w:val="21"/>
          <w:szCs w:val="21"/>
          <w:u w:val="single" w:color="auto"/>
          <w:color w:val="auto"/>
        </w:rPr>
        <w:t>Illegality Notice</w:t>
      </w:r>
      <w:r>
        <w:rPr>
          <w:rFonts w:ascii="Times New Roman" w:cs="Times New Roman" w:eastAsia="Times New Roman" w:hAnsi="Times New Roman"/>
          <w:sz w:val="21"/>
          <w:szCs w:val="21"/>
          <w:color w:val="auto"/>
        </w:rPr>
        <w:t>”). Thereafter, until each affected Lender notifies the Administrative Agent and the Administrative Agent notifies the Company that the circumstances giving rise to such determination no longer exist, (i) any obligation of the Lenders to make RFR Advances or Eurocurrency Rate Advances, as applicable, in the affected Currency or Currencies, and any right of any Borrower to convert any Advance denominated in US Dollars to an RFR Advance or continue any Advance as an RFR Advance or a Eurocurrency Rate Advance, as applicable, in the affected Currency or Currencies shall be suspended and (ii) if necessary to avoid such illegality, the Administrative Agent shall compute the Base Rate without reference to clause (c) of the definition of “Base Rate”. Upon receipt an Illegality Notice, the applicable Borrower shall, if necessary to avoid such illegality, upon demand from any Lender (with a copy to the Administrative Agent), prepay or, if applicable, (A) convert all RFR Advances denominated in US Dollars to Base Rate Advances or (B) convert all RFR Advances or Eurocurrency Rate Advances denominated in an affected Foreign Currency to Base Rate Advances denominated in US Dollars (in an amount equal to the Dollar Equivalent of such Foreign Currency) (in each case, if necessary to avoid such illegality, the Administrative Agent shall compute the Base Rate without reference to clause (c) of the definition of “Base Rate”), (I) with respect to Daily Simple RFR Advances, on the Interest Payment Date therefor, if all affected Lenders may lawfully continue to maintain such Daily Simple RFR Advances to such day, or immediately, if any Lender may not lawfully continue to maintain such Daily Simple RFR Advances to such day or (II) with respect to Eurocurrency Rate Advances, Term CORRA Advances or Term SOFR Advances, on the last day of the Interest Period therefor, if all affected Lenders may lawfully continue to maintain such Eurocurrency Rate Advances, Term CORRA Advances or Term SOFR Advances, as applicable, to such day, or immediately, if any Lender may not lawfully continue to maintain such Eurocurrency Rate Advances or Term SOFR Advances, as applicable, to such day. Upon any such prepayment or conversion, the applicable Borrower shall also pay accrued interest (except with respect to any prepayment or conversion of a Daily Simple RFR Advance) on the amount so prepaid or converted, together with any additional amounts required pursuant to Section 9.04(c).</w:t>
      </w:r>
    </w:p>
    <w:p>
      <w:pPr>
        <w:spacing w:after="0" w:line="399" w:lineRule="exact"/>
        <w:rPr>
          <w:sz w:val="20"/>
          <w:szCs w:val="20"/>
          <w:color w:val="auto"/>
        </w:rPr>
      </w:pPr>
    </w:p>
    <w:p>
      <w:pPr>
        <w:ind w:left="1120" w:hanging="464"/>
        <w:spacing w:after="0"/>
        <w:tabs>
          <w:tab w:leader="none" w:pos="112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 Setting</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782" w:val="left"/>
        </w:tabs>
        <w:numPr>
          <w:ilvl w:val="1"/>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Notwithstanding anything to the contrary herein or in any other Loan Document, upon the occurrence of a Benchmark Transition Event with respect to any Benchmark, the Administrative Agent and the Company may amend this Agreement to replace such Benchmark with a Benchmark Replacement. Any such amendment with respect to a Benchmark Transition Event will become effective at 5:00 p.m. on the fifth (5th) Business Day after the Administrative Agent has posted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260" w:right="339" w:bottom="1440" w:gutter="0" w:footer="0" w:header="0"/>
        </w:sectPr>
      </w:pPr>
    </w:p>
    <w:bookmarkStart w:id="181" w:name="page182"/>
    <w:bookmarkEnd w:id="181"/>
    <w:p>
      <w:pPr>
        <w:jc w:val="both"/>
        <w:spacing w:after="0" w:line="256" w:lineRule="auto"/>
        <w:rPr>
          <w:sz w:val="20"/>
          <w:szCs w:val="20"/>
          <w:color w:val="auto"/>
        </w:rPr>
      </w:pPr>
      <w:r>
        <w:rPr>
          <w:rFonts w:ascii="Times New Roman" w:cs="Times New Roman" w:eastAsia="Times New Roman" w:hAnsi="Times New Roman"/>
          <w:sz w:val="22"/>
          <w:szCs w:val="22"/>
          <w:color w:val="auto"/>
        </w:rPr>
        <w:t>proposed amendment to all affected Lenders and the Company so long as the Administrative Agent has not received, by such time, written notice of objection to such amendment from Lenders comprising the Required Lenders. No replacement of a Benchmark with a Benchmark Replacement pursuant to this Section 2.20(c)(i) will occur prior to the applicable Benchmark Transition Start Date.</w:t>
      </w:r>
    </w:p>
    <w:p>
      <w:pPr>
        <w:spacing w:after="0" w:line="122" w:lineRule="exact"/>
        <w:rPr>
          <w:sz w:val="20"/>
          <w:szCs w:val="20"/>
          <w:color w:val="auto"/>
        </w:rPr>
      </w:pPr>
    </w:p>
    <w:p>
      <w:pPr>
        <w:jc w:val="both"/>
        <w:ind w:firstLine="644"/>
        <w:spacing w:after="0" w:line="253" w:lineRule="auto"/>
        <w:tabs>
          <w:tab w:leader="none" w:pos="1263"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78" w:lineRule="exact"/>
        <w:rPr>
          <w:rFonts w:ascii="Times New Roman" w:cs="Times New Roman" w:eastAsia="Times New Roman" w:hAnsi="Times New Roman"/>
          <w:sz w:val="22"/>
          <w:szCs w:val="22"/>
          <w:color w:val="auto"/>
        </w:rPr>
      </w:pPr>
    </w:p>
    <w:p>
      <w:pPr>
        <w:jc w:val="both"/>
        <w:ind w:firstLine="644"/>
        <w:spacing w:after="0" w:line="248" w:lineRule="auto"/>
        <w:tabs>
          <w:tab w:leader="none" w:pos="1255"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Standards for Decisions and Determinations</w:t>
      </w:r>
      <w:r>
        <w:rPr>
          <w:rFonts w:ascii="Times New Roman" w:cs="Times New Roman" w:eastAsia="Times New Roman" w:hAnsi="Times New Roman"/>
          <w:sz w:val="22"/>
          <w:szCs w:val="22"/>
          <w:color w:val="auto"/>
        </w:rPr>
        <w:t xml:space="preserve">. The Administrative Agent will promptly notify the Company and the Lenders of (A) the implementation of any Benchmark Replacement and (B) the effectiveness of any Conforming Changes in connection with the use, administration, adoption or implementation of a Benchmark Replacement. The Administrative Agent will promptly notify the Company of (x) the removal or reinstatement of any tenor of a Benchmark pursuant to </w:t>
      </w:r>
      <w:r>
        <w:rPr>
          <w:rFonts w:ascii="Times New Roman" w:cs="Times New Roman" w:eastAsia="Times New Roman" w:hAnsi="Times New Roman"/>
          <w:sz w:val="22"/>
          <w:szCs w:val="22"/>
          <w:u w:val="single" w:color="auto"/>
          <w:color w:val="auto"/>
        </w:rPr>
        <w:t>Section 2.20(c)(iv)</w:t>
      </w:r>
      <w:r>
        <w:rPr>
          <w:rFonts w:ascii="Times New Roman" w:cs="Times New Roman" w:eastAsia="Times New Roman" w:hAnsi="Times New Roman"/>
          <w:sz w:val="22"/>
          <w:szCs w:val="22"/>
          <w:color w:val="auto"/>
        </w:rPr>
        <w:t xml:space="preserve"> and (y) the commencement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22"/>
          <w:szCs w:val="22"/>
          <w:u w:val="single" w:color="auto"/>
          <w:color w:val="auto"/>
        </w:rPr>
        <w:t>Section 2.20(c)</w:t>
      </w:r>
      <w:r>
        <w:rPr>
          <w:rFonts w:ascii="Times New Roman" w:cs="Times New Roman" w:eastAsia="Times New Roman" w:hAnsi="Times New Roman"/>
          <w:sz w:val="22"/>
          <w:szCs w:val="22"/>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22"/>
          <w:szCs w:val="22"/>
          <w:u w:val="single" w:color="auto"/>
          <w:color w:val="auto"/>
        </w:rPr>
        <w:t>Section 2.20(c)</w:t>
      </w:r>
      <w:r>
        <w:rPr>
          <w:rFonts w:ascii="Times New Roman" w:cs="Times New Roman" w:eastAsia="Times New Roman" w:hAnsi="Times New Roman"/>
          <w:sz w:val="22"/>
          <w:szCs w:val="22"/>
          <w:color w:val="auto"/>
        </w:rPr>
        <w:t>.</w:t>
      </w:r>
    </w:p>
    <w:p>
      <w:pPr>
        <w:spacing w:after="0" w:line="188" w:lineRule="exact"/>
        <w:rPr>
          <w:rFonts w:ascii="Times New Roman" w:cs="Times New Roman" w:eastAsia="Times New Roman" w:hAnsi="Times New Roman"/>
          <w:sz w:val="22"/>
          <w:szCs w:val="22"/>
          <w:color w:val="auto"/>
        </w:rPr>
      </w:pPr>
    </w:p>
    <w:p>
      <w:pPr>
        <w:jc w:val="both"/>
        <w:ind w:firstLine="644"/>
        <w:spacing w:after="0" w:line="247" w:lineRule="auto"/>
        <w:tabs>
          <w:tab w:leader="none" w:pos="1176"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Unavailability of Tenor of Benchmark</w:t>
      </w:r>
      <w:r>
        <w:rPr>
          <w:rFonts w:ascii="Times New Roman" w:cs="Times New Roman" w:eastAsia="Times New Roman" w:hAnsi="Times New Roman"/>
          <w:sz w:val="22"/>
          <w:szCs w:val="22"/>
          <w:color w:val="auto"/>
        </w:rPr>
        <w:t>. Notwithstanding anything to the contrary herein or in any other Loan Document, at any time (including in connection with the implementation of a Benchmark Replacement), (A) if any then-current Benchmark is a term rate (including the Term SOFR Reference Rate, EURIBOR, BBSY or the Term CORRA Reference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0580"/>
          </w:cols>
          <w:pgMar w:left="980" w:top="1260" w:right="339" w:bottom="1440" w:gutter="0" w:footer="0" w:header="0"/>
        </w:sectPr>
      </w:pPr>
    </w:p>
    <w:bookmarkStart w:id="182" w:name="page183"/>
    <w:bookmarkEnd w:id="182"/>
    <w:p>
      <w:pPr>
        <w:jc w:val="both"/>
        <w:ind w:left="660" w:firstLine="644"/>
        <w:spacing w:after="0" w:line="259" w:lineRule="auto"/>
        <w:tabs>
          <w:tab w:leader="none" w:pos="1965" w:val="left"/>
        </w:tabs>
        <w:numPr>
          <w:ilvl w:val="1"/>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Benchmark Unavailability Period</w:t>
      </w:r>
      <w:r>
        <w:rPr>
          <w:rFonts w:ascii="Times New Roman" w:cs="Times New Roman" w:eastAsia="Times New Roman" w:hAnsi="Times New Roman"/>
          <w:sz w:val="21"/>
          <w:szCs w:val="21"/>
          <w:color w:val="auto"/>
        </w:rPr>
        <w:t xml:space="preserve">. Upon the Company’s receipt of notice of the commencement of a Benchmark Unavailability Period with respect to a given Benchmark, (A) any Borrower may revoke any pending request for a borrowing of, conversion to or continuation of RFR Advances or Eurocurrency Rate Advances, in each case, to be made, converted or continued during any Benchmark Unavailability Period denominated in the applicable Currency and, failing that, (I) in the case of any request for any affected Term SOFR Advances, if applicable, the applicable Borrower will be deemed to have converted any such request into a request for a borrowing of or conversion to Base Rate Advances in the amount specified therein and (II) in the case of any request for any affected RFR Advance or Eurocurrency Rate Advance, in each case, in a Foreign Currency, if applicable, then such request shall be ineffective and (B)(I) any outstanding affected Term SOFR Advances, if applicable, will be deemed to have been converted into Base Rate Advances at the end of the applicable Interest Period and (II) any outstanding affected RFR Advances or Eurocurrency Rate Advances, in each case, denominated in a Foreign Currency, at the applicable Borrower’s election, shall either (1) be converted into Base Rate Advances denominated in US Dollars (in an amount equal to the Dollar Equivalent of such Foreign Currency) immediately or, in the case of Eurocurrency Rate Advances or Term CORRA Advances, at the end of the applicable Interest Period or (2) be prepaid in full immediately or, in the case of Eurocurrency Rate Advances or Term CORRA Advances, at the end of the applicable Interest Period;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any Daily Simple RFR Advance, if no election is made by the applicable Borrower by the date that is three (3) Business Days after receipt by the applicable Borrower of such notice, the applicable Borrower shall be deemed to have elected clause (1) above;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with respect to any Eurocurrency Rate Advance or Term CORRA Advance, if no election is made by the applicable Borrower by the earlier of (x) the date that is three (3) Business Days after receipt by the Company or the applicable Borrower of such notice and (y) the last day of the current Interest Period for the applicable Eurocurrency Rate Advance or Term CORRA Advance, the applicable Borrower shall be deemed to have elected clause (1) above. Upon any such prepayment or conversion, the applicable Borrower shall also pay accrued interest (except with respect to any prepayment or conversion of a Daily Simple RFR Advance) on the amount so prepaid or converted, together with any additional amounts required under this Agreement. During a Benchmark Unavailability Period with respect to any Benchmark or at any time that a tenor for any then-current Benchmark is not an Available Tenor, the component of the Base Rate based upon the then-current Benchmark that is the subject of such Benchmark Unavailability Period or such tenor for such Benchmark, as applicable, will not be used in any determination of Base Rate.</w:t>
      </w:r>
    </w:p>
    <w:p>
      <w:pPr>
        <w:spacing w:after="0" w:line="172" w:lineRule="exact"/>
        <w:rPr>
          <w:rFonts w:ascii="Times New Roman" w:cs="Times New Roman" w:eastAsia="Times New Roman" w:hAnsi="Times New Roman"/>
          <w:sz w:val="21"/>
          <w:szCs w:val="21"/>
          <w:color w:val="auto"/>
        </w:rPr>
      </w:pPr>
    </w:p>
    <w:p>
      <w:pPr>
        <w:jc w:val="both"/>
        <w:ind w:firstLine="656"/>
        <w:spacing w:after="0" w:line="250" w:lineRule="auto"/>
        <w:tabs>
          <w:tab w:leader="none" w:pos="1143"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Illegality</w:t>
      </w:r>
      <w:r>
        <w:rPr>
          <w:rFonts w:ascii="Times New Roman" w:cs="Times New Roman" w:eastAsia="Times New Roman" w:hAnsi="Times New Roman"/>
          <w:sz w:val="22"/>
          <w:szCs w:val="22"/>
          <w:color w:val="auto"/>
        </w:rPr>
        <w:t>. If, in any applicable jurisdiction, the Administrative Agent, any Issuing Lender or any Lender determines that any Applicable Law has made it unlawful, or that any Governmental Authority has asserted that it is unlawful, for the Administrative Agent, any Issuing Lender or any Lender to (i) perform any of its obligations hereunder or under any other Loan Document, (ii) to fund or maintain its participation in any Extension of Credit or (iii) issue, make, maintain, fund or charge interest or fees with respect to any Extension of Credit to any Foreign Borrower such Person shall promptly notify the Administrative Agent, then, upon the Administrative Agent notifying the Company, and until such notice by such Person is revoked, any obligation of such Person to issue, make, maintain, fund or charge interest or fees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1260" w:right="339" w:bottom="1440" w:gutter="0" w:footer="0" w:header="0"/>
        </w:sectPr>
      </w:pPr>
    </w:p>
    <w:bookmarkStart w:id="183" w:name="page184"/>
    <w:bookmarkEnd w:id="183"/>
    <w:p>
      <w:pPr>
        <w:jc w:val="both"/>
        <w:spacing w:after="0" w:line="249" w:lineRule="auto"/>
        <w:rPr>
          <w:sz w:val="20"/>
          <w:szCs w:val="20"/>
          <w:color w:val="auto"/>
        </w:rPr>
      </w:pPr>
      <w:r>
        <w:rPr>
          <w:rFonts w:ascii="Times New Roman" w:cs="Times New Roman" w:eastAsia="Times New Roman" w:hAnsi="Times New Roman"/>
          <w:sz w:val="22"/>
          <w:szCs w:val="22"/>
          <w:color w:val="auto"/>
        </w:rPr>
        <w:t>any such Extension of Credit shall be suspended and, to the extent required by Applicable Law, cancelled. Upon receipt of such notice, the Company shall, (A) repay that Person’s participation in the Extensions of Credit or other applicable Borrower Obligations on the applicable Interest Payment Date for any Daily Simple RFR Advance or on last day of the Interest Period for any Eurocurrency Rate Advance, Term CORRA Advance or Term SOFR Advance, or on another applicable date with respect to any other Borrower Obligation, occurring after the Administrative Agent has notified the Company or, in each case, if earlier, the date specified by such Person in the notice delivered to the Administrative Agent (being no earlier than the last day of any applicable grace period permitted by Applicable Law) and (B) take all reasonable actions requested by such Person to mitigate or avoid such illegality.</w:t>
      </w:r>
    </w:p>
    <w:p>
      <w:pPr>
        <w:spacing w:after="0" w:line="195" w:lineRule="exact"/>
        <w:rPr>
          <w:sz w:val="20"/>
          <w:szCs w:val="20"/>
          <w:color w:val="auto"/>
        </w:rPr>
      </w:pPr>
    </w:p>
    <w:p>
      <w:pPr>
        <w:jc w:val="both"/>
        <w:ind w:firstLine="656"/>
        <w:spacing w:after="0" w:line="247" w:lineRule="auto"/>
        <w:tabs>
          <w:tab w:leader="none" w:pos="1158"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Foreign Currencies</w:t>
      </w:r>
      <w:r>
        <w:rPr>
          <w:rFonts w:ascii="Times New Roman" w:cs="Times New Roman" w:eastAsia="Times New Roman" w:hAnsi="Times New Roman"/>
          <w:sz w:val="22"/>
          <w:szCs w:val="22"/>
          <w:color w:val="auto"/>
        </w:rPr>
        <w:t>. If, after the designation by the Lenders of any currency as a Foreign Currency, any change in currency controls or exchange regulations or any change in national or international financial, political or economic conditions are imposed in the country in which such currency is issued, and such change results in, in the reasonable opinion of the Administrative Agent (i) such currency no longer being readily available, freely transferable and convertible into US Dollars, (ii) a Dollar Equivalent no longer being readily calculable with respect to such currency or (iii) such currency being impracticable for the Lenders to loan (each of clauses (i), (ii) and (iii), a “</w:t>
      </w:r>
      <w:r>
        <w:rPr>
          <w:rFonts w:ascii="Times New Roman" w:cs="Times New Roman" w:eastAsia="Times New Roman" w:hAnsi="Times New Roman"/>
          <w:sz w:val="22"/>
          <w:szCs w:val="22"/>
          <w:u w:val="single" w:color="auto"/>
          <w:color w:val="auto"/>
        </w:rPr>
        <w:t>Disqualifying Event</w:t>
      </w:r>
      <w:r>
        <w:rPr>
          <w:rFonts w:ascii="Times New Roman" w:cs="Times New Roman" w:eastAsia="Times New Roman" w:hAnsi="Times New Roman"/>
          <w:sz w:val="22"/>
          <w:szCs w:val="22"/>
          <w:color w:val="auto"/>
        </w:rPr>
        <w:t>”), then the Administrative Agent shall promptly notify the Lenders and the Company, and such currency shall no longer be a Foreign Currency until such time as the Disqualifying Event(s) no longer exist. Within five (5) Business Days after receipt of such notice from the Administrative Agent, the applicable Borrowers shall repay all Advances denominated in such currency to which the Disqualifying Event(s) apply or convert such Advances into the Dollar Equivalent in US Dollars, bearing interest at the Base Rate, subject to the other terms contained herein.</w:t>
      </w:r>
    </w:p>
    <w:p>
      <w:pPr>
        <w:spacing w:after="0" w:line="20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2.21. </w:t>
      </w:r>
      <w:r>
        <w:rPr>
          <w:rFonts w:ascii="Times New Roman" w:cs="Times New Roman" w:eastAsia="Times New Roman" w:hAnsi="Times New Roman"/>
          <w:sz w:val="22"/>
          <w:szCs w:val="22"/>
          <w:u w:val="single" w:color="auto"/>
          <w:color w:val="auto"/>
        </w:rPr>
        <w:t>Cash Collateral</w:t>
      </w:r>
      <w:r>
        <w:rPr>
          <w:rFonts w:ascii="Times New Roman" w:cs="Times New Roman" w:eastAsia="Times New Roman" w:hAnsi="Times New Roman"/>
          <w:sz w:val="22"/>
          <w:szCs w:val="22"/>
          <w:color w:val="auto"/>
        </w:rPr>
        <w:t>. At any time that there shall exist a Defaulting Lender, within one Business Day following the written request of the Administrative Agent, the applicable Issuing Lender (with a copy to the Administrative Agent), the Company shall Cash Collateralize the Fronting Exposure of such Issuing Lender with respect to such Defaulting Lender (determined after giving effect to any Cash Collateral provided by such Defaulting Lender) in an amount not less than the Minimum Collateral Amount.</w:t>
      </w:r>
    </w:p>
    <w:p>
      <w:pPr>
        <w:spacing w:after="0" w:line="140" w:lineRule="exact"/>
        <w:rPr>
          <w:sz w:val="20"/>
          <w:szCs w:val="20"/>
          <w:color w:val="auto"/>
        </w:rPr>
      </w:pPr>
    </w:p>
    <w:p>
      <w:pPr>
        <w:jc w:val="both"/>
        <w:ind w:firstLine="656"/>
        <w:spacing w:after="0" w:line="262" w:lineRule="auto"/>
        <w:tabs>
          <w:tab w:leader="none" w:pos="1198"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Security Interest</w:t>
      </w:r>
      <w:r>
        <w:rPr>
          <w:rFonts w:ascii="Times New Roman" w:cs="Times New Roman" w:eastAsia="Times New Roman" w:hAnsi="Times New Roman"/>
          <w:sz w:val="21"/>
          <w:szCs w:val="21"/>
          <w:color w:val="auto"/>
        </w:rPr>
        <w:t>. The Company, and to the extent provided by any Defaulting Lender, such Defaulting Lender, hereby grants to the Administrative Agent, for the benefit of each Issuing Lender, and agrees to maintain, a first priority security interest in all such Cash Collateral as security for the Defaulting Lender’s obligation to fund participations in respect of L/C Obligations, to be applied pursuant to subsection (b) below. If at any time the Administrative Agent determines that Cash Collateral is subject to any right or claim of any Person other than the Administrative Agent or each Issuing Lender as herein provided, or that the total amount of such Cash Collateral is less than the Minimum Collateral Amount, the Company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172" w:lineRule="exact"/>
        <w:rPr>
          <w:rFonts w:ascii="Times New Roman" w:cs="Times New Roman" w:eastAsia="Times New Roman" w:hAnsi="Times New Roman"/>
          <w:sz w:val="21"/>
          <w:szCs w:val="21"/>
          <w:color w:val="auto"/>
        </w:rPr>
      </w:pPr>
    </w:p>
    <w:p>
      <w:pPr>
        <w:ind w:firstLine="656"/>
        <w:spacing w:after="0" w:line="271" w:lineRule="auto"/>
        <w:tabs>
          <w:tab w:leader="none" w:pos="1183"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w:t>
      </w:r>
      <w:r>
        <w:rPr>
          <w:rFonts w:ascii="Times New Roman" w:cs="Times New Roman" w:eastAsia="Times New Roman" w:hAnsi="Times New Roman"/>
          <w:sz w:val="22"/>
          <w:szCs w:val="22"/>
          <w:color w:val="auto"/>
        </w:rPr>
        <w:t xml:space="preserve">. Notwithstanding anything to the contrary contained in this Agreement or any other Loan Document, Cash Collateral provided under this </w:t>
      </w:r>
      <w:r>
        <w:rPr>
          <w:rFonts w:ascii="Times New Roman" w:cs="Times New Roman" w:eastAsia="Times New Roman" w:hAnsi="Times New Roman"/>
          <w:sz w:val="22"/>
          <w:szCs w:val="22"/>
          <w:u w:val="single" w:color="auto"/>
          <w:color w:val="auto"/>
        </w:rPr>
        <w:t>Section 2.21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xml:space="preserv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1260" w:right="339" w:bottom="1440" w:gutter="0" w:footer="0" w:header="0"/>
        </w:sectPr>
      </w:pPr>
    </w:p>
    <w:bookmarkStart w:id="184" w:name="page185"/>
    <w:bookmarkEnd w:id="184"/>
    <w:p>
      <w:pPr>
        <w:jc w:val="both"/>
        <w:spacing w:after="0" w:line="256" w:lineRule="auto"/>
        <w:rPr>
          <w:sz w:val="20"/>
          <w:szCs w:val="20"/>
          <w:color w:val="auto"/>
        </w:rPr>
      </w:pPr>
      <w:r>
        <w:rPr>
          <w:rFonts w:ascii="Times New Roman" w:cs="Times New Roman" w:eastAsia="Times New Roman" w:hAnsi="Times New Roman"/>
          <w:sz w:val="22"/>
          <w:szCs w:val="22"/>
          <w:color w:val="auto"/>
        </w:rPr>
        <w:t>respect of Letters of Credit shall be applied to the satisfaction of the Defaulting Lender’s obligation to fund participations in respect of L/C Obligations (including, as to Cash Collateral provided by a Defaulting Lender, any interest accrued on such obligation) for which the Cash Collateral was so provided, prior to any other application of such property as may otherwise be provided for herein.</w:t>
      </w:r>
    </w:p>
    <w:p>
      <w:pPr>
        <w:spacing w:after="0" w:line="176" w:lineRule="exact"/>
        <w:rPr>
          <w:sz w:val="20"/>
          <w:szCs w:val="20"/>
          <w:color w:val="auto"/>
        </w:rPr>
      </w:pPr>
    </w:p>
    <w:p>
      <w:pPr>
        <w:jc w:val="both"/>
        <w:ind w:firstLine="656"/>
        <w:spacing w:after="0" w:line="266" w:lineRule="auto"/>
        <w:tabs>
          <w:tab w:leader="none" w:pos="1171" w:val="left"/>
        </w:tabs>
        <w:numPr>
          <w:ilvl w:val="1"/>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Requirement</w:t>
      </w:r>
      <w:r>
        <w:rPr>
          <w:rFonts w:ascii="Times New Roman" w:cs="Times New Roman" w:eastAsia="Times New Roman" w:hAnsi="Times New Roman"/>
          <w:sz w:val="21"/>
          <w:szCs w:val="21"/>
          <w:color w:val="auto"/>
        </w:rPr>
        <w:t xml:space="preserve">. Cash Collateral (or the appropriate portion thereof) provided to reduce the Fronting Exposure of any Issuing Lender shall no longer be required to be held as Cash Collateral pursuant to this </w:t>
      </w:r>
      <w:r>
        <w:rPr>
          <w:rFonts w:ascii="Times New Roman" w:cs="Times New Roman" w:eastAsia="Times New Roman" w:hAnsi="Times New Roman"/>
          <w:sz w:val="21"/>
          <w:szCs w:val="21"/>
          <w:u w:val="single" w:color="auto"/>
          <w:color w:val="auto"/>
        </w:rPr>
        <w:t>Section 2.21</w:t>
      </w:r>
      <w:r>
        <w:rPr>
          <w:rFonts w:ascii="Times New Roman" w:cs="Times New Roman" w:eastAsia="Times New Roman" w:hAnsi="Times New Roman"/>
          <w:sz w:val="21"/>
          <w:szCs w:val="21"/>
          <w:color w:val="auto"/>
        </w:rPr>
        <w:t xml:space="preserve"> following</w:t>
      </w:r>
    </w:p>
    <w:p>
      <w:pPr>
        <w:spacing w:after="0" w:line="1" w:lineRule="exact"/>
        <w:rPr>
          <w:rFonts w:ascii="Times New Roman" w:cs="Times New Roman" w:eastAsia="Times New Roman" w:hAnsi="Times New Roman"/>
          <w:sz w:val="21"/>
          <w:szCs w:val="21"/>
          <w:color w:val="auto"/>
        </w:rPr>
      </w:pPr>
    </w:p>
    <w:p>
      <w:pPr>
        <w:jc w:val="both"/>
        <w:ind w:firstLine="8"/>
        <w:spacing w:after="0" w:line="249" w:lineRule="auto"/>
        <w:tabs>
          <w:tab w:leader="none" w:pos="259"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elimination of the applicable Fronting Exposure (including by the termination of Defaulting Lender status of the applicable Lender), or (ii) the determination by the Administrative Agent and the applicable Issuing Lender that there exists excess Cash Collateral;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subject to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the Person providing Cash Collateral and the Issuing Lenders may agree that Cash Collateral shall be held to support future anticipated Fronting Exposure or other obligations</w:t>
      </w:r>
      <w:r>
        <w:rPr>
          <w:rFonts w:ascii="Times New Roman" w:cs="Times New Roman" w:eastAsia="Times New Roman" w:hAnsi="Times New Roman"/>
          <w:sz w:val="22"/>
          <w:szCs w:val="22"/>
          <w:b w:val="1"/>
          <w:bCs w:val="1"/>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III</w:t>
      </w:r>
    </w:p>
    <w:p>
      <w:pPr>
        <w:spacing w:after="0" w:line="260" w:lineRule="exact"/>
        <w:rPr>
          <w:sz w:val="20"/>
          <w:szCs w:val="20"/>
          <w:color w:val="auto"/>
        </w:rPr>
      </w:pPr>
    </w:p>
    <w:p>
      <w:pPr>
        <w:ind w:left="660" w:right="3160" w:firstLine="2510"/>
        <w:spacing w:after="0" w:line="448" w:lineRule="auto"/>
        <w:rPr>
          <w:sz w:val="20"/>
          <w:szCs w:val="20"/>
          <w:color w:val="auto"/>
        </w:rPr>
      </w:pPr>
      <w:r>
        <w:rPr>
          <w:rFonts w:ascii="Times New Roman" w:cs="Times New Roman" w:eastAsia="Times New Roman" w:hAnsi="Times New Roman"/>
          <w:sz w:val="22"/>
          <w:szCs w:val="22"/>
          <w:color w:val="auto"/>
        </w:rPr>
        <w:t>CONDITIONS TO EFFECTIVENESS AND LENDING SECTION 3.01. [Reserved].</w:t>
      </w:r>
    </w:p>
    <w:p>
      <w:pPr>
        <w:spacing w:after="0" w:line="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SECTION 3.02. </w:t>
      </w:r>
      <w:r>
        <w:rPr>
          <w:rFonts w:ascii="Times New Roman" w:cs="Times New Roman" w:eastAsia="Times New Roman" w:hAnsi="Times New Roman"/>
          <w:sz w:val="21"/>
          <w:szCs w:val="21"/>
          <w:u w:val="single" w:color="auto"/>
          <w:color w:val="auto"/>
        </w:rPr>
        <w:t>Conditions Precedent to Each Borrowing, Letter of Credit Issuance, Increase Date and Extension Date</w:t>
      </w:r>
      <w:r>
        <w:rPr>
          <w:rFonts w:ascii="Times New Roman" w:cs="Times New Roman" w:eastAsia="Times New Roman" w:hAnsi="Times New Roman"/>
          <w:sz w:val="21"/>
          <w:szCs w:val="21"/>
          <w:color w:val="auto"/>
        </w:rPr>
        <w:t>. The obligation of each Lender to make or participate in an Extension of Credit, the obligation of each Issuing Lender to issue or extend a Letter of Credit, each Commitment Increase and each extension of Commitments pursuant to Section 2.17 shall be subject to the conditions precedent that the Restatement Effective Date shall have occurred, the Administrative Agent shall have received the relevant Notice of Borrowing, request for Commitment Increase or request for Commitment extension and the applicable Issuing Lender shall have received the relevant Letter of Credit Documents, and on the date of such Borrowing, such Letter of Credit issuance or extension date, such Increase Date or such Extension Date the following statements shall be true (and each of the giving of the applicable Notice of Borrowing, request for issuance or extension of a Letter of Credit, request for Commitment Increase, request for Commitment extension and the acceptance by the applicable Borrower of the proceeds of such Borrowing or the issuance or extension of such Letter of Credit shall constitute a representation and warranty by the Borrowers that on the date of such Extension of Credit, such Increase Date or such Extension Date such statements are true):</w:t>
      </w:r>
    </w:p>
    <w:p>
      <w:pPr>
        <w:spacing w:after="0" w:line="135" w:lineRule="exact"/>
        <w:rPr>
          <w:sz w:val="20"/>
          <w:szCs w:val="20"/>
          <w:color w:val="auto"/>
        </w:rPr>
      </w:pPr>
    </w:p>
    <w:p>
      <w:pPr>
        <w:jc w:val="both"/>
        <w:ind w:firstLine="656"/>
        <w:spacing w:after="0" w:line="248" w:lineRule="auto"/>
        <w:tabs>
          <w:tab w:leader="none" w:pos="1166"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contained in Section 4.01 are (1) with respect to representations and warranties that contain a materiality qualification in Section 4.01, true and correct and (2) with respect to all other representations and warranties, true and correct in all material respects, in each case, on and as of the date of such Borrowing, such Increase Date or such Extension Date, before and after giving effect to such Borrowing, such Increase Date or such Extension Date and to the application of the proceeds therefrom, as though made on and as of such date except to the extent such representations and warranties expressly relate to an earlier date,</w:t>
      </w:r>
    </w:p>
    <w:p>
      <w:pPr>
        <w:spacing w:after="0" w:line="200" w:lineRule="exact"/>
        <w:rPr>
          <w:rFonts w:ascii="Times New Roman" w:cs="Times New Roman" w:eastAsia="Times New Roman" w:hAnsi="Times New Roman"/>
          <w:sz w:val="22"/>
          <w:szCs w:val="22"/>
          <w:color w:val="auto"/>
        </w:rPr>
      </w:pPr>
    </w:p>
    <w:p>
      <w:pPr>
        <w:ind w:firstLine="656"/>
        <w:spacing w:after="0" w:line="271" w:lineRule="auto"/>
        <w:tabs>
          <w:tab w:leader="none" w:pos="1146"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has occurred and is continuing, or would result from such Extension of Credit, such Increase Date or such Extension Date or from the application of the proceeds therefrom, that constitutes a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40"/>
          </w:cols>
          <w:pgMar w:left="320" w:top="1260" w:right="339" w:bottom="1440" w:gutter="0" w:footer="0" w:header="0"/>
        </w:sectPr>
      </w:pPr>
    </w:p>
    <w:bookmarkStart w:id="185" w:name="page186"/>
    <w:bookmarkEnd w:id="185"/>
    <w:p>
      <w:pPr>
        <w:jc w:val="both"/>
        <w:ind w:firstLine="656"/>
        <w:spacing w:after="0" w:line="253" w:lineRule="auto"/>
        <w:tabs>
          <w:tab w:leader="none" w:pos="1125"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Extension of Credit denominated in a Foreign Currency, there shall not have occurred any change in national or international financial, political or economic conditions or currency exchange rates or exchange controls which in the reasonable opinion of the Administrative Agent or the Required Lenders (in the case of any Extension of Credit to be denominated in a Foreign Currency) would make it impracticable for such Extension of Credit to be denominated in the relevant Foreign Currency, and</w:t>
      </w:r>
    </w:p>
    <w:p>
      <w:pPr>
        <w:spacing w:after="0" w:line="178" w:lineRule="exact"/>
        <w:rPr>
          <w:rFonts w:ascii="Times New Roman" w:cs="Times New Roman" w:eastAsia="Times New Roman" w:hAnsi="Times New Roman"/>
          <w:sz w:val="22"/>
          <w:szCs w:val="22"/>
          <w:color w:val="auto"/>
        </w:rPr>
      </w:pPr>
    </w:p>
    <w:p>
      <w:pPr>
        <w:ind w:right="20" w:firstLine="656"/>
        <w:spacing w:after="0" w:line="271" w:lineRule="auto"/>
        <w:tabs>
          <w:tab w:leader="none" w:pos="1141"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Issuing Lender shall be required to issue, extend, renew or increase any Letter of Credit unless it is satisfied that it will have no Fronting Exposure after giving effect thereto.</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3.03. </w:t>
      </w:r>
      <w:r>
        <w:rPr>
          <w:rFonts w:ascii="Times New Roman" w:cs="Times New Roman" w:eastAsia="Times New Roman" w:hAnsi="Times New Roman"/>
          <w:sz w:val="22"/>
          <w:szCs w:val="22"/>
          <w:u w:val="single" w:color="auto"/>
          <w:color w:val="auto"/>
        </w:rPr>
        <w:t>Determinations Under Section 3.01</w:t>
      </w:r>
      <w:r>
        <w:rPr>
          <w:rFonts w:ascii="Times New Roman" w:cs="Times New Roman" w:eastAsia="Times New Roman" w:hAnsi="Times New Roman"/>
          <w:sz w:val="22"/>
          <w:szCs w:val="22"/>
          <w:color w:val="auto"/>
        </w:rPr>
        <w:t>. For purposes of determining compliance with the conditions specified in Section 3.01, each Lender shall be deemed to have consented to, approved or accepted or to be satisfied with each document or other matter required thereunder to be consented to or approved by or acceptable or satisfactory to the Lenders unless an officer of the Administrative Agent responsible for the transactions contemplated by this Agreement shall have received notice from such Lender prior to the date that the Company, by notice to the Lenders, designates as the proposed Restatement Effective Date, specifying its objection thereto. The Administrative Agent shall promptly notify the Lenders and the Company of the occurrence of the Restatement Effective Date.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IV</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REPRESENTATIONS AND WARRANTIES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Representations and Warranties of the Credit Parties</w:t>
      </w:r>
      <w:r>
        <w:rPr>
          <w:rFonts w:ascii="Times New Roman" w:cs="Times New Roman" w:eastAsia="Times New Roman" w:hAnsi="Times New Roman"/>
          <w:sz w:val="22"/>
          <w:szCs w:val="22"/>
          <w:color w:val="auto"/>
        </w:rPr>
        <w:t>. Each Credit Party represents and warrants as follows:</w:t>
      </w:r>
    </w:p>
    <w:p>
      <w:pPr>
        <w:spacing w:after="0" w:line="104" w:lineRule="exact"/>
        <w:rPr>
          <w:sz w:val="20"/>
          <w:szCs w:val="20"/>
          <w:color w:val="auto"/>
        </w:rPr>
      </w:pPr>
    </w:p>
    <w:p>
      <w:pPr>
        <w:jc w:val="both"/>
        <w:ind w:firstLine="656"/>
        <w:spacing w:after="0" w:line="253" w:lineRule="auto"/>
        <w:tabs>
          <w:tab w:leader="none" w:pos="1333"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Credit Party is duly organized or registered, validly existing and (if applicable in its jurisdiction of incorporation) in good standing under the Applicable Laws of the jurisdiction of its incorporation or formation and is in compliance with all Applicable Laws (including any Anti-Corruption Laws and including compliance with respect to each Plan but excluding those laws referred to in clauses (j), (k) and (l) below), except to the extent such non-compliance would not, individually or in the aggregate, reasonably be expected to result in a Material Adverse Effect.</w:t>
      </w:r>
    </w:p>
    <w:p>
      <w:pPr>
        <w:spacing w:after="0" w:line="178" w:lineRule="exact"/>
        <w:rPr>
          <w:rFonts w:ascii="Times New Roman" w:cs="Times New Roman" w:eastAsia="Times New Roman" w:hAnsi="Times New Roman"/>
          <w:sz w:val="22"/>
          <w:szCs w:val="22"/>
          <w:color w:val="auto"/>
        </w:rPr>
      </w:pPr>
    </w:p>
    <w:p>
      <w:pPr>
        <w:jc w:val="both"/>
        <w:ind w:firstLine="656"/>
        <w:spacing w:after="0" w:line="250" w:lineRule="auto"/>
        <w:tabs>
          <w:tab w:leader="none" w:pos="1138"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by each Credit Party of this Agreement and each other Loan Document to which it is a party, and the consummation of the transactions contemplated hereby, are within such Credit Party’s capacity and corporate or other powers, have been duly and validly authorized by all necessary corporate or other action, and do not contravene (i) such Credit Party’s constitutional documents, charter or bylaws (or equivalent documents) or (ii) any Applicable Law, to include, in the case of any Credit Party incorporated under the laws of the Commonwealth of Australia, Chapter 2E or Part 2J.3 of the Corporations Act 2001 (Cwlth), or contractual restriction binding on or affecting such Credit Party, except in the case of clause (ii) to the extent such contravention would not, individually or in the aggregate, reasonably be expected to result in a Material Adverse Effect.</w:t>
      </w:r>
    </w:p>
    <w:p>
      <w:pPr>
        <w:spacing w:after="0" w:line="186" w:lineRule="exact"/>
        <w:rPr>
          <w:rFonts w:ascii="Times New Roman" w:cs="Times New Roman" w:eastAsia="Times New Roman" w:hAnsi="Times New Roman"/>
          <w:sz w:val="22"/>
          <w:szCs w:val="22"/>
          <w:color w:val="auto"/>
        </w:rPr>
      </w:pPr>
    </w:p>
    <w:p>
      <w:pPr>
        <w:jc w:val="both"/>
        <w:ind w:firstLine="656"/>
        <w:spacing w:after="0" w:line="257" w:lineRule="auto"/>
        <w:tabs>
          <w:tab w:leader="none" w:pos="1199"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authorization or approval or other action by, and no notice to or filing with, any Governmental Authority or regulatory body or any other third party is required for the due and valid execution, delivery and performance by any Credit Party of this Agreement or each other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1260"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22"/>
          <w:szCs w:val="22"/>
          <w:color w:val="auto"/>
        </w:rPr>
        <w:t>Document to which it is a party, except such as have been obtained or made and are in full force and effect.</w:t>
      </w:r>
    </w:p>
    <w:p>
      <w:pPr>
        <w:spacing w:after="0" w:line="220" w:lineRule="exact"/>
        <w:rPr>
          <w:sz w:val="20"/>
          <w:szCs w:val="20"/>
          <w:color w:val="auto"/>
        </w:rPr>
      </w:pPr>
    </w:p>
    <w:p>
      <w:pPr>
        <w:jc w:val="both"/>
        <w:ind w:firstLine="656"/>
        <w:spacing w:after="0" w:line="256" w:lineRule="auto"/>
        <w:tabs>
          <w:tab w:leader="none" w:pos="1158"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has been, and each other Loan Document when delivered hereunder will have been duly executed and delivered by each Credit Party party thereto. This Agreement is, and each other Loan Document when delivered will be, the legal, valid and binding obligation of each Credit Party party thereto enforceable against such Credit Party in accordance with their respective terms.</w:t>
      </w:r>
    </w:p>
    <w:p>
      <w:pPr>
        <w:spacing w:after="0" w:line="176" w:lineRule="exact"/>
        <w:rPr>
          <w:rFonts w:ascii="Times New Roman" w:cs="Times New Roman" w:eastAsia="Times New Roman" w:hAnsi="Times New Roman"/>
          <w:sz w:val="22"/>
          <w:szCs w:val="22"/>
          <w:color w:val="auto"/>
        </w:rPr>
      </w:pPr>
    </w:p>
    <w:p>
      <w:pPr>
        <w:jc w:val="both"/>
        <w:ind w:firstLine="656"/>
        <w:spacing w:after="0" w:line="250" w:lineRule="auto"/>
        <w:tabs>
          <w:tab w:leader="none" w:pos="1138"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financial statements of the Company and its Subsidiaries for the fiscal year ended December 31, 2024, containing the consolidated balance sheet of the Company and its Subsidiaries as of the end of such fiscal year and consolidated statements of income and cash flows of the Company and its Subsidiaries for such fiscal year, in each case accompanied by an opinion by PricewaterhouseCoopers LLP and duly certified by the chief financial officer of the Company, copies of which have been furnished to each Lender, fairly present the Consolidated financial condition of the Company and its Subsidiaries as at such dates and the Consolidated results of the operations of the Company and its Subsidiaries for the periods ended on such dates, all in accordance with generally accepted accounting principles consistently applied.</w:t>
      </w:r>
    </w:p>
    <w:p>
      <w:pPr>
        <w:spacing w:after="0" w:line="180" w:lineRule="exact"/>
        <w:rPr>
          <w:rFonts w:ascii="Times New Roman" w:cs="Times New Roman" w:eastAsia="Times New Roman" w:hAnsi="Times New Roman"/>
          <w:sz w:val="22"/>
          <w:szCs w:val="22"/>
          <w:color w:val="auto"/>
        </w:rPr>
      </w:pPr>
    </w:p>
    <w:p>
      <w:pPr>
        <w:jc w:val="both"/>
        <w:ind w:firstLine="656"/>
        <w:spacing w:after="0" w:line="253" w:lineRule="auto"/>
        <w:tabs>
          <w:tab w:leader="none" w:pos="1241"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pending or, to the knowledge of the Company, threatened action, suit, investigation, litigation or proceeding, including, without limitation, any Environmental Action, affecting the Company or any of its Subsidiaries before any court, governmental agency or arbitrator that (i) is pending or, to the knowledge of the Company, threatened as of the Restatement Effective Date and is reasonably likely to have a Material Adverse Effect or (ii) purports to affect the legality, validity or enforceability of this Agreement or any other Loan Document.</w:t>
      </w:r>
    </w:p>
    <w:p>
      <w:pPr>
        <w:spacing w:after="0" w:line="178" w:lineRule="exact"/>
        <w:rPr>
          <w:rFonts w:ascii="Times New Roman" w:cs="Times New Roman" w:eastAsia="Times New Roman" w:hAnsi="Times New Roman"/>
          <w:sz w:val="22"/>
          <w:szCs w:val="22"/>
          <w:color w:val="auto"/>
        </w:rPr>
      </w:pPr>
    </w:p>
    <w:p>
      <w:pPr>
        <w:ind w:firstLine="656"/>
        <w:spacing w:after="0" w:line="271" w:lineRule="auto"/>
        <w:tabs>
          <w:tab w:leader="none" w:pos="1135"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Borrower is, and immediately after the application by any Borrower of the proceeds of each Extension of Credit will not be, an “investment company” within the meaning of the Investment Company Act of 1940, as amended.</w:t>
      </w:r>
    </w:p>
    <w:p>
      <w:pPr>
        <w:spacing w:after="0" w:line="171" w:lineRule="exact"/>
        <w:rPr>
          <w:rFonts w:ascii="Times New Roman" w:cs="Times New Roman" w:eastAsia="Times New Roman" w:hAnsi="Times New Roman"/>
          <w:sz w:val="22"/>
          <w:szCs w:val="22"/>
          <w:color w:val="auto"/>
        </w:rPr>
      </w:pPr>
    </w:p>
    <w:p>
      <w:pPr>
        <w:jc w:val="both"/>
        <w:ind w:firstLine="656"/>
        <w:spacing w:after="0" w:line="250" w:lineRule="auto"/>
        <w:tabs>
          <w:tab w:leader="none" w:pos="1119"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the application of the proceeds of each Extension of Credit, not more than 25% of the value of the assets of the Company and its Subsidiaries (as determined in good faith by the Company) subject to the provisions of Section 5.02(a) or subject to any restriction contained in any agreement or instrument between any Borrower and any Lender or any Affiliate of any Lender relating to Debt and within the scope of Section 6.01(d), will consist of or be represented by Margin Stock.</w:t>
      </w:r>
    </w:p>
    <w:p>
      <w:pPr>
        <w:spacing w:after="0" w:line="194" w:lineRule="exact"/>
        <w:rPr>
          <w:rFonts w:ascii="Times New Roman" w:cs="Times New Roman" w:eastAsia="Times New Roman" w:hAnsi="Times New Roman"/>
          <w:sz w:val="22"/>
          <w:szCs w:val="22"/>
          <w:color w:val="auto"/>
        </w:rPr>
      </w:pPr>
    </w:p>
    <w:p>
      <w:pPr>
        <w:jc w:val="both"/>
        <w:ind w:firstLine="656"/>
        <w:spacing w:after="0" w:line="250" w:lineRule="auto"/>
        <w:tabs>
          <w:tab w:leader="none" w:pos="1255"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factual written information furnished by or on behalf of the Company or any of its Subsidiaries to the Administrative Agent or any Lender in connection with the negotiation of this Agreement or any other Loan Document, included herein or therein or furnished hereunder or thereunder (as modified or supplemented by other information so furnished) does not contain any material misstatement of fact or omit to state any material fact necessary to make the statements therein, in the light of the circumstances under which they were made, not materially misleading.</w:t>
      </w:r>
    </w:p>
    <w:p>
      <w:pPr>
        <w:spacing w:after="0" w:line="180" w:lineRule="exact"/>
        <w:rPr>
          <w:rFonts w:ascii="Times New Roman" w:cs="Times New Roman" w:eastAsia="Times New Roman" w:hAnsi="Times New Roman"/>
          <w:sz w:val="22"/>
          <w:szCs w:val="22"/>
          <w:color w:val="auto"/>
        </w:rPr>
      </w:pPr>
    </w:p>
    <w:p>
      <w:pPr>
        <w:jc w:val="both"/>
        <w:ind w:firstLine="656"/>
        <w:spacing w:after="0" w:line="263" w:lineRule="auto"/>
        <w:tabs>
          <w:tab w:leader="none" w:pos="1074"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Credit Parties and their Subsidiaries is in compliance with the FCPA. Neither the Company nor any of its Subsidiaries has made a payment, offering, or promise to pay, or authorized the payment of, money or anything of value (a) in order to assist in obtaining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240"/>
          </w:cols>
          <w:pgMar w:left="320" w:top="1260" w:right="339" w:bottom="1440" w:gutter="0" w:footer="0" w:header="0"/>
        </w:sectPr>
      </w:pPr>
    </w:p>
    <w:bookmarkStart w:id="187" w:name="page188"/>
    <w:bookmarkEnd w:id="187"/>
    <w:p>
      <w:pPr>
        <w:jc w:val="both"/>
        <w:spacing w:after="0" w:line="256" w:lineRule="auto"/>
        <w:rPr>
          <w:sz w:val="20"/>
          <w:szCs w:val="20"/>
          <w:color w:val="auto"/>
        </w:rPr>
      </w:pPr>
      <w:r>
        <w:rPr>
          <w:rFonts w:ascii="Times New Roman" w:cs="Times New Roman" w:eastAsia="Times New Roman" w:hAnsi="Times New Roman"/>
          <w:sz w:val="22"/>
          <w:szCs w:val="22"/>
          <w:color w:val="auto"/>
        </w:rPr>
        <w:t>retaining business for or with, or directing business to, any foreign official, foreign political party, party official or candidate for foreign political office, (b) to a foreign official, foreign political party or party official or any candidate for foreign political office, and (c) with the intent to induce the recipient to misuse his or her official position to direct business wrongfully to the Company or its Subsidiary or to any other Person, in each case in violation of the FCPA</w:t>
      </w:r>
      <w:r>
        <w:rPr>
          <w:rFonts w:ascii="Times New Roman" w:cs="Times New Roman" w:eastAsia="Times New Roman" w:hAnsi="Times New Roman"/>
          <w:sz w:val="22"/>
          <w:szCs w:val="22"/>
          <w:i w:val="1"/>
          <w:iCs w:val="1"/>
          <w:color w:val="auto"/>
        </w:rPr>
        <w:t>.</w:t>
      </w:r>
    </w:p>
    <w:p>
      <w:pPr>
        <w:spacing w:after="0" w:line="176" w:lineRule="exact"/>
        <w:rPr>
          <w:sz w:val="20"/>
          <w:szCs w:val="20"/>
          <w:color w:val="auto"/>
        </w:rPr>
      </w:pPr>
    </w:p>
    <w:p>
      <w:pPr>
        <w:jc w:val="both"/>
        <w:ind w:firstLine="656"/>
        <w:spacing w:after="0" w:line="248" w:lineRule="auto"/>
        <w:tabs>
          <w:tab w:leader="none" w:pos="1175"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None of the Company, any Subsidiary or, to the knowledge of the Company or such Subsidiary exercising due care, any of their respective (A) directors, officers or employees or (B) agents or representatives that will act in any capacity in connection with the Credit Facility is a Sanctioned Person or is currently the subject or target of any Sanctions and (ii) none of the Company or any Subsidiary (A) has its assets located in a Sanctioned Country in violation of Sanctions, (B) is currently under administrative, civil or criminal investigation for an alleged violation of, or, in the past five years, received notice from or made a voluntary disclosure to any governmental entity regarding a possible violation of, Anti-Corruption Laws, Anti-Money Laundering Laws or Sanctions by a governmental authority that enforces Sanctions or any Anti-Corruption Laws or Anti-Money Laundering Laws, or (C) knowingly, while exercising due care, directly or indirectly derives revenues from investments in, or transactions with, Sanctioned Persons in violation of Sanctions.</w:t>
      </w:r>
    </w:p>
    <w:p>
      <w:pPr>
        <w:spacing w:after="0" w:line="185" w:lineRule="exact"/>
        <w:rPr>
          <w:rFonts w:ascii="Times New Roman" w:cs="Times New Roman" w:eastAsia="Times New Roman" w:hAnsi="Times New Roman"/>
          <w:sz w:val="22"/>
          <w:szCs w:val="22"/>
          <w:color w:val="auto"/>
        </w:rPr>
      </w:pPr>
    </w:p>
    <w:p>
      <w:pPr>
        <w:jc w:val="both"/>
        <w:ind w:firstLine="656"/>
        <w:spacing w:after="0" w:line="256" w:lineRule="auto"/>
        <w:tabs>
          <w:tab w:leader="none" w:pos="1258"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Company and its Subsidiaries has implemented and maintains in effect policies and procedures reasonably designed to ensure compliance by the Company and its Subsidiaries and, while acting on behalf of the Company or its Subsidiaries, their respective directors, officers, employees and agents with applicable Anti-Corruption Laws, Anti-Money Laundering Laws and Sanctions.</w:t>
      </w:r>
    </w:p>
    <w:p>
      <w:pPr>
        <w:spacing w:after="0" w:line="176" w:lineRule="exact"/>
        <w:rPr>
          <w:rFonts w:ascii="Times New Roman" w:cs="Times New Roman" w:eastAsia="Times New Roman" w:hAnsi="Times New Roman"/>
          <w:sz w:val="22"/>
          <w:szCs w:val="22"/>
          <w:color w:val="auto"/>
        </w:rPr>
      </w:pPr>
    </w:p>
    <w:p>
      <w:pPr>
        <w:jc w:val="both"/>
        <w:ind w:firstLine="656"/>
        <w:spacing w:after="0" w:line="256" w:lineRule="auto"/>
        <w:tabs>
          <w:tab w:leader="none" w:pos="1183"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Company and its Subsidiaries, and to the knowledge of the Company exercising due care, each director, officer and employee of the Company and each such Subsidiary, while acting on behalf of the Company or Subsidiary, is (i) in material compliance with applicable Anti-Corruption Laws and Anti-Money Laundering Laws and (ii) not in knowing violation of any applicable Sanctions.</w:t>
      </w:r>
    </w:p>
    <w:p>
      <w:pPr>
        <w:spacing w:after="0" w:line="176" w:lineRule="exact"/>
        <w:rPr>
          <w:rFonts w:ascii="Times New Roman" w:cs="Times New Roman" w:eastAsia="Times New Roman" w:hAnsi="Times New Roman"/>
          <w:sz w:val="22"/>
          <w:szCs w:val="22"/>
          <w:color w:val="auto"/>
        </w:rPr>
      </w:pPr>
    </w:p>
    <w:p>
      <w:pPr>
        <w:jc w:val="both"/>
        <w:ind w:firstLine="656"/>
        <w:spacing w:after="0" w:line="263" w:lineRule="auto"/>
        <w:tabs>
          <w:tab w:leader="none" w:pos="1192"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nor any of its Subsidiaries is an “enemy” or an “ally of the enemy” within the meaning of Section 2 of the Trading with the Enemy Act of the United States of America (50 U.S.C. App. §§ 1 et seq.) (the “</w:t>
      </w:r>
      <w:r>
        <w:rPr>
          <w:rFonts w:ascii="Times New Roman" w:cs="Times New Roman" w:eastAsia="Times New Roman" w:hAnsi="Times New Roman"/>
          <w:sz w:val="21"/>
          <w:szCs w:val="21"/>
          <w:u w:val="single" w:color="auto"/>
          <w:color w:val="auto"/>
        </w:rPr>
        <w:t>Trading with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Enemy Act</w:t>
      </w:r>
      <w:r>
        <w:rPr>
          <w:rFonts w:ascii="Times New Roman" w:cs="Times New Roman" w:eastAsia="Times New Roman" w:hAnsi="Times New Roman"/>
          <w:sz w:val="21"/>
          <w:szCs w:val="21"/>
          <w:color w:val="auto"/>
        </w:rPr>
        <w:t>”), as amended. Neither the Company nor any of its Subsidiaries is in violation of (a) the Trading with the Enemy Act, as amended, (b) any of the foreign assets control regulations of the United States Department of the Treasury (31 CFR, Subtitle B, Chapter V, as amended) or any enabling legislation or executive order relating thereto or (c) the Patriot Act. None of the Credit Parties (i) is a blocked person described in Section 1 of the Anti-Terrorism Order or (ii) to its knowledge exercising due care, engages in any dealings or transactions, or is otherwise associated, with any such blocked person in violation of Sanctions.</w:t>
      </w:r>
    </w:p>
    <w:p>
      <w:pPr>
        <w:spacing w:after="0" w:line="172" w:lineRule="exact"/>
        <w:rPr>
          <w:rFonts w:ascii="Times New Roman" w:cs="Times New Roman" w:eastAsia="Times New Roman" w:hAnsi="Times New Roman"/>
          <w:sz w:val="21"/>
          <w:szCs w:val="21"/>
          <w:color w:val="auto"/>
        </w:rPr>
      </w:pPr>
    </w:p>
    <w:p>
      <w:pPr>
        <w:jc w:val="both"/>
        <w:ind w:firstLine="656"/>
        <w:spacing w:after="0" w:line="263" w:lineRule="auto"/>
        <w:tabs>
          <w:tab w:leader="none" w:pos="1168"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its Subsidiaries are the owner of, or have a valid leasehold interest in, all of their respective real and personal property material to the conduct of the business of the Company and its Subsidiaries, taken as a whole, and none of such assets is subject to any Lien other than Permitted Liens or Liens permitted by Section 5.02(a).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40"/>
          </w:cols>
          <w:pgMar w:left="320" w:top="1260" w:right="339" w:bottom="1440" w:gutter="0" w:footer="0" w:header="0"/>
        </w:sectPr>
      </w:pPr>
    </w:p>
    <w:bookmarkStart w:id="188" w:name="page189"/>
    <w:bookmarkEnd w:id="188"/>
    <w:p>
      <w:pPr>
        <w:jc w:val="both"/>
        <w:ind w:firstLine="656"/>
        <w:spacing w:after="0" w:line="264" w:lineRule="auto"/>
        <w:tabs>
          <w:tab w:leader="none" w:pos="1168" w:val="left"/>
        </w:tabs>
        <w:numPr>
          <w:ilvl w:val="1"/>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Credit Parties and its Subsidiaries has filed, or caused to be filed, all income Tax returns and all other Tax returns (federal, state, local and foreign) required to be filed and paid (a) all amounts of Taxes shown thereon to be due (including interest and penalties) and (b) all other Taxes, fees, assessments and other governmental charges (including mortgage recording Taxes, documentary stamp Taxes and intangibles Taxes) owing by it, except (i) Taxes that are not yet delinquent,</w:t>
      </w:r>
    </w:p>
    <w:p>
      <w:pPr>
        <w:jc w:val="both"/>
        <w:ind w:firstLine="8"/>
        <w:spacing w:after="0" w:line="245" w:lineRule="auto"/>
        <w:tabs>
          <w:tab w:leader="none" w:pos="351"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Taxes that are being contested in good faith and by proper proceedings, and against which adequate reserves are being maintained in accordance with GAAP or (iii) to the extent that failure to do so would not reasonably be expected, individually or in the aggregate, to result in a Material Adverse Effect.</w:t>
      </w:r>
    </w:p>
    <w:p>
      <w:pPr>
        <w:spacing w:after="0" w:line="186" w:lineRule="exact"/>
        <w:rPr>
          <w:rFonts w:ascii="Times New Roman" w:cs="Times New Roman" w:eastAsia="Times New Roman" w:hAnsi="Times New Roman"/>
          <w:sz w:val="22"/>
          <w:szCs w:val="22"/>
          <w:color w:val="auto"/>
        </w:rPr>
      </w:pPr>
    </w:p>
    <w:p>
      <w:pPr>
        <w:jc w:val="both"/>
        <w:ind w:firstLine="656"/>
        <w:spacing w:after="0" w:line="267" w:lineRule="auto"/>
        <w:tabs>
          <w:tab w:leader="none" w:pos="1124" w:val="left"/>
        </w:tabs>
        <w:numPr>
          <w:ilvl w:val="1"/>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disclosed and except for instances that would not reasonably be expected, individually or in the aggregate, to have a Material Adverse Effect, (i) the facilities and properties owned, leased or operated by the Credit Parties or any of their Subsidiaries (the “</w:t>
      </w:r>
      <w:r>
        <w:rPr>
          <w:rFonts w:ascii="Times New Roman" w:cs="Times New Roman" w:eastAsia="Times New Roman" w:hAnsi="Times New Roman"/>
          <w:sz w:val="21"/>
          <w:szCs w:val="21"/>
          <w:u w:val="single" w:color="auto"/>
          <w:color w:val="auto"/>
        </w:rPr>
        <w:t>Properties</w:t>
      </w:r>
      <w:r>
        <w:rPr>
          <w:rFonts w:ascii="Times New Roman" w:cs="Times New Roman" w:eastAsia="Times New Roman" w:hAnsi="Times New Roman"/>
          <w:sz w:val="21"/>
          <w:szCs w:val="21"/>
          <w:color w:val="auto"/>
        </w:rPr>
        <w:t>”) are not contaminated with any Hazardous Materials in amounts or concentrations which</w:t>
      </w:r>
    </w:p>
    <w:p>
      <w:pPr>
        <w:spacing w:after="0" w:line="1" w:lineRule="exact"/>
        <w:rPr>
          <w:rFonts w:ascii="Times New Roman" w:cs="Times New Roman" w:eastAsia="Times New Roman" w:hAnsi="Times New Roman"/>
          <w:sz w:val="21"/>
          <w:szCs w:val="21"/>
          <w:color w:val="auto"/>
        </w:rPr>
      </w:pPr>
    </w:p>
    <w:p>
      <w:pPr>
        <w:jc w:val="both"/>
        <w:ind w:firstLine="8"/>
        <w:spacing w:after="0" w:line="258" w:lineRule="auto"/>
        <w:tabs>
          <w:tab w:leader="none" w:pos="310"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constitute a violation of, or (z) would reasonably be expected to subject any Credit Party to liability under any Environmental Law, (ii) the operations of the Credit Parties and/or their Subsidiaries at the Properties are in compliance, and have in the last five years been in compliance, with all Environmental Laws, (iii) neither the Credit Parties nor their Subsidiaries have received any unresolved written notice alleging responsibility for a violation, non-compliance, liability or potential liability of any Credit Party under Environmental Laws regarding any of the Properties or the Business, nor do the Credit Parties or their Subsidiaries have knowledge that any such notice will be received or is being threatened, (iv) to the knowledge of the Credit Parties, Hazardous Materials have not been transported or disposed of by or on behalf of any Credit Party in violation of, or in a manner that could reasonably be expected to give rise to liability on behalf of any Credit Party, under any Environmental Law, and no Hazardous Materials have been generated, treated, stored or disposed of at, on or under any of the Properties in violation of, or in a manner that would reasonably be expected to give rise to liability on behalf of any Credit Party under, any Environmental Law and (v) no judicial proceeding or governmental or administrative action is pending or, to the knowledge of the Credit Parties and their Subsidiaries, threatened, under any Environmental Law to which any Credit Party or any Subsidiary is or is expected to be named as a party with respect to the Properties or the business operated by the Credit Parties or any of their Subsidiaries, nor is any Credit Party or Subsidiary a party to any outstanding consent decrees or other decrees, consent orders, administrative orders or other orders, in each case, by or with any governmental entity, under any Environmental Law with respect to the Properties or the business operated by the Credit Parties or any of their Subsidiaries.</w:t>
      </w:r>
    </w:p>
    <w:p>
      <w:pPr>
        <w:spacing w:after="0" w:line="183" w:lineRule="exact"/>
        <w:rPr>
          <w:rFonts w:ascii="Times New Roman" w:cs="Times New Roman" w:eastAsia="Times New Roman" w:hAnsi="Times New Roman"/>
          <w:sz w:val="21"/>
          <w:szCs w:val="21"/>
          <w:color w:val="auto"/>
        </w:rPr>
      </w:pPr>
    </w:p>
    <w:p>
      <w:pPr>
        <w:jc w:val="both"/>
        <w:ind w:firstLine="656"/>
        <w:spacing w:after="0" w:line="250" w:lineRule="auto"/>
        <w:tabs>
          <w:tab w:leader="none" w:pos="1109" w:val="left"/>
        </w:tabs>
        <w:numPr>
          <w:ilvl w:val="1"/>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reasonably be expected, individually or in the aggregate, to have a Material Adverse Effect, (i) no ERISA Event has occurred during the five-year period prior to the date on which this representation is made or deemed made with respect to any Plan and (ii) neither any Borrower nor any of its ERISA Affiliates is currently subject to any liability for a complete or partial withdrawal from a Multiemployer Plan. The present value of all accrued benefits under all Single Employer Plans taken in the aggregate (based on the assumptions used to fund such Plans) did not, as of the last annual valuation date prior to the date on which this representation is being made or deemed made, exceed by greater than $50,000,000 the value of the assets of such Plans taken in the aggregate allocable to such accrued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1260" w:right="339" w:bottom="1440" w:gutter="0" w:footer="0" w:header="0"/>
        </w:sectPr>
      </w:pPr>
    </w:p>
    <w:bookmarkStart w:id="189" w:name="page190"/>
    <w:bookmarkEnd w:id="189"/>
    <w:p>
      <w:pPr>
        <w:jc w:val="both"/>
        <w:ind w:firstLine="656"/>
        <w:spacing w:after="0" w:line="256" w:lineRule="auto"/>
        <w:tabs>
          <w:tab w:leader="none" w:pos="1119"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reasonably be expected, individually or in the aggregate, to have a Material Adverse Effect, (i) there are no strikes, walkouts, work stoppages or other labor difficulty pending or, to the knowledge of any Credit Party, threatened against any Credit Party and (ii) no unfair labor practice complaint is pending against any Credit Party or any of its Subsidiaries.</w:t>
      </w:r>
    </w:p>
    <w:p>
      <w:pPr>
        <w:spacing w:after="0" w:line="176"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Credit Party is an Affected Financial Institution.</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COVENANTS OF THE CREDIT PARTIES</w:t>
      </w:r>
    </w:p>
    <w:p>
      <w:pPr>
        <w:spacing w:after="0" w:line="27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5.01. </w:t>
      </w:r>
      <w:r>
        <w:rPr>
          <w:rFonts w:ascii="Times New Roman" w:cs="Times New Roman" w:eastAsia="Times New Roman" w:hAnsi="Times New Roman"/>
          <w:sz w:val="22"/>
          <w:szCs w:val="22"/>
          <w:u w:val="single" w:color="auto"/>
          <w:color w:val="auto"/>
        </w:rPr>
        <w:t>Affirmative Covenants</w:t>
      </w:r>
      <w:r>
        <w:rPr>
          <w:rFonts w:ascii="Times New Roman" w:cs="Times New Roman" w:eastAsia="Times New Roman" w:hAnsi="Times New Roman"/>
          <w:sz w:val="22"/>
          <w:szCs w:val="22"/>
          <w:color w:val="auto"/>
        </w:rPr>
        <w:t>. So long as any Advance shall remain unpaid, all Letters of Credit have not yet been terminated or expired (unless Cash Collateralized or otherwise provided for in a manner reasonably satisfactory to the applicable Issuing Lender), or any Lender shall have any Commitment hereunder, each of the Credit Parties will:</w:t>
      </w:r>
    </w:p>
    <w:p>
      <w:pPr>
        <w:spacing w:after="0" w:line="167" w:lineRule="exact"/>
        <w:rPr>
          <w:sz w:val="20"/>
          <w:szCs w:val="20"/>
          <w:color w:val="auto"/>
        </w:rPr>
      </w:pPr>
    </w:p>
    <w:p>
      <w:pPr>
        <w:jc w:val="both"/>
        <w:ind w:firstLine="656"/>
        <w:spacing w:after="0" w:line="249" w:lineRule="auto"/>
        <w:tabs>
          <w:tab w:leader="none" w:pos="1131"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Laws, Etc.</w:t>
      </w:r>
      <w:r>
        <w:rPr>
          <w:rFonts w:ascii="Times New Roman" w:cs="Times New Roman" w:eastAsia="Times New Roman" w:hAnsi="Times New Roman"/>
          <w:sz w:val="22"/>
          <w:szCs w:val="22"/>
          <w:color w:val="auto"/>
        </w:rPr>
        <w:t xml:space="preserve"> Comply, and cause each of its Subsidiaries to comply, in all material respects, with all Applicable Laws, rules, regulations and orders, such compliance to include, without limitation, compliance with ERISA and Environmental Laws and, in the case of any Credit Party incorporated under the laws of the Commonwealth of Australia, Chapter 2E and Part 2J.3 of the Corporations Act 2001 (Cwlth), except, in each case, to the extent that any failures to so comply, individually or in the aggregate, would not be reasonably likely to have a Material Adverse Effect;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neither the Company nor any of its Subsidiaries shall be required to comply with any law, rule, regulation or order to the extent it is being contested in good faith and by proper proceedings and as to which appropriate reserves are being maintained. The Company shall maintain, and cause each of its Subsidiaries to maintain, policies and procedures reasonably designed to ensure (i) it is in material compliance with applicable Anti-Corruption Laws and (ii) it is not in knowing, while exercising due care, violation of any applicable Sanctions.</w:t>
      </w:r>
    </w:p>
    <w:p>
      <w:pPr>
        <w:spacing w:after="0" w:line="237" w:lineRule="exact"/>
        <w:rPr>
          <w:rFonts w:ascii="Times New Roman" w:cs="Times New Roman" w:eastAsia="Times New Roman" w:hAnsi="Times New Roman"/>
          <w:sz w:val="22"/>
          <w:szCs w:val="22"/>
          <w:color w:val="auto"/>
        </w:rPr>
      </w:pPr>
    </w:p>
    <w:p>
      <w:pPr>
        <w:jc w:val="both"/>
        <w:ind w:firstLine="656"/>
        <w:spacing w:after="0" w:line="253" w:lineRule="auto"/>
        <w:tabs>
          <w:tab w:leader="none" w:pos="1143"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Taxes, Etc.</w:t>
      </w:r>
      <w:r>
        <w:rPr>
          <w:rFonts w:ascii="Times New Roman" w:cs="Times New Roman" w:eastAsia="Times New Roman" w:hAnsi="Times New Roman"/>
          <w:sz w:val="22"/>
          <w:szCs w:val="22"/>
          <w:color w:val="auto"/>
        </w:rPr>
        <w:t xml:space="preserve"> Pay and discharge, and cause each of its Subsidiaries to pay and discharge, before the same shall become delinquent, all material Taxes, assessments and governmental charges or levies imposed upon it or upon its property;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neither the Company nor any of its Subsidiaries shall be required to pay or discharge any such Tax, assessment, charge or claim that is being contested in good faith and by proper proceedings and as to which appropriate reserves are being maintained.</w:t>
      </w:r>
    </w:p>
    <w:p>
      <w:pPr>
        <w:spacing w:after="0" w:line="232" w:lineRule="exact"/>
        <w:rPr>
          <w:rFonts w:ascii="Times New Roman" w:cs="Times New Roman" w:eastAsia="Times New Roman" w:hAnsi="Times New Roman"/>
          <w:sz w:val="22"/>
          <w:szCs w:val="22"/>
          <w:color w:val="auto"/>
        </w:rPr>
      </w:pPr>
    </w:p>
    <w:p>
      <w:pPr>
        <w:jc w:val="both"/>
        <w:ind w:firstLine="656"/>
        <w:spacing w:after="0" w:line="252" w:lineRule="auto"/>
        <w:tabs>
          <w:tab w:leader="none" w:pos="1225"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Maintenance of Insurance</w:t>
      </w:r>
      <w:r>
        <w:rPr>
          <w:rFonts w:ascii="Times New Roman" w:cs="Times New Roman" w:eastAsia="Times New Roman" w:hAnsi="Times New Roman"/>
          <w:sz w:val="22"/>
          <w:szCs w:val="22"/>
          <w:color w:val="auto"/>
        </w:rPr>
        <w:t>. Maintain, and cause each of its Significant Subsidiaries to maintain, insurance with responsible and reputable insurance companies or associations in such amounts and covering such risks as is usually carried by companies engaged in similar businesses and owning similar properties in the same general areas in which each Credit Party or such Significant Subsidiary operates.</w:t>
      </w:r>
    </w:p>
    <w:p>
      <w:pPr>
        <w:spacing w:after="0" w:line="179" w:lineRule="exact"/>
        <w:rPr>
          <w:rFonts w:ascii="Times New Roman" w:cs="Times New Roman" w:eastAsia="Times New Roman" w:hAnsi="Times New Roman"/>
          <w:sz w:val="22"/>
          <w:szCs w:val="22"/>
          <w:color w:val="auto"/>
        </w:rPr>
      </w:pPr>
    </w:p>
    <w:p>
      <w:pPr>
        <w:jc w:val="both"/>
        <w:ind w:firstLine="656"/>
        <w:spacing w:after="0" w:line="263" w:lineRule="auto"/>
        <w:tabs>
          <w:tab w:leader="none" w:pos="1116"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Preservation of Corporate Existence, Etc</w:t>
      </w:r>
      <w:r>
        <w:rPr>
          <w:rFonts w:ascii="Times New Roman" w:cs="Times New Roman" w:eastAsia="Times New Roman" w:hAnsi="Times New Roman"/>
          <w:sz w:val="22"/>
          <w:szCs w:val="22"/>
          <w:color w:val="auto"/>
        </w:rPr>
        <w:t>. Preserve and maintain its corporate or other legal existence, rights (charter and statutory) and franchises if the loss or failure to maintain the same would, individually or in the aggregate, be reasonably likely to have a Material Adverse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40"/>
          </w:cols>
          <w:pgMar w:left="320" w:top="1260" w:right="339" w:bottom="1440" w:gutter="0" w:footer="0" w:header="0"/>
        </w:sectPr>
      </w:pPr>
    </w:p>
    <w:bookmarkStart w:id="190" w:name="page191"/>
    <w:bookmarkEnd w:id="190"/>
    <w:p>
      <w:pPr>
        <w:spacing w:after="0" w:line="271" w:lineRule="auto"/>
        <w:rPr>
          <w:sz w:val="20"/>
          <w:szCs w:val="20"/>
          <w:color w:val="auto"/>
        </w:rPr>
      </w:pPr>
      <w:r>
        <w:rPr>
          <w:rFonts w:ascii="Times New Roman" w:cs="Times New Roman" w:eastAsia="Times New Roman" w:hAnsi="Times New Roman"/>
          <w:sz w:val="22"/>
          <w:szCs w:val="22"/>
          <w:color w:val="auto"/>
        </w:rPr>
        <w:t xml:space="preserve">Effect;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or any of its Subsidiaries may consummate any merger, consolidation or other transaction permitted under Section 5.02(b).</w:t>
      </w:r>
    </w:p>
    <w:p>
      <w:pPr>
        <w:spacing w:after="0" w:line="158" w:lineRule="exact"/>
        <w:rPr>
          <w:sz w:val="20"/>
          <w:szCs w:val="20"/>
          <w:color w:val="auto"/>
        </w:rPr>
      </w:pPr>
    </w:p>
    <w:p>
      <w:pPr>
        <w:jc w:val="both"/>
        <w:ind w:firstLine="656"/>
        <w:spacing w:after="0" w:line="252" w:lineRule="auto"/>
        <w:tabs>
          <w:tab w:leader="none" w:pos="1171"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Visitation Rights</w:t>
      </w:r>
      <w:r>
        <w:rPr>
          <w:rFonts w:ascii="Times New Roman" w:cs="Times New Roman" w:eastAsia="Times New Roman" w:hAnsi="Times New Roman"/>
          <w:sz w:val="22"/>
          <w:szCs w:val="22"/>
          <w:color w:val="auto"/>
        </w:rPr>
        <w:t>. At any reasonable time and from time to time on reasonable notice and at reasonable intervals, permit the Administrative Agent or any of the Lenders, or any agents or representatives thereof, to visit the properties of the Company and any of its Subsidiaries and to discuss the affairs, finances and accounts of the Company and any of its Subsidiaries with any of their officers or directors and, during the continuance of any Default, to examine and make copies of and abstracts from the records and books of account of the Company and any of its Subsidiaries and (provided that an officer or officers of the Company are afforded a reasonable opportunity to be present) to discuss the affairs, finances and accounts of the Company and any of its Subsidiaries with their independent certified public accountants.</w:t>
      </w:r>
    </w:p>
    <w:p>
      <w:pPr>
        <w:spacing w:after="0" w:line="179" w:lineRule="exact"/>
        <w:rPr>
          <w:rFonts w:ascii="Times New Roman" w:cs="Times New Roman" w:eastAsia="Times New Roman" w:hAnsi="Times New Roman"/>
          <w:sz w:val="22"/>
          <w:szCs w:val="22"/>
          <w:color w:val="auto"/>
        </w:rPr>
      </w:pPr>
    </w:p>
    <w:p>
      <w:pPr>
        <w:jc w:val="both"/>
        <w:ind w:firstLine="656"/>
        <w:spacing w:after="0" w:line="257" w:lineRule="auto"/>
        <w:tabs>
          <w:tab w:leader="none" w:pos="112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Keeping of Books</w:t>
      </w:r>
      <w:r>
        <w:rPr>
          <w:rFonts w:ascii="Times New Roman" w:cs="Times New Roman" w:eastAsia="Times New Roman" w:hAnsi="Times New Roman"/>
          <w:sz w:val="22"/>
          <w:szCs w:val="22"/>
          <w:color w:val="auto"/>
        </w:rPr>
        <w:t>. Keep, and cause each of its Subsidiaries to keep, proper books of record and account, in which entries shall be made of all financial transactions and the assets and business of the Company and each such Subsidiary in accordance with generally accepted accounting principles in effect from time to time.</w:t>
      </w:r>
    </w:p>
    <w:p>
      <w:pPr>
        <w:spacing w:after="0" w:line="172" w:lineRule="exact"/>
        <w:rPr>
          <w:rFonts w:ascii="Times New Roman" w:cs="Times New Roman" w:eastAsia="Times New Roman" w:hAnsi="Times New Roman"/>
          <w:sz w:val="22"/>
          <w:szCs w:val="22"/>
          <w:color w:val="auto"/>
        </w:rPr>
      </w:pPr>
    </w:p>
    <w:p>
      <w:pPr>
        <w:jc w:val="both"/>
        <w:ind w:firstLine="656"/>
        <w:spacing w:after="0" w:line="256" w:lineRule="auto"/>
        <w:tabs>
          <w:tab w:leader="none" w:pos="1183"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Maintenance of Properties, Etc.</w:t>
      </w:r>
      <w:r>
        <w:rPr>
          <w:rFonts w:ascii="Times New Roman" w:cs="Times New Roman" w:eastAsia="Times New Roman" w:hAnsi="Times New Roman"/>
          <w:sz w:val="22"/>
          <w:szCs w:val="22"/>
          <w:color w:val="auto"/>
        </w:rPr>
        <w:t xml:space="preserve"> Maintain and preserve, and cause each of its Significant Subsidiaries to maintain and preserve, all of its properties that are used or useful in the conduct of its business in good working order and condition, ordinary wear and tear excepted, except to the extent that any failure to do so, individually or in the aggregate, would not be reasonably likely to have a Material Adverse Effect.</w:t>
      </w:r>
    </w:p>
    <w:p>
      <w:pPr>
        <w:spacing w:after="0" w:line="176" w:lineRule="exact"/>
        <w:rPr>
          <w:rFonts w:ascii="Times New Roman" w:cs="Times New Roman" w:eastAsia="Times New Roman" w:hAnsi="Times New Roman"/>
          <w:sz w:val="22"/>
          <w:szCs w:val="22"/>
          <w:color w:val="auto"/>
        </w:rPr>
      </w:pPr>
    </w:p>
    <w:p>
      <w:pPr>
        <w:ind w:firstLine="656"/>
        <w:spacing w:after="0" w:line="271" w:lineRule="auto"/>
        <w:tabs>
          <w:tab w:leader="none" w:pos="1156"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Primary Business</w:t>
      </w:r>
      <w:r>
        <w:rPr>
          <w:rFonts w:ascii="Times New Roman" w:cs="Times New Roman" w:eastAsia="Times New Roman" w:hAnsi="Times New Roman"/>
          <w:sz w:val="22"/>
          <w:szCs w:val="22"/>
          <w:color w:val="auto"/>
        </w:rPr>
        <w:t>. Continue to be engaged primarily in lines of business as carried on at the date hereof or lines of business related, complementary or ancillary thereto.</w:t>
      </w:r>
    </w:p>
    <w:p>
      <w:pPr>
        <w:spacing w:after="0" w:line="157"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Reporting Requirements</w:t>
      </w:r>
      <w:r>
        <w:rPr>
          <w:rFonts w:ascii="Times New Roman" w:cs="Times New Roman" w:eastAsia="Times New Roman" w:hAnsi="Times New Roman"/>
          <w:sz w:val="22"/>
          <w:szCs w:val="22"/>
          <w:color w:val="auto"/>
        </w:rPr>
        <w:t>. Furnish to the Administrative Agent (who shall furnish to the Lenders):</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776" w:val="left"/>
        </w:tabs>
        <w:numPr>
          <w:ilvl w:val="1"/>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and in any event within 45 days after the end of each of the first three quarters of each fiscal year of the Company, the consolidated balance sheet of the Company and its Subsidiaries as of the end of such quarter and consolidated statements of income and cash flows of the Company and its Subsidiaries for the period commencing at the end of the previous fiscal year and ending with the end of such quarter, duly certified (subject to year-end audit adjustments) by the chief financial officer of the Company as having been prepared in accordance with generally accepted accounting principles and a certificate of the chief financial officer of the Company as to compliance with the terms of this Agreement, provided that in the event of any change in GAAP used in the preparation of such financial statements, the Company shall also provide, if necessary for the determination of compliance with Section 5.03, a statement of reconciliation conforming such financial statements to GAAP;</w:t>
      </w:r>
    </w:p>
    <w:p>
      <w:pPr>
        <w:spacing w:after="0" w:line="185" w:lineRule="exact"/>
        <w:rPr>
          <w:rFonts w:ascii="Times New Roman" w:cs="Times New Roman" w:eastAsia="Times New Roman" w:hAnsi="Times New Roman"/>
          <w:sz w:val="22"/>
          <w:szCs w:val="22"/>
          <w:color w:val="auto"/>
        </w:rPr>
      </w:pPr>
    </w:p>
    <w:p>
      <w:pPr>
        <w:jc w:val="both"/>
        <w:ind w:left="660" w:firstLine="644"/>
        <w:spacing w:after="0" w:line="281" w:lineRule="auto"/>
        <w:tabs>
          <w:tab w:leader="none" w:pos="1798" w:val="left"/>
        </w:tabs>
        <w:numPr>
          <w:ilvl w:val="1"/>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available and in any event within 90 days after the end of each fiscal year of the Company, a copy of the audited financial statements for such year for the Company and its Subsidiaries, containing the consolidated balance sheet of the Company and its Subsidiaries as of the end of such fiscal year and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40"/>
          </w:cols>
          <w:pgMar w:left="320" w:top="1260" w:right="339" w:bottom="1440" w:gutter="0" w:footer="0" w:header="0"/>
        </w:sectPr>
      </w:pPr>
    </w:p>
    <w:bookmarkStart w:id="191" w:name="page192"/>
    <w:bookmarkEnd w:id="191"/>
    <w:p>
      <w:pPr>
        <w:jc w:val="both"/>
        <w:ind w:left="4"/>
        <w:spacing w:after="0" w:line="251" w:lineRule="auto"/>
        <w:rPr>
          <w:sz w:val="20"/>
          <w:szCs w:val="20"/>
          <w:color w:val="auto"/>
        </w:rPr>
      </w:pPr>
      <w:r>
        <w:rPr>
          <w:rFonts w:ascii="Times New Roman" w:cs="Times New Roman" w:eastAsia="Times New Roman" w:hAnsi="Times New Roman"/>
          <w:sz w:val="22"/>
          <w:szCs w:val="22"/>
          <w:color w:val="auto"/>
        </w:rPr>
        <w:t xml:space="preserve">and cash flows of the Company and its Subsidiaries for such fiscal year, in each case accompanied by an opinion by PricewaterhouseCoopers LLP or other independent public accountants of recognized national standing and a certificate of the chief financial officer of the Company as to compliance with the terms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of any change in GAAP used in the preparation of such financial statements, the Company shall also provide, if necessary for the determination of compliance with Section 5.03, a statement of reconciliation conforming such financial statements to GAAP;</w:t>
      </w:r>
    </w:p>
    <w:p>
      <w:pPr>
        <w:spacing w:after="0" w:line="181" w:lineRule="exact"/>
        <w:rPr>
          <w:sz w:val="20"/>
          <w:szCs w:val="20"/>
          <w:color w:val="auto"/>
        </w:rPr>
      </w:pPr>
    </w:p>
    <w:p>
      <w:pPr>
        <w:jc w:val="both"/>
        <w:ind w:left="4" w:firstLine="644"/>
        <w:spacing w:after="0" w:line="263" w:lineRule="auto"/>
        <w:tabs>
          <w:tab w:leader="none" w:pos="1214"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possible and in any event within seven days after obtaining knowledge of the occurrence of each Default continuing on the date of such statement, a statement of the chief financial officer of the Company setting forth details of such Default and the action that the Company has taken and proposes to take with respect thereto;</w:t>
      </w:r>
    </w:p>
    <w:p>
      <w:pPr>
        <w:spacing w:after="0" w:line="167" w:lineRule="exact"/>
        <w:rPr>
          <w:rFonts w:ascii="Times New Roman" w:cs="Times New Roman" w:eastAsia="Times New Roman" w:hAnsi="Times New Roman"/>
          <w:sz w:val="22"/>
          <w:szCs w:val="22"/>
          <w:color w:val="auto"/>
        </w:rPr>
      </w:pPr>
    </w:p>
    <w:p>
      <w:pPr>
        <w:ind w:left="1184" w:hanging="536"/>
        <w:spacing w:after="0"/>
        <w:tabs>
          <w:tab w:leader="none" w:pos="1184"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57" w:lineRule="auto"/>
        <w:tabs>
          <w:tab w:leader="none" w:pos="1361"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commencement thereof, notice of all actions and proceedings before any court, governmental agency or arbitrator affecting the Company or any of its Subsidiaries of the type described in Section 4.01(f);</w:t>
      </w:r>
    </w:p>
    <w:p>
      <w:pPr>
        <w:spacing w:after="0" w:line="172" w:lineRule="exact"/>
        <w:rPr>
          <w:rFonts w:ascii="Times New Roman" w:cs="Times New Roman" w:eastAsia="Times New Roman" w:hAnsi="Times New Roman"/>
          <w:sz w:val="22"/>
          <w:szCs w:val="22"/>
          <w:color w:val="auto"/>
        </w:rPr>
      </w:pPr>
    </w:p>
    <w:p>
      <w:pPr>
        <w:ind w:left="4" w:firstLine="644"/>
        <w:spacing w:after="0" w:line="284" w:lineRule="auto"/>
        <w:tabs>
          <w:tab w:leader="none" w:pos="1342"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information respecting the Company or any of its Subsidiaries as any Lender through the Administrative Agent may from time to time reasonably request; and</w:t>
      </w:r>
    </w:p>
    <w:p>
      <w:pPr>
        <w:spacing w:after="0" w:line="143" w:lineRule="exact"/>
        <w:rPr>
          <w:rFonts w:ascii="Times New Roman" w:cs="Times New Roman" w:eastAsia="Times New Roman" w:hAnsi="Times New Roman"/>
          <w:sz w:val="22"/>
          <w:szCs w:val="22"/>
          <w:color w:val="auto"/>
        </w:rPr>
      </w:pPr>
    </w:p>
    <w:p>
      <w:pPr>
        <w:jc w:val="both"/>
        <w:ind w:left="4" w:firstLine="644"/>
        <w:spacing w:after="0" w:line="252" w:lineRule="auto"/>
        <w:tabs>
          <w:tab w:leader="none" w:pos="1398"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any request therefor, information and documentation reasonably requested by the Administrative Agent or any Lender for purposes of compliance with applicable “know your customer” requirements under the PATRIOT Act, the Beneficial Ownership Regulation (including a Beneficial Ownership Certification) or other applicable anti-money laundering laws.</w:t>
      </w:r>
    </w:p>
    <w:p>
      <w:pPr>
        <w:spacing w:after="0" w:line="192" w:lineRule="exact"/>
        <w:rPr>
          <w:rFonts w:ascii="Times New Roman" w:cs="Times New Roman" w:eastAsia="Times New Roman" w:hAnsi="Times New Roman"/>
          <w:sz w:val="22"/>
          <w:szCs w:val="22"/>
          <w:color w:val="auto"/>
        </w:rPr>
      </w:pPr>
    </w:p>
    <w:p>
      <w:pPr>
        <w:ind w:left="424" w:hanging="424"/>
        <w:spacing w:after="0"/>
        <w:tabs>
          <w:tab w:leader="none" w:pos="424"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Subsidiaries; Additional Foreign Borrowers and Guarantors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48" w:lineRule="auto"/>
        <w:tabs>
          <w:tab w:leader="none" w:pos="1123"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the Restatement Effective Date, any Person becomes a Material Domestic Subsidiary (whether as a result of an acquisition of a Material Domestic Subsidiary or otherwise) (with respect to any such Material Domestic Subsidiary, the date on which it becomes a Material Domestic Subsidiary, a “</w:t>
      </w:r>
      <w:r>
        <w:rPr>
          <w:rFonts w:ascii="Times New Roman" w:cs="Times New Roman" w:eastAsia="Times New Roman" w:hAnsi="Times New Roman"/>
          <w:sz w:val="22"/>
          <w:szCs w:val="22"/>
          <w:u w:val="single" w:color="auto"/>
          <w:color w:val="auto"/>
        </w:rPr>
        <w:t>Guarantor Reference Date</w:t>
      </w:r>
      <w:r>
        <w:rPr>
          <w:rFonts w:ascii="Times New Roman" w:cs="Times New Roman" w:eastAsia="Times New Roman" w:hAnsi="Times New Roman"/>
          <w:sz w:val="22"/>
          <w:szCs w:val="22"/>
          <w:color w:val="auto"/>
        </w:rPr>
        <w:t>”), the Company shall, on or prior to the latest of (i) the date that is forty-five days after the Guarantor Reference Date, (ii) the first date after the Guarantor Reference Date on which an Advance is made or is outstanding and (iii) such later date as may be agreed by the Administrative Agent in its reasonable discretion, cause such Person to: (A) become a Guarantor of Borrower Obligations by delivering to the Administrative Agent a duly executed supplement to this Agreement or such other document as the Administrative Agent shall reasonably deem appropriate for such purpose, (B) deliver to the Administrative Agent such opinions, documents and certificates referred to in Section 3.01(c) as may be reasonably requested by the Administrative Agent, (C) deliver to the Administrative Agent such updated Schedules to this Agreement as reasonably requested by the Administrative Agent with respect to such Person and (D) deliver to the Administrative Agent such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0584"/>
          </w:cols>
          <w:pgMar w:left="976" w:top="1260" w:right="339" w:bottom="1440" w:gutter="0" w:footer="0" w:header="0"/>
        </w:sectPr>
      </w:pPr>
    </w:p>
    <w:bookmarkStart w:id="192" w:name="page193"/>
    <w:bookmarkEnd w:id="192"/>
    <w:p>
      <w:pPr>
        <w:ind w:left="660"/>
        <w:spacing w:after="0" w:line="271" w:lineRule="auto"/>
        <w:rPr>
          <w:sz w:val="20"/>
          <w:szCs w:val="20"/>
          <w:color w:val="auto"/>
        </w:rPr>
      </w:pPr>
      <w:r>
        <w:rPr>
          <w:rFonts w:ascii="Times New Roman" w:cs="Times New Roman" w:eastAsia="Times New Roman" w:hAnsi="Times New Roman"/>
          <w:sz w:val="22"/>
          <w:szCs w:val="22"/>
          <w:color w:val="auto"/>
        </w:rPr>
        <w:t>documents as may be reasonably requested by the Administrative Agent, all in form, content and scope reasonably satisfactory to the Administrative Agent.</w:t>
      </w:r>
    </w:p>
    <w:p>
      <w:pPr>
        <w:spacing w:after="0" w:line="158" w:lineRule="exact"/>
        <w:rPr>
          <w:sz w:val="20"/>
          <w:szCs w:val="20"/>
          <w:color w:val="auto"/>
        </w:rPr>
      </w:pPr>
    </w:p>
    <w:p>
      <w:pPr>
        <w:jc w:val="both"/>
        <w:ind w:left="660" w:firstLine="644"/>
        <w:spacing w:after="0" w:line="258" w:lineRule="auto"/>
        <w:tabs>
          <w:tab w:leader="none" w:pos="1784" w:val="left"/>
        </w:tabs>
        <w:numPr>
          <w:ilvl w:val="1"/>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on 15 days’ notice to the Administrative Agent, elect to add as a Foreign Borrower under this Agreement any Subsidiary of the Company (A) that is organized under the laws of England, Wales, Scotland, Northern Ireland, Canada, Australia or Singapore or (B) that is organized under the laws of any other foreign jurisdiction with the consent of the Administrative Agent and each of the Lenders (in each case, in such Person’s sole discretion) on terms and conditions satisfactory to the Administrative Agent and each such Lender, so long as, in each case for any election described above in clause (ii)(A) or (ii)(B), (x) the Administrative Agent (on behalf of the Lenders pursuant to Section 7.01), the Company and the new Foreign Borrower have entered into a joinder agreement, in form and substance reasonably satisfactory to the Administrative Agent, which joinder agreement may include any amendment or other modification to this Agreement as is reasonably necessary to incorporate any terms required by the laws of the country in which such Foreign Borrower is organized, including, without limitation, terms necessary to make this Agreement enforceable against such Foreign Borrower under the laws of such country and to ensure the Advances, actions and obligations of the Lenders hereunder with respect to such Foreign Borrower will be permitted under the laws of such country, and (y) the Administrative Agent and the Lenders (1) have received all documentation and other information required by regulatory authorities under applicable “know your customer” and anti-money-laundering rules and regulations, including, without limitation, the Patriot Act and the Beneficial Ownership Regulation (including a Beneficial Ownership Certification), (2) are reasonably satisfied with the results of such documentation and other information and</w:t>
      </w:r>
    </w:p>
    <w:p>
      <w:pPr>
        <w:spacing w:after="0" w:line="15" w:lineRule="exact"/>
        <w:rPr>
          <w:rFonts w:ascii="Times New Roman" w:cs="Times New Roman" w:eastAsia="Times New Roman" w:hAnsi="Times New Roman"/>
          <w:sz w:val="21"/>
          <w:szCs w:val="21"/>
          <w:color w:val="auto"/>
        </w:rPr>
      </w:pPr>
    </w:p>
    <w:p>
      <w:pPr>
        <w:ind w:left="660" w:right="20" w:hanging="4"/>
        <w:spacing w:after="0" w:line="261" w:lineRule="auto"/>
        <w:tabs>
          <w:tab w:leader="none" w:pos="988"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received items comparable to the deliverables provided to the Lenders with respect to the Company as of the Restatement Effective Date.</w:t>
      </w:r>
    </w:p>
    <w:p>
      <w:pPr>
        <w:spacing w:after="0" w:line="168" w:lineRule="exact"/>
        <w:rPr>
          <w:rFonts w:ascii="Times New Roman" w:cs="Times New Roman" w:eastAsia="Times New Roman" w:hAnsi="Times New Roman"/>
          <w:sz w:val="22"/>
          <w:szCs w:val="22"/>
          <w:color w:val="auto"/>
        </w:rPr>
      </w:pPr>
    </w:p>
    <w:p>
      <w:pPr>
        <w:jc w:val="both"/>
        <w:ind w:left="660" w:firstLine="644"/>
        <w:spacing w:after="0" w:line="247" w:lineRule="auto"/>
        <w:tabs>
          <w:tab w:leader="none" w:pos="1911"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may, on five Business Days’ notice to the Administrative Agent (or such shorter period as may be agreed by the Administrative Agent in its reasonable discretion), terminate a Foreign Borrower’s status as such upon the execution by the Company and delivery to the Administrative Agent of a termination agreement, in form and substance reasonably satisfactory to the Administrative Agent, with respect to such Foreign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termination agreement shall become effective as to any Foreign Borrower (other than to terminate its right to make further Borrowings under this Agreement) until all Advances made to the terminated Foreign Borrower have been repaid and all amounts payable by such terminated Foreign Borrower in respect of interest and/or fees (and, to the extent notified by the Administrative Agent or any Lender, any other amounts payable by the terminated Foreign Borrower under any Loan Document) have been paid in full. The Administrative Agent will promptly notify the Lenders of any such termination of a Foreign Borrower’s status.</w:t>
      </w:r>
    </w:p>
    <w:p>
      <w:pPr>
        <w:spacing w:after="0" w:line="20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Negative Covenants</w:t>
      </w:r>
      <w:r>
        <w:rPr>
          <w:rFonts w:ascii="Times New Roman" w:cs="Times New Roman" w:eastAsia="Times New Roman" w:hAnsi="Times New Roman"/>
          <w:sz w:val="22"/>
          <w:szCs w:val="22"/>
          <w:color w:val="auto"/>
        </w:rPr>
        <w:t>. So long as any Advance shall remain unpaid, all Letters of Credit have not yet been terminated or expired (unless Cash Collateralized or otherwise provided for in a manner reasonably satisfactory to the applicable Issuing Lender), or any Lender shall have any Commitment hereunder, no Credit Party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240"/>
          </w:cols>
          <w:pgMar w:left="320" w:top="1260" w:right="339" w:bottom="1440" w:gutter="0" w:footer="0" w:header="0"/>
        </w:sectPr>
      </w:pPr>
    </w:p>
    <w:bookmarkStart w:id="193" w:name="page194"/>
    <w:bookmarkEnd w:id="193"/>
    <w:p>
      <w:pPr>
        <w:jc w:val="both"/>
        <w:ind w:firstLine="656"/>
        <w:spacing w:after="0" w:line="256" w:lineRule="auto"/>
        <w:tabs>
          <w:tab w:leader="none" w:pos="1117"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Liens, Etc.</w:t>
      </w:r>
      <w:r>
        <w:rPr>
          <w:rFonts w:ascii="Times New Roman" w:cs="Times New Roman" w:eastAsia="Times New Roman" w:hAnsi="Times New Roman"/>
          <w:sz w:val="22"/>
          <w:szCs w:val="22"/>
          <w:color w:val="auto"/>
        </w:rPr>
        <w:t xml:space="preserve"> Create or suffer to exist, or permit any of its Subsidiaries to create or suffer to exist, any Lien on or with respect to any of its properties (which for purposes of this subsection (a) shall be deemed not to include shares of the Company’s capital stock), whether now owned or hereafter acquired, or assign, or permit any of its Subsidiaries to assign, any right to receive income, other than:</w:t>
      </w:r>
    </w:p>
    <w:p>
      <w:pPr>
        <w:spacing w:after="0" w:line="122"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1"/>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Liens;</w:t>
      </w:r>
    </w:p>
    <w:p>
      <w:pPr>
        <w:spacing w:after="0" w:line="219" w:lineRule="exact"/>
        <w:rPr>
          <w:rFonts w:ascii="Times New Roman" w:cs="Times New Roman" w:eastAsia="Times New Roman" w:hAnsi="Times New Roman"/>
          <w:sz w:val="22"/>
          <w:szCs w:val="22"/>
          <w:color w:val="auto"/>
        </w:rPr>
      </w:pPr>
    </w:p>
    <w:p>
      <w:pPr>
        <w:jc w:val="both"/>
        <w:ind w:left="660" w:right="20" w:firstLine="644"/>
        <w:spacing w:after="0" w:line="266" w:lineRule="auto"/>
        <w:tabs>
          <w:tab w:leader="none" w:pos="1805" w:val="left"/>
        </w:tabs>
        <w:numPr>
          <w:ilvl w:val="1"/>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securing purchase money Debt, Liens on fixed or capital assets acquired, constructed or improved and capital lease obligations (and refinancings of any thereof) to the extent permitted under Section 5.02(d)(iii);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w:t>
      </w:r>
    </w:p>
    <w:p>
      <w:pPr>
        <w:spacing w:after="0" w:line="1" w:lineRule="exact"/>
        <w:rPr>
          <w:rFonts w:ascii="Times New Roman" w:cs="Times New Roman" w:eastAsia="Times New Roman" w:hAnsi="Times New Roman"/>
          <w:sz w:val="21"/>
          <w:szCs w:val="21"/>
          <w:color w:val="auto"/>
        </w:rPr>
      </w:pPr>
    </w:p>
    <w:p>
      <w:pPr>
        <w:jc w:val="both"/>
        <w:ind w:left="660" w:hanging="4"/>
        <w:spacing w:after="0" w:line="252" w:lineRule="auto"/>
        <w:tabs>
          <w:tab w:leader="none" w:pos="978"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such Lien attaches to such property prior to, concurrently with or within 180 days after the acquisition, construction, improvement or lease thereof and (ii) such Lien attaches solely to the property so acquired, constructed, improved or leased in such transaction;</w:t>
      </w:r>
    </w:p>
    <w:p>
      <w:pPr>
        <w:spacing w:after="0" w:line="178"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Liens existing on the Restatement Effective Date and described on Schedule 5.02(a) hereto;</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51"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Lien existing on any asset prior to the acquisition thereof by the Company or any Subsidiary or existing on any asset of any Person that becomes a Subsidiary after the Restatement Effective Date prior to the time such Person becomes a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Lien is not created in contemplation of or in connection with such acquisition or such Person becoming a Subsidiary, as the case may be, (ii) such Lien shall not apply to any other assets of the Company or any Subsidiary and (iii) such Lien shall secure only those obligations which it secures on the date of such acquisition or the date such Person becomes a Subsidiary, as the case may be, and extensions, renewals and replacements thereof that do not increase the outstanding principal amount thereof;</w:t>
      </w:r>
    </w:p>
    <w:p>
      <w:pPr>
        <w:spacing w:after="0" w:line="180"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Debt payable by a Subsidiary to a Credit Party;</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41"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Liens securing Debt in an aggregate principal amount not to exceed at any time outstanding an amount equal to the greater of (i) $385,000,000 and (ii) 5.0% of the book value of the Consolidated Assets calculated as of the date of Lien incurrence;</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2109"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vehicles (and assets related thereto and proceeds thereof) of the Credit Parties and their Subsidiaries securing Floorplan Financings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such Lien attaches to such property prior to, concurrently with or within 30 days after the acquisition or lease thereof; and</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966"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replacement, extension or renewal of any Lien permitted by clauses (ii) (iii), (iv) or (vii) above upon or in the same property theretofore subject thereto or the replacement, extension or renewal (without increase in the amount other than to the extent of any reasonable fees and expenses in connection with any such replacement, extension or renewal) of the Debt secured thereby.</w:t>
      </w:r>
    </w:p>
    <w:p>
      <w:pPr>
        <w:spacing w:after="0" w:line="179" w:lineRule="exact"/>
        <w:rPr>
          <w:rFonts w:ascii="Times New Roman" w:cs="Times New Roman" w:eastAsia="Times New Roman" w:hAnsi="Times New Roman"/>
          <w:sz w:val="22"/>
          <w:szCs w:val="22"/>
          <w:color w:val="auto"/>
        </w:rPr>
      </w:pPr>
    </w:p>
    <w:p>
      <w:pPr>
        <w:jc w:val="both"/>
        <w:ind w:firstLine="656"/>
        <w:spacing w:after="0" w:line="263" w:lineRule="auto"/>
        <w:tabs>
          <w:tab w:leader="none" w:pos="1156"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Mergers, Etc.</w:t>
      </w:r>
      <w:r>
        <w:rPr>
          <w:rFonts w:ascii="Times New Roman" w:cs="Times New Roman" w:eastAsia="Times New Roman" w:hAnsi="Times New Roman"/>
          <w:sz w:val="22"/>
          <w:szCs w:val="22"/>
          <w:color w:val="auto"/>
        </w:rPr>
        <w:t xml:space="preserve"> Merge or consolidate with or into, or convey, transfer, lease or otherwise dispose of (whether in one transaction or in a series of transactions) all or substantially all of its assets (whether now owned or hereafter acquired) to, any Person,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240"/>
          </w:cols>
          <w:pgMar w:left="320" w:top="1260" w:right="339" w:bottom="1440" w:gutter="0" w:footer="0" w:header="0"/>
        </w:sectPr>
      </w:pPr>
    </w:p>
    <w:bookmarkStart w:id="194" w:name="page195"/>
    <w:bookmarkEnd w:id="194"/>
    <w:p>
      <w:pPr>
        <w:jc w:val="both"/>
        <w:ind w:left="660" w:firstLine="644"/>
        <w:spacing w:after="0" w:line="253" w:lineRule="auto"/>
        <w:tabs>
          <w:tab w:leader="none" w:pos="1800"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any Wholly-Owned Subsidiary of the Company may be merged, amalgamated or consolidated with or into the Company (provided that the Company shall be the continuing or surviving entity) or (B) any Wholly-Owned Subsidiary of the Company may be merged, amalgamated or consolidated with or into any Guarantor (provided that the Guarantor shall be the continuing or surviving entity or simultaneously with such transaction, the continuing or surviving entity shall become a Guarantor and the Company shall comply with Section 5.01(j) in connection therewith);</w:t>
      </w:r>
    </w:p>
    <w:p>
      <w:pPr>
        <w:spacing w:after="0" w:line="178" w:lineRule="exact"/>
        <w:rPr>
          <w:rFonts w:ascii="Times New Roman" w:cs="Times New Roman" w:eastAsia="Times New Roman" w:hAnsi="Times New Roman"/>
          <w:sz w:val="22"/>
          <w:szCs w:val="22"/>
          <w:color w:val="auto"/>
        </w:rPr>
      </w:pPr>
    </w:p>
    <w:p>
      <w:pPr>
        <w:ind w:left="660" w:firstLine="644"/>
        <w:spacing w:after="0" w:line="271" w:lineRule="auto"/>
        <w:tabs>
          <w:tab w:leader="none" w:pos="1859"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Guarantor may dispose of all or substantially all of its assets (upon voluntary liquidation, dissolution, winding up or otherwise) to the Company or any other Guarantor;</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948"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Guarantor may merge with or into any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any merger involving a Wholly-Owned Subsidiary that is a Guarantor, (x) a Guarantor shall be the continuing or surviving entity; (y) simultaneously with such transaction, the continuing or surviving entity shall become a Guarantor and the Company shall comply with Section 5.01(j) in connection therewith or (z) after giving effect to such merger, the surviving entity is not a Subsidiary of the Company and no longer a Guarantor; and</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88"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Guarantor may dispose of all or substantially all of its assets to any other Person that is not the Company or any other Guarantor;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disposition, the Company is in pro forma compliance with each of the financial covenants set forth in Section 5.03 after giving effect to such disposition.</w:t>
      </w:r>
    </w:p>
    <w:p>
      <w:pPr>
        <w:spacing w:after="0" w:line="1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may merge or consolidate with any other Person so long as the Company is the surviving entity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no Default shall have occurred and be continuing at the time of such proposed transaction or would result therefrom.</w:t>
      </w:r>
    </w:p>
    <w:p>
      <w:pPr>
        <w:spacing w:after="0" w:line="173" w:lineRule="exact"/>
        <w:rPr>
          <w:sz w:val="20"/>
          <w:szCs w:val="20"/>
          <w:color w:val="auto"/>
        </w:rPr>
      </w:pPr>
    </w:p>
    <w:p>
      <w:pPr>
        <w:jc w:val="both"/>
        <w:ind w:firstLine="656"/>
        <w:spacing w:after="0" w:line="268" w:lineRule="auto"/>
        <w:tabs>
          <w:tab w:leader="none" w:pos="1144" w:val="left"/>
        </w:tabs>
        <w:numPr>
          <w:ilvl w:val="0"/>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Accounting Changes; Material Contracts</w:t>
      </w:r>
      <w:r>
        <w:rPr>
          <w:rFonts w:ascii="Times New Roman" w:cs="Times New Roman" w:eastAsia="Times New Roman" w:hAnsi="Times New Roman"/>
          <w:sz w:val="21"/>
          <w:szCs w:val="21"/>
          <w:color w:val="auto"/>
        </w:rPr>
        <w:t>. Make or permit, or permit any of its Subsidiaries to make or permit, any change in accounting policies or reporting practices, except as permitted by generally accepted accounting principles and, in the case of any material change, concurred with by the Company’s independent public accountants. The Company will not, nor will it permit any Subsidiary to, amend, modify or waive, in any manner that would reasonably be expected to materially adversely affect the Lenders, any of its rights under any Material Contract without the prior written consent of the Required Lenders.</w:t>
      </w:r>
    </w:p>
    <w:p>
      <w:pPr>
        <w:spacing w:after="0" w:line="163" w:lineRule="exact"/>
        <w:rPr>
          <w:rFonts w:ascii="Times New Roman" w:cs="Times New Roman" w:eastAsia="Times New Roman" w:hAnsi="Times New Roman"/>
          <w:sz w:val="21"/>
          <w:szCs w:val="21"/>
          <w:color w:val="auto"/>
        </w:rPr>
      </w:pPr>
    </w:p>
    <w:p>
      <w:pPr>
        <w:ind w:firstLine="656"/>
        <w:spacing w:after="0" w:line="284" w:lineRule="auto"/>
        <w:tabs>
          <w:tab w:leader="none" w:pos="1291"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Debt, Investments and Restricted Payments</w:t>
      </w:r>
      <w:r>
        <w:rPr>
          <w:rFonts w:ascii="Times New Roman" w:cs="Times New Roman" w:eastAsia="Times New Roman" w:hAnsi="Times New Roman"/>
          <w:sz w:val="22"/>
          <w:szCs w:val="22"/>
          <w:color w:val="auto"/>
        </w:rPr>
        <w:t>. Create, incur, assume or permit to exist any Debt or make any Investments or Restricted Payments, or permit any of its Subsidiaries to do the same, except:</w:t>
      </w:r>
    </w:p>
    <w:p>
      <w:pPr>
        <w:spacing w:after="0" w:line="89"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arising or existing under this Agreement and the other Loan Documents;</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or Investments existing on the Restatement Effective Date and described on Schedule 5.02(d) hereto;</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1941"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of the Company and/or its Subsidiaries incurred after the Restatement Effective Date consisting of capital leases or Debt incurred to provide all or a portion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1240"/>
          </w:cols>
          <w:pgMar w:left="320" w:top="1260" w:right="339" w:bottom="1440" w:gutter="0" w:footer="0" w:header="0"/>
        </w:sectPr>
      </w:pPr>
    </w:p>
    <w:bookmarkStart w:id="195" w:name="page196"/>
    <w:bookmarkEnd w:id="195"/>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 xml:space="preserve">purchase price or cost of acquisition of any real property and/or construction and improvements thereon or equipment or other fixed assets acquired or held by the Company and its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Debt when incurred shall not exceed the purchase price or cost of acquisition, construction or improvement of such asset(s); (ii) no such Debt shall be renewed, refinanced or extended for a principal amount in excess of the principal balance outstanding thereon at the time of such renewal, refinancing or extension (other than with respect to reasonable fees and expenses in connection with any such renewal, refinancing or extension); and (iii) the total amount of all such Debt shall not exceed $30,000,000 at any time outstanding;</w:t>
      </w:r>
    </w:p>
    <w:p>
      <w:pPr>
        <w:spacing w:after="0" w:line="180" w:lineRule="exact"/>
        <w:rPr>
          <w:sz w:val="20"/>
          <w:szCs w:val="20"/>
          <w:color w:val="auto"/>
        </w:rPr>
      </w:pPr>
    </w:p>
    <w:p>
      <w:pPr>
        <w:ind w:left="1840" w:hanging="536"/>
        <w:spacing w:after="0"/>
        <w:tabs>
          <w:tab w:leader="none" w:pos="1840"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of any Debt otherwise permitted to be incurred hereunder;</w:t>
      </w:r>
    </w:p>
    <w:p>
      <w:pPr>
        <w:spacing w:after="0" w:line="23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Unsecured intercompany Debt among the Credit Parties or between Non-Guarantor Subsidiaries;</w:t>
      </w:r>
    </w:p>
    <w:p>
      <w:pPr>
        <w:spacing w:after="0" w:line="219"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and loans to, any Credit Party;</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2091"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and loans to, any Non-Guarantor Subsidiary in an aggregate amount not to exceed $25,000,000 at any time outstanding;</w:t>
      </w:r>
    </w:p>
    <w:p>
      <w:pPr>
        <w:spacing w:after="0" w:line="15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by any Non-Guarantor Subsidiary in another Non-Guarantor Subsidiary;</w:t>
      </w:r>
    </w:p>
    <w:p>
      <w:pPr>
        <w:spacing w:after="0" w:line="219"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Investments;</w:t>
      </w:r>
    </w:p>
    <w:p>
      <w:pPr>
        <w:spacing w:after="0" w:line="23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consisting of Floorplan Financings; and</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73"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Debt, Investments and Restricted Payments of the Company and its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the initial creation, incurrence or assumption thereof, the Company is in pro forma compliance with each of the financial covenants set forth in Section 5.03 after giving effect to such Debt, Investments and Restricted Payment,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further that any acquisition shall not be a “hostile” acquisition.</w:t>
      </w:r>
    </w:p>
    <w:p>
      <w:pPr>
        <w:spacing w:after="0" w:line="192" w:lineRule="exact"/>
        <w:rPr>
          <w:rFonts w:ascii="Times New Roman" w:cs="Times New Roman" w:eastAsia="Times New Roman" w:hAnsi="Times New Roman"/>
          <w:sz w:val="22"/>
          <w:szCs w:val="22"/>
          <w:color w:val="auto"/>
        </w:rPr>
      </w:pPr>
    </w:p>
    <w:p>
      <w:pPr>
        <w:jc w:val="both"/>
        <w:ind w:firstLine="656"/>
        <w:spacing w:after="0" w:line="250" w:lineRule="auto"/>
        <w:tabs>
          <w:tab w:leader="none" w:pos="1131"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Transactions with Affiliates</w:t>
      </w:r>
      <w:r>
        <w:rPr>
          <w:rFonts w:ascii="Times New Roman" w:cs="Times New Roman" w:eastAsia="Times New Roman" w:hAnsi="Times New Roman"/>
          <w:sz w:val="22"/>
          <w:szCs w:val="22"/>
          <w:color w:val="auto"/>
        </w:rPr>
        <w:t>. Enter into, or permit any of their Subsidiaries to enter into, any transaction or series of transactions, whether or not in the ordinary course of business, with any officer, director, shareholder or Affiliate involving aggregate payments or consideration in excess of $5,000,000, except (i) transactions on terms and conditions not materially less favorable then would be obtainable in a comparable arm’s-length transaction with a Person other than an officer, director, shareholder or Affiliate, (ii) transactions solely between or among the Company and/or any of its Subsidiaries, (iii) any Debt, Investment or Restricted Payment permitted by Section 5.02(d), and (iv) reasonable and customary compensation and reimbursements of expenses and indemnities provided to any director, officer or employee.</w:t>
      </w:r>
    </w:p>
    <w:p>
      <w:pPr>
        <w:spacing w:after="0" w:line="180" w:lineRule="exact"/>
        <w:rPr>
          <w:rFonts w:ascii="Times New Roman" w:cs="Times New Roman" w:eastAsia="Times New Roman" w:hAnsi="Times New Roman"/>
          <w:sz w:val="22"/>
          <w:szCs w:val="22"/>
          <w:color w:val="auto"/>
        </w:rPr>
      </w:pPr>
    </w:p>
    <w:p>
      <w:pPr>
        <w:jc w:val="both"/>
        <w:ind w:firstLine="656"/>
        <w:spacing w:after="0" w:line="252" w:lineRule="auto"/>
        <w:tabs>
          <w:tab w:leader="none" w:pos="1147"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 Leasebacks</w:t>
      </w:r>
      <w:r>
        <w:rPr>
          <w:rFonts w:ascii="Times New Roman" w:cs="Times New Roman" w:eastAsia="Times New Roman" w:hAnsi="Times New Roman"/>
          <w:sz w:val="22"/>
          <w:szCs w:val="22"/>
          <w:color w:val="auto"/>
        </w:rPr>
        <w:t xml:space="preserve">. Will not, and will not permit any Subsidiary to, enter into any Sale/Leaseback Transaction with respect to any property unless the Company and its Subsidiaries are in pro forma compliance with each of the financial covenants set forth in </w:t>
      </w:r>
      <w:r>
        <w:rPr>
          <w:rFonts w:ascii="Times New Roman" w:cs="Times New Roman" w:eastAsia="Times New Roman" w:hAnsi="Times New Roman"/>
          <w:sz w:val="22"/>
          <w:szCs w:val="22"/>
          <w:u w:val="single" w:color="auto"/>
          <w:color w:val="auto"/>
        </w:rPr>
        <w:t>Section 5.03</w:t>
      </w:r>
      <w:r>
        <w:rPr>
          <w:rFonts w:ascii="Times New Roman" w:cs="Times New Roman" w:eastAsia="Times New Roman" w:hAnsi="Times New Roman"/>
          <w:sz w:val="22"/>
          <w:szCs w:val="22"/>
          <w:color w:val="auto"/>
        </w:rPr>
        <w:t xml:space="preserve"> and such Sale/Leaseback Transaction is permitted by the terms of any Material Debt of the Company or any of its Subsidiaries then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1240"/>
          </w:cols>
          <w:pgMar w:left="320" w:top="1260" w:right="339" w:bottom="1440" w:gutter="0" w:footer="0" w:header="0"/>
        </w:sectPr>
      </w:pPr>
    </w:p>
    <w:bookmarkStart w:id="196" w:name="page197"/>
    <w:bookmarkEnd w:id="196"/>
    <w:p>
      <w:pPr>
        <w:jc w:val="both"/>
        <w:ind w:firstLine="656"/>
        <w:spacing w:after="0" w:line="264" w:lineRule="auto"/>
        <w:tabs>
          <w:tab w:leader="none" w:pos="1143" w:val="left"/>
        </w:tabs>
        <w:numPr>
          <w:ilvl w:val="1"/>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Further Negative Pledges</w:t>
      </w:r>
      <w:r>
        <w:rPr>
          <w:rFonts w:ascii="Times New Roman" w:cs="Times New Roman" w:eastAsia="Times New Roman" w:hAnsi="Times New Roman"/>
          <w:sz w:val="21"/>
          <w:szCs w:val="21"/>
          <w:color w:val="auto"/>
        </w:rPr>
        <w:t>. Assume or become, or permit any of its Subsidiaries to assume or become, subject to any agreement prohibiting or otherwise restricting the creation or assumption of any Lien upon any of their properties or assets, whether now owned or hereafter acquired, to secure any Borrower Obligations, except (i) pursuant to this Agreement and the other Loan Documents, (ii) restrictions and conditions imposed by Applicable Law or existing on the Restatement Effective Date,</w:t>
      </w:r>
    </w:p>
    <w:p>
      <w:pPr>
        <w:jc w:val="both"/>
        <w:ind w:firstLine="8"/>
        <w:spacing w:after="0" w:line="246" w:lineRule="auto"/>
        <w:tabs>
          <w:tab w:leader="none" w:pos="402"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pursuant to any document or instrument governing Debt incurred pursuant to Section 5.02(d)(iii);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restrictions apply only to the assets securing such Debt, (iv) in connection with any Permitted Lien or Lien permitted under Section 5.02(a) or any document or instrument governing any Permitted Lien or such other Lien;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restriction contained therein relates only to the asset or assets subject to such Permitted Lien, (v) customary restrictions contained in agreements relating to the sale of assets that are applicable solely pending such sale,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restrictions and conditions apply only to the assets to be sold, (vi) restrictions imposed by agreements relating to Debt of any Subsidiary in existence at the time such Subsidiary became a Subsidiary, (vii) customary provisions in leases and other agreements restricting the assignment thereof, (viii) in the case of any Subsidiary that is not a Wholly-Owned Subsidiary, restrictions imposed by its organizational documents or any related joint venture or similar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restrictions and conditions apply only to such Subsidiary and to any Equity Interests in such Subsidiary and (ix) restrictions imposed by the definitive documentation related to the Company’s 5.625% unsecured notes due 2033 and any refinancing thereof on terms substantially similar to such unsecured notes.</w:t>
      </w:r>
    </w:p>
    <w:p>
      <w:pPr>
        <w:spacing w:after="0" w:line="23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5.03. </w:t>
      </w:r>
      <w:r>
        <w:rPr>
          <w:rFonts w:ascii="Times New Roman" w:cs="Times New Roman" w:eastAsia="Times New Roman" w:hAnsi="Times New Roman"/>
          <w:sz w:val="22"/>
          <w:szCs w:val="22"/>
          <w:u w:val="single" w:color="auto"/>
          <w:color w:val="auto"/>
        </w:rPr>
        <w:t>Financial Covenants</w:t>
      </w:r>
      <w:r>
        <w:rPr>
          <w:rFonts w:ascii="Times New Roman" w:cs="Times New Roman" w:eastAsia="Times New Roman" w:hAnsi="Times New Roman"/>
          <w:sz w:val="22"/>
          <w:szCs w:val="22"/>
          <w:color w:val="auto"/>
        </w:rPr>
        <w:t>. So long as any Advance shall remain unpaid or any Lender shall have any Commitment hereunder, the Company and its Subsidiaries will maintain, as of the end of each fiscal quarter beginning with the fiscal quarter ending December 31, 2025:</w:t>
      </w:r>
    </w:p>
    <w:p>
      <w:pPr>
        <w:spacing w:after="0" w:line="186" w:lineRule="exact"/>
        <w:rPr>
          <w:sz w:val="20"/>
          <w:szCs w:val="20"/>
          <w:color w:val="auto"/>
        </w:rPr>
      </w:pPr>
    </w:p>
    <w:p>
      <w:pPr>
        <w:jc w:val="both"/>
        <w:ind w:firstLine="656"/>
        <w:spacing w:after="0" w:line="251" w:lineRule="auto"/>
        <w:tabs>
          <w:tab w:leader="none" w:pos="1104"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Total Net Leverage Ratio of not greater than 3.50 to 1.00;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purchase or acquisition of Equity Interests in or evidences of indebtedness of or other securities of, or all or substantially all of the assets of, any Person (whether for cash, property, services, assumption of Debt, securities or otherwise) that is permitted by Section 5.02(d) and where the aggregate consideration exceeds $100,000,000 (a “</w:t>
      </w:r>
      <w:r>
        <w:rPr>
          <w:rFonts w:ascii="Times New Roman" w:cs="Times New Roman" w:eastAsia="Times New Roman" w:hAnsi="Times New Roman"/>
          <w:sz w:val="22"/>
          <w:szCs w:val="22"/>
          <w:u w:val="single" w:color="auto"/>
          <w:color w:val="auto"/>
        </w:rPr>
        <w:t>Specified Acquisition</w:t>
      </w:r>
      <w:r>
        <w:rPr>
          <w:rFonts w:ascii="Times New Roman" w:cs="Times New Roman" w:eastAsia="Times New Roman" w:hAnsi="Times New Roman"/>
          <w:sz w:val="22"/>
          <w:szCs w:val="22"/>
          <w:color w:val="auto"/>
        </w:rPr>
        <w:t>”), the Total Net Leverage Ratio required by this Section 5.03(a) shall not be greater than 4.00 to 1.00 for the four quarters ending on or after the date such Specified Acquisition is consummated; and</w:t>
      </w:r>
    </w:p>
    <w:p>
      <w:pPr>
        <w:spacing w:after="0" w:line="235"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Consolidated Interest Coverage Ratio of not less than 3.00 to 1.00.</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EVENTS OF DEFAULT</w:t>
      </w:r>
    </w:p>
    <w:p>
      <w:pPr>
        <w:spacing w:after="0" w:line="274"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6.01.</w:t>
      </w:r>
      <w:r>
        <w:rPr>
          <w:sz w:val="20"/>
          <w:szCs w:val="20"/>
          <w:color w:val="auto"/>
        </w:rPr>
        <w:tab/>
      </w:r>
      <w:r>
        <w:rPr>
          <w:rFonts w:ascii="Times New Roman" w:cs="Times New Roman" w:eastAsia="Times New Roman" w:hAnsi="Times New Roman"/>
          <w:sz w:val="21"/>
          <w:szCs w:val="21"/>
          <w:u w:val="single" w:color="auto"/>
          <w:color w:val="auto"/>
        </w:rPr>
        <w:t>Events of Default</w:t>
      </w:r>
      <w:r>
        <w:rPr>
          <w:rFonts w:ascii="Times New Roman" w:cs="Times New Roman" w:eastAsia="Times New Roman" w:hAnsi="Times New Roman"/>
          <w:sz w:val="21"/>
          <w:szCs w:val="21"/>
          <w:color w:val="auto"/>
        </w:rPr>
        <w:t>. If any of the following events (“Events of Default”) shall occur and be continuing:</w:t>
      </w:r>
    </w:p>
    <w:p>
      <w:pPr>
        <w:spacing w:after="0" w:line="166" w:lineRule="exact"/>
        <w:rPr>
          <w:sz w:val="20"/>
          <w:szCs w:val="20"/>
          <w:color w:val="auto"/>
        </w:rPr>
      </w:pPr>
    </w:p>
    <w:p>
      <w:pPr>
        <w:jc w:val="both"/>
        <w:ind w:firstLine="656"/>
        <w:spacing w:after="0" w:line="256" w:lineRule="auto"/>
        <w:tabs>
          <w:tab w:leader="none" w:pos="1192"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principal of any Advance or Reimbursement Obligation shall not be paid when the same becomes due and payable and in the Currency required hereunder or fail to provide Cash Collateral with respect to any Letter of Credit when required hereunder (or, if any such failure is due solely to technical or administrative difficulties of the Administrative Agent relating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ectPr>
          <w:pgSz w:w="11900" w:h="16838" w:orient="portrait"/>
          <w:cols w:equalWidth="0" w:num="1">
            <w:col w:w="11240"/>
          </w:cols>
          <w:pgMar w:left="320" w:top="1260" w:right="339" w:bottom="1440" w:gutter="0" w:footer="0" w:header="0"/>
        </w:sectPr>
      </w:pPr>
    </w:p>
    <w:bookmarkStart w:id="197" w:name="page198"/>
    <w:bookmarkEnd w:id="197"/>
    <w:p>
      <w:pPr>
        <w:jc w:val="both"/>
        <w:spacing w:after="0" w:line="257" w:lineRule="auto"/>
        <w:rPr>
          <w:sz w:val="20"/>
          <w:szCs w:val="20"/>
          <w:color w:val="auto"/>
        </w:rPr>
      </w:pPr>
      <w:r>
        <w:rPr>
          <w:rFonts w:ascii="Times New Roman" w:cs="Times New Roman" w:eastAsia="Times New Roman" w:hAnsi="Times New Roman"/>
          <w:sz w:val="22"/>
          <w:szCs w:val="22"/>
          <w:color w:val="auto"/>
        </w:rPr>
        <w:t>transfer of such payment, within two Business Days after the same becomes due and payable); or any interest on any Advance or Reimbursement Obligation or any other fees or other amounts payable under this Agreement or any other Loan Document shall not be paid in the Currency required hereunder within three Business Days after the same becomes due and payable; or</w:t>
      </w:r>
    </w:p>
    <w:p>
      <w:pPr>
        <w:spacing w:after="0" w:line="186" w:lineRule="exact"/>
        <w:rPr>
          <w:sz w:val="20"/>
          <w:szCs w:val="20"/>
          <w:color w:val="auto"/>
        </w:rPr>
      </w:pPr>
    </w:p>
    <w:p>
      <w:pPr>
        <w:ind w:firstLine="656"/>
        <w:spacing w:after="0" w:line="271" w:lineRule="auto"/>
        <w:tabs>
          <w:tab w:leader="none" w:pos="1144"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made by any Credit Party in any Loan Document or by any Credit Party (or any of its officers) in connection with any Loan Document shall prove to have been incorrect in any material respect when made; or</w:t>
      </w:r>
    </w:p>
    <w:p>
      <w:pPr>
        <w:spacing w:after="0" w:line="211" w:lineRule="exact"/>
        <w:rPr>
          <w:rFonts w:ascii="Times New Roman" w:cs="Times New Roman" w:eastAsia="Times New Roman" w:hAnsi="Times New Roman"/>
          <w:sz w:val="22"/>
          <w:szCs w:val="22"/>
          <w:color w:val="auto"/>
        </w:rPr>
      </w:pPr>
    </w:p>
    <w:p>
      <w:pPr>
        <w:jc w:val="both"/>
        <w:ind w:firstLine="656"/>
        <w:spacing w:after="0" w:line="256" w:lineRule="auto"/>
        <w:tabs>
          <w:tab w:leader="none" w:pos="1179"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Credit Party shall fail to perform or observe any term, covenant or agreement contained in Section 2.16, 5.01(d) or (i)(iii), 5.02 or 5.03, or (ii) any Credit Party shall fail to perform or observe any other term, covenant or agreement contained in this Agreement on its part to be performed or observed if such failure shall remain unremedied for 30 days after written notice thereof shall have been given to the Company by the Administrative Agent or any Lender; or</w:t>
      </w:r>
    </w:p>
    <w:p>
      <w:pPr>
        <w:spacing w:after="0" w:line="176" w:lineRule="exact"/>
        <w:rPr>
          <w:rFonts w:ascii="Times New Roman" w:cs="Times New Roman" w:eastAsia="Times New Roman" w:hAnsi="Times New Roman"/>
          <w:sz w:val="22"/>
          <w:szCs w:val="22"/>
          <w:color w:val="auto"/>
        </w:rPr>
      </w:pPr>
    </w:p>
    <w:p>
      <w:pPr>
        <w:jc w:val="both"/>
        <w:ind w:firstLine="656"/>
        <w:spacing w:after="0" w:line="247" w:lineRule="auto"/>
        <w:tabs>
          <w:tab w:leader="none" w:pos="1137"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Company and/or any of its Subsidiaries shall fail to pay any principal of or premium or interest on any Debt (other than Non-Recourse Debt), individually or collectively, that is outstanding in a principal amount of at least $50,000,000 in the aggregate (“</w:t>
      </w:r>
      <w:r>
        <w:rPr>
          <w:rFonts w:ascii="Times New Roman" w:cs="Times New Roman" w:eastAsia="Times New Roman" w:hAnsi="Times New Roman"/>
          <w:sz w:val="22"/>
          <w:szCs w:val="22"/>
          <w:u w:val="single" w:color="auto"/>
          <w:color w:val="auto"/>
        </w:rPr>
        <w:t>Material Debt</w:t>
      </w:r>
      <w:r>
        <w:rPr>
          <w:rFonts w:ascii="Times New Roman" w:cs="Times New Roman" w:eastAsia="Times New Roman" w:hAnsi="Times New Roman"/>
          <w:sz w:val="22"/>
          <w:szCs w:val="22"/>
          <w:color w:val="auto"/>
        </w:rPr>
        <w:t xml:space="preserve">”) (but excluding Debt outstanding hereunder), when the same becomes due and payable (whether by scheduled maturity, required prepayment, acceleration, demand or otherwise), and such failure shall continue after the applicable grace period, if any, specified in the agreement or instrument relating to such Debt; or (ii) any other event shall occur or condition shall exist under any agreement or instrument relating to any such Debt and shall continue after the applicable grace period, if any, specified in such agreement or instrument, if the effect of such event or condition is to accelerate, or to permit the acceleration of, the maturity of such Debt;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clause (d)(ii) shall not apply to secured Debt that becomes due as a result of the voluntary sale or transfer of the property or assets securing such Debt if the amount that becomes due is promptly paid; or</w:t>
      </w:r>
    </w:p>
    <w:p>
      <w:pPr>
        <w:spacing w:after="0" w:line="204" w:lineRule="exact"/>
        <w:rPr>
          <w:rFonts w:ascii="Times New Roman" w:cs="Times New Roman" w:eastAsia="Times New Roman" w:hAnsi="Times New Roman"/>
          <w:sz w:val="22"/>
          <w:szCs w:val="22"/>
          <w:color w:val="auto"/>
        </w:rPr>
      </w:pPr>
    </w:p>
    <w:p>
      <w:pPr>
        <w:jc w:val="both"/>
        <w:ind w:firstLine="656"/>
        <w:spacing w:after="0" w:line="260" w:lineRule="auto"/>
        <w:tabs>
          <w:tab w:leader="none" w:pos="1161"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Credit Party or any of the Company’s Significant Subsidiaries shall generally not pay its debts as such debts become due, or shall admit in writing its inability to pay its debts generally, or shall make a general assignment for the benefit of creditors; a moratorium is declared in respect of any indebtedness of any Credit Party or any of the Company’s Significant Subsidiaries or any proceeding shall be instituted by or against any Credit Party or any of the Company’s Significant Subsidiaries seeking to adjudicate it bankrupt or insolvent, or seeking liquidation, winding up, reorganization (by way of voluntary arrangement, scheme or otherwise), dissolution, administration, judicial management, provisional supervision, arrangement, adjustment, protection, relief, or composition of it or its debts or any analogous procedure or step taken under any Debtor Relief Laws, or seeking the entry of an order for relief or the appointment of a receiver, trustee, custodian, judicial manager, administrator, administrative receiver, compulsory manager, provisional supervisor or other similar official for it or for any substantial part of its property and, in the case of any such proceeding instituted against it (but not instituted by it), either such proceeding shall remain undismissed or unstayed for a period of 60 days, or in such proceeding the entry of an order for relief against, or the appointment of a receiver, trustee, custodian, judicial manager, administrator, administrative receiver, compulsory manager, provisional supervisor, liquidator or other similar official for, it or for any substantial part of its property shall occur or, in the case of any Foreign Borrower formed under the laws of Australia, any corporate action or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ectPr>
          <w:pgSz w:w="11900" w:h="16838" w:orient="portrait"/>
          <w:cols w:equalWidth="0" w:num="1">
            <w:col w:w="11240"/>
          </w:cols>
          <w:pgMar w:left="320" w:top="1260" w:right="339" w:bottom="1440" w:gutter="0" w:footer="0" w:header="0"/>
        </w:sectPr>
      </w:pPr>
    </w:p>
    <w:bookmarkStart w:id="198" w:name="page199"/>
    <w:bookmarkEnd w:id="198"/>
    <w:p>
      <w:pPr>
        <w:jc w:val="both"/>
        <w:spacing w:after="0" w:line="257" w:lineRule="auto"/>
        <w:rPr>
          <w:sz w:val="20"/>
          <w:szCs w:val="20"/>
          <w:color w:val="auto"/>
        </w:rPr>
      </w:pPr>
      <w:r>
        <w:rPr>
          <w:rFonts w:ascii="Times New Roman" w:cs="Times New Roman" w:eastAsia="Times New Roman" w:hAnsi="Times New Roman"/>
          <w:sz w:val="22"/>
          <w:szCs w:val="22"/>
          <w:color w:val="auto"/>
        </w:rPr>
        <w:t>are taken in relation to the appointment of a liquidator, receiver, administrator, administrative receiver, compulsory manager or other similar officer in respect of it or any of its assets; or any Credit Party or any of the Company’s Significant Subsidiaries shall take any corporate action to authorize any of the actions set forth above in this subsection (e); or</w:t>
      </w:r>
    </w:p>
    <w:p>
      <w:pPr>
        <w:spacing w:after="0" w:line="186" w:lineRule="exact"/>
        <w:rPr>
          <w:sz w:val="20"/>
          <w:szCs w:val="20"/>
          <w:color w:val="auto"/>
        </w:rPr>
      </w:pPr>
    </w:p>
    <w:p>
      <w:pPr>
        <w:jc w:val="both"/>
        <w:ind w:firstLine="656"/>
        <w:spacing w:after="0" w:line="248" w:lineRule="auto"/>
        <w:tabs>
          <w:tab w:leader="none" w:pos="1084"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judgment or order of a court of competent jurisdiction for the payment of money in excess of $50,000,000 shall be rendered against any Credit Party or any of the Company’s Significant Subsidiaries, such judgment shall not be satisfied or otherwise discharged and either (i) enforcement proceedings shall have been legally commenced by any creditor upon such judgment or order or (ii) there shall be any period of 60 consecutive days during which a stay of enforcement of such judgment or order, by reason of a pending appeal or otherwise, shall not be in effect;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such judgment or order shall not be an Event of Default under this Section 6.01(f) if and for so long as (x) the amount of such judgment or order is covered by a valid and binding policy of insurance between the defendant and the insurer covering payment thereof and (y) such insurer, which shall be rated at least “A-” by A.M. Best Company, has been notified of, and has not disputed the claim made for payment of, the amount of such judgment or order; or</w:t>
      </w:r>
    </w:p>
    <w:p>
      <w:pPr>
        <w:spacing w:after="0" w:line="185" w:lineRule="exact"/>
        <w:rPr>
          <w:rFonts w:ascii="Times New Roman" w:cs="Times New Roman" w:eastAsia="Times New Roman" w:hAnsi="Times New Roman"/>
          <w:sz w:val="22"/>
          <w:szCs w:val="22"/>
          <w:color w:val="auto"/>
        </w:rPr>
      </w:pPr>
    </w:p>
    <w:p>
      <w:pPr>
        <w:jc w:val="both"/>
        <w:ind w:firstLine="656"/>
        <w:spacing w:after="0" w:line="251" w:lineRule="auto"/>
        <w:tabs>
          <w:tab w:leader="none" w:pos="1104"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or two or more Persons acting in concert (other than the Graham Interests) shall have acquired beneficial ownership (within the meaning of Rule 13d-3 of the Securities and Exchange Commission under the Securities Exchange Act of 1934), directly or indirectly, of Voting Stock of the Company (or other securities convertible into such Voting Stock) representing 30% or more of the combined voting power of all Voting Stock of the Company and such combined voting power exceeds the then current voting power of the Voting Stock of the Company (or other securities convertible into such Voting Stock) controlled by the Graham Interests; or</w:t>
      </w:r>
    </w:p>
    <w:p>
      <w:pPr>
        <w:spacing w:after="0" w:line="181" w:lineRule="exact"/>
        <w:rPr>
          <w:rFonts w:ascii="Times New Roman" w:cs="Times New Roman" w:eastAsia="Times New Roman" w:hAnsi="Times New Roman"/>
          <w:sz w:val="22"/>
          <w:szCs w:val="22"/>
          <w:color w:val="auto"/>
        </w:rPr>
      </w:pPr>
    </w:p>
    <w:p>
      <w:pPr>
        <w:jc w:val="both"/>
        <w:ind w:firstLine="656"/>
        <w:spacing w:after="0" w:line="266" w:lineRule="auto"/>
        <w:tabs>
          <w:tab w:leader="none" w:pos="1104"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Credit Party or any of its ERISA Affiliates shall incur liability as a result of one or more of the following: (i) the occurrence of any ERISA Event; (ii) the partial or complete withdrawal of any Credit Party or any of its ERISA Affiliates from a Multiemployer Plan or a determination that a Multiemployer Plan is in “endangered” or “critical” status within the meaning of Section 432 of the Internal Revenue Code or Section 305 of ERISA; or (iii) the reorganization, insolvency or termination of a Multiemployer Plan;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event of any of the above and, in the reasonable opinion of the Required Lenders, such liability would reasonably be likely to result in a Material Adverse Effect,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further, that any such liability in an amount not to exceed $50,000,000 shall be deemed not to be reasonably likely to result in a Material Adverse Effect;</w:t>
      </w:r>
    </w:p>
    <w:p>
      <w:pPr>
        <w:spacing w:after="0" w:line="165" w:lineRule="exact"/>
        <w:rPr>
          <w:rFonts w:ascii="Times New Roman" w:cs="Times New Roman" w:eastAsia="Times New Roman" w:hAnsi="Times New Roman"/>
          <w:sz w:val="21"/>
          <w:szCs w:val="21"/>
          <w:color w:val="auto"/>
        </w:rPr>
      </w:pPr>
    </w:p>
    <w:p>
      <w:pPr>
        <w:jc w:val="both"/>
        <w:ind w:firstLine="656"/>
        <w:spacing w:after="0" w:line="250" w:lineRule="auto"/>
        <w:tabs>
          <w:tab w:leader="none" w:pos="1093"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after the execution and delivery thereof, any Loan Document, for any reason other than the satisfaction in full of all Borrower Obligations, shall cease to be in full force and effect (other than in accordance with its terms) or shall be declared to be null and void, or any Credit Party shall contest the validity or enforceability of any Loan Document in writing or deny in writing that it has any further liability, including with respect to future advances by the Lenders, under any Loan Document to which it is a party; or</w:t>
      </w:r>
    </w:p>
    <w:p>
      <w:pPr>
        <w:spacing w:after="0" w:line="194" w:lineRule="exact"/>
        <w:rPr>
          <w:rFonts w:ascii="Times New Roman" w:cs="Times New Roman" w:eastAsia="Times New Roman" w:hAnsi="Times New Roman"/>
          <w:sz w:val="22"/>
          <w:szCs w:val="22"/>
          <w:color w:val="auto"/>
        </w:rPr>
      </w:pPr>
    </w:p>
    <w:p>
      <w:pPr>
        <w:ind w:firstLine="656"/>
        <w:spacing w:after="0" w:line="271" w:lineRule="auto"/>
        <w:tabs>
          <w:tab w:leader="none" w:pos="1063"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after the Restatement Effective Date, the Guaranty, for any reason other than the satisfaction in full of all Borrower Obligations, shall cease to be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ectPr>
          <w:pgSz w:w="11900" w:h="16838" w:orient="portrait"/>
          <w:cols w:equalWidth="0" w:num="1">
            <w:col w:w="11240"/>
          </w:cols>
          <w:pgMar w:left="320" w:top="1260" w:right="339" w:bottom="1440" w:gutter="0" w:footer="0" w:header="0"/>
        </w:sectPr>
      </w:pPr>
    </w:p>
    <w:bookmarkStart w:id="199" w:name="page200"/>
    <w:bookmarkEnd w:id="199"/>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(other than in accordance with its terms or the terms hereof) or shall be declared to be null and void, or any Credit Party shall contest the validity or enforceability of the Guaranty in writing;</w:t>
      </w:r>
    </w:p>
    <w:p>
      <w:pPr>
        <w:spacing w:after="0" w:line="15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then, and in any such event, the Administrative Agent (i) shall at the request, or may with the consent, of the Required Lenders, by notice to the Company, declare the obligation of each Lender to make Advances and of each Issuing Lender to issue Letters of Credit to be terminated, whereupon the same shall forthwith terminate, (ii) shall at the request, or may with the consent, of the Required Lenders, by notice to the Company, declare the Advances and Reimbursement Obligations, all interest thereon and all other amounts payable under this Agreement and the other Loan Documents to be forthwith due and payable, whereupon the Advances and Reimbursement Obligations, all such interest and all such amounts shall become and be forthwith due and payable, without presentment, demand, protest or further notice of any kind, all of which are hereby expressly waived by each Credit Party, and (iii) shall at the request, or may with the consent, of the Required Lenders, exercise such other rights and remedies as provided under the Loan Documents and under Applicable Laws;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event of an actual or deemed entry of an order for relief with respect to any Credit Party under any Debtor Relief Laws, (A) the obligation of each Lender to make Advances shall automatically be terminated and (B) the Advances, the L/C Obligations, the Borrower Obligations, all such interest and all such amounts shall automatically become and be due and payable, without presentment, demand, protest or any notice of any kind, all of which are hereby expressly waived by each Credit Party.</w:t>
      </w:r>
    </w:p>
    <w:p>
      <w:pPr>
        <w:spacing w:after="0" w:line="19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Upon the occurrence and during the continuance of an Event of Default, with consent of the Required Lenders, the Administrative Agent may, or upon the request of the Required Lenders, the Administrative Agent shall, with respect to all Letters of Credit with respect to which presentment for honor shall not have occurred at the time of an acceleration pursuant to the preceding paragraph, demand that the Company shall at such time deposit in a Cash Collateral account opened by the Administrative Agent an amount equal to the Minimum Collateral Amount of the aggregate then undrawn and unexpired amount of such Letter of Credit;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event of an actual or deemed entry of an order for relief with respect to any Credit Party under any Debtor Relief Laws, such requirement to deposit in a Cash Collateral account opened by the Administrative Agent an amount equal to the Minimum Collateral Amount of the aggregate then undrawn and unexpired amount of such Letter of Credit shall be automatic.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the other Borrower Obligations and Guaranteed Obligations in accordance with Section 9.21. After all such Letters of Credit shall have expired or been fully drawn upon, the Reimbursement Obligation shall have been satisfied and all other Borrower Obligations and Guaranteed Obligations shall have been paid in full, the balance, if any, in such Cash Collateral account shall be returned to the Company.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ADMINISTRATIVE AGENT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7.01. </w:t>
      </w:r>
      <w:r>
        <w:rPr>
          <w:rFonts w:ascii="Times New Roman" w:cs="Times New Roman" w:eastAsia="Times New Roman" w:hAnsi="Times New Roman"/>
          <w:sz w:val="22"/>
          <w:szCs w:val="22"/>
          <w:u w:val="single" w:color="auto"/>
          <w:color w:val="auto"/>
        </w:rPr>
        <w:t>Appointment and Authority</w:t>
      </w:r>
      <w:r>
        <w:rPr>
          <w:rFonts w:ascii="Times New Roman" w:cs="Times New Roman" w:eastAsia="Times New Roman" w:hAnsi="Times New Roman"/>
          <w:sz w:val="22"/>
          <w:szCs w:val="22"/>
          <w:color w:val="auto"/>
        </w:rPr>
        <w:t>. Each of the Lenders and each Issuing Lender hereby irrevocably appoints Wells Fargo Bank to act on its behalf as the Administrative Agent hereunder and under the other Loan Documents and authorizes the Administrative Agent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ectPr>
          <w:pgSz w:w="11900" w:h="16838" w:orient="portrait"/>
          <w:cols w:equalWidth="0" w:num="1">
            <w:col w:w="11240"/>
          </w:cols>
          <w:pgMar w:left="320" w:top="1260" w:right="339" w:bottom="1440" w:gutter="0" w:footer="0" w:header="0"/>
        </w:sectPr>
      </w:pPr>
    </w:p>
    <w:bookmarkStart w:id="200" w:name="page201"/>
    <w:bookmarkEnd w:id="200"/>
    <w:p>
      <w:pPr>
        <w:jc w:val="both"/>
        <w:spacing w:after="0" w:line="249" w:lineRule="auto"/>
        <w:rPr>
          <w:sz w:val="20"/>
          <w:szCs w:val="20"/>
          <w:color w:val="auto"/>
        </w:rPr>
      </w:pPr>
      <w:r>
        <w:rPr>
          <w:rFonts w:ascii="Times New Roman" w:cs="Times New Roman" w:eastAsia="Times New Roman" w:hAnsi="Times New Roman"/>
          <w:sz w:val="22"/>
          <w:szCs w:val="22"/>
          <w:color w:val="auto"/>
        </w:rPr>
        <w:t>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Issuing Lenders, and, except as provided in Section 7.07, neither the Company nor any Subsidiary thereof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4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7.02. </w:t>
      </w:r>
      <w:r>
        <w:rPr>
          <w:rFonts w:ascii="Times New Roman" w:cs="Times New Roman" w:eastAsia="Times New Roman" w:hAnsi="Times New Roman"/>
          <w:sz w:val="22"/>
          <w:szCs w:val="22"/>
          <w:u w:val="single" w:color="auto"/>
          <w:color w:val="auto"/>
        </w:rPr>
        <w:t>Rights as a Lender</w:t>
      </w:r>
      <w:r>
        <w:rPr>
          <w:rFonts w:ascii="Times New Roman" w:cs="Times New Roman" w:eastAsia="Times New Roman" w:hAnsi="Times New Roman"/>
          <w:sz w:val="22"/>
          <w:szCs w:val="22"/>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Company or any Subsidiary or other Affiliate thereof as if such Person were not the Administrative Agent hereunder and without any duty to account therefor to the Lenders or to provide notice to or consent of the Lenders with respect thereto.</w:t>
      </w:r>
    </w:p>
    <w:p>
      <w:pPr>
        <w:spacing w:after="0" w:line="128"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7.03.</w:t>
      </w:r>
      <w:r>
        <w:rPr>
          <w:sz w:val="20"/>
          <w:szCs w:val="20"/>
          <w:color w:val="auto"/>
        </w:rPr>
        <w:tab/>
      </w:r>
      <w:r>
        <w:rPr>
          <w:rFonts w:ascii="Times New Roman" w:cs="Times New Roman" w:eastAsia="Times New Roman" w:hAnsi="Times New Roman"/>
          <w:sz w:val="21"/>
          <w:szCs w:val="21"/>
          <w:u w:val="single" w:color="auto"/>
          <w:color w:val="auto"/>
        </w:rPr>
        <w:t>Exculpatory Provisions</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jc w:val="both"/>
        <w:ind w:firstLine="656"/>
        <w:spacing w:after="0" w:line="263" w:lineRule="auto"/>
        <w:tabs>
          <w:tab w:leader="none" w:pos="1128"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and its Related Parties shall not have any duties or obligations except those expressly set forth herein and in the other Loan Documents, and its duties hereunder and thereunder shall be administrative in nature. Without limiting the generality of the foregoing, the Administrative Agent and its Related Parties:</w:t>
      </w:r>
    </w:p>
    <w:p>
      <w:pPr>
        <w:spacing w:after="0" w:line="167" w:lineRule="exact"/>
        <w:rPr>
          <w:rFonts w:ascii="Times New Roman" w:cs="Times New Roman" w:eastAsia="Times New Roman" w:hAnsi="Times New Roman"/>
          <w:sz w:val="22"/>
          <w:szCs w:val="22"/>
          <w:color w:val="auto"/>
        </w:rPr>
      </w:pPr>
    </w:p>
    <w:p>
      <w:pPr>
        <w:ind w:left="660" w:firstLine="644"/>
        <w:spacing w:after="0" w:line="271" w:lineRule="auto"/>
        <w:tabs>
          <w:tab w:leader="none" w:pos="1742"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subject to any trust, fiduciary or other implied duties, regardless of whether a Default or Event of Default has occurred and is continuing;</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953"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90"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except as expressly set forth herein and in the other Loan Documents, have any duty to disclose, and shall not be liable for the failure to disclose, any information relating to the Company or any of its Subsidiaries or Affiliates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ectPr>
          <w:pgSz w:w="11900" w:h="16838" w:orient="portrait"/>
          <w:cols w:equalWidth="0" w:num="1">
            <w:col w:w="11240"/>
          </w:cols>
          <w:pgMar w:left="320" w:top="1260" w:right="339" w:bottom="1440" w:gutter="0" w:footer="0" w:header="0"/>
        </w:sectPr>
      </w:pPr>
    </w:p>
    <w:bookmarkStart w:id="201" w:name="page202"/>
    <w:bookmarkEnd w:id="201"/>
    <w:p>
      <w:pPr>
        <w:ind w:left="660"/>
        <w:spacing w:after="0" w:line="271" w:lineRule="auto"/>
        <w:rPr>
          <w:sz w:val="20"/>
          <w:szCs w:val="20"/>
          <w:color w:val="auto"/>
        </w:rPr>
      </w:pPr>
      <w:r>
        <w:rPr>
          <w:rFonts w:ascii="Times New Roman" w:cs="Times New Roman" w:eastAsia="Times New Roman" w:hAnsi="Times New Roman"/>
          <w:sz w:val="22"/>
          <w:szCs w:val="22"/>
          <w:color w:val="auto"/>
        </w:rPr>
        <w:t>communicated to or obtained by the Person serving as the Administrative Agent and its Related Parties or any of its Affiliates in any capacity.</w:t>
      </w:r>
    </w:p>
    <w:p>
      <w:pPr>
        <w:spacing w:after="0" w:line="158" w:lineRule="exact"/>
        <w:rPr>
          <w:sz w:val="20"/>
          <w:szCs w:val="20"/>
          <w:color w:val="auto"/>
        </w:rPr>
      </w:pPr>
    </w:p>
    <w:p>
      <w:pPr>
        <w:jc w:val="both"/>
        <w:ind w:firstLine="656"/>
        <w:spacing w:after="0" w:line="252" w:lineRule="auto"/>
        <w:tabs>
          <w:tab w:leader="none" w:pos="1157" w:val="left"/>
        </w:tabs>
        <w:numPr>
          <w:ilvl w:val="1"/>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and its Related Parties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 9.01 and 6.01) or (ii) in the absence of its own gross negligence or willful misconduct as determined by a court of competent jurisdiction by final nonappealable judgment. The Administrative Agent shall be deemed not to have knowledge of any Default or Event of Default unless and until notice describing such Default or Event of Default is given to the Administrative Agent in writing by any Borrower, a Lender or an Issuing Lender.</w:t>
      </w:r>
    </w:p>
    <w:p>
      <w:pPr>
        <w:spacing w:after="0" w:line="179" w:lineRule="exact"/>
        <w:rPr>
          <w:rFonts w:ascii="Times New Roman" w:cs="Times New Roman" w:eastAsia="Times New Roman" w:hAnsi="Times New Roman"/>
          <w:sz w:val="22"/>
          <w:szCs w:val="22"/>
          <w:color w:val="auto"/>
        </w:rPr>
      </w:pPr>
    </w:p>
    <w:p>
      <w:pPr>
        <w:jc w:val="both"/>
        <w:ind w:firstLine="656"/>
        <w:spacing w:after="0" w:line="262" w:lineRule="auto"/>
        <w:tabs>
          <w:tab w:leader="none" w:pos="1107" w:val="left"/>
        </w:tabs>
        <w:numPr>
          <w:ilvl w:val="1"/>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and its Related Parties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w:t>
      </w:r>
    </w:p>
    <w:p>
      <w:pPr>
        <w:spacing w:after="0" w:line="2" w:lineRule="exact"/>
        <w:rPr>
          <w:rFonts w:ascii="Times New Roman" w:cs="Times New Roman" w:eastAsia="Times New Roman" w:hAnsi="Times New Roman"/>
          <w:sz w:val="21"/>
          <w:szCs w:val="21"/>
          <w:color w:val="auto"/>
        </w:rPr>
      </w:pPr>
    </w:p>
    <w:p>
      <w:pPr>
        <w:jc w:val="both"/>
        <w:ind w:firstLine="8"/>
        <w:spacing w:after="0" w:line="260" w:lineRule="auto"/>
        <w:tabs>
          <w:tab w:leader="none" w:pos="382" w:val="left"/>
        </w:tabs>
        <w:numPr>
          <w:ilvl w:val="0"/>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(v) the satisfaction of any condition set forth in Article III or elsewhere herein, other than to confirm receipt of items expressly required to be delivered to the Administrative Agent or (vi) the utilization of any Issuing Lender’s L/C Commitment (it being understood and agreed that each Issuing Lender shall monitor compliance with its own L/C Commitment without any further action by the Administrative Agent).</w:t>
      </w:r>
    </w:p>
    <w:p>
      <w:pPr>
        <w:spacing w:after="0" w:line="17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7.04. </w:t>
      </w:r>
      <w:r>
        <w:rPr>
          <w:rFonts w:ascii="Times New Roman" w:cs="Times New Roman" w:eastAsia="Times New Roman" w:hAnsi="Times New Roman"/>
          <w:sz w:val="22"/>
          <w:szCs w:val="22"/>
          <w:u w:val="single" w:color="auto"/>
          <w:color w:val="auto"/>
        </w:rPr>
        <w:t>Reliance by the Administrative Agent</w:t>
      </w:r>
      <w:r>
        <w:rPr>
          <w:rFonts w:ascii="Times New Roman" w:cs="Times New Roman" w:eastAsia="Times New Roman" w:hAnsi="Times New Roman"/>
          <w:sz w:val="22"/>
          <w:szCs w:val="22"/>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an Advance or the issuance, extension, renewal or increase of a Letter of Credit that by its terms must be fulfilled to the satisfaction of a Lender or an Issuing Lender, the Administrative Agent may presume that such condition is satisfactory to such Lender or such Issuing Lender unless the Administrative Agent shall have received notice to the contrary from such Lender or such Issuing Lender prior to the making of such Advance or issuance of such Letter of Credit. The Administrative Agent may consult with legal counsel (who may be counsel for any Borrower), independent accountants and other experts selected by it, and shall not be liable for any action taken or not taken by it in accordance with the advice of any such counsel, accountants or experts. Each Lender or Issuing Lender that has signed the Restatement Agreement or a signature page to an Assignment and Assumption or any other Loan Document pursuant to which it is to become a Lender or Issuing Lender hereunder shall be deemed to have consented to, approved and accepted and shall deemed satisfied with each document or other matter required thereunder to be consented to, approved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ectPr>
          <w:pgSz w:w="11900" w:h="16838" w:orient="portrait"/>
          <w:cols w:equalWidth="0" w:num="1">
            <w:col w:w="11240"/>
          </w:cols>
          <w:pgMar w:left="320" w:top="1260"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22"/>
          <w:szCs w:val="22"/>
          <w:color w:val="auto"/>
        </w:rPr>
        <w:t>accepted by such Lender or Issuing Lender or that is to be acceptable or satisfactory to such Lender or Issuing Lender.</w:t>
      </w:r>
    </w:p>
    <w:p>
      <w:pPr>
        <w:spacing w:after="0" w:line="16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7.05. </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xml:space="preserve">. The Lenders agree to indemnify the Administrative Agent and the Issuing Lenders and their respective Related Parties (to the extent not reimbursed by the Credit Parties), ratably according to their Commitments, from and against any and all liabilities, obligations, losses, damages, penalties, actions, judgments, suits, costs, expenses or disbursements of any kind or nature whatsoever that may be imposed on, incurred by, or asserted against the Administrative Agent or an Issuing Lender or their respective Related Parties in any way relating to or arising out of this Agreement or any action taken or omitted by the Administrative Agent or such Issuing Lender under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Lender shall be liable for any portion of such liabilities, obligations, losses, damages, penalties, actions, judgments, suits, costs, expenses or disbursements resulting from the Administrative Agent’s or such Issuing Lender’s or their respective Related Parties’ gross negligence or willful misconduct. Without limitation of the foregoing, each Lender agrees to reimburse the Administrative Agent and each Issuing Lender and their respective Related Parties promptly upon demand for its ratable share of any out-of-pocket expenses (including counsel fees) incurred by the Administrative Agent or such Issuing Lender and their respective Related Parties in connection with the preparation, execution, delivery, administration, modification, amendment or enforcement (whether through negotiations, legal proceedings or otherwise) of, or legal advice in respect of rights or responsibilities under, this Agreement, to the extent that the Administrative Agent or such Issuing Lender is not reimbursed for such expenses by the Credit Parties.</w:t>
      </w:r>
    </w:p>
    <w:p>
      <w:pPr>
        <w:spacing w:after="0" w:line="1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7.06. </w:t>
      </w:r>
      <w:r>
        <w:rPr>
          <w:rFonts w:ascii="Times New Roman" w:cs="Times New Roman" w:eastAsia="Times New Roman" w:hAnsi="Times New Roman"/>
          <w:sz w:val="22"/>
          <w:szCs w:val="22"/>
          <w:u w:val="single" w:color="auto"/>
          <w:color w:val="auto"/>
        </w:rPr>
        <w:t>Delegation of Duties</w:t>
      </w:r>
      <w:r>
        <w:rPr>
          <w:rFonts w:ascii="Times New Roman" w:cs="Times New Roman" w:eastAsia="Times New Roman" w:hAnsi="Times New Roman"/>
          <w:sz w:val="22"/>
          <w:szCs w:val="22"/>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this credit facility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 agents.</w:t>
      </w:r>
    </w:p>
    <w:p>
      <w:pPr>
        <w:spacing w:after="0" w:line="126"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7.07.</w:t>
      </w:r>
      <w:r>
        <w:rPr>
          <w:sz w:val="20"/>
          <w:szCs w:val="20"/>
          <w:color w:val="auto"/>
        </w:rPr>
        <w:tab/>
      </w:r>
      <w:r>
        <w:rPr>
          <w:rFonts w:ascii="Times New Roman" w:cs="Times New Roman" w:eastAsia="Times New Roman" w:hAnsi="Times New Roman"/>
          <w:sz w:val="21"/>
          <w:szCs w:val="21"/>
          <w:u w:val="single" w:color="auto"/>
          <w:color w:val="auto"/>
        </w:rPr>
        <w:t>Resignation of Administrative Agent</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jc w:val="both"/>
        <w:ind w:firstLine="656"/>
        <w:spacing w:after="0" w:line="250" w:lineRule="auto"/>
        <w:tabs>
          <w:tab w:leader="none" w:pos="1123"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at any time give notice of its resignation to the Lenders, the Issuing Lenders and the Company. Upon receipt of any such notice of resignation, the Required Lenders shall have the right, in consultation with the Company,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22"/>
          <w:szCs w:val="22"/>
          <w:u w:val="single" w:color="auto"/>
          <w:color w:val="auto"/>
        </w:rPr>
        <w:t>Resignation Effective Date</w:t>
      </w:r>
      <w:r>
        <w:rPr>
          <w:rFonts w:ascii="Times New Roman" w:cs="Times New Roman" w:eastAsia="Times New Roman" w:hAnsi="Times New Roman"/>
          <w:sz w:val="22"/>
          <w:szCs w:val="22"/>
          <w:color w:val="auto"/>
        </w:rPr>
        <w:t>”), then the retiring Administrative Agent may (but shall not be obligated to), on behalf of the Lenders and the Issuing Lenders, appoint a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ectPr>
          <w:pgSz w:w="11900" w:h="16838" w:orient="portrait"/>
          <w:cols w:equalWidth="0" w:num="1">
            <w:col w:w="11240"/>
          </w:cols>
          <w:pgMar w:left="320" w:top="1260" w:right="339" w:bottom="1440" w:gutter="0" w:footer="0" w:header="0"/>
        </w:sectPr>
      </w:pPr>
    </w:p>
    <w:bookmarkStart w:id="203" w:name="page204"/>
    <w:bookmarkEnd w:id="203"/>
    <w:p>
      <w:pPr>
        <w:spacing w:after="0" w:line="271" w:lineRule="auto"/>
        <w:rPr>
          <w:sz w:val="20"/>
          <w:szCs w:val="20"/>
          <w:color w:val="auto"/>
        </w:rPr>
      </w:pPr>
      <w:r>
        <w:rPr>
          <w:rFonts w:ascii="Times New Roman" w:cs="Times New Roman" w:eastAsia="Times New Roman" w:hAnsi="Times New Roman"/>
          <w:sz w:val="22"/>
          <w:szCs w:val="22"/>
          <w:color w:val="auto"/>
        </w:rPr>
        <w:t>Administrative Agent meeting the qualifications set forth above. Whether or not a successor has been appointed, such resignation shall become effective in accordance with such notice on the Resignation Effective Date.</w:t>
      </w:r>
    </w:p>
    <w:p>
      <w:pPr>
        <w:spacing w:after="0" w:line="158" w:lineRule="exact"/>
        <w:rPr>
          <w:sz w:val="20"/>
          <w:szCs w:val="20"/>
          <w:color w:val="auto"/>
        </w:rPr>
      </w:pPr>
    </w:p>
    <w:p>
      <w:pPr>
        <w:jc w:val="both"/>
        <w:ind w:firstLine="656"/>
        <w:spacing w:after="0" w:line="252" w:lineRule="auto"/>
        <w:tabs>
          <w:tab w:leader="none" w:pos="1131"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Person serving as Administrative Agent is a Defaulting Lender pursuant to clause (d) of the definition thereof, the Required Lenders or the Company, on behalf of the Borrowers, may, to the extent permitted by Applicable Law, by notice in writing to the Company, if being done by the Required Lenders, and such Person, remove such Person as Administrative Agent and, in consultation with the Company, appoint a successor. If no such successor shall have been so appointed by the Required Lenders or the Company, on behalf of the Borrowers, as applicable, and shall have accepted such appointment within 30 days (or such earlier day as shall be agreed by the Required Lenders) (the “</w:t>
      </w:r>
      <w:r>
        <w:rPr>
          <w:rFonts w:ascii="Times New Roman" w:cs="Times New Roman" w:eastAsia="Times New Roman" w:hAnsi="Times New Roman"/>
          <w:sz w:val="22"/>
          <w:szCs w:val="22"/>
          <w:u w:val="single" w:color="auto"/>
          <w:color w:val="auto"/>
        </w:rPr>
        <w:t>Removal Effective Date</w:t>
      </w:r>
      <w:r>
        <w:rPr>
          <w:rFonts w:ascii="Times New Roman" w:cs="Times New Roman" w:eastAsia="Times New Roman" w:hAnsi="Times New Roman"/>
          <w:sz w:val="22"/>
          <w:szCs w:val="22"/>
          <w:color w:val="auto"/>
        </w:rPr>
        <w:t>”), then such removal shall nonetheless become effective in accordance with such notice on the Removal Effective Date.</w:t>
      </w:r>
    </w:p>
    <w:p>
      <w:pPr>
        <w:spacing w:after="0" w:line="179" w:lineRule="exact"/>
        <w:rPr>
          <w:rFonts w:ascii="Times New Roman" w:cs="Times New Roman" w:eastAsia="Times New Roman" w:hAnsi="Times New Roman"/>
          <w:sz w:val="22"/>
          <w:szCs w:val="22"/>
          <w:color w:val="auto"/>
        </w:rPr>
      </w:pPr>
    </w:p>
    <w:p>
      <w:pPr>
        <w:jc w:val="both"/>
        <w:ind w:firstLine="656"/>
        <w:spacing w:after="0" w:line="247" w:lineRule="auto"/>
        <w:tabs>
          <w:tab w:leader="none" w:pos="1180"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effect from the Resignation Effective Date or the Removal Effective Date (as applicable), (i) the retiring or removed Administrative Agent shall be discharged from its duties and obligations hereunder and under the other Loan Documents and (ii) except for any indemnity payments owed to the retiring or removed Administrative Agent, all payments, communications and determinations provided to be made by, to or through the Administrative Agent shall instead be made by or to each Lender and each Issuing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The fees payable by the Borrowers to a successor Administrative Agent shall be the same as those payable to its predecessor unless otherwise agreed between the Borrowers and such successor. After the retiring or removed Administrative Agent’s resignation or removal hereunder and under the other Loan Documents, the provisions of this Article, Section 7.10 and Section 9.04 and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198" w:lineRule="exact"/>
        <w:rPr>
          <w:rFonts w:ascii="Times New Roman" w:cs="Times New Roman" w:eastAsia="Times New Roman" w:hAnsi="Times New Roman"/>
          <w:sz w:val="22"/>
          <w:szCs w:val="22"/>
          <w:color w:val="auto"/>
        </w:rPr>
      </w:pPr>
    </w:p>
    <w:p>
      <w:pPr>
        <w:jc w:val="both"/>
        <w:ind w:firstLine="656"/>
        <w:spacing w:after="0" w:line="249" w:lineRule="auto"/>
        <w:tabs>
          <w:tab w:leader="none" w:pos="1115"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resignation by, or removal of, Wells Fargo Bank, National Association as Administrative Agent pursuant to this Section shall also constitute its resignation as an Issuing Lender. Upon the acceptance of a successor’s appointment as Administrative Agent hereunder, (i) such successor shall succeed to and become vested with all of the rights, powers, privileges and duties of the retiring Issuing Lender, if in its sole discretion it elects to, (ii) the retiring Issuing Lender shall be discharged from all of their respective duties and obligations hereunder or under the other Loan Documents, and (iii) the successor Issuing Lender, if in its sole discretion it elects to, shall issue letters of credit in substitution for the Letters of Credit, if any, outstanding at the time of such succession or make other arrangements satisfactory to the retiring Issuing Lender to effectively assume the obligations of the retiring Issuing Lender with respect to such Letters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ectPr>
          <w:pgSz w:w="11900" w:h="16838" w:orient="portrait"/>
          <w:cols w:equalWidth="0" w:num="1">
            <w:col w:w="11240"/>
          </w:cols>
          <w:pgMar w:left="320" w:top="1260" w:right="339" w:bottom="1440" w:gutter="0" w:footer="0" w:header="0"/>
        </w:sectPr>
      </w:pPr>
    </w:p>
    <w:bookmarkStart w:id="204" w:name="page205"/>
    <w:bookmarkEnd w:id="204"/>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7.08.</w:t>
      </w:r>
      <w:r>
        <w:rPr>
          <w:sz w:val="20"/>
          <w:szCs w:val="20"/>
          <w:color w:val="auto"/>
        </w:rPr>
        <w:tab/>
      </w:r>
      <w:r>
        <w:rPr>
          <w:rFonts w:ascii="Times New Roman" w:cs="Times New Roman" w:eastAsia="Times New Roman" w:hAnsi="Times New Roman"/>
          <w:sz w:val="21"/>
          <w:szCs w:val="21"/>
          <w:u w:val="single" w:color="auto"/>
          <w:color w:val="auto"/>
        </w:rPr>
        <w:t>Non-Reliance on Administrative Agent and Other Lenders</w:t>
      </w:r>
      <w:r>
        <w:rPr>
          <w:rFonts w:ascii="Times New Roman" w:cs="Times New Roman" w:eastAsia="Times New Roman" w:hAnsi="Times New Roman"/>
          <w:sz w:val="21"/>
          <w:szCs w:val="21"/>
          <w:color w:val="auto"/>
        </w:rPr>
        <w:t>.</w:t>
      </w:r>
    </w:p>
    <w:p>
      <w:pPr>
        <w:spacing w:after="0" w:line="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Each Lender and each Issuing Lender expressly acknowledges that none of the Administrative Agent or any of its Related Parties has made any representations or warranties to it and that no act taken or failure to act by the Administrative Agent or any of its Related Parties, including any consent to, and acceptance of any assignment or review of the affairs of the Borrower and its Subsidiaries or Affiliates shall be deemed to constitute a representation or warranty of the Administrative Agent or any of its Related Parties to any Lender or any Issuing Lender as to any matter, including whether the Administrative Agent or any of its Related Parties have disclosed material information in its (or its Related Parties’) possession. Each Lender and each Issuing Lender expressly acknowledges, represents and warrants to the Administrative Agent that (a) the Loan Documents set forth the terms of a commercial lending facility, (b) it is engaged in making, acquiring, purchasing or holding commercial loans in the ordinary course and is entering into this Agreement and the other Loan Documents to which it is a party as a Lender for the purpose of making, acquiring, purchasing and/or holding the commercial loans set forth herein as may be applicable to it, and not for the purpose of making, acquiring, purchasing or holding any other type of financial instrument, (c) it is sophisticated with respect to decisions to make, acquire, purchase or hold the commercial loans applicable to it and either it or the Person exercising discretion in making its decisions to make, acquire, purchase or hold such commercial loans is experienced in making, acquiring, purchasing or holding commercial loans, (d) it has, independently and without reliance upon the Administrative Agent or any other Lender or any of their respective Related Parties and based on such documents and information as it has deemed appropriate, made its own credit analysis and appraisal of, and investigations into, the business, prospects, operations, property, assets, liabilities, financial and other condition and creditworthiness of the Borrower and its Subsidiaries, all applicable bank or other regulatory Applicable Laws relating to the Transactions and the transactions contemplated by this Agreement and the other Loan Documents and (e) it has made its own independent decision to enter into this Agreement and the other Loan Documents to which it is a party and to extend credit hereunder and thereunder. Each Lender and each Issuing Lender also acknowledges that</w:t>
      </w:r>
    </w:p>
    <w:p>
      <w:pPr>
        <w:spacing w:after="0" w:line="12" w:lineRule="exact"/>
        <w:rPr>
          <w:sz w:val="20"/>
          <w:szCs w:val="20"/>
          <w:color w:val="auto"/>
        </w:rPr>
      </w:pPr>
    </w:p>
    <w:p>
      <w:pPr>
        <w:jc w:val="both"/>
        <w:ind w:firstLine="8"/>
        <w:spacing w:after="0" w:line="246" w:lineRule="auto"/>
        <w:tabs>
          <w:tab w:leader="none" w:pos="289"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 will, independently and without reliance upon the Administrative Agent or any other Lender or any of their respective Related Parties (A) continue to make its own credit analysis, appraisals and decisions in taking or not taking action under or based upon this Agreement, any other Loan Document or any related agreement or any document furnished hereunder or thereunder based on such documents and information as it shall from time to time deem appropriate and its own independent investigations and (B) continue to make such investigations and inquiries as it deems necessary to inform itself as to the Borrower and its Subsidiaries and (ii) it will not assert any claim in contravention of this </w:t>
      </w:r>
      <w:r>
        <w:rPr>
          <w:rFonts w:ascii="Times New Roman" w:cs="Times New Roman" w:eastAsia="Times New Roman" w:hAnsi="Times New Roman"/>
          <w:sz w:val="22"/>
          <w:szCs w:val="22"/>
          <w:u w:val="single" w:color="auto"/>
          <w:color w:val="auto"/>
        </w:rPr>
        <w:t>Section 7.08</w:t>
      </w:r>
      <w:r>
        <w:rPr>
          <w:rFonts w:ascii="Times New Roman" w:cs="Times New Roman" w:eastAsia="Times New Roman" w:hAnsi="Times New Roman"/>
          <w:sz w:val="22"/>
          <w:szCs w:val="22"/>
          <w:color w:val="auto"/>
        </w:rPr>
        <w:t>.</w:t>
      </w:r>
    </w:p>
    <w:p>
      <w:pPr>
        <w:spacing w:after="0" w:line="1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7.09. </w:t>
      </w:r>
      <w:r>
        <w:rPr>
          <w:rFonts w:ascii="Times New Roman" w:cs="Times New Roman" w:eastAsia="Times New Roman" w:hAnsi="Times New Roman"/>
          <w:sz w:val="22"/>
          <w:szCs w:val="22"/>
          <w:u w:val="single" w:color="auto"/>
          <w:color w:val="auto"/>
        </w:rPr>
        <w:t>No Other Duties, Etc.</w:t>
      </w:r>
      <w:r>
        <w:rPr>
          <w:rFonts w:ascii="Times New Roman" w:cs="Times New Roman" w:eastAsia="Times New Roman" w:hAnsi="Times New Roman"/>
          <w:sz w:val="22"/>
          <w:szCs w:val="22"/>
          <w:color w:val="auto"/>
        </w:rPr>
        <w:t xml:space="preserve"> Anything herein to the contrary notwithstanding, none of the syndication agents, documentation agents, co-agents, arrangers or bookrunners listed on the cover page hereof shall have any powers, duties or responsibilities under this Agreement or any of the other Loan Documents, except in its capacity, as applicable, as the Administrative Agent, a Lender or Issuing Lender.</w:t>
      </w:r>
    </w:p>
    <w:p>
      <w:pPr>
        <w:spacing w:after="0" w:line="12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7.10. </w:t>
      </w:r>
      <w:r>
        <w:rPr>
          <w:rFonts w:ascii="Times New Roman" w:cs="Times New Roman" w:eastAsia="Times New Roman" w:hAnsi="Times New Roman"/>
          <w:sz w:val="22"/>
          <w:szCs w:val="22"/>
          <w:u w:val="single" w:color="auto"/>
          <w:color w:val="auto"/>
        </w:rPr>
        <w:t>Guaranty Matters</w:t>
      </w:r>
      <w:r>
        <w:rPr>
          <w:rFonts w:ascii="Times New Roman" w:cs="Times New Roman" w:eastAsia="Times New Roman" w:hAnsi="Times New Roman"/>
          <w:sz w:val="22"/>
          <w:szCs w:val="22"/>
          <w:color w:val="auto"/>
        </w:rPr>
        <w:t>. Each of the Lenders irrevocably authorize the Administrative Agent, at its option and in its discretion, to release any Guarantor from its obligations under any Loan Documents if such Person ceases to be a Material Domestic Subsidiary as a result of a transaction permitted under the Loan Documents. Upon request by the Administrative Agent at any time, the Required Lenders will confirm in writing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ectPr>
          <w:pgSz w:w="11900" w:h="16838" w:orient="portrait"/>
          <w:cols w:equalWidth="0" w:num="1">
            <w:col w:w="11240"/>
          </w:cols>
          <w:pgMar w:left="320" w:top="1260" w:right="339" w:bottom="1440" w:gutter="0" w:footer="0" w:header="0"/>
        </w:sectPr>
      </w:pPr>
    </w:p>
    <w:bookmarkStart w:id="205" w:name="page206"/>
    <w:bookmarkEnd w:id="205"/>
    <w:p>
      <w:pPr>
        <w:jc w:val="both"/>
        <w:spacing w:after="0" w:line="256" w:lineRule="auto"/>
        <w:rPr>
          <w:sz w:val="20"/>
          <w:szCs w:val="20"/>
          <w:color w:val="auto"/>
        </w:rPr>
      </w:pPr>
      <w:r>
        <w:rPr>
          <w:rFonts w:ascii="Times New Roman" w:cs="Times New Roman" w:eastAsia="Times New Roman" w:hAnsi="Times New Roman"/>
          <w:sz w:val="22"/>
          <w:szCs w:val="22"/>
          <w:color w:val="auto"/>
        </w:rPr>
        <w:t>Agent’s authority to release any Guarantor from its obligations under this Agreement pursuant to this Section 7.10. In each case as specified in this Section 7.10, the Administrative Agent will, at the Borrowers’ expense, execute and deliver to the applicable Credit Party such documents as such Credit Party may reasonably request to release such Guarantor from its obligations under this Agreement, in each case in accordance with the terms of the Loan Documents and this Section 7.10.</w:t>
      </w:r>
    </w:p>
    <w:p>
      <w:pPr>
        <w:spacing w:after="0" w:line="68"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7.11.</w:t>
      </w:r>
      <w:r>
        <w:rPr>
          <w:sz w:val="20"/>
          <w:szCs w:val="20"/>
          <w:color w:val="auto"/>
        </w:rPr>
        <w:tab/>
      </w:r>
      <w:r>
        <w:rPr>
          <w:rFonts w:ascii="Times New Roman" w:cs="Times New Roman" w:eastAsia="Times New Roman" w:hAnsi="Times New Roman"/>
          <w:sz w:val="21"/>
          <w:szCs w:val="21"/>
          <w:u w:val="single" w:color="auto"/>
          <w:color w:val="auto"/>
        </w:rPr>
        <w:t>Erroneous Payments</w:t>
      </w:r>
      <w:r>
        <w:rPr>
          <w:rFonts w:ascii="Times New Roman" w:cs="Times New Roman" w:eastAsia="Times New Roman" w:hAnsi="Times New Roman"/>
          <w:sz w:val="21"/>
          <w:szCs w:val="21"/>
          <w:color w:val="auto"/>
        </w:rPr>
        <w:t>.</w:t>
      </w:r>
    </w:p>
    <w:p>
      <w:pPr>
        <w:spacing w:after="0" w:line="112" w:lineRule="exact"/>
        <w:rPr>
          <w:sz w:val="20"/>
          <w:szCs w:val="20"/>
          <w:color w:val="auto"/>
        </w:rPr>
      </w:pPr>
    </w:p>
    <w:p>
      <w:pPr>
        <w:jc w:val="both"/>
        <w:ind w:firstLine="656"/>
        <w:spacing w:after="0" w:line="247" w:lineRule="auto"/>
        <w:tabs>
          <w:tab w:leader="none" w:pos="1160" w:val="left"/>
        </w:tabs>
        <w:numPr>
          <w:ilvl w:val="1"/>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each Issuing Lender and any other party hereto hereby severally agrees that if (i) the Administrative Agent notifies (which such notice shall be conclusive absent manifest error) such Lender or Issuing Lender or any other Person that has received funds from the Administrative Agent or any of its Affiliates, either for its own account or on behalf of a Lender or Issuing Lender (each such recipient, a “</w:t>
      </w:r>
      <w:r>
        <w:rPr>
          <w:rFonts w:ascii="Times New Roman" w:cs="Times New Roman" w:eastAsia="Times New Roman" w:hAnsi="Times New Roman"/>
          <w:sz w:val="22"/>
          <w:szCs w:val="22"/>
          <w:u w:val="single" w:color="auto"/>
          <w:color w:val="auto"/>
        </w:rPr>
        <w:t>Payment Recipient</w:t>
      </w:r>
      <w:r>
        <w:rPr>
          <w:rFonts w:ascii="Times New Roman" w:cs="Times New Roman" w:eastAsia="Times New Roman" w:hAnsi="Times New Roman"/>
          <w:sz w:val="22"/>
          <w:szCs w:val="22"/>
          <w:color w:val="auto"/>
        </w:rPr>
        <w:t>”) that the Administrative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Section 7.11(a), whether received as a payment, prepayment or repayment of principal, interest, fees, distribution or otherwise; individually and collectively, an “</w:t>
      </w:r>
      <w:r>
        <w:rPr>
          <w:rFonts w:ascii="Times New Roman" w:cs="Times New Roman" w:eastAsia="Times New Roman" w:hAnsi="Times New Roman"/>
          <w:sz w:val="22"/>
          <w:szCs w:val="22"/>
          <w:u w:val="single" w:color="auto"/>
          <w:color w:val="auto"/>
        </w:rPr>
        <w:t>Erroneous Payment</w:t>
      </w:r>
      <w:r>
        <w:rPr>
          <w:rFonts w:ascii="Times New Roman" w:cs="Times New Roman" w:eastAsia="Times New Roman" w:hAnsi="Times New Roman"/>
          <w:sz w:val="22"/>
          <w:szCs w:val="22"/>
          <w:color w:val="auto"/>
        </w:rPr>
        <w:t xml:space="preserve">”), then, in each case, such Payment Recipient is deemed to have knowledge of such error at the time of its receipt of such Erroneous Payment;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in this Section shall require the Administrative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w:t>
      </w:r>
    </w:p>
    <w:p>
      <w:pPr>
        <w:spacing w:after="0" w:line="84"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1"/>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immediately preceding clause (a), each Payment Recipient agrees that, in the case of clause (a)</w:t>
      </w:r>
    </w:p>
    <w:p>
      <w:pPr>
        <w:spacing w:after="0" w:line="39"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it shall promptly notify the Administrative Agent in writing of such occurrence.</w:t>
      </w:r>
    </w:p>
    <w:p>
      <w:pPr>
        <w:spacing w:after="0" w:line="195" w:lineRule="exact"/>
        <w:rPr>
          <w:rFonts w:ascii="Times New Roman" w:cs="Times New Roman" w:eastAsia="Times New Roman" w:hAnsi="Times New Roman"/>
          <w:sz w:val="22"/>
          <w:szCs w:val="22"/>
          <w:color w:val="auto"/>
        </w:rPr>
      </w:pPr>
    </w:p>
    <w:p>
      <w:pPr>
        <w:jc w:val="both"/>
        <w:ind w:firstLine="656"/>
        <w:spacing w:after="0" w:line="250" w:lineRule="auto"/>
        <w:tabs>
          <w:tab w:leader="none" w:pos="1146"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one Business Day thereafter, return to the Administrative Agent the amount of any such Erroneous Payment (or portion thereof) as to which such a demand was made in Same Day Funds and in the currency so received, together with interest thereon in respect of each day from and including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ectPr>
          <w:pgSz w:w="11900" w:h="16838" w:orient="portrait"/>
          <w:cols w:equalWidth="0" w:num="1">
            <w:col w:w="11240"/>
          </w:cols>
          <w:pgMar w:left="320" w:top="1260" w:right="339" w:bottom="1440" w:gutter="0" w:footer="0" w:header="0"/>
        </w:sectPr>
      </w:pPr>
    </w:p>
    <w:bookmarkStart w:id="206" w:name="page207"/>
    <w:bookmarkEnd w:id="206"/>
    <w:p>
      <w:pPr>
        <w:spacing w:after="0" w:line="271" w:lineRule="auto"/>
        <w:rPr>
          <w:sz w:val="20"/>
          <w:szCs w:val="20"/>
          <w:color w:val="auto"/>
        </w:rPr>
      </w:pPr>
      <w:r>
        <w:rPr>
          <w:rFonts w:ascii="Times New Roman" w:cs="Times New Roman" w:eastAsia="Times New Roman" w:hAnsi="Times New Roman"/>
          <w:sz w:val="22"/>
          <w:szCs w:val="22"/>
          <w:color w:val="auto"/>
        </w:rPr>
        <w:t>date such Erroneous Payment (or portion thereof) was received by such Payment Recipient to the date such amount is repaid to the Administrative Agent at the Overnight Rate.</w:t>
      </w:r>
    </w:p>
    <w:p>
      <w:pPr>
        <w:spacing w:after="0" w:line="158" w:lineRule="exact"/>
        <w:rPr>
          <w:sz w:val="20"/>
          <w:szCs w:val="20"/>
          <w:color w:val="auto"/>
        </w:rPr>
      </w:pPr>
    </w:p>
    <w:p>
      <w:pPr>
        <w:jc w:val="both"/>
        <w:ind w:firstLine="656"/>
        <w:spacing w:after="0" w:line="260" w:lineRule="auto"/>
        <w:tabs>
          <w:tab w:leader="none" w:pos="1180" w:val="left"/>
        </w:tabs>
        <w:numPr>
          <w:ilvl w:val="0"/>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Payment Recipient (such unrecovered amount as to such Lender, an “</w:t>
      </w:r>
      <w:r>
        <w:rPr>
          <w:rFonts w:ascii="Times New Roman" w:cs="Times New Roman" w:eastAsia="Times New Roman" w:hAnsi="Times New Roman"/>
          <w:sz w:val="21"/>
          <w:szCs w:val="21"/>
          <w:u w:val="single" w:color="auto"/>
          <w:color w:val="auto"/>
        </w:rPr>
        <w:t>Erroneous Payment Return Deficiency</w:t>
      </w:r>
      <w:r>
        <w:rPr>
          <w:rFonts w:ascii="Times New Roman" w:cs="Times New Roman" w:eastAsia="Times New Roman" w:hAnsi="Times New Roman"/>
          <w:sz w:val="21"/>
          <w:szCs w:val="21"/>
          <w:color w:val="auto"/>
        </w:rPr>
        <w:t>”), then at the sole discretion of the Administrative Agent and upon the Administrative Agent’s written notice to such Lender (i) such Lender shall be deemed to have made a cashless assignment of the full face amount of the portion of its Advances (but not its Commitments) of the relevant Class with respect to which such Erroneous Payment was made (the “</w:t>
      </w:r>
      <w:r>
        <w:rPr>
          <w:rFonts w:ascii="Times New Roman" w:cs="Times New Roman" w:eastAsia="Times New Roman" w:hAnsi="Times New Roman"/>
          <w:sz w:val="21"/>
          <w:szCs w:val="21"/>
          <w:u w:val="single" w:color="auto"/>
          <w:color w:val="auto"/>
        </w:rPr>
        <w:t>Erroneous Payment Impacted Class</w:t>
      </w:r>
      <w:r>
        <w:rPr>
          <w:rFonts w:ascii="Times New Roman" w:cs="Times New Roman" w:eastAsia="Times New Roman" w:hAnsi="Times New Roman"/>
          <w:sz w:val="21"/>
          <w:szCs w:val="21"/>
          <w:color w:val="auto"/>
        </w:rPr>
        <w:t>”)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Advances (but not Commitments) of the Erroneous Payment Impacted Class, the “</w:t>
      </w:r>
      <w:r>
        <w:rPr>
          <w:rFonts w:ascii="Times New Roman" w:cs="Times New Roman" w:eastAsia="Times New Roman" w:hAnsi="Times New Roman"/>
          <w:sz w:val="21"/>
          <w:szCs w:val="21"/>
          <w:u w:val="single" w:color="auto"/>
          <w:color w:val="auto"/>
        </w:rPr>
        <w:t>Erroneous Payment Deficiency Assignment</w:t>
      </w:r>
      <w:r>
        <w:rPr>
          <w:rFonts w:ascii="Times New Roman" w:cs="Times New Roman" w:eastAsia="Times New Roman" w:hAnsi="Times New Roman"/>
          <w:sz w:val="21"/>
          <w:szCs w:val="21"/>
          <w:color w:val="auto"/>
        </w:rPr>
        <w:t>”) plus any accrued and unpaid interest on such assigned amount, without further consent or approval of any party hereto and without any payment by the Administrative Agent or its applicable lending affiliate as the assignee of such Erroneous Payment Deficiency Assignment.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Section 9.07 and (3) the Administrative Agent may reflect such assignments in the Register without further consent or action by any other Person.</w:t>
      </w:r>
    </w:p>
    <w:p>
      <w:pPr>
        <w:spacing w:after="0" w:line="174" w:lineRule="exact"/>
        <w:rPr>
          <w:rFonts w:ascii="Times New Roman" w:cs="Times New Roman" w:eastAsia="Times New Roman" w:hAnsi="Times New Roman"/>
          <w:sz w:val="21"/>
          <w:szCs w:val="21"/>
          <w:color w:val="auto"/>
        </w:rPr>
      </w:pPr>
    </w:p>
    <w:p>
      <w:pPr>
        <w:jc w:val="both"/>
        <w:ind w:firstLine="656"/>
        <w:spacing w:after="0" w:line="248" w:lineRule="auto"/>
        <w:tabs>
          <w:tab w:leader="none" w:pos="1185"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or under the indemnification provisions of this Agreement, (y) the receipt of an Erroneous Payment by a Payment Recipient shall not for the purpose of this Agreement be treated as a payment, prepayment, repayment, discharge or other satisfaction of any Borrower Obligations owed by the Borrower or any other Credit Party, except, in each case, to the extent such Erroneous Payment is, and solely with respect to the amount of such Erroneous Payment that is, comprised of funds received by the Administrative Agent from a Borrower or any other Credit Party for the purpose of making for a payment on the Borrower Obligations and (z) to the extent that an Erroneous Payment was in any way or at any time credited as payment or satisfaction of any of the Borrower Obligations, the Borrower Obligations or any part thereof that were so credited, and all rights of the Payment Recipient, as the case may be, shall be reinstated and continue in full force and effect as if such payment or satisfaction had never been received.</w:t>
      </w:r>
    </w:p>
    <w:p>
      <w:pPr>
        <w:spacing w:after="0" w:line="187" w:lineRule="exact"/>
        <w:rPr>
          <w:rFonts w:ascii="Times New Roman" w:cs="Times New Roman" w:eastAsia="Times New Roman" w:hAnsi="Times New Roman"/>
          <w:sz w:val="22"/>
          <w:szCs w:val="22"/>
          <w:color w:val="auto"/>
        </w:rPr>
      </w:pPr>
    </w:p>
    <w:p>
      <w:pPr>
        <w:ind w:firstLine="656"/>
        <w:spacing w:after="0" w:line="271" w:lineRule="auto"/>
        <w:tabs>
          <w:tab w:leader="none" w:pos="1142"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party’s obligations under this Section 7.11 shall survive the resignation or replacement of the Administrative Agent or any transfer of right or obligations by,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ectPr>
          <w:pgSz w:w="11900" w:h="16838" w:orient="portrait"/>
          <w:cols w:equalWidth="0" w:num="1">
            <w:col w:w="11240"/>
          </w:cols>
          <w:pgMar w:left="320" w:top="1260" w:right="339" w:bottom="1440" w:gutter="0" w:footer="0" w:header="0"/>
        </w:sectPr>
      </w:pPr>
    </w:p>
    <w:bookmarkStart w:id="207" w:name="page208"/>
    <w:bookmarkEnd w:id="207"/>
    <w:p>
      <w:pPr>
        <w:spacing w:after="0" w:line="271" w:lineRule="auto"/>
        <w:rPr>
          <w:sz w:val="20"/>
          <w:szCs w:val="20"/>
          <w:color w:val="auto"/>
        </w:rPr>
      </w:pPr>
      <w:r>
        <w:rPr>
          <w:rFonts w:ascii="Times New Roman" w:cs="Times New Roman" w:eastAsia="Times New Roman" w:hAnsi="Times New Roman"/>
          <w:sz w:val="22"/>
          <w:szCs w:val="22"/>
          <w:color w:val="auto"/>
        </w:rPr>
        <w:t>replacement of, a Lender, the termination of the Commitments or the repayment, satisfaction or discharge of all Borrower Obligations (or any portion thereof) under any Loan Document.</w:t>
      </w:r>
    </w:p>
    <w:p>
      <w:pPr>
        <w:spacing w:after="0" w:line="158" w:lineRule="exact"/>
        <w:rPr>
          <w:sz w:val="20"/>
          <w:szCs w:val="20"/>
          <w:color w:val="auto"/>
        </w:rPr>
      </w:pPr>
    </w:p>
    <w:p>
      <w:pPr>
        <w:ind w:firstLine="656"/>
        <w:spacing w:after="0" w:line="284" w:lineRule="auto"/>
        <w:tabs>
          <w:tab w:leader="none" w:pos="115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Section 7.11 will constitute a waiver or release of any claim of the Administrative Agent hereunder arising from any Payment Recipient’s receipt of an Erroneous Payment.</w:t>
      </w:r>
    </w:p>
    <w:p>
      <w:pPr>
        <w:spacing w:after="0" w:line="144"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7.12.</w:t>
      </w:r>
      <w:r>
        <w:rPr>
          <w:sz w:val="20"/>
          <w:szCs w:val="20"/>
          <w:color w:val="auto"/>
        </w:rPr>
        <w:tab/>
      </w:r>
      <w:r>
        <w:rPr>
          <w:rFonts w:ascii="Times New Roman" w:cs="Times New Roman" w:eastAsia="Times New Roman" w:hAnsi="Times New Roman"/>
          <w:sz w:val="21"/>
          <w:szCs w:val="21"/>
          <w:u w:val="single" w:color="auto"/>
          <w:color w:val="auto"/>
        </w:rPr>
        <w:t>Certain ERISA Matters</w:t>
      </w:r>
      <w:r>
        <w:rPr>
          <w:rFonts w:ascii="Times New Roman" w:cs="Times New Roman" w:eastAsia="Times New Roman" w:hAnsi="Times New Roman"/>
          <w:sz w:val="21"/>
          <w:szCs w:val="21"/>
          <w:color w:val="auto"/>
        </w:rPr>
        <w:t>.</w:t>
      </w:r>
    </w:p>
    <w:p>
      <w:pPr>
        <w:spacing w:after="0" w:line="28" w:lineRule="exact"/>
        <w:rPr>
          <w:sz w:val="20"/>
          <w:szCs w:val="20"/>
          <w:color w:val="auto"/>
        </w:rPr>
      </w:pPr>
    </w:p>
    <w:p>
      <w:pPr>
        <w:jc w:val="both"/>
        <w:ind w:firstLine="656"/>
        <w:spacing w:after="0" w:line="249" w:lineRule="auto"/>
        <w:tabs>
          <w:tab w:leader="none" w:pos="1219" w:val="left"/>
        </w:tabs>
        <w:numPr>
          <w:ilvl w:val="1"/>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the Borrower or any other Credit Party, that at least one of the following is and will be true:</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46" w:val="left"/>
        </w:tabs>
        <w:numPr>
          <w:ilvl w:val="2"/>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is not using “plan assets” (within the meaning of Section 3(42) of ERISA or otherwise for purposes of Title I of ERISA or Section 4975 of the Code) of one or more Benefit Plans with respect to such Lender’s entrance into, participation in, administration of and performance of the Advances, Letters of Credit or the Commitments or this Agreement;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747" w:val="left"/>
        </w:tabs>
        <w:numPr>
          <w:ilvl w:val="2"/>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Section 406 of ERISA and Section 4975 of the Code such Lender’s entrance into, participation in, administration of and performance of the Advances or the Commitments and this Agreement;</w:t>
      </w:r>
    </w:p>
    <w:p>
      <w:pPr>
        <w:spacing w:after="0" w:line="186" w:lineRule="exact"/>
        <w:rPr>
          <w:rFonts w:ascii="Times New Roman" w:cs="Times New Roman" w:eastAsia="Times New Roman" w:hAnsi="Times New Roman"/>
          <w:sz w:val="20"/>
          <w:szCs w:val="20"/>
          <w:color w:val="auto"/>
        </w:rPr>
      </w:pPr>
    </w:p>
    <w:p>
      <w:pPr>
        <w:jc w:val="both"/>
        <w:ind w:left="660" w:firstLine="644"/>
        <w:spacing w:after="0" w:line="250" w:lineRule="auto"/>
        <w:tabs>
          <w:tab w:leader="none" w:pos="1870" w:val="left"/>
        </w:tabs>
        <w:numPr>
          <w:ilvl w:val="2"/>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Advances, the Commitments and this Agreement, (C) the entrance into, participation in, administration of and performance of the Advances,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Advances, the Commitments and this Agreement; or</w:t>
      </w:r>
    </w:p>
    <w:p>
      <w:pPr>
        <w:spacing w:after="0" w:line="186" w:lineRule="exact"/>
        <w:rPr>
          <w:rFonts w:ascii="Times New Roman" w:cs="Times New Roman" w:eastAsia="Times New Roman" w:hAnsi="Times New Roman"/>
          <w:sz w:val="20"/>
          <w:szCs w:val="20"/>
          <w:color w:val="auto"/>
        </w:rPr>
      </w:pPr>
    </w:p>
    <w:p>
      <w:pPr>
        <w:ind w:left="660" w:firstLine="644"/>
        <w:spacing w:after="0" w:line="284" w:lineRule="auto"/>
        <w:tabs>
          <w:tab w:leader="none" w:pos="1859" w:val="left"/>
        </w:tabs>
        <w:numPr>
          <w:ilvl w:val="2"/>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such other representation, warranty and covenant as may be agreed in writing between the Administrative Agent, in its sole discretion, and such Lender.</w:t>
      </w:r>
    </w:p>
    <w:p>
      <w:pPr>
        <w:spacing w:after="0" w:line="143" w:lineRule="exact"/>
        <w:rPr>
          <w:rFonts w:ascii="Times New Roman" w:cs="Times New Roman" w:eastAsia="Times New Roman" w:hAnsi="Times New Roman"/>
          <w:sz w:val="20"/>
          <w:szCs w:val="20"/>
          <w:color w:val="auto"/>
        </w:rPr>
      </w:pPr>
    </w:p>
    <w:p>
      <w:pPr>
        <w:ind w:left="1120" w:hanging="464"/>
        <w:spacing w:after="0"/>
        <w:tabs>
          <w:tab w:leader="none" w:pos="1120" w:val="left"/>
        </w:tabs>
        <w:numPr>
          <w:ilvl w:val="1"/>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unless either (1) sub-clause (i) in the immediately preceding clause (a) is true with respect to a Lender or</w:t>
      </w:r>
    </w:p>
    <w:p>
      <w:pPr>
        <w:spacing w:after="0" w:line="39"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Lender has provided another representation, warranty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94</w:t>
      </w:r>
    </w:p>
    <w:p>
      <w:pPr>
        <w:sectPr>
          <w:pgSz w:w="11900" w:h="16838" w:orient="portrait"/>
          <w:cols w:equalWidth="0" w:num="1">
            <w:col w:w="11240"/>
          </w:cols>
          <w:pgMar w:left="320" w:top="1260" w:right="339" w:bottom="1440" w:gutter="0" w:footer="0" w:header="0"/>
        </w:sectPr>
      </w:pPr>
    </w:p>
    <w:bookmarkStart w:id="208" w:name="page209"/>
    <w:bookmarkEnd w:id="208"/>
    <w:p>
      <w:pPr>
        <w:jc w:val="both"/>
        <w:spacing w:after="0" w:line="249" w:lineRule="auto"/>
        <w:rPr>
          <w:sz w:val="20"/>
          <w:szCs w:val="20"/>
          <w:color w:val="auto"/>
        </w:rPr>
      </w:pPr>
      <w:r>
        <w:rPr>
          <w:rFonts w:ascii="Times New Roman" w:cs="Times New Roman" w:eastAsia="Times New Roman" w:hAnsi="Times New Roman"/>
          <w:sz w:val="22"/>
          <w:szCs w:val="22"/>
          <w:color w:val="auto"/>
        </w:rPr>
        <w:t>covenant in accordance with sub-clause (iv) in the immediately preceding clause (a), such Lender further (x) represents and warrants, as of the date such Person became a Lender party hereto, and (y) covenants, from the date such Person became a Lender party hereto to the date such Person ceases being a Lender party hereto, for the benefit of, the Administrative Agent and its Affiliates, and not, for the avoidance of doubt, to or for the benefit of the Borrower or any other Credit Party, that none of the Administrative Agent and its Affiliates is a fiduciary with respect to the assets of such Lender involved in such Lender’s entrance into, participation in, administration of and performance of the Advances, the Commitments and this Agreement (including in connection with the reservation or exercise of any rights by the Administrative Agent under this Agreement, any Loan Document or any documents related hereto or thereto).</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GUARANTY</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8.01. </w:t>
      </w:r>
      <w:r>
        <w:rPr>
          <w:rFonts w:ascii="Times New Roman" w:cs="Times New Roman" w:eastAsia="Times New Roman" w:hAnsi="Times New Roman"/>
          <w:sz w:val="22"/>
          <w:szCs w:val="22"/>
          <w:u w:val="single" w:color="auto"/>
          <w:color w:val="auto"/>
        </w:rPr>
        <w:t>The Guaranty</w:t>
      </w:r>
      <w:r>
        <w:rPr>
          <w:rFonts w:ascii="Times New Roman" w:cs="Times New Roman" w:eastAsia="Times New Roman" w:hAnsi="Times New Roman"/>
          <w:sz w:val="22"/>
          <w:szCs w:val="22"/>
          <w:color w:val="auto"/>
        </w:rPr>
        <w:t>. In order to induce the Lenders to enter into this Agreement and to extend credit hereunder and in recognition of the direct benefits to be received by the Guarantors from the Advances hereunder, each of the Guarantors and the Company hereby agrees with the Administrative Agent and the Lenders as follows: (a) each Guarantor hereby unconditionally and irrevocably jointly and severally guarantees as primary obligor and not merely as surety the full and prompt payment when due, whether upon maturity, by acceleration or otherwise, of (i) any and all of the Borrower Obligations hereunder and under the other Loan Documents and (ii) the Guaranteed Obligations and (b) the Company hereby unconditionally and irrevocably jointly and severally guarantees as primary obligor and not merely as surety the full and prompt payment when due, whether upon maturity, by acceleration or otherwise, of any and all of (i) the Foreign Borrower Obligations hereunder and under the other Loan Documents and (ii) the Guaranteed Obligations.</w:t>
      </w:r>
    </w:p>
    <w:p>
      <w:pPr>
        <w:spacing w:after="0" w:line="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If any or all of the indebtedness becomes due and payable hereunder, each Guarantor unconditionally promises to pay such indebtedness to the Administrative Agent, the Lenders, or their respective order, on demand, together with any and all reasonable expenses which may be incurred by the Administrative Agent or the Lenders in collecting any of the Borrower Obligations. The Guaranty set forth in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is a guaranty of payment when due and not of collection. The word “indebtedness” is used in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in its most comprehensive sense and includes any and all advances, debts, obligations and liabilities of the Borrowers, including specifically all Borrower Obligations, arising in connection with this Agreement or the other Loan Documents and all Guaranteed Obligations, in each case, heretofore, now, or hereafter made, incurred or created, whether voluntarily or involuntarily, absolute or contingent, liquidated or unliquidated, determined or undetermined, whether or not such indebtedness is from time to time reduced, or extinguished and thereafter increased or incurred, whether any Borrower may be liable individually or jointly with others, whether or not recovery upon such indebtedness may be or hereafter become barred by any statute of limitations, and whether or not such indebtedness may be or hereafter becomes otherwise unenforceable.</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Notwithstanding any provision to the contrary contained herein or in any other of the Loan Documents, to the extent the obligations of a Guarantor shall be adjudicated to be invalid or unenforceable for any reason (including, without limitation, because of any applicable state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ectPr>
          <w:pgSz w:w="11900" w:h="16838" w:orient="portrait"/>
          <w:cols w:equalWidth="0" w:num="1">
            <w:col w:w="11240"/>
          </w:cols>
          <w:pgMar w:left="320" w:top="1260" w:right="339" w:bottom="1440" w:gutter="0" w:footer="0" w:header="0"/>
        </w:sectPr>
      </w:pPr>
    </w:p>
    <w:bookmarkStart w:id="209" w:name="page210"/>
    <w:bookmarkEnd w:id="209"/>
    <w:p>
      <w:pPr>
        <w:jc w:val="both"/>
        <w:spacing w:after="0" w:line="257" w:lineRule="auto"/>
        <w:rPr>
          <w:sz w:val="20"/>
          <w:szCs w:val="20"/>
          <w:color w:val="auto"/>
        </w:rPr>
      </w:pPr>
      <w:r>
        <w:rPr>
          <w:rFonts w:ascii="Times New Roman" w:cs="Times New Roman" w:eastAsia="Times New Roman" w:hAnsi="Times New Roman"/>
          <w:sz w:val="22"/>
          <w:szCs w:val="22"/>
          <w:color w:val="auto"/>
        </w:rPr>
        <w:t>federal law relating to fraudulent conveyances or transfers) then the obligations of each such Guarantor hereunder shall be limited to the maximum amount that is permissible under Applicable Law (whether federal or state and including, without limitation, the Bankruptcy Code).</w:t>
      </w:r>
    </w:p>
    <w:p>
      <w:pPr>
        <w:spacing w:after="0" w:line="18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8.02. </w:t>
      </w:r>
      <w:r>
        <w:rPr>
          <w:rFonts w:ascii="Times New Roman" w:cs="Times New Roman" w:eastAsia="Times New Roman" w:hAnsi="Times New Roman"/>
          <w:sz w:val="22"/>
          <w:szCs w:val="22"/>
          <w:u w:val="single" w:color="auto"/>
          <w:color w:val="auto"/>
        </w:rPr>
        <w:t>Bankruptcy</w:t>
      </w:r>
      <w:r>
        <w:rPr>
          <w:rFonts w:ascii="Times New Roman" w:cs="Times New Roman" w:eastAsia="Times New Roman" w:hAnsi="Times New Roman"/>
          <w:sz w:val="22"/>
          <w:szCs w:val="22"/>
          <w:color w:val="auto"/>
        </w:rPr>
        <w:t>. Additionally: (a) each of the Guarantors unconditionally and irrevocably guarantees jointly and severally the payment of any and all Borrower Obligations of any Borrower and the Guaranteed Obligations to the Lenders whether or not due or payable by any Borrower or any other Credit Party upon the occurrence of any bankruptcy, reorganization, arrangement, moratorium or other proceeding or procedure under any Debtor Relief Law and unconditionally promises to pay such Borrower Obligations and such Guaranteed Obligations to the Administrative Agent for the account of the Lenders, or order, on demand, in lawful money of the United States, and (b) the Company unconditionally and irrevocably guarantees jointly and severally the payment of any and all Foreign Borrower Obligations of any Foreign Borrower and the Guaranteed Obligations to the Lenders whether or not due or payable by any Foreign Borrower or any other Credit Party upon the occurrence of any bankruptcy, reorganization, arrangement, moratorium or other proceeding or procedure under any Debtor Relief Law and unconditionally promises to pay such Foreign Borrower Obligations and the Guaranteed Obligations to the Administrative Agent for the account of the Lenders, or order, on demand, in lawful money of the United States. Each of the Guarantors further agrees that to the extent that any Borrower or a Guarantor shall make a payment or a transfer of an interest in any property to the Administrative Agent or any Lender, which payment or transfer or any part thereof is subsequently invalidated, declared to be fraudulent or preferential, or otherwise is avoided, and/or required to be repaid to any Borrower or a Guarantor, the estate of any Borrower or a Guarantor, a trustee, receiver or any other party under any Debtor Relief Laws, state or federal law, common law or equitable cause, then to the extent of such avoidance or repayment, the obligation or part thereof intended to be satisfied shall be revived and continued in full force and effect as if said payment had not been made.</w:t>
      </w:r>
    </w:p>
    <w:p>
      <w:pPr>
        <w:spacing w:after="0" w:line="1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For the avoidance of doubt, no Foreign Borrower shall guaranty or be liable for any Borrower Obligations of the Company, any of its Domestic Subsidiaries or any other Foreign Borrower.</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SECTION 8.03. </w:t>
      </w:r>
      <w:r>
        <w:rPr>
          <w:rFonts w:ascii="Times New Roman" w:cs="Times New Roman" w:eastAsia="Times New Roman" w:hAnsi="Times New Roman"/>
          <w:sz w:val="21"/>
          <w:szCs w:val="21"/>
          <w:u w:val="single" w:color="auto"/>
          <w:color w:val="auto"/>
        </w:rPr>
        <w:t>Nature of Liability</w:t>
      </w:r>
      <w:r>
        <w:rPr>
          <w:rFonts w:ascii="Times New Roman" w:cs="Times New Roman" w:eastAsia="Times New Roman" w:hAnsi="Times New Roman"/>
          <w:sz w:val="21"/>
          <w:szCs w:val="21"/>
          <w:color w:val="auto"/>
        </w:rPr>
        <w:t>. The liability of each Guarantor hereunder is exclusive and independent of any security for or other guaranty of the relevant Borrower Obligations whether executed by any such Guarantor, any other guarantor or by any other party, and no Guarantor’s liability hereunder shall be affected or impaired by (a) any direction as to application of payment by any Borrower or by any other party, or (b) any other continuing or other guaranty, undertaking or maximum liability of a guarantor or of any other party as to the Borrower Obligations, or (c) any payment on or in reduction of any such other guaranty or undertaking, or (d) any dissolution, termination or increase, decrease or change in personnel by any Borrower, or</w:t>
      </w:r>
    </w:p>
    <w:p>
      <w:pPr>
        <w:spacing w:after="0" w:line="1" w:lineRule="exact"/>
        <w:rPr>
          <w:sz w:val="20"/>
          <w:szCs w:val="20"/>
          <w:color w:val="auto"/>
        </w:rPr>
      </w:pPr>
    </w:p>
    <w:p>
      <w:pPr>
        <w:jc w:val="both"/>
        <w:ind w:firstLine="8"/>
        <w:spacing w:after="0" w:line="249" w:lineRule="auto"/>
        <w:tabs>
          <w:tab w:leader="none" w:pos="362"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made to the Administrative Agent or the Lenders on the applicable Borrower Obligations which the Administrative Agent or such Lenders provides to any Borrower pursuant to court order in any bankruptcy, reorganization, arrangement, moratorium or other debtor relief proceeding, and each of the Guarantors waives any right to the deferral or modification of its obligations hereunder by reason of any such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ectPr>
          <w:pgSz w:w="11900" w:h="16838" w:orient="portrait"/>
          <w:cols w:equalWidth="0" w:num="1">
            <w:col w:w="11240"/>
          </w:cols>
          <w:pgMar w:left="320" w:top="1260" w:right="339" w:bottom="1440" w:gutter="0" w:footer="0" w:header="0"/>
        </w:sectPr>
      </w:pPr>
    </w:p>
    <w:bookmarkStart w:id="210" w:name="page211"/>
    <w:bookmarkEnd w:id="210"/>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8.04. </w:t>
      </w:r>
      <w:r>
        <w:rPr>
          <w:rFonts w:ascii="Times New Roman" w:cs="Times New Roman" w:eastAsia="Times New Roman" w:hAnsi="Times New Roman"/>
          <w:sz w:val="22"/>
          <w:szCs w:val="22"/>
          <w:u w:val="single" w:color="auto"/>
          <w:color w:val="auto"/>
        </w:rPr>
        <w:t>Independent Obligation</w:t>
      </w:r>
      <w:r>
        <w:rPr>
          <w:rFonts w:ascii="Times New Roman" w:cs="Times New Roman" w:eastAsia="Times New Roman" w:hAnsi="Times New Roman"/>
          <w:sz w:val="22"/>
          <w:szCs w:val="22"/>
          <w:color w:val="auto"/>
        </w:rPr>
        <w:t>. The obligations of each Guarantor hereunder are independent of the obligations of any other Guarantor or any applicable Borrower, and a separate action or actions may be brought and prosecuted against each Guarantor whether or not action is brought against any other Guarantor or any applicable Borrower and whether or not any other Guarantor or any other Borrower is joined in any such action or actions.</w:t>
      </w:r>
    </w:p>
    <w:p>
      <w:pPr>
        <w:spacing w:after="0" w:line="17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8.05. </w:t>
      </w:r>
      <w:r>
        <w:rPr>
          <w:rFonts w:ascii="Times New Roman" w:cs="Times New Roman" w:eastAsia="Times New Roman" w:hAnsi="Times New Roman"/>
          <w:sz w:val="22"/>
          <w:szCs w:val="22"/>
          <w:u w:val="single" w:color="auto"/>
          <w:color w:val="auto"/>
        </w:rPr>
        <w:t>Authorization</w:t>
      </w:r>
      <w:r>
        <w:rPr>
          <w:rFonts w:ascii="Times New Roman" w:cs="Times New Roman" w:eastAsia="Times New Roman" w:hAnsi="Times New Roman"/>
          <w:sz w:val="22"/>
          <w:szCs w:val="22"/>
          <w:color w:val="auto"/>
        </w:rPr>
        <w:t>. Each of the Guarantors authorizes the Administrative Agent, each Lender without notice or demand (except as shall be required by applicable statute and cannot be waived), and without affecting or impairing its liability hereunder, from time to time to (a) renew, compromise, extend, increase, accelerate or otherwise change the time for payment of, or otherwise change the terms of the Borrower Obligations, the Foreign Borrower Obligations or any part thereof in accordance with this Agreement, including any increase or decrease of the rate of interest thereon, (b) take and hold security from any Guarantor or any other party for the payment of this Guaranty, the Borrower Obligations or the Foreign Borrower Obligations and exchange, enforce waive and release any such security, (c) apply such security and direct the order or manner of sale thereof as the Administrative Agent and the Lenders in their discretion may determine and (d) release or substitute any one or more endorsers, Guarantors, Borrowers or other obligors.</w:t>
      </w:r>
    </w:p>
    <w:p>
      <w:pPr>
        <w:spacing w:after="0" w:line="239"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8.06. </w:t>
      </w:r>
      <w:r>
        <w:rPr>
          <w:rFonts w:ascii="Times New Roman" w:cs="Times New Roman" w:eastAsia="Times New Roman" w:hAnsi="Times New Roman"/>
          <w:sz w:val="22"/>
          <w:szCs w:val="22"/>
          <w:u w:val="single" w:color="auto"/>
          <w:color w:val="auto"/>
        </w:rPr>
        <w:t>Reliance</w:t>
      </w:r>
      <w:r>
        <w:rPr>
          <w:rFonts w:ascii="Times New Roman" w:cs="Times New Roman" w:eastAsia="Times New Roman" w:hAnsi="Times New Roman"/>
          <w:sz w:val="22"/>
          <w:szCs w:val="22"/>
          <w:color w:val="auto"/>
        </w:rPr>
        <w:t>. It is not necessary for the Administrative Agent or the Lenders to inquire into the capacity or powers of any Borrower or the officers, directors, members, partners or agents acting or purporting to act on its behalf, and any Borrower Obligations made or created in reliance upon the professed exercise of such powers shall be guaranteed hereunder.</w:t>
      </w:r>
    </w:p>
    <w:p>
      <w:pPr>
        <w:spacing w:after="0" w:line="167"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8.07.</w:t>
      </w:r>
      <w:r>
        <w:rPr>
          <w:sz w:val="20"/>
          <w:szCs w:val="20"/>
          <w:color w:val="auto"/>
        </w:rPr>
        <w:tab/>
      </w:r>
      <w:r>
        <w:rPr>
          <w:rFonts w:ascii="Times New Roman" w:cs="Times New Roman" w:eastAsia="Times New Roman" w:hAnsi="Times New Roman"/>
          <w:sz w:val="21"/>
          <w:szCs w:val="21"/>
          <w:u w:val="single" w:color="auto"/>
          <w:color w:val="auto"/>
        </w:rPr>
        <w:t>Waiver</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56"/>
        <w:spacing w:after="0" w:line="255" w:lineRule="auto"/>
        <w:tabs>
          <w:tab w:leader="none" w:pos="1134"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Guarantors waives any right (except as shall be required by applicable statute and cannot be waived) to require the Administrative Agent or any Lender to (i) proceed against any Borrower, any other guarantor or any other party,</w:t>
      </w:r>
    </w:p>
    <w:p>
      <w:pPr>
        <w:spacing w:after="0" w:line="1" w:lineRule="exact"/>
        <w:rPr>
          <w:rFonts w:ascii="Times New Roman" w:cs="Times New Roman" w:eastAsia="Times New Roman" w:hAnsi="Times New Roman"/>
          <w:sz w:val="22"/>
          <w:szCs w:val="22"/>
          <w:color w:val="auto"/>
        </w:rPr>
      </w:pPr>
    </w:p>
    <w:p>
      <w:pPr>
        <w:jc w:val="both"/>
        <w:ind w:firstLine="8"/>
        <w:spacing w:after="0" w:line="246" w:lineRule="auto"/>
        <w:tabs>
          <w:tab w:leader="none" w:pos="333"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proceed against or exhaust any security held from any Borrower, any other guarantor or any other party, or (iii) pursue any other remedy in the Administrative Agent’s or any Lender’s rights whatsoever. Each of the Guarantors waives any defense based on or arising out of any defense of any Borrower, any other guarantor or any other party other than payment in full of the Borrower Obligations or the Foreign Borrower Obligations, as applicable (other than, in either case, contingent indemnification obligations for which no claim has been made or cannot be reasonably identified by an Indemnified Party based on the then-known facts and circumstances), including, without limitation, any defense based on or arising out of the disability of any Borrower, any other guarantor or any other party, or the unenforceability of the Borrower Obligations or the Foreign Borrower Obligations, as applicable, or any part thereof from any cause, or the cessation from any cause of the liability of any Borrower other than payment in full of the Borrower Obligations or the Foreign Borrower Obligations, as applicable. The Administrative Agent may, at its election, exercise any right or remedy the Administrative Agent or any Lender may have against any Borrower or any other party without affecting or impairing in any way the liability of any Guarantor hereunder except to the extent the Borrower Obligations or the Foreign Borrower Obligations, as applicable, have been paid in full and the Commitments have been terminated. Each of the Guarantors waives any defense arising out of any such election by the Administrative Agent or any of the Lenders, even though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ectPr>
          <w:pgSz w:w="11900" w:h="16838" w:orient="portrait"/>
          <w:cols w:equalWidth="0" w:num="1">
            <w:col w:w="11240"/>
          </w:cols>
          <w:pgMar w:left="320" w:top="1260" w:right="339" w:bottom="1440" w:gutter="0" w:footer="0" w:header="0"/>
        </w:sectPr>
      </w:pPr>
    </w:p>
    <w:bookmarkStart w:id="211" w:name="page212"/>
    <w:bookmarkEnd w:id="211"/>
    <w:p>
      <w:pPr>
        <w:spacing w:after="0" w:line="271" w:lineRule="auto"/>
        <w:rPr>
          <w:sz w:val="20"/>
          <w:szCs w:val="20"/>
          <w:color w:val="auto"/>
        </w:rPr>
      </w:pPr>
      <w:r>
        <w:rPr>
          <w:rFonts w:ascii="Times New Roman" w:cs="Times New Roman" w:eastAsia="Times New Roman" w:hAnsi="Times New Roman"/>
          <w:sz w:val="22"/>
          <w:szCs w:val="22"/>
          <w:color w:val="auto"/>
        </w:rPr>
        <w:t>election operates to impair or extinguish any right of reimbursement or subrogation or other right or remedy of the Guarantors against any Borrower or any other party.</w:t>
      </w:r>
    </w:p>
    <w:p>
      <w:pPr>
        <w:spacing w:after="0" w:line="104" w:lineRule="exact"/>
        <w:rPr>
          <w:sz w:val="20"/>
          <w:szCs w:val="20"/>
          <w:color w:val="auto"/>
        </w:rPr>
      </w:pPr>
    </w:p>
    <w:p>
      <w:pPr>
        <w:jc w:val="both"/>
        <w:ind w:firstLine="656"/>
        <w:spacing w:after="0" w:line="250" w:lineRule="auto"/>
        <w:tabs>
          <w:tab w:leader="none" w:pos="1152"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Guarantors waives all presentments, demands for performance, protests and notices, including, without limitation, notices of nonperformance, notice of protest, notices of dishonor, notices of acceptance of this Guaranty, and notices of the existence, creation or incurring of new or additional Borrower Obligations or the Foreign Borrower Obligations, as applicable. Each Guarantor assumes all responsibility for being and keeping itself informed of the financial condition and assets, and of all other circumstances bearing upon the risk of nonpayment of the Borrower Obligations or the Foreign Borrower Obligations, as applicable, and the nature, scope and extent of the risks which such Guarantor assumes and incurs hereunder, and agrees that neither the Administrative Agent nor any Lender shall have any duty to advise such Guarantor of information known to it regarding such circumstances or risks.</w:t>
      </w:r>
    </w:p>
    <w:p>
      <w:pPr>
        <w:spacing w:after="0" w:line="186" w:lineRule="exact"/>
        <w:rPr>
          <w:rFonts w:ascii="Times New Roman" w:cs="Times New Roman" w:eastAsia="Times New Roman" w:hAnsi="Times New Roman"/>
          <w:sz w:val="22"/>
          <w:szCs w:val="22"/>
          <w:color w:val="auto"/>
        </w:rPr>
      </w:pPr>
    </w:p>
    <w:p>
      <w:pPr>
        <w:jc w:val="both"/>
        <w:ind w:firstLine="656"/>
        <w:spacing w:after="0" w:line="260" w:lineRule="auto"/>
        <w:tabs>
          <w:tab w:leader="none" w:pos="1245"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Guarantors hereby agrees it will not exercise any rights of subrogation which it may at any time otherwise have as a result of this Guaranty (whether contractual, under Section 509 of the Bankruptcy Code, or otherwise) to the claims of the Lenders against any Borrower or any other guarantor of the Borrower Obligations or the Foreign Borrower Obligations, as applicable, owing to the Lenders (collectively, the “</w:t>
      </w:r>
      <w:r>
        <w:rPr>
          <w:rFonts w:ascii="Times New Roman" w:cs="Times New Roman" w:eastAsia="Times New Roman" w:hAnsi="Times New Roman"/>
          <w:sz w:val="21"/>
          <w:szCs w:val="21"/>
          <w:u w:val="single" w:color="auto"/>
          <w:color w:val="auto"/>
        </w:rPr>
        <w:t>Other Parties</w:t>
      </w:r>
      <w:r>
        <w:rPr>
          <w:rFonts w:ascii="Times New Roman" w:cs="Times New Roman" w:eastAsia="Times New Roman" w:hAnsi="Times New Roman"/>
          <w:sz w:val="21"/>
          <w:szCs w:val="21"/>
          <w:color w:val="auto"/>
        </w:rPr>
        <w:t>”) and all contractual, statutory or common law rights of reimbursement, contribution or indemnity from any Other Party which it may at any time otherwise have as a result of this Guaranty until such time as the Borrower Obligations or the Foreign Borrower Obligations, as applicable, shall have been paid in full and the Commitments have been terminated. Each of the Guarantors hereby further agrees not to exercise any right to enforce any other remedy which the Administrative Agent, the Lenders now have or may hereafter have against any Other Party, any endorser or any other guarantor of all or any part of the Borrower Obligations or the Foreign Borrower Obligations, as applicable, and any benefit of, and any right to participate in, any security or collateral given to or for the benefit of the Lenders to secure payment of the Borrower Obligations or the Foreign Borrower Obligations, as applicable, until such time as the Borrower Obligations or the Foreign Borrower Obligations, as applicable (other than, in either case, contingent indemnification obligations for which no claim has been made or cannot be reasonably identified by an Indemnified Party based on the then-known facts and circumstances) shall have been paid in full and the Commitments have been terminated.</w:t>
      </w:r>
    </w:p>
    <w:p>
      <w:pPr>
        <w:spacing w:after="0" w:line="18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8.08. </w:t>
      </w:r>
      <w:r>
        <w:rPr>
          <w:rFonts w:ascii="Times New Roman" w:cs="Times New Roman" w:eastAsia="Times New Roman" w:hAnsi="Times New Roman"/>
          <w:sz w:val="22"/>
          <w:szCs w:val="22"/>
          <w:u w:val="single" w:color="auto"/>
          <w:color w:val="auto"/>
        </w:rPr>
        <w:t>Limitation on Enforcement</w:t>
      </w:r>
      <w:r>
        <w:rPr>
          <w:rFonts w:ascii="Times New Roman" w:cs="Times New Roman" w:eastAsia="Times New Roman" w:hAnsi="Times New Roman"/>
          <w:sz w:val="22"/>
          <w:szCs w:val="22"/>
          <w:color w:val="auto"/>
        </w:rPr>
        <w:t>. The Lenders agree that this Guaranty may be enforced only by the action of the Administrative Agent acting upon the instructions of the Required Lenders and that no Lender or any other Person shall have any right individually to seek to enforce or to enforce this Guaranty, it being understood and agreed that such rights and remedies may be exercised by the Administrative Agent for the benefit of the Lenders under the terms of this Agreement. The Lenders further agree that this Guaranty may not be enforced against any director, officer, employee or stockholder of the Guarantors.</w:t>
      </w:r>
    </w:p>
    <w:p>
      <w:pPr>
        <w:spacing w:after="0" w:line="14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8.09. </w:t>
      </w:r>
      <w:r>
        <w:rPr>
          <w:rFonts w:ascii="Times New Roman" w:cs="Times New Roman" w:eastAsia="Times New Roman" w:hAnsi="Times New Roman"/>
          <w:sz w:val="22"/>
          <w:szCs w:val="22"/>
          <w:u w:val="single" w:color="auto"/>
          <w:color w:val="auto"/>
        </w:rPr>
        <w:t>Confirmation of Payment</w:t>
      </w:r>
      <w:r>
        <w:rPr>
          <w:rFonts w:ascii="Times New Roman" w:cs="Times New Roman" w:eastAsia="Times New Roman" w:hAnsi="Times New Roman"/>
          <w:sz w:val="22"/>
          <w:szCs w:val="22"/>
          <w:color w:val="auto"/>
        </w:rPr>
        <w:t>. The Administrative Agent and the Lenders will, upon request after payment of the Borrower Obligations which are the subject of this Guaranty and termination of the Commitments relating thereto, confirm to the Company, the Guarantors or any other Person that such indebtedness and obligations have been paid and the Commitments relating thereto terminated, subject to the provisions of Section 8.02.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ectPr>
          <w:pgSz w:w="11900" w:h="16838" w:orient="portrait"/>
          <w:cols w:equalWidth="0" w:num="1">
            <w:col w:w="11240"/>
          </w:cols>
          <w:pgMar w:left="320" w:top="1260" w:right="339" w:bottom="1440" w:gutter="0" w:footer="0" w:header="0"/>
        </w:sectPr>
      </w:pPr>
    </w:p>
    <w:bookmarkStart w:id="212" w:name="page213"/>
    <w:bookmarkEnd w:id="212"/>
    <w:p>
      <w:pPr>
        <w:jc w:val="center"/>
        <w:spacing w:after="0"/>
        <w:rPr>
          <w:sz w:val="20"/>
          <w:szCs w:val="20"/>
          <w:color w:val="auto"/>
        </w:rPr>
      </w:pPr>
      <w:r>
        <w:rPr>
          <w:rFonts w:ascii="Times New Roman" w:cs="Times New Roman" w:eastAsia="Times New Roman" w:hAnsi="Times New Roman"/>
          <w:sz w:val="22"/>
          <w:szCs w:val="22"/>
          <w:color w:val="auto"/>
        </w:rPr>
        <w:t>ARTICLE IX</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MISCELLANEOUS</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9.01. </w:t>
      </w:r>
      <w:r>
        <w:rPr>
          <w:rFonts w:ascii="Times New Roman" w:cs="Times New Roman" w:eastAsia="Times New Roman" w:hAnsi="Times New Roman"/>
          <w:sz w:val="22"/>
          <w:szCs w:val="22"/>
          <w:u w:val="single" w:color="auto"/>
          <w:color w:val="auto"/>
        </w:rPr>
        <w:t>Amendments, Etc.</w:t>
      </w:r>
      <w:r>
        <w:rPr>
          <w:rFonts w:ascii="Times New Roman" w:cs="Times New Roman" w:eastAsia="Times New Roman" w:hAnsi="Times New Roman"/>
          <w:sz w:val="22"/>
          <w:szCs w:val="22"/>
          <w:color w:val="auto"/>
        </w:rPr>
        <w:t xml:space="preserve"> No amendment or waiver of any provision of any Loan Documents, nor consent to any departure by the Borrowers therefrom, shall in any event be effective unless the same shall be in writing and signed by the Required Lenders, and then such waiver or consent shall be effective only in the specific instance and for the specific purpose for which given;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 no amendment, waiver or consent shall, unless in writing and signed by all the Lenders, do any of the following: (i) [reserved], (ii) change the percentage of the Commitments or of the aggregate unpaid principal amount of the Advances that shall be required for the Lenders or any of them to take any action hereunder (including the definition of “Required Lenders”), (iii) amend this Section 9.01, (iv) release (A) all of the Guarantors or (B) Guarantors comprising substantially all of the credit support for the Borrower Obligations, in any case, from the Guaranty hereunder (other than as authorized in Section 7.10), without the written consent of each Lender, (v) change any pro rata payment provisions, including as provided in Section 2.15, or order of application of payments required by Section 9.21, (vi) amend the definition of “Foreign Currency” or (vii) change any other provision of any Loan Document specifying the number or percentage of Lenders required to amend, waive or otherwise modify any rights hereunder or thereunder or make any determination or grant any consent hereunder without the written consent of each Lender; and (b) no amendment, waiver or consent shall, unless in writing and signed by each Lender directly and adversely affected thereby, do any of the following: (i) increase or extend the Commitments of such Lender, (ii) reduce the principal of, or interest on, the Advances or Reimbursement Obligations or any fees or other amounts payable to such Lender hereunder or (iii) postpone any date fixed for any payment of principal of, or interest on, the Advances or Reimbursement Obligations or any fees or other amounts payable to such Lender hereunder,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(i) no amendment, waiver or consent shall, unless in writing and signed by the Administrative Agent in addition to the Lenders required above to take such action, affect the rights or duties of the Administrative Agent under this Agreement or any other Loan Document and (ii) no amendment, waiver or consent shall, unless in writing and signed by the applicable Issuing Lender in addition to the Lenders required above to take such action, affect the rights or duties of such Issuing Lender under this Agreement or any other Loan Document. The Administrative Agent and the Borrowers may, without the consent of any Lender, enter into amendments or modifications of this Agreement or any other Loan Document as the Administrative Agent deems reasonably appropriate in order to implement (1) the terms of Section 2.20 in accordance with the terms of Section 2.20 and (2) the terms related to a new Foreign Borrower contemplated by Section 5.01(j)(ii). Each Letter of Credit Document and each cash collateral agreement or other document entered into in connection with an Extended Letter of Credit may be amended, or rights or privileges thereunder waived, in a writing executed only by the parties thereto; provided that a copy of such amended Letter of Credit Document, cash collateral agreement or other document, as the case may be, shall be promptly delivered to the Administrative Agent upon such amendment or waiver.</w:t>
      </w:r>
    </w:p>
    <w:p>
      <w:pPr>
        <w:spacing w:after="0" w:line="13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9.02. </w:t>
      </w:r>
      <w:r>
        <w:rPr>
          <w:rFonts w:ascii="Times New Roman" w:cs="Times New Roman" w:eastAsia="Times New Roman" w:hAnsi="Times New Roman"/>
          <w:sz w:val="22"/>
          <w:szCs w:val="22"/>
          <w:u w:val="single" w:color="auto"/>
          <w:color w:val="auto"/>
        </w:rPr>
        <w:t>Notices, Etc.</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Notices Generally</w:t>
      </w:r>
      <w:r>
        <w:rPr>
          <w:rFonts w:ascii="Times New Roman" w:cs="Times New Roman" w:eastAsia="Times New Roman" w:hAnsi="Times New Roman"/>
          <w:sz w:val="22"/>
          <w:szCs w:val="22"/>
          <w:color w:val="auto"/>
        </w:rPr>
        <w:t>. Except in the case of notices and other communications expressly permitted to be given by telephone (and except as provided in paragraph (b) below), all notices and other communications provided for herein shall be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ectPr>
          <w:pgSz w:w="11900" w:h="16838" w:orient="portrait"/>
          <w:cols w:equalWidth="0" w:num="1">
            <w:col w:w="11240"/>
          </w:cols>
          <w:pgMar w:left="320" w:top="1260" w:right="3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21"/>
          <w:szCs w:val="21"/>
          <w:color w:val="auto"/>
        </w:rPr>
        <w:t>and shall be delivered by hand or overnight courier service, mailed by certified or registered mail or sent by facsimile as follows:</w:t>
      </w:r>
    </w:p>
    <w:p>
      <w:pPr>
        <w:spacing w:after="0" w:line="177" w:lineRule="exact"/>
        <w:rPr>
          <w:sz w:val="20"/>
          <w:szCs w:val="20"/>
          <w:color w:val="auto"/>
        </w:rPr>
      </w:pPr>
    </w:p>
    <w:p>
      <w:pPr>
        <w:jc w:val="both"/>
        <w:ind w:left="660" w:firstLine="644"/>
        <w:spacing w:after="0" w:line="263" w:lineRule="auto"/>
        <w:tabs>
          <w:tab w:leader="none" w:pos="1779" w:val="left"/>
        </w:tabs>
        <w:numPr>
          <w:ilvl w:val="1"/>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or any other Credit Party, to it at Graham Holdings Company, 1812 North Moore Street, Suite 2100, Arlington, VA 22209, Attention of Treasury Department (Telephone No. 703-345-6251; email: treasury@ghco.com);</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66" w:lineRule="auto"/>
        <w:tabs>
          <w:tab w:leader="none" w:pos="1813" w:val="left"/>
        </w:tabs>
        <w:numPr>
          <w:ilvl w:val="1"/>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Administrative Agent, to Wells Fargo Bank, National Association, as Administrative Agent at 1525 W. W.T. Harris Blvd., 1st Floor, Charlotte, NC 28262-8522, with a copy to Wells Fargo Bank, National Association, 3 Bethesda Metro Center,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Bethesda, MD 20814, Attention of Katherine Marcotte; and</w:t>
      </w:r>
    </w:p>
    <w:p>
      <w:pPr>
        <w:spacing w:after="0" w:line="67"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1"/>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 Lender, to it at its address (or facsimile number) set forth in its Administrative Questionnaire.</w:t>
      </w:r>
    </w:p>
    <w:p>
      <w:pPr>
        <w:spacing w:after="0" w:line="2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w:t>
      </w:r>
    </w:p>
    <w:p>
      <w:pPr>
        <w:spacing w:after="0" w:line="181" w:lineRule="exact"/>
        <w:rPr>
          <w:sz w:val="20"/>
          <w:szCs w:val="20"/>
          <w:color w:val="auto"/>
        </w:rPr>
      </w:pPr>
    </w:p>
    <w:p>
      <w:pPr>
        <w:jc w:val="both"/>
        <w:ind w:firstLine="656"/>
        <w:spacing w:after="0" w:line="252" w:lineRule="auto"/>
        <w:tabs>
          <w:tab w:leader="none" w:pos="1251"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Communications</w:t>
      </w:r>
      <w:r>
        <w:rPr>
          <w:rFonts w:ascii="Times New Roman" w:cs="Times New Roman" w:eastAsia="Times New Roman" w:hAnsi="Times New Roman"/>
          <w:sz w:val="22"/>
          <w:szCs w:val="22"/>
          <w:color w:val="auto"/>
        </w:rPr>
        <w:t xml:space="preserve">. Notices and other communications to the Lenders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apply to notices to any Lender pursuant to Article II if such Lender has notified the Administrative Agent that it is incapable of receiving notices under such Article by electronic communication. The Administrative Agent or the Company, on or behalf of itself or any other Credit Party, may, in its discretion, agree to accept notices and other communications to it hereunder by electronic communications pursuant to procedures approved by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approval of such procedures may be limited to particular notices or communications.</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2" w:lineRule="exact"/>
        <w:rPr>
          <w:sz w:val="20"/>
          <w:szCs w:val="20"/>
          <w:color w:val="auto"/>
        </w:rPr>
      </w:pPr>
    </w:p>
    <w:p>
      <w:pPr>
        <w:ind w:firstLine="656"/>
        <w:spacing w:after="0" w:line="271" w:lineRule="auto"/>
        <w:tabs>
          <w:tab w:leader="none" w:pos="1252"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Address, Etc.</w:t>
      </w:r>
      <w:r>
        <w:rPr>
          <w:rFonts w:ascii="Times New Roman" w:cs="Times New Roman" w:eastAsia="Times New Roman" w:hAnsi="Times New Roman"/>
          <w:sz w:val="22"/>
          <w:szCs w:val="22"/>
          <w:color w:val="auto"/>
        </w:rPr>
        <w:t xml:space="preserve"> Any party hereto may change its address or facsimile number for notices and other communications hereunder by notice to the other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ectPr>
          <w:pgSz w:w="11900" w:h="16838" w:orient="portrait"/>
          <w:cols w:equalWidth="0" w:num="1">
            <w:col w:w="11240"/>
          </w:cols>
          <w:pgMar w:left="320" w:top="1260" w:right="339" w:bottom="1440" w:gutter="0" w:footer="0" w:header="0"/>
        </w:sectPr>
      </w:pPr>
    </w:p>
    <w:bookmarkStart w:id="214" w:name="page215"/>
    <w:bookmarkEnd w:id="214"/>
    <w:p>
      <w:pPr>
        <w:ind w:left="1120" w:hanging="464"/>
        <w:spacing w:after="0"/>
        <w:tabs>
          <w:tab w:leader="none" w:pos="1120"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85" w:val="left"/>
        </w:tabs>
        <w:numPr>
          <w:ilvl w:val="1"/>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agree that the Administrative Agent may, but shall not be obligated to, make the Communications (as defined below) available to the Lenders by posting the Communications on Debt Domain, Intralinks, Syndtrak or a substantially similar electronic transmission system (the “</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61" w:lineRule="auto"/>
        <w:tabs>
          <w:tab w:leader="none" w:pos="1799" w:val="left"/>
        </w:tabs>
        <w:numPr>
          <w:ilvl w:val="1"/>
          <w:numId w:val="2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 w:cs="Times New Roman" w:eastAsia="Times New Roman" w:hAnsi="Times New Roman"/>
          <w:sz w:val="21"/>
          <w:szCs w:val="21"/>
          <w:u w:val="single" w:color="auto"/>
          <w:color w:val="auto"/>
        </w:rPr>
        <w:t>Agent Parties</w:t>
      </w:r>
      <w:r>
        <w:rPr>
          <w:rFonts w:ascii="Times New Roman" w:cs="Times New Roman" w:eastAsia="Times New Roman" w:hAnsi="Times New Roman"/>
          <w:sz w:val="21"/>
          <w:szCs w:val="21"/>
          <w:color w:val="auto"/>
        </w:rPr>
        <w:t>”) have any liability to Borrowers, any Lender or any other Person or entity for damages of any kind, including, without limitation, direct or indirect, special, incidental or consequential damages, losses or expenses (whether in tort, contract or otherwise) arising out of any Borrowers’ or the Administrative Agent’s transmission of communications through the Platform. “</w:t>
      </w:r>
      <w:r>
        <w:rPr>
          <w:rFonts w:ascii="Times New Roman" w:cs="Times New Roman" w:eastAsia="Times New Roman" w:hAnsi="Times New Roman"/>
          <w:sz w:val="21"/>
          <w:szCs w:val="21"/>
          <w:u w:val="single" w:color="auto"/>
          <w:color w:val="auto"/>
        </w:rPr>
        <w:t>Communications</w:t>
      </w:r>
      <w:r>
        <w:rPr>
          <w:rFonts w:ascii="Times New Roman" w:cs="Times New Roman" w:eastAsia="Times New Roman" w:hAnsi="Times New Roman"/>
          <w:sz w:val="21"/>
          <w:szCs w:val="21"/>
          <w:color w:val="auto"/>
        </w:rPr>
        <w:t>” means, collectively, any notice, demand, communication, information, document or other material that any Borrower provides to the Administrative Agent pursuant to any Loan Document or the transactions contemplated therein which is distributed to the Administrative Agent or any Lender by means of electronic communications pursuant to this Section, including through the Platform.</w:t>
      </w:r>
    </w:p>
    <w:p>
      <w:pPr>
        <w:spacing w:after="0" w:line="170"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9.03.</w:t>
      </w:r>
      <w:r>
        <w:rPr>
          <w:sz w:val="20"/>
          <w:szCs w:val="20"/>
          <w:color w:val="auto"/>
        </w:rPr>
        <w:tab/>
      </w:r>
      <w:r>
        <w:rPr>
          <w:rFonts w:ascii="Times New Roman" w:cs="Times New Roman" w:eastAsia="Times New Roman" w:hAnsi="Times New Roman"/>
          <w:sz w:val="21"/>
          <w:szCs w:val="21"/>
          <w:u w:val="single" w:color="auto"/>
          <w:color w:val="auto"/>
        </w:rPr>
        <w:t>No Waiver; Remedies</w:t>
      </w:r>
      <w:r>
        <w:rPr>
          <w:rFonts w:ascii="Times New Roman" w:cs="Times New Roman" w:eastAsia="Times New Roman" w:hAnsi="Times New Roman"/>
          <w:sz w:val="21"/>
          <w:szCs w:val="21"/>
          <w:color w:val="auto"/>
        </w:rPr>
        <w:t>.</w:t>
      </w:r>
    </w:p>
    <w:p>
      <w:pPr>
        <w:spacing w:after="0" w:line="2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No failure on the part of any Lender, any Issuing Lender or the Administrative Agent to exercise, and no delay in exercising, any right hereunder or under any other Loan Document shall operate as a waiver thereof; nor shall any single or partial exercise of any such right preclude any other or further exercise thereof or the exercise of any other right. The remedies herein provided are cumulative and not exclusive of any remedies provided by Applicable Law.</w:t>
      </w:r>
    </w:p>
    <w:p>
      <w:pPr>
        <w:spacing w:after="0" w:line="18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9.04. </w:t>
      </w:r>
      <w:r>
        <w:rPr>
          <w:rFonts w:ascii="Times New Roman" w:cs="Times New Roman" w:eastAsia="Times New Roman" w:hAnsi="Times New Roman"/>
          <w:sz w:val="22"/>
          <w:szCs w:val="22"/>
          <w:u w:val="single" w:color="auto"/>
          <w:color w:val="auto"/>
        </w:rPr>
        <w:t>Costs and Expenses</w:t>
      </w:r>
      <w:r>
        <w:rPr>
          <w:rFonts w:ascii="Times New Roman" w:cs="Times New Roman" w:eastAsia="Times New Roman" w:hAnsi="Times New Roman"/>
          <w:sz w:val="22"/>
          <w:szCs w:val="22"/>
          <w:color w:val="auto"/>
        </w:rPr>
        <w:t>. (a) The Company and the Guarantors, jointly and severally, agree to pay on demand all reasonable and documented (in summary form) legal and other out-of-pocket costs and expenses of the Administrative Agent in connection with the preparation, execution, delivery, administration, modification and amendment of this Agreement and the other documents to be delivered hereunder, including, without limitation, (A) all due diligence, syndication (including printing, distribution and bank meetings), transportation and duplication expenses, and (B) the reasonable fees, charges and disbursements of counsel for the Administrative Agent (limited in the case of legal expenses, to one firm of counsel (and one local counsel in each applicable jurisdiction and any reasonably necessary specialty area counsel)) with respect thereto and with respect to advising the Administrative Agent as to its rights and responsibilities under this Agreement. The Company and the Guarantors, jointly and severally, further agree to pay on demand all reasonable and documented (in summary form) legal or other out-of-pocket costs and expenses of the Administrative Agent, the Issuing Lender and the Lenders, if any (limited in the case of legal expenses, to one firm of counsel (and one local counsel in each applicable jurisdiction and any reasonably necessary specialty area counsel)), in connection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ectPr>
          <w:pgSz w:w="11900" w:h="16838" w:orient="portrait"/>
          <w:cols w:equalWidth="0" w:num="1">
            <w:col w:w="11240"/>
          </w:cols>
          <w:pgMar w:left="320" w:top="1233" w:right="339" w:bottom="1440" w:gutter="0" w:footer="0" w:header="0"/>
        </w:sectPr>
      </w:pPr>
    </w:p>
    <w:bookmarkStart w:id="215" w:name="page216"/>
    <w:bookmarkEnd w:id="215"/>
    <w:p>
      <w:pPr>
        <w:jc w:val="both"/>
        <w:spacing w:after="0" w:line="251" w:lineRule="auto"/>
        <w:rPr>
          <w:sz w:val="20"/>
          <w:szCs w:val="20"/>
          <w:color w:val="auto"/>
        </w:rPr>
      </w:pPr>
      <w:r>
        <w:rPr>
          <w:rFonts w:ascii="Times New Roman" w:cs="Times New Roman" w:eastAsia="Times New Roman" w:hAnsi="Times New Roman"/>
          <w:sz w:val="22"/>
          <w:szCs w:val="22"/>
          <w:color w:val="auto"/>
        </w:rPr>
        <w:t>enforcement (whether through negotiations, legal proceedings or otherwise) of this Agreement and the other documents to be delivered hereunder, including, without limitation, reasonable fees and expenses of counsel for the Administrative Agent, each Issuing Lender and each Lender in connection with the enforcement of rights under this Section 9.04(a).</w:t>
      </w:r>
    </w:p>
    <w:p>
      <w:pPr>
        <w:spacing w:after="0" w:line="2" w:lineRule="exact"/>
        <w:rPr>
          <w:sz w:val="20"/>
          <w:szCs w:val="20"/>
          <w:color w:val="auto"/>
        </w:rPr>
      </w:pPr>
    </w:p>
    <w:p>
      <w:pPr>
        <w:jc w:val="both"/>
        <w:ind w:firstLine="656"/>
        <w:spacing w:after="0" w:line="258" w:lineRule="auto"/>
        <w:tabs>
          <w:tab w:leader="none" w:pos="1174" w:val="left"/>
        </w:tabs>
        <w:numPr>
          <w:ilvl w:val="0"/>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the Guarantors, jointly and severally, agree to indemnify and hold harmless the Administrative Agent, each Lender and each Issuing Lender and each of their Affiliates and their officers, directors, employees, agents and advisors (each, an “</w:t>
      </w:r>
      <w:r>
        <w:rPr>
          <w:rFonts w:ascii="Times New Roman" w:cs="Times New Roman" w:eastAsia="Times New Roman" w:hAnsi="Times New Roman"/>
          <w:sz w:val="21"/>
          <w:szCs w:val="21"/>
          <w:u w:val="single" w:color="auto"/>
          <w:color w:val="auto"/>
        </w:rPr>
        <w:t>Indemnified Party</w:t>
      </w:r>
      <w:r>
        <w:rPr>
          <w:rFonts w:ascii="Times New Roman" w:cs="Times New Roman" w:eastAsia="Times New Roman" w:hAnsi="Times New Roman"/>
          <w:sz w:val="21"/>
          <w:szCs w:val="21"/>
          <w:color w:val="auto"/>
        </w:rPr>
        <w:t>”) from and against any and all claims, damages, losses, liabilities and expenses (including, without limitation, reasonable and documented (in summary form) legal and other out-of-pocket fees and expenses (limited, in the case of legal expenses, to one firm of counsel for all Indemnified Parties taken as a whole (and one local counsel in each applicable jurisdiction and any reasonably necessary specialty area counsel for all Indemnified Parties taken as a whole and, in the event of any actual conflict of interest, one additional counsel of each type to each group of similarly affected Indemnified Parties)) that may be incurred by or asserted or awarded against any Indemnified Party, in each case arising out of or in connection with or by reason of, or in connection with the preparation for a defense of, any investigation, litigation or proceeding arising out of, related to or in connection with the Advances, this Agreement, any of the transactions contemplated herein or the actual or proposed use of the proceeds of the Advances, whether or not such investigation, litigation or proceeding is brought by any Credit Party, its directors, shareholders or creditors or an Indemnified Party or any other Person or any Indemnified Party is otherwise a party thereto and whether or not the transactions contemplated hereby are consummated, except to the extent such claim, damage, loss, liability or related expense is found in a final, non-appealable judgment by a court of competent jurisdiction to have resulted from the gross negligence or willful misconduct of such Indemnified Party or any of its Related Parties or breach of a material obligation by such Indemnified Party or any of its Related Parties under this Agreement.</w:t>
      </w:r>
    </w:p>
    <w:p>
      <w:pPr>
        <w:spacing w:after="0" w:line="194" w:lineRule="exact"/>
        <w:rPr>
          <w:rFonts w:ascii="Times New Roman" w:cs="Times New Roman" w:eastAsia="Times New Roman" w:hAnsi="Times New Roman"/>
          <w:sz w:val="21"/>
          <w:szCs w:val="21"/>
          <w:color w:val="auto"/>
        </w:rPr>
      </w:pPr>
    </w:p>
    <w:p>
      <w:pPr>
        <w:jc w:val="both"/>
        <w:ind w:firstLine="656"/>
        <w:spacing w:after="0" w:line="247" w:lineRule="auto"/>
        <w:tabs>
          <w:tab w:leader="none" w:pos="1163"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payment of principal of, or Conversion of, any Eurocurrency Rate Advance, Term SOFR Advance or Term CORRA Advance is made by any Borrower to or for the account of a Lender other than on the last day of the Interest Period for such Advance, as a result of a payment or Conversion pursuant to Section 2.08(d) or (e), 2.09, 2.10 or 2.12, acceleration of the maturity of the Advances pursuant to Section 6.01 or for any other reason, or by an Eligible Assignee to a Lender other than on the last day of an Interest Period for such Advance upon an assignment of rights and obligations under this Agreement pursuant to Section 9.07 as a result of a demand by the Company pursuant to Section 2.19, the applicable Borrower shall, upon demand by such Lender (with a copy of such demand to the Administrative Agent), pay to the Administrative Agent for the account of such Lender any amounts required to compensate such Lender for any additional losses, costs or expenses that it may reasonably incur as a result of such payment or Conversion, including, without limitation, any loss (excluding loss of anticipated profits), cost or expense incurred by reason of the liquidation or reemployment of deposits or other funds acquired by any Lender to fund or maintain such Advance.</w:t>
      </w:r>
    </w:p>
    <w:p>
      <w:pPr>
        <w:spacing w:after="0" w:line="200" w:lineRule="exact"/>
        <w:rPr>
          <w:rFonts w:ascii="Times New Roman" w:cs="Times New Roman" w:eastAsia="Times New Roman" w:hAnsi="Times New Roman"/>
          <w:sz w:val="22"/>
          <w:szCs w:val="22"/>
          <w:color w:val="auto"/>
        </w:rPr>
      </w:pPr>
    </w:p>
    <w:p>
      <w:pPr>
        <w:jc w:val="both"/>
        <w:ind w:firstLine="656"/>
        <w:spacing w:after="0" w:line="257" w:lineRule="auto"/>
        <w:tabs>
          <w:tab w:leader="none" w:pos="1277"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prejudice to the survival of any other agreement of any Credit Party hereunder, the agreements and obligations of any Credit Party contained in Sections 2.11, 2.14 and 9.04 shall survive the payment in full of principal, interest and all other amounts payable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ectPr>
          <w:pgSz w:w="11900" w:h="16838" w:orient="portrait"/>
          <w:cols w:equalWidth="0" w:num="1">
            <w:col w:w="11240"/>
          </w:cols>
          <w:pgMar w:left="320" w:top="1260" w:right="339" w:bottom="1440" w:gutter="0" w:footer="0" w:header="0"/>
        </w:sectPr>
      </w:pPr>
    </w:p>
    <w:bookmarkStart w:id="216" w:name="page217"/>
    <w:bookmarkEnd w:id="216"/>
    <w:p>
      <w:pPr>
        <w:jc w:val="both"/>
        <w:ind w:firstLine="656"/>
        <w:spacing w:after="0" w:line="253" w:lineRule="auto"/>
        <w:tabs>
          <w:tab w:leader="none" w:pos="1149"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fullest extent permitted by Applicable Law, no Credit Party shall assert, and each hereby waives, any claim against any Indemnified Party,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Advance or Letter or Credit, or the use of the proceeds thereof.</w:t>
      </w:r>
    </w:p>
    <w:p>
      <w:pPr>
        <w:spacing w:after="0" w:line="17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9.05. </w:t>
      </w:r>
      <w:r>
        <w:rPr>
          <w:rFonts w:ascii="Times New Roman" w:cs="Times New Roman" w:eastAsia="Times New Roman" w:hAnsi="Times New Roman"/>
          <w:sz w:val="22"/>
          <w:szCs w:val="22"/>
          <w:u w:val="single" w:color="auto"/>
          <w:color w:val="auto"/>
        </w:rPr>
        <w:t>Right of Set-off</w:t>
      </w:r>
      <w:r>
        <w:rPr>
          <w:rFonts w:ascii="Times New Roman" w:cs="Times New Roman" w:eastAsia="Times New Roman" w:hAnsi="Times New Roman"/>
          <w:sz w:val="22"/>
          <w:szCs w:val="22"/>
          <w:color w:val="auto"/>
        </w:rPr>
        <w:t xml:space="preserve">. Upon the occurrence and during the continuance of any Event of Default, each Lender, each Issuing Lender and each of its Affiliates is hereby authorized at any time and from time to time, to the fullest extent permitted by Applicable Law, to set off and apply any and all deposits (general or special, time or demand, provisional or final) at any time held and other indebtedness at any time owing by such Lender, such Issuing Lender or such Affiliate to or for the credit or the account of any Credit Party against any and all of the obligations of any Credit Party now or hereafter existing under this Agreement held by such Lender or such Issuing Lender, whether or not such Lender or such Issuing Lender shall have made any demand under this Agreement and although such obligations may be unmatured, and regardless of the place of payment, booking branch or currency of either obligation. If the obligations subject to set off are in different currencies, the Lender or Issuing Lender or its Affiliate may convert either obligation at a market rate of exchange in its usual course of business for the purpose of the set-off. Each Lender and each Issuing Lender agrees to promptly notify the applicable Credit Party, after any such set-off and application,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to give such notice shall not affect the validity of such set-off and application. The rights of each Lender and each Issuing Lender and their respective Affiliates under this Section are in addition to other rights and remedies (including, without limitation, other rights of set-off) that such Lender and such Issuing Lender and their respective Affiliates may have.</w:t>
      </w:r>
    </w:p>
    <w:p>
      <w:pPr>
        <w:spacing w:after="0" w:line="1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9.06. </w:t>
      </w: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This Agreement shall become effective upon satisfaction of the conditions precedent set forth in Section 3.01 and thereafter shall be binding upon and inure to the benefit of each Credit Party, the Administrative Agent and each Lender and their respective successors and assigns, except that no Credit Party shall have the right to assign its rights hereunder or any interest herein without the prior written consent of each Lender (and any other attempted assignment or transfer by any Credit Party shall be null and void).</w:t>
      </w:r>
    </w:p>
    <w:p>
      <w:pPr>
        <w:spacing w:after="0" w:line="14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 xml:space="preserve">SECTION 9.07. </w:t>
      </w:r>
      <w:r>
        <w:rPr>
          <w:rFonts w:ascii="Times New Roman" w:cs="Times New Roman" w:eastAsia="Times New Roman" w:hAnsi="Times New Roman"/>
          <w:sz w:val="21"/>
          <w:szCs w:val="21"/>
          <w:u w:val="single" w:color="auto"/>
          <w:color w:val="auto"/>
        </w:rPr>
        <w:t>Assignments and Participations</w:t>
      </w:r>
      <w:r>
        <w:rPr>
          <w:rFonts w:ascii="Times New Roman" w:cs="Times New Roman" w:eastAsia="Times New Roman" w:hAnsi="Times New Roman"/>
          <w:sz w:val="21"/>
          <w:szCs w:val="21"/>
          <w:color w:val="auto"/>
        </w:rPr>
        <w:t>. (a) Successors and Assigns Generally. No Lender may assign or otherwise transfer any of its rights or obligations hereunder except (i) to an Eligible Assignee in accordance with the provisions of paragraph (b) of this Section, (ii) by way of participation in accordance with the provisions of paragraph (d) of this Section, or</w:t>
      </w:r>
    </w:p>
    <w:p>
      <w:pPr>
        <w:spacing w:after="0" w:line="3" w:lineRule="exact"/>
        <w:rPr>
          <w:sz w:val="20"/>
          <w:szCs w:val="20"/>
          <w:color w:val="auto"/>
        </w:rPr>
      </w:pPr>
    </w:p>
    <w:p>
      <w:pPr>
        <w:jc w:val="both"/>
        <w:ind w:firstLine="8"/>
        <w:spacing w:after="0" w:line="246" w:lineRule="auto"/>
        <w:tabs>
          <w:tab w:leader="none" w:pos="380"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way of pledge or assignment of a security interest subject to the restrictions of paragraph (f) of this Section (and any other attempted assignment or transfer by any Lender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ectPr>
          <w:pgSz w:w="11900" w:h="16838" w:orient="portrait"/>
          <w:cols w:equalWidth="0" w:num="1">
            <w:col w:w="11240"/>
          </w:cols>
          <w:pgMar w:left="320" w:top="1260" w:right="339" w:bottom="1440" w:gutter="0" w:footer="0" w:header="0"/>
        </w:sectPr>
      </w:pPr>
    </w:p>
    <w:bookmarkStart w:id="217" w:name="page218"/>
    <w:bookmarkEnd w:id="217"/>
    <w:p>
      <w:pPr>
        <w:jc w:val="both"/>
        <w:ind w:firstLine="656"/>
        <w:spacing w:after="0" w:line="253" w:lineRule="auto"/>
        <w:tabs>
          <w:tab w:leader="none" w:pos="1237"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Assignments by Lenders</w:t>
      </w:r>
      <w:r>
        <w:rPr>
          <w:rFonts w:ascii="Times New Roman" w:cs="Times New Roman" w:eastAsia="Times New Roman" w:hAnsi="Times New Roman"/>
          <w:sz w:val="22"/>
          <w:szCs w:val="22"/>
          <w:color w:val="auto"/>
        </w:rPr>
        <w:t xml:space="preserve">. Any Lender may at any time and, if demanded by the Company in accordance with Section 2.17 or 2.19 at a time when no Default has occurred and is continuing upon at least five Business Days’ notice to such Lender and the Administrative Agent, will assign to one or more Eligible Assignees all or a portion of its rights and obligations under this Agreement (including all or a portion of its Commitment and the Advances at the time owing to it, in each case under any Tranche);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assignment shall be subject to the following conditions:</w:t>
      </w:r>
    </w:p>
    <w:p>
      <w:pPr>
        <w:spacing w:after="0" w:line="178"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1"/>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Minimum Amounts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68" w:lineRule="auto"/>
        <w:tabs>
          <w:tab w:leader="none" w:pos="2501" w:val="left"/>
        </w:tabs>
        <w:numPr>
          <w:ilvl w:val="2"/>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 assignment of the entire remaining amount of the assigning Lender’s Commitment and/or the Advances at the time owing to it (in each case with respect to any Credit Facility) or contemporaneous assignments to related Approved Funds (determined after giving effect to such assignments) that equal at least the amount specified in paragraph (b)(i)(B) of this Section in the aggregate or in the case of an assignment to a Lender, an Affiliate of a Lender or an Approved Fund, no minimum amount need be assigned; and</w:t>
      </w:r>
    </w:p>
    <w:p>
      <w:pPr>
        <w:spacing w:after="0" w:line="163" w:lineRule="exact"/>
        <w:rPr>
          <w:rFonts w:ascii="Times New Roman" w:cs="Times New Roman" w:eastAsia="Times New Roman" w:hAnsi="Times New Roman"/>
          <w:sz w:val="21"/>
          <w:szCs w:val="21"/>
          <w:color w:val="auto"/>
        </w:rPr>
      </w:pPr>
    </w:p>
    <w:p>
      <w:pPr>
        <w:jc w:val="both"/>
        <w:ind w:left="1300" w:firstLine="652"/>
        <w:spacing w:after="0" w:line="262" w:lineRule="auto"/>
        <w:tabs>
          <w:tab w:leader="none" w:pos="2628" w:val="left"/>
        </w:tabs>
        <w:numPr>
          <w:ilvl w:val="2"/>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any case not described in paragraph (b)(i)(A) of this Section, the aggregate amount of the Commitment (which for this purpose includes Advances outstanding thereunder) or, if the applicable Commitment is not then in effect, the principal outstanding balance of the Advances of the assigning Lender subject to each such assignment (determined as of the date the Assignment and Assumption with respect to such assignment is delivered to the Administrative Agent or, if “</w:t>
      </w:r>
      <w:r>
        <w:rPr>
          <w:rFonts w:ascii="Times New Roman" w:cs="Times New Roman" w:eastAsia="Times New Roman" w:hAnsi="Times New Roman"/>
          <w:sz w:val="21"/>
          <w:szCs w:val="21"/>
          <w:u w:val="single" w:color="auto"/>
          <w:color w:val="auto"/>
        </w:rPr>
        <w:t>Trade Date</w:t>
      </w:r>
      <w:r>
        <w:rPr>
          <w:rFonts w:ascii="Times New Roman" w:cs="Times New Roman" w:eastAsia="Times New Roman" w:hAnsi="Times New Roman"/>
          <w:sz w:val="21"/>
          <w:szCs w:val="21"/>
          <w:color w:val="auto"/>
        </w:rPr>
        <w:t>” is specified in the Assignment and Assumption, as of the Trade Date) shall not be less than $5,000,000, unless each of the Administrative Agent and, so long as no Event of Default pursuant to clause (a) or (e) of Section 6.01 has occurred and is continuing, the Company, on behalf of the Borrowers, otherwise consents (each such consent not to be unreasonably withheld or delayed).</w:t>
      </w:r>
    </w:p>
    <w:p>
      <w:pPr>
        <w:spacing w:after="0" w:line="186" w:lineRule="exact"/>
        <w:rPr>
          <w:rFonts w:ascii="Times New Roman" w:cs="Times New Roman" w:eastAsia="Times New Roman" w:hAnsi="Times New Roman"/>
          <w:sz w:val="21"/>
          <w:szCs w:val="21"/>
          <w:color w:val="auto"/>
        </w:rPr>
      </w:pPr>
    </w:p>
    <w:p>
      <w:pPr>
        <w:jc w:val="both"/>
        <w:ind w:left="660" w:firstLine="644"/>
        <w:spacing w:after="0" w:line="252" w:lineRule="auto"/>
        <w:tabs>
          <w:tab w:leader="none" w:pos="1788" w:val="left"/>
        </w:tabs>
        <w:numPr>
          <w:ilvl w:val="1"/>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Proportionate Amounts</w:t>
      </w:r>
      <w:r>
        <w:rPr>
          <w:rFonts w:ascii="Times New Roman" w:cs="Times New Roman" w:eastAsia="Times New Roman" w:hAnsi="Times New Roman"/>
          <w:sz w:val="22"/>
          <w:szCs w:val="22"/>
          <w:color w:val="auto"/>
        </w:rPr>
        <w:t>. Each partial assignment shall be made as an assignment of a proportionate part of all the assigning Lender’s rights and obligations under this Agreement with respect to the Advance or the Commitment of any Tranche assigned, except that this clause (ii) shall not prohibit any Lender from assigning all or a proportionate part of all of its rights and obligations among separate Facilities or Tranches on a non-pro rata basis.</w:t>
      </w:r>
    </w:p>
    <w:p>
      <w:pPr>
        <w:spacing w:after="0" w:line="179" w:lineRule="exact"/>
        <w:rPr>
          <w:rFonts w:ascii="Times New Roman" w:cs="Times New Roman" w:eastAsia="Times New Roman" w:hAnsi="Times New Roman"/>
          <w:sz w:val="22"/>
          <w:szCs w:val="22"/>
          <w:color w:val="auto"/>
        </w:rPr>
      </w:pPr>
    </w:p>
    <w:p>
      <w:pPr>
        <w:ind w:left="660" w:right="20" w:firstLine="644"/>
        <w:spacing w:after="0" w:line="284" w:lineRule="auto"/>
        <w:tabs>
          <w:tab w:leader="none" w:pos="1983" w:val="left"/>
        </w:tabs>
        <w:numPr>
          <w:ilvl w:val="1"/>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Required Consents</w:t>
      </w:r>
      <w:r>
        <w:rPr>
          <w:rFonts w:ascii="Times New Roman" w:cs="Times New Roman" w:eastAsia="Times New Roman" w:hAnsi="Times New Roman"/>
          <w:sz w:val="22"/>
          <w:szCs w:val="22"/>
          <w:color w:val="auto"/>
        </w:rPr>
        <w:t>. No consent shall be required for any assignment except to the extent required by paragraph (b)(i)(B) of this Section and, in addition:</w:t>
      </w:r>
    </w:p>
    <w:p>
      <w:pPr>
        <w:spacing w:after="0" w:line="143" w:lineRule="exact"/>
        <w:rPr>
          <w:rFonts w:ascii="Times New Roman" w:cs="Times New Roman" w:eastAsia="Times New Roman" w:hAnsi="Times New Roman"/>
          <w:sz w:val="22"/>
          <w:szCs w:val="22"/>
          <w:color w:val="auto"/>
        </w:rPr>
      </w:pPr>
    </w:p>
    <w:p>
      <w:pPr>
        <w:jc w:val="both"/>
        <w:ind w:left="1300" w:firstLine="652"/>
        <w:spacing w:after="0" w:line="250" w:lineRule="auto"/>
        <w:tabs>
          <w:tab w:leader="none" w:pos="2606" w:val="left"/>
        </w:tabs>
        <w:numPr>
          <w:ilvl w:val="2"/>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consent of the Company, on behalf of the Borrowers (such consent not to be unreasonably withheld or delayed) shall be required unless (x) an Event of Default pursuant to clause (a) or (e) of Section 6.01 has occurred and is continuing at the time of such assignment, or (y) such assignment is to a Lender, an Approved Fund or an Affiliate of a Lender organized in the United States;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on behalf of the Borrowers shall be deemed to have consented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ectPr>
          <w:pgSz w:w="11900" w:h="16838" w:orient="portrait"/>
          <w:cols w:equalWidth="0" w:num="1">
            <w:col w:w="11240"/>
          </w:cols>
          <w:pgMar w:left="320" w:top="1260" w:right="339" w:bottom="1440" w:gutter="0" w:footer="0" w:header="0"/>
        </w:sectPr>
      </w:pPr>
    </w:p>
    <w:bookmarkStart w:id="218" w:name="page219"/>
    <w:bookmarkEnd w:id="218"/>
    <w:p>
      <w:pPr>
        <w:ind w:left="1300"/>
        <w:spacing w:after="0" w:line="271" w:lineRule="auto"/>
        <w:rPr>
          <w:sz w:val="20"/>
          <w:szCs w:val="20"/>
          <w:color w:val="auto"/>
        </w:rPr>
      </w:pPr>
      <w:r>
        <w:rPr>
          <w:rFonts w:ascii="Times New Roman" w:cs="Times New Roman" w:eastAsia="Times New Roman" w:hAnsi="Times New Roman"/>
          <w:sz w:val="22"/>
          <w:szCs w:val="22"/>
          <w:color w:val="auto"/>
        </w:rPr>
        <w:t>any such assignment unless it shall object thereto by written notice to the Administrative Agent within ten Business Days after having received notice thereof;</w:t>
      </w:r>
    </w:p>
    <w:p>
      <w:pPr>
        <w:spacing w:after="0" w:line="158" w:lineRule="exact"/>
        <w:rPr>
          <w:sz w:val="20"/>
          <w:szCs w:val="20"/>
          <w:color w:val="auto"/>
        </w:rPr>
      </w:pPr>
    </w:p>
    <w:p>
      <w:pPr>
        <w:jc w:val="both"/>
        <w:ind w:left="1300" w:firstLine="652"/>
        <w:spacing w:after="0" w:line="263" w:lineRule="auto"/>
        <w:tabs>
          <w:tab w:leader="none" w:pos="2482" w:val="left"/>
        </w:tabs>
        <w:numPr>
          <w:ilvl w:val="1"/>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consent of the Administrative Agent (such consents not to be unreasonably withheld or delayed) shall be required for assignments if such assignment is to a Person that is not a Lender with a Commitment, an Affiliate of such Lender or an Approved Fund; and</w:t>
      </w:r>
    </w:p>
    <w:p>
      <w:pPr>
        <w:spacing w:after="0" w:line="167" w:lineRule="exact"/>
        <w:rPr>
          <w:rFonts w:ascii="Times New Roman" w:cs="Times New Roman" w:eastAsia="Times New Roman" w:hAnsi="Times New Roman"/>
          <w:sz w:val="22"/>
          <w:szCs w:val="22"/>
          <w:color w:val="auto"/>
        </w:rPr>
      </w:pPr>
    </w:p>
    <w:p>
      <w:pPr>
        <w:ind w:left="1300" w:firstLine="652"/>
        <w:spacing w:after="0" w:line="271" w:lineRule="auto"/>
        <w:tabs>
          <w:tab w:leader="none" w:pos="2497" w:val="left"/>
        </w:tabs>
        <w:numPr>
          <w:ilvl w:val="1"/>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consent of each Issuing Lender (such consent not to be unreasonably withheld or delayed) shall be required for all assignments (other than of Term Loans).</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36" w:val="left"/>
        </w:tabs>
        <w:numPr>
          <w:ilvl w:val="0"/>
          <w:numId w:val="2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Assignment and Assumption</w:t>
      </w:r>
      <w:r>
        <w:rPr>
          <w:rFonts w:ascii="Times New Roman" w:cs="Times New Roman" w:eastAsia="Times New Roman" w:hAnsi="Times New Roman"/>
          <w:sz w:val="21"/>
          <w:szCs w:val="21"/>
          <w:color w:val="auto"/>
        </w:rPr>
        <w:t xml:space="preserve">. The parties to each assignment shall execute and deliver to the Administrative Agent an Assignment and Assumption, together with a processing and recordation fee of $3,500;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only one such fee will be payable in connection with simultaneous assignments to two or more related Approved Funds by a Lender and (B) the Administrative Agent may, in its sole discretion, elect to waive such processing and recordation fee in the case of any assignment;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no such processing and recordation fee shall be paid in connection with an assignment made pursuant to Section 2.19. The assignee, if it is not a Lender, shall deliver to the Administrative Agent an Administrative Questionnaire and if it shall not already be a Lender, any tax forms required by Section 2.14(f).</w:t>
      </w:r>
    </w:p>
    <w:p>
      <w:pPr>
        <w:spacing w:after="0" w:line="186" w:lineRule="exact"/>
        <w:rPr>
          <w:rFonts w:ascii="Times New Roman" w:cs="Times New Roman" w:eastAsia="Times New Roman" w:hAnsi="Times New Roman"/>
          <w:sz w:val="21"/>
          <w:szCs w:val="21"/>
          <w:color w:val="auto"/>
        </w:rPr>
      </w:pPr>
    </w:p>
    <w:p>
      <w:pPr>
        <w:jc w:val="both"/>
        <w:ind w:left="660" w:firstLine="644"/>
        <w:spacing w:after="0" w:line="257" w:lineRule="auto"/>
        <w:tabs>
          <w:tab w:leader="none" w:pos="1884"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 to Certain Persons</w:t>
      </w:r>
      <w:r>
        <w:rPr>
          <w:rFonts w:ascii="Times New Roman" w:cs="Times New Roman" w:eastAsia="Times New Roman" w:hAnsi="Times New Roman"/>
          <w:sz w:val="22"/>
          <w:szCs w:val="22"/>
          <w:color w:val="auto"/>
        </w:rPr>
        <w:t>. No such assignment shall be made to (A) any person that is not an Eligible Assignee or (B) any Defaulting Lender or any of its Subsidiaries or any Person who, upon becoming a Lender hereunder, would constitute any of the foregoing Persons described in this clause (B).</w:t>
      </w:r>
    </w:p>
    <w:p>
      <w:pPr>
        <w:spacing w:after="0" w:line="1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Subject to acceptance and recording thereof by the Administrative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2.11 and 9.04, and subject to the obligations of Section 7.05, in each case, with respect to facts and circumstances occurring prior to the effective date of such assignment;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w:t>
      </w:r>
    </w:p>
    <w:p>
      <w:pPr>
        <w:spacing w:after="0" w:line="206" w:lineRule="exact"/>
        <w:rPr>
          <w:sz w:val="20"/>
          <w:szCs w:val="20"/>
          <w:color w:val="auto"/>
        </w:rPr>
      </w:pPr>
    </w:p>
    <w:p>
      <w:pPr>
        <w:ind w:firstLine="656"/>
        <w:spacing w:after="0" w:line="271" w:lineRule="auto"/>
        <w:tabs>
          <w:tab w:leader="none" w:pos="1158"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Administrative Agent, acting solely for this purpose as an agent of the Borrowers, shall maintain at one of its offices in the United States a copy of each Assumption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ectPr>
          <w:pgSz w:w="11900" w:h="16838" w:orient="portrait"/>
          <w:cols w:equalWidth="0" w:num="1">
            <w:col w:w="11240"/>
          </w:cols>
          <w:pgMar w:left="320" w:top="1260" w:right="339" w:bottom="1440" w:gutter="0" w:footer="0" w:header="0"/>
        </w:sectPr>
      </w:pPr>
    </w:p>
    <w:bookmarkStart w:id="219" w:name="page220"/>
    <w:bookmarkEnd w:id="219"/>
    <w:p>
      <w:pPr>
        <w:jc w:val="both"/>
        <w:spacing w:after="0" w:line="250" w:lineRule="auto"/>
        <w:rPr>
          <w:sz w:val="20"/>
          <w:szCs w:val="20"/>
          <w:color w:val="auto"/>
        </w:rPr>
      </w:pPr>
      <w:r>
        <w:rPr>
          <w:rFonts w:ascii="Times New Roman" w:cs="Times New Roman" w:eastAsia="Times New Roman" w:hAnsi="Times New Roman"/>
          <w:sz w:val="22"/>
          <w:szCs w:val="22"/>
          <w:color w:val="auto"/>
        </w:rPr>
        <w:t>Agreement and each Assignment and Assumption delivered to it and a register for the recordation of the names and addresses of the Lenders, and the Commitments (including the relevant Tranche) of, and principal amounts of the Advances owing to, each Lender pursuant to the terms hereof from time to time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entries in the Register shall be conclusive absent demonstrable error, and the Borrowers, the Administrative Agent and the Lenders shall treat each Person whose name is recorded in the Register pursuant to the terms hereof as a Lender hereunder for all purposes of this Agreement. The Register shall be available for inspection by the Company, on behalf of the Borrowers, and any Lender, at any reasonable time and from time to time upon reasonable prior notice.</w:t>
      </w:r>
    </w:p>
    <w:p>
      <w:pPr>
        <w:spacing w:after="0" w:line="180" w:lineRule="exact"/>
        <w:rPr>
          <w:sz w:val="20"/>
          <w:szCs w:val="20"/>
          <w:color w:val="auto"/>
        </w:rPr>
      </w:pPr>
    </w:p>
    <w:p>
      <w:pPr>
        <w:jc w:val="both"/>
        <w:ind w:firstLine="656"/>
        <w:spacing w:after="0" w:line="247" w:lineRule="auto"/>
        <w:tabs>
          <w:tab w:leader="none" w:pos="1359"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Participations</w:t>
      </w:r>
      <w:r>
        <w:rPr>
          <w:rFonts w:ascii="Times New Roman" w:cs="Times New Roman" w:eastAsia="Times New Roman" w:hAnsi="Times New Roman"/>
          <w:sz w:val="22"/>
          <w:szCs w:val="22"/>
          <w:color w:val="auto"/>
        </w:rPr>
        <w:t>. Any Lender may at any time, without the consent of, or notice to, any Credit Party, the Administrative Agent or any Issuing Lender, sell participations to any Person (other than a natural Person or any Credit Party or any of their Affiliates or Subsidiaries) (each, a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in all or a portion of such Lender’s rights and/or obligations under this Agreement (including all or a portion of its Commitment and/or the Advances owing to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each Issuing Lender and the Lenders shall continue to deal solely and directly with such Lender in connection with such Lender’s rights and obligations under this Agreement. For the avoidance of doubt, each Lender shall be responsible for the indemnity under Section 7.05 with respect to any payments made by such Lender to its Participant(s). Each Lender that sells a participation shall, acting solely for this purpose as an agent of the Borrowers, maintain a register on which it enters the name and address of each Participant and the principal amounts (and stated interest) of each Participant’s interest in the Commitments, other obligations under this Agreement (the “</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Lender shall have any obligation to disclose all or any portion of the Participant Register (including the identity of any Participant or any information relating to a Participant’s interest in any commitments, loans or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demonstrable error, and such Lender shall treat each Person whose name is recorded in the Participant Register as the owner of such participation for all purposes of this Agreement notwithstanding any notice to the contrary.</w:t>
      </w:r>
    </w:p>
    <w:p>
      <w:pPr>
        <w:spacing w:after="0" w:line="200" w:lineRule="exact"/>
        <w:rPr>
          <w:rFonts w:ascii="Times New Roman" w:cs="Times New Roman" w:eastAsia="Times New Roman" w:hAnsi="Times New Roman"/>
          <w:sz w:val="22"/>
          <w:szCs w:val="22"/>
          <w:color w:val="auto"/>
        </w:rPr>
      </w:pPr>
    </w:p>
    <w:p>
      <w:pPr>
        <w:jc w:val="both"/>
        <w:ind w:firstLine="656"/>
        <w:spacing w:after="0" w:line="248" w:lineRule="auto"/>
        <w:tabs>
          <w:tab w:leader="none" w:pos="1154"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agreement or instrument may provide that such Lender will not, without the consent of the Participant, agree to any amendment, modification or waiver described in clauses (b)(ii) and (iii) of the first proviso of Section 9.01 that directly and adversely affects such Participant. The Borrowers agree that, subject to paragraph (f) below, each Participant shall be entitled to the benefits of Sections 2.11 and 2.14 to the same extent as if it were a Lender and had acquired its interest by assignment pursuant to paragraph (b) of this Section;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Participant agrees to be subject to the provisions of Section 2.19 as if it were an assignee under paragraph (b) of this Section. To the extent permitted by Applicable Law, each Participant also shall be entitled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ectPr>
          <w:pgSz w:w="11900" w:h="16838" w:orient="portrait"/>
          <w:cols w:equalWidth="0" w:num="1">
            <w:col w:w="11240"/>
          </w:cols>
          <w:pgMar w:left="320" w:top="1260" w:right="339" w:bottom="1440" w:gutter="0" w:footer="0" w:header="0"/>
        </w:sectPr>
      </w:pPr>
    </w:p>
    <w:bookmarkStart w:id="220" w:name="page221"/>
    <w:bookmarkEnd w:id="220"/>
    <w:p>
      <w:pPr>
        <w:spacing w:after="0" w:line="271" w:lineRule="auto"/>
        <w:rPr>
          <w:sz w:val="20"/>
          <w:szCs w:val="20"/>
          <w:color w:val="auto"/>
        </w:rPr>
      </w:pPr>
      <w:r>
        <w:rPr>
          <w:rFonts w:ascii="Times New Roman" w:cs="Times New Roman" w:eastAsia="Times New Roman" w:hAnsi="Times New Roman"/>
          <w:sz w:val="22"/>
          <w:szCs w:val="22"/>
          <w:color w:val="auto"/>
        </w:rPr>
        <w:t xml:space="preserve">benefits of Section 9.05 as though it were a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Participant agrees to be subject to Section 2.15 as though it were a Lender.</w:t>
      </w:r>
    </w:p>
    <w:p>
      <w:pPr>
        <w:spacing w:after="0" w:line="158" w:lineRule="exact"/>
        <w:rPr>
          <w:sz w:val="20"/>
          <w:szCs w:val="20"/>
          <w:color w:val="auto"/>
        </w:rPr>
      </w:pPr>
    </w:p>
    <w:p>
      <w:pPr>
        <w:jc w:val="both"/>
        <w:ind w:firstLine="656"/>
        <w:spacing w:after="0" w:line="252" w:lineRule="auto"/>
        <w:tabs>
          <w:tab w:leader="none" w:pos="1080"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 upon Participant Rights</w:t>
      </w:r>
      <w:r>
        <w:rPr>
          <w:rFonts w:ascii="Times New Roman" w:cs="Times New Roman" w:eastAsia="Times New Roman" w:hAnsi="Times New Roman"/>
          <w:sz w:val="22"/>
          <w:szCs w:val="22"/>
          <w:color w:val="auto"/>
        </w:rPr>
        <w:t xml:space="preserve">. A Participant shall not be entitled to receive any greater payment under Sections 2.11 and 2.14 than the applicable Lender would have been entitled to receive with respect to the participation sold to such Participant, unless the sale of the participation to such Participant is made with the Company’s, on behalf of the Borrowers, prior written consent;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Participant shall be subject to the provisions of Sections 2.15 and 2.19. A Participant that would be a Foreign Lender if it were a Lender shall not be entitled to the benefits of Section 2.14 unless the Company is notified of the participation sold to such Participant and such Participant agrees, for the benefit of each Borrower, to comply with Section 2.14(e) as though it were a Lender.</w:t>
      </w:r>
    </w:p>
    <w:p>
      <w:pPr>
        <w:spacing w:after="0" w:line="179" w:lineRule="exact"/>
        <w:rPr>
          <w:rFonts w:ascii="Times New Roman" w:cs="Times New Roman" w:eastAsia="Times New Roman" w:hAnsi="Times New Roman"/>
          <w:sz w:val="22"/>
          <w:szCs w:val="22"/>
          <w:color w:val="auto"/>
        </w:rPr>
      </w:pPr>
    </w:p>
    <w:p>
      <w:pPr>
        <w:jc w:val="both"/>
        <w:ind w:firstLine="656"/>
        <w:spacing w:after="0" w:line="252" w:lineRule="auto"/>
        <w:tabs>
          <w:tab w:leader="none" w:pos="1156"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Pledges</w:t>
      </w:r>
      <w:r>
        <w:rPr>
          <w:rFonts w:ascii="Times New Roman" w:cs="Times New Roman" w:eastAsia="Times New Roman" w:hAnsi="Times New Roman"/>
          <w:sz w:val="22"/>
          <w:szCs w:val="22"/>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pledge or assignment shall release such Lender from any of its obligations hereunder or substitute any such pledgee or assignee for such Lender as a party hereto.</w:t>
      </w:r>
    </w:p>
    <w:p>
      <w:pPr>
        <w:spacing w:after="0" w:line="17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SECTION 9.08. </w:t>
      </w: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Neither the Administrative Agent nor any Lender shall disclose any Confidential Information to any other Person without the consent of the Company, on behalf of the Borrowers, except that Confidential Information may be disclosed (a) to the Administrative Agent’s or such Lender’s Affiliates and to its Related Parties (it being understood that the Persons to whom such disclosure is made will be informed of the confidential nature of such Confidential Information and instructed to keep such Confidential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any Borrower and its obligations, this Agreement or payments hereunder; or (g) on a confidential basis to (i) any rating agency in connection with rating any Borrower or its Subsidiaries or this credit facility or (ii) the CUSIP Service Bureau or any similar agency in connection with the issuance and monitoring of CUSIP numbers with respect to the facilities. For the avoidance of doubt, nothing in this Agreement shall prohibit any party or its employees, affiliates, directors, advisors or any other Person from communicating or disclosing information regarding violations of laws, rules or regulations to a governmental, regulatory or self-regulatory authority.</w:t>
      </w:r>
    </w:p>
    <w:p>
      <w:pPr>
        <w:spacing w:after="0" w:line="1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9.09.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and the other Loan Documents and any claims, controversy, dispute or cause of action (whether in contract or tort or otherwise) based upon, arising out of or relating to this Agreement or any other Loan Document and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ectPr>
          <w:pgSz w:w="11900" w:h="16838" w:orient="portrait"/>
          <w:cols w:equalWidth="0" w:num="1">
            <w:col w:w="11240"/>
          </w:cols>
          <w:pgMar w:left="320" w:top="1260" w:right="3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22"/>
          <w:szCs w:val="22"/>
          <w:color w:val="auto"/>
        </w:rPr>
        <w:t>contemplated hereby and thereby shall be governed by, and construed in accordance with, the law of the State of New York.</w:t>
      </w:r>
    </w:p>
    <w:p>
      <w:pPr>
        <w:spacing w:after="0" w:line="166"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9.10.</w:t>
      </w:r>
      <w:r>
        <w:rPr>
          <w:sz w:val="20"/>
          <w:szCs w:val="20"/>
          <w:color w:val="auto"/>
        </w:rPr>
        <w:tab/>
      </w:r>
      <w:r>
        <w:rPr>
          <w:rFonts w:ascii="Times New Roman" w:cs="Times New Roman" w:eastAsia="Times New Roman" w:hAnsi="Times New Roman"/>
          <w:sz w:val="21"/>
          <w:szCs w:val="21"/>
          <w:u w:val="single" w:color="auto"/>
          <w:color w:val="auto"/>
        </w:rPr>
        <w:t>Counterparts; Integration; Effectiveness</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jc w:val="both"/>
        <w:ind w:firstLine="656"/>
        <w:spacing w:after="0" w:line="249" w:lineRule="auto"/>
        <w:tabs>
          <w:tab w:leader="none" w:pos="1144"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 Integration; Effectiveness</w:t>
      </w:r>
      <w:r>
        <w:rPr>
          <w:rFonts w:ascii="Times New Roman" w:cs="Times New Roman" w:eastAsia="Times New Roman" w:hAnsi="Times New Roman"/>
          <w:sz w:val="22"/>
          <w:szCs w:val="22"/>
          <w:color w:val="auto"/>
        </w:rPr>
        <w:t>.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and any Issuing Lender constitute the entire contract among the parties relating to the subject matter hereof and supersede any and all previous agreements and understandings, oral or written, relating to the subject matter hereof. Except as provided in Section 3.01,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in electronic (i.e., “pdf” or “tif”) format shall be effective as delivery of a manually executed counterpart of this Agreement.</w:t>
      </w:r>
    </w:p>
    <w:p>
      <w:pPr>
        <w:spacing w:after="0" w:line="129" w:lineRule="exact"/>
        <w:rPr>
          <w:rFonts w:ascii="Times New Roman" w:cs="Times New Roman" w:eastAsia="Times New Roman" w:hAnsi="Times New Roman"/>
          <w:sz w:val="22"/>
          <w:szCs w:val="22"/>
          <w:color w:val="auto"/>
        </w:rPr>
      </w:pPr>
    </w:p>
    <w:p>
      <w:pPr>
        <w:jc w:val="both"/>
        <w:ind w:firstLine="656"/>
        <w:spacing w:after="0" w:line="246" w:lineRule="auto"/>
        <w:tabs>
          <w:tab w:leader="none" w:pos="1129"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Execution</w:t>
      </w:r>
      <w:r>
        <w:rPr>
          <w:rFonts w:ascii="Times New Roman" w:cs="Times New Roman" w:eastAsia="Times New Roman" w:hAnsi="Times New Roman"/>
          <w:sz w:val="22"/>
          <w:szCs w:val="22"/>
          <w:color w:val="auto"/>
        </w:rPr>
        <w:t xml:space="preserve">. The words “execute,” “execution,” “signed,” “signature,” “delivery” and words of like import in or related to this Agreement, any other Loan Document or any document, amendment, approval, consent, waiver, modification, information, notice, certificate, report, statement, disclosure, or authorization to be signed or delivered in connection with this Agreement or any other Loan Document or the transactions contemplated hereby shall be deemed to include Electronic Signatures or execution in the form of an Electronic Record, and contract formations on electronic platforms approved by the Administrative Agent, deliveries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Each party hereto agrees that any Electronic Signature or execution in the form of an Electronic Record shall be valid and binding on itself and each of the other parties hereto to the same extent as a manual, original signature. For the avoidance of doubt, the authorization under this paragraph may include, without limitation, use or acceptance by the parties of a manually signed paper which has been converted into electronic form (such as scanned into PDF format), or an electronically signed paper converted into another format, for transmission, delivery and/or retention. Notwithstanding anything contained herein to the contrary, the Administrative Agent is under no obligation to accept an Electronic Signature in any form or in any format unless expressly agreed to by the Administrative Agent pursuant to procedures approved by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without limiting the foregoing, (i) to the extent the Administrative Agent has agreed to accept such Electronic Signature from any party hereto, the Administrative Agent and the other parties hereto shall be entitled to rely on any such Electronic Signature purportedly given by or on behalf of the executing party without further verification and (ii) upon the request of the Administrative Agent or any Lender, any Electronic Signature shall be promptly followed by an original manually executed counterpart thereof. Without limiting the generality of the foregoing, each party hereto hereby (A) agrees that, for all purposes, including without limitation, in connection with any workout, restructuring, enforcement of remedies, bankruptcy proceedings or litigation among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ectPr>
          <w:pgSz w:w="11900" w:h="16838" w:orient="portrait"/>
          <w:cols w:equalWidth="0" w:num="1">
            <w:col w:w="11240"/>
          </w:cols>
          <w:pgMar w:left="320" w:top="1260" w:right="339" w:bottom="1440" w:gutter="0" w:footer="0" w:header="0"/>
        </w:sectPr>
      </w:pPr>
    </w:p>
    <w:bookmarkStart w:id="222" w:name="page223"/>
    <w:bookmarkEnd w:id="222"/>
    <w:p>
      <w:pPr>
        <w:jc w:val="both"/>
        <w:spacing w:after="0" w:line="253" w:lineRule="auto"/>
        <w:rPr>
          <w:sz w:val="20"/>
          <w:szCs w:val="20"/>
          <w:color w:val="auto"/>
        </w:rPr>
      </w:pPr>
      <w:r>
        <w:rPr>
          <w:rFonts w:ascii="Times New Roman" w:cs="Times New Roman" w:eastAsia="Times New Roman" w:hAnsi="Times New Roman"/>
          <w:sz w:val="22"/>
          <w:szCs w:val="22"/>
          <w:color w:val="auto"/>
        </w:rPr>
        <w:t>Administrative Agent, the Lenders and any of the Credit Parties, electronic images of this Agreement or any other Loan Document (in each case, including with respect to any signature pages thereto) shall have the same legal effect, validity and enforceability as any paper original, and (B) waives any argument, defense or right to contest the validity or enforceability of the Loan Documents based solely on the lack of paper original copies of any Loan Documents, including with respect to any signature pages thereto.</w:t>
      </w:r>
    </w:p>
    <w:p>
      <w:pPr>
        <w:spacing w:after="0" w:line="17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9.11. </w:t>
      </w:r>
      <w:r>
        <w:rPr>
          <w:rFonts w:ascii="Times New Roman" w:cs="Times New Roman" w:eastAsia="Times New Roman" w:hAnsi="Times New Roman"/>
          <w:sz w:val="22"/>
          <w:szCs w:val="22"/>
          <w:u w:val="single" w:color="auto"/>
          <w:color w:val="auto"/>
        </w:rPr>
        <w:t>Jurisdiction, Etc.</w:t>
      </w:r>
      <w:r>
        <w:rPr>
          <w:rFonts w:ascii="Times New Roman" w:cs="Times New Roman" w:eastAsia="Times New Roman" w:hAnsi="Times New Roman"/>
          <w:sz w:val="22"/>
          <w:szCs w:val="22"/>
          <w:color w:val="auto"/>
        </w:rPr>
        <w:t xml:space="preserve"> (a) Each Credit Party irrevocably and unconditionally agrees that it will not commence any action, litigation or proceeding of any kind or description, whether in law or equity, whether in contract or in tort or otherwise, against the Administrative Agent, any Lender, any Issuing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Applicable Law. Nothing in this Agreement or in any other Loan Document shall affect any right that the Administrative Agent, any Lender or any Issuing Lender may otherwise have to bring any action or proceeding relating to this Agreement or any other Loan Document against any Credit Party or its properties in the courts of any jurisdiction.</w:t>
      </w:r>
    </w:p>
    <w:p>
      <w:pPr>
        <w:spacing w:after="0" w:line="139" w:lineRule="exact"/>
        <w:rPr>
          <w:sz w:val="20"/>
          <w:szCs w:val="20"/>
          <w:color w:val="auto"/>
        </w:rPr>
      </w:pPr>
    </w:p>
    <w:p>
      <w:pPr>
        <w:jc w:val="both"/>
        <w:ind w:firstLine="656"/>
        <w:spacing w:after="0" w:line="253" w:lineRule="auto"/>
        <w:tabs>
          <w:tab w:leader="none" w:pos="1131"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hereto irrevocably and unconditionally waives, to the fullest extent it may legally and effectively do so, any objection that it may now or hereafter have to the laying of venue of any suit, action or proceeding arising out of or relating to this Agreement or any other Loan Document in any New York State or federal court. Each of the parties hereto hereby irrevocably waives, to the fullest extent permitted by Applicable Law, the defense of an inconvenient forum to the maintenance of such action or proceeding in any such court.</w:t>
      </w:r>
    </w:p>
    <w:p>
      <w:pPr>
        <w:spacing w:after="0" w:line="178" w:lineRule="exact"/>
        <w:rPr>
          <w:rFonts w:ascii="Times New Roman" w:cs="Times New Roman" w:eastAsia="Times New Roman" w:hAnsi="Times New Roman"/>
          <w:sz w:val="22"/>
          <w:szCs w:val="22"/>
          <w:color w:val="auto"/>
        </w:rPr>
      </w:pPr>
    </w:p>
    <w:p>
      <w:pPr>
        <w:jc w:val="both"/>
        <w:ind w:firstLine="656"/>
        <w:spacing w:after="0" w:line="263" w:lineRule="auto"/>
        <w:tabs>
          <w:tab w:leader="none" w:pos="1199"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irrevocably consents to service of process in the manner provided for notices in Section 9.02. Nothing in this Agreement will affect the right of any party hereto to serve process in any other manner permitted by Applicable Law.</w:t>
      </w:r>
    </w:p>
    <w:p>
      <w:pPr>
        <w:spacing w:after="0" w:line="16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9.12. </w:t>
      </w:r>
      <w:r>
        <w:rPr>
          <w:rFonts w:ascii="Times New Roman" w:cs="Times New Roman" w:eastAsia="Times New Roman" w:hAnsi="Times New Roman"/>
          <w:sz w:val="22"/>
          <w:szCs w:val="22"/>
          <w:u w:val="single" w:color="auto"/>
          <w:color w:val="auto"/>
        </w:rPr>
        <w:t>Patriot Act Notice</w:t>
      </w:r>
      <w:r>
        <w:rPr>
          <w:rFonts w:ascii="Times New Roman" w:cs="Times New Roman" w:eastAsia="Times New Roman" w:hAnsi="Times New Roman"/>
          <w:sz w:val="22"/>
          <w:szCs w:val="22"/>
          <w:color w:val="auto"/>
        </w:rPr>
        <w:t>. Each Lender that is subject to the Patriot Act (as hereinafter defined) and the Administrative Agent (for itself and not on behalf of any Lender) hereby notifies the Borrowers that, pursuant to the requirements of the USA Patriot Act (Title III of Pub. L. 107-56 (signed into law October 26, 2001)) (the “</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it is required to obtain, verify and record information that identifies each Credit Party, which information includes the name and address of each Credit Party and other information that will allow such Lender or the Administrative Agent, as applicable, to identify each Credit Party in accordance with the Patriot Act.</w:t>
      </w:r>
    </w:p>
    <w:p>
      <w:pPr>
        <w:spacing w:after="0" w:line="12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9.13. </w:t>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Each of the Credit Parties, the Administrative Agent and the Lenders hereby irrevocably waives all right to trial by jury in any action,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ectPr>
          <w:pgSz w:w="11900" w:h="16838" w:orient="portrait"/>
          <w:cols w:equalWidth="0" w:num="1">
            <w:col w:w="11240"/>
          </w:cols>
          <w:pgMar w:left="320" w:top="1260" w:right="339" w:bottom="1440" w:gutter="0" w:footer="0" w:header="0"/>
        </w:sectPr>
      </w:pPr>
    </w:p>
    <w:bookmarkStart w:id="223" w:name="page224"/>
    <w:bookmarkEnd w:id="223"/>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or counterclaim (whether based on contract, tort or otherwise) arising out of or relating to this Agreement or any other Loan Document or the actions of the Administrative Agent or any Lender in the negotiation, administration, performance or enforcement thereof.</w:t>
      </w:r>
    </w:p>
    <w:p>
      <w:pPr>
        <w:spacing w:after="0" w:line="13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9.14. </w:t>
      </w:r>
      <w:r>
        <w:rPr>
          <w:rFonts w:ascii="Times New Roman" w:cs="Times New Roman" w:eastAsia="Times New Roman" w:hAnsi="Times New Roman"/>
          <w:sz w:val="22"/>
          <w:szCs w:val="22"/>
          <w:u w:val="single" w:color="auto"/>
          <w:color w:val="auto"/>
        </w:rPr>
        <w:t>Acknowledgement and Consent to Bail-In of Affected Financial Institutions</w:t>
      </w:r>
      <w:r>
        <w:rPr>
          <w:rFonts w:ascii="Times New Roman" w:cs="Times New Roman" w:eastAsia="Times New Roman" w:hAnsi="Times New Roman"/>
          <w:sz w:val="22"/>
          <w:szCs w:val="22"/>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40" w:lineRule="exact"/>
        <w:rPr>
          <w:sz w:val="20"/>
          <w:szCs w:val="20"/>
          <w:color w:val="auto"/>
        </w:rPr>
      </w:pPr>
    </w:p>
    <w:p>
      <w:pPr>
        <w:ind w:firstLine="656"/>
        <w:spacing w:after="0" w:line="271" w:lineRule="auto"/>
        <w:tabs>
          <w:tab w:leader="none" w:pos="1220"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57"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219"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1"/>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903" w:val="left"/>
        </w:tabs>
        <w:numPr>
          <w:ilvl w:val="1"/>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6" w:lineRule="exact"/>
        <w:rPr>
          <w:rFonts w:ascii="Times New Roman" w:cs="Times New Roman" w:eastAsia="Times New Roman" w:hAnsi="Times New Roman"/>
          <w:sz w:val="22"/>
          <w:szCs w:val="22"/>
          <w:color w:val="auto"/>
        </w:rPr>
      </w:pPr>
    </w:p>
    <w:p>
      <w:pPr>
        <w:ind w:left="660" w:firstLine="644"/>
        <w:spacing w:after="0" w:line="271" w:lineRule="auto"/>
        <w:tabs>
          <w:tab w:leader="none" w:pos="2050" w:val="left"/>
        </w:tabs>
        <w:numPr>
          <w:ilvl w:val="1"/>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the applicable Resolution Authority.</w:t>
      </w:r>
    </w:p>
    <w:p>
      <w:pPr>
        <w:spacing w:after="0" w:line="15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9.15.</w:t>
      </w:r>
      <w:r>
        <w:rPr>
          <w:sz w:val="20"/>
          <w:szCs w:val="20"/>
          <w:color w:val="auto"/>
        </w:rPr>
        <w:tab/>
      </w:r>
      <w:r>
        <w:rPr>
          <w:rFonts w:ascii="Times New Roman" w:cs="Times New Roman" w:eastAsia="Times New Roman" w:hAnsi="Times New Roman"/>
          <w:sz w:val="21"/>
          <w:szCs w:val="21"/>
          <w:color w:val="auto"/>
        </w:rPr>
        <w:t>[Reserved].</w:t>
      </w:r>
    </w:p>
    <w:p>
      <w:pPr>
        <w:spacing w:after="0" w:line="23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9.16. </w:t>
      </w:r>
      <w:r>
        <w:rPr>
          <w:rFonts w:ascii="Times New Roman" w:cs="Times New Roman" w:eastAsia="Times New Roman" w:hAnsi="Times New Roman"/>
          <w:sz w:val="22"/>
          <w:szCs w:val="22"/>
          <w:u w:val="single" w:color="auto"/>
          <w:color w:val="auto"/>
        </w:rPr>
        <w:t>Judgment Currency</w:t>
      </w:r>
      <w:r>
        <w:rPr>
          <w:rFonts w:ascii="Times New Roman" w:cs="Times New Roman" w:eastAsia="Times New Roman" w:hAnsi="Times New Roman"/>
          <w:sz w:val="22"/>
          <w:szCs w:val="22"/>
          <w:color w:val="auto"/>
        </w:rPr>
        <w:t>. If, for the purposes of obtaining judgment in any court, it is necessary to convert a sum due hereunder or under any other Loan Document in one currency into another currency, the rate of exchange used shall be the Spot Rate. The obligation of any Credit Party in respect of any such sum due from it to the Administrative Agent or any Lender hereunder or under the other Loan Documents shall, notwithstanding any judgment in a currency (the “</w:t>
      </w:r>
      <w:r>
        <w:rPr>
          <w:rFonts w:ascii="Times New Roman" w:cs="Times New Roman" w:eastAsia="Times New Roman" w:hAnsi="Times New Roman"/>
          <w:sz w:val="22"/>
          <w:szCs w:val="22"/>
          <w:u w:val="single" w:color="auto"/>
          <w:color w:val="auto"/>
        </w:rPr>
        <w:t>Judgment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Currency</w:t>
      </w:r>
      <w:r>
        <w:rPr>
          <w:rFonts w:ascii="Times New Roman" w:cs="Times New Roman" w:eastAsia="Times New Roman" w:hAnsi="Times New Roman"/>
          <w:sz w:val="22"/>
          <w:szCs w:val="22"/>
          <w:color w:val="auto"/>
        </w:rPr>
        <w:t>”) other than that in which such sum is denominated in accordance with the applicable provisions of this Agreement (the “</w:t>
      </w:r>
      <w:r>
        <w:rPr>
          <w:rFonts w:ascii="Times New Roman" w:cs="Times New Roman" w:eastAsia="Times New Roman" w:hAnsi="Times New Roman"/>
          <w:sz w:val="22"/>
          <w:szCs w:val="22"/>
          <w:u w:val="single" w:color="auto"/>
          <w:color w:val="auto"/>
        </w:rPr>
        <w:t>Agreement Currency</w:t>
      </w:r>
      <w:r>
        <w:rPr>
          <w:rFonts w:ascii="Times New Roman" w:cs="Times New Roman" w:eastAsia="Times New Roman" w:hAnsi="Times New Roman"/>
          <w:sz w:val="22"/>
          <w:szCs w:val="22"/>
          <w:color w:val="auto"/>
        </w:rPr>
        <w:t>”), be discharged only to the extent that on the Business Day following receipt by the Administrative Agent or such Lender of any sum adjudged to be so due in the Judgment Currency, the Administrative Agent or such Lender may in accordance with normal banking procedures purchase the Agreement Currency with the Judgment Currency. If the amount of the Agreement Currency so purchased is less than the sum originally due to the Administrative Agent or such Lender in the Agreement Currency, each Credit Party agrees, as a separate obligation and notwithstanding any such judgment, to indemnify the Administrative Agent or such Lender or the Person to whom such obligation was owing against such loss. If the amount of the Agreement Currency so purchased is greater than the sum originally due to the Administrative Agent or such Lender in such currency, the Administrative Agent 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ectPr>
          <w:pgSz w:w="11900" w:h="16838" w:orient="portrait"/>
          <w:cols w:equalWidth="0" w:num="1">
            <w:col w:w="11240"/>
          </w:cols>
          <w:pgMar w:left="320" w:top="1260" w:right="339" w:bottom="1440" w:gutter="0" w:footer="0" w:header="0"/>
        </w:sectPr>
      </w:pPr>
    </w:p>
    <w:bookmarkStart w:id="224" w:name="page225"/>
    <w:bookmarkEnd w:id="224"/>
    <w:p>
      <w:pPr>
        <w:jc w:val="both"/>
        <w:spacing w:after="0" w:line="271" w:lineRule="auto"/>
        <w:rPr>
          <w:sz w:val="20"/>
          <w:szCs w:val="20"/>
          <w:color w:val="auto"/>
        </w:rPr>
      </w:pPr>
      <w:r>
        <w:rPr>
          <w:rFonts w:ascii="Times New Roman" w:cs="Times New Roman" w:eastAsia="Times New Roman" w:hAnsi="Times New Roman"/>
          <w:sz w:val="22"/>
          <w:szCs w:val="22"/>
          <w:color w:val="auto"/>
        </w:rPr>
        <w:t>Lender agrees to return the amount of any excess to the Company, for itself or another Borrower (or to any other Person who may be entitled thereto under Applicable Law).</w:t>
      </w:r>
    </w:p>
    <w:p>
      <w:pPr>
        <w:spacing w:after="0" w:line="1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9.17. </w:t>
      </w:r>
      <w:r>
        <w:rPr>
          <w:rFonts w:ascii="Times New Roman" w:cs="Times New Roman" w:eastAsia="Times New Roman" w:hAnsi="Times New Roman"/>
          <w:sz w:val="22"/>
          <w:szCs w:val="22"/>
          <w:u w:val="single" w:color="auto"/>
          <w:color w:val="auto"/>
        </w:rPr>
        <w:t>Appointment of the Company</w:t>
      </w:r>
      <w:r>
        <w:rPr>
          <w:rFonts w:ascii="Times New Roman" w:cs="Times New Roman" w:eastAsia="Times New Roman" w:hAnsi="Times New Roman"/>
          <w:sz w:val="22"/>
          <w:szCs w:val="22"/>
          <w:color w:val="auto"/>
        </w:rPr>
        <w:t>. Each Foreign Borrower hereby irrevocably appoints the Company as its agent to act as specified in the Loan Documents, and the Company hereby accepts such appointment. Each Foreign Borrower hereby irrevocably authorizes and directs the Company to take on its behalf all actions required of such Person under the Loan Documents, and to exercise all powers and to perform all duties of such Person thereunder, including, (a) to submit and receive all certificates, notices, elections and communications and (b) to receive and disburse the proceeds of all Advances. Any of the foregoing taken or received by the Company on behalf of any Foreign Borrower will be deemed for all purposes to have been taken or received by such Foreign Borrower and will be binding on such Person to the same extent as if directly taken or received by such Foreign Borrower.</w:t>
      </w:r>
    </w:p>
    <w:p>
      <w:pPr>
        <w:spacing w:after="0" w:line="133"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9.18.</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9.19. </w:t>
      </w:r>
      <w:r>
        <w:rPr>
          <w:rFonts w:ascii="Times New Roman" w:cs="Times New Roman" w:eastAsia="Times New Roman" w:hAnsi="Times New Roman"/>
          <w:sz w:val="22"/>
          <w:szCs w:val="22"/>
          <w:u w:val="single" w:color="auto"/>
          <w:color w:val="auto"/>
        </w:rPr>
        <w:t>Australian Code of Banking Practice</w:t>
      </w:r>
      <w:r>
        <w:rPr>
          <w:rFonts w:ascii="Times New Roman" w:cs="Times New Roman" w:eastAsia="Times New Roman" w:hAnsi="Times New Roman"/>
          <w:sz w:val="22"/>
          <w:szCs w:val="22"/>
          <w:color w:val="auto"/>
        </w:rPr>
        <w:t>. The Australian Bankers' Association Code of Banking Practice does not apply to the Loan Documents and the transactions under them.</w:t>
      </w:r>
    </w:p>
    <w:p>
      <w:pPr>
        <w:spacing w:after="0" w:line="1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9.20. </w:t>
      </w:r>
      <w:r>
        <w:rPr>
          <w:rFonts w:ascii="Times New Roman" w:cs="Times New Roman" w:eastAsia="Times New Roman" w:hAnsi="Times New Roman"/>
          <w:sz w:val="22"/>
          <w:szCs w:val="22"/>
          <w:u w:val="single" w:color="auto"/>
          <w:color w:val="auto"/>
        </w:rPr>
        <w:t>Acknowledgement Regarding Any Supported QFCs</w:t>
      </w:r>
      <w:r>
        <w:rPr>
          <w:rFonts w:ascii="Times New Roman" w:cs="Times New Roman" w:eastAsia="Times New Roman" w:hAnsi="Times New Roman"/>
          <w:sz w:val="22"/>
          <w:szCs w:val="22"/>
          <w:color w:val="auto"/>
        </w:rPr>
        <w:t xml:space="preserve">. To the extent that the Loan Documents </w:t>
      </w:r>
      <w:r>
        <w:rPr>
          <w:rFonts w:ascii="Times New Roman" w:cs="Times New Roman" w:eastAsia="Times New Roman" w:hAnsi="Times New Roman"/>
          <w:sz w:val="22"/>
          <w:szCs w:val="22"/>
          <w:u w:val="single" w:color="auto"/>
          <w:color w:val="auto"/>
        </w:rPr>
        <w:t>provide</w:t>
      </w:r>
      <w:r>
        <w:rPr>
          <w:rFonts w:ascii="Times New Roman" w:cs="Times New Roman" w:eastAsia="Times New Roman" w:hAnsi="Times New Roman"/>
          <w:sz w:val="22"/>
          <w:szCs w:val="22"/>
          <w:color w:val="auto"/>
        </w:rPr>
        <w:t xml:space="preserve"> support, through a guarantee or otherwise, for Hedge Agreements or any other agreement or instrument that is a QFC (such support, “</w:t>
      </w:r>
      <w:r>
        <w:rPr>
          <w:rFonts w:ascii="Times New Roman" w:cs="Times New Roman" w:eastAsia="Times New Roman" w:hAnsi="Times New Roman"/>
          <w:sz w:val="22"/>
          <w:szCs w:val="22"/>
          <w:u w:val="single" w:color="auto"/>
          <w:color w:val="auto"/>
        </w:rPr>
        <w:t>QFC Credit Support</w:t>
      </w:r>
      <w:r>
        <w:rPr>
          <w:rFonts w:ascii="Times New Roman" w:cs="Times New Roman" w:eastAsia="Times New Roman" w:hAnsi="Times New Roman"/>
          <w:sz w:val="22"/>
          <w:szCs w:val="22"/>
          <w:color w:val="auto"/>
        </w:rPr>
        <w:t>” and, each such QFC, a “</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the parties acknowledge and agree as follows with respect to the resolution power of the FDIC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2"/>
          <w:szCs w:val="22"/>
          <w:u w:val="single" w:color="auto"/>
          <w:color w:val="auto"/>
        </w:rPr>
        <w:t>U.S. Special Resolution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Regimes</w:t>
      </w:r>
      <w:r>
        <w:rPr>
          <w:rFonts w:ascii="Times New Roman" w:cs="Times New Roman" w:eastAsia="Times New Roman" w:hAnsi="Times New Roman"/>
          <w:sz w:val="22"/>
          <w:szCs w:val="22"/>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33" w:lineRule="exact"/>
        <w:rPr>
          <w:sz w:val="20"/>
          <w:szCs w:val="20"/>
          <w:color w:val="auto"/>
        </w:rPr>
      </w:pPr>
    </w:p>
    <w:p>
      <w:pPr>
        <w:jc w:val="both"/>
        <w:ind w:firstLine="656"/>
        <w:spacing w:after="0" w:line="248" w:lineRule="auto"/>
        <w:tabs>
          <w:tab w:leader="none" w:pos="1203"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 Covered Entity that is party to a Supported QFC (each, a “</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w:t>
      </w:r>
    </w:p>
    <w:p>
      <w:pPr>
        <w:spacing w:after="0" w:line="188"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used in this </w:t>
      </w:r>
      <w:r>
        <w:rPr>
          <w:rFonts w:ascii="Times New Roman" w:cs="Times New Roman" w:eastAsia="Times New Roman" w:hAnsi="Times New Roman"/>
          <w:sz w:val="22"/>
          <w:szCs w:val="22"/>
          <w:u w:val="single" w:color="auto"/>
          <w:color w:val="auto"/>
        </w:rPr>
        <w:t>Section 9.20</w:t>
      </w:r>
      <w:r>
        <w:rPr>
          <w:rFonts w:ascii="Times New Roman" w:cs="Times New Roman" w:eastAsia="Times New Roman" w:hAnsi="Times New Roman"/>
          <w:sz w:val="22"/>
          <w:szCs w:val="22"/>
          <w:color w:val="auto"/>
        </w:rPr>
        <w:t>, the following terms have the following meanings: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ectPr>
          <w:pgSz w:w="11900" w:h="16838" w:orient="portrait"/>
          <w:cols w:equalWidth="0" w:num="1">
            <w:col w:w="11240"/>
          </w:cols>
          <w:pgMar w:left="320" w:top="1260" w:right="339" w:bottom="1440" w:gutter="0" w:footer="0" w:header="0"/>
        </w:sectPr>
      </w:pPr>
    </w:p>
    <w:bookmarkStart w:id="225" w:name="page226"/>
    <w:bookmarkEnd w:id="225"/>
    <w:p>
      <w:pPr>
        <w:ind w:left="6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of a party means an “affiliate” (as such term is defined under, and interpreted in accordance with, 12 U.S.C. 1841(k)) of such party.</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means any of the following:</w:t>
      </w:r>
    </w:p>
    <w:p>
      <w:pPr>
        <w:spacing w:after="0" w:line="287" w:lineRule="exact"/>
        <w:rPr>
          <w:sz w:val="20"/>
          <w:szCs w:val="20"/>
          <w:color w:val="auto"/>
        </w:rPr>
      </w:pPr>
    </w:p>
    <w:p>
      <w:pPr>
        <w:ind w:left="2620" w:hanging="587"/>
        <w:spacing w:after="0"/>
        <w:tabs>
          <w:tab w:leader="none" w:pos="2620"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entity” as that term is defined in, and interpreted in accordance with, 12 C.F.R. §</w:t>
      </w:r>
    </w:p>
    <w:p>
      <w:pPr>
        <w:spacing w:after="0" w:line="27" w:lineRule="exact"/>
        <w:rPr>
          <w:rFonts w:ascii="Times New Roman" w:cs="Times New Roman" w:eastAsia="Times New Roman" w:hAnsi="Times New Roman"/>
          <w:sz w:val="22"/>
          <w:szCs w:val="22"/>
          <w:color w:val="auto"/>
        </w:rPr>
      </w:pPr>
    </w:p>
    <w:p>
      <w:pPr>
        <w:ind w:left="13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252.82(b);</w:t>
      </w:r>
    </w:p>
    <w:p>
      <w:pPr>
        <w:spacing w:after="0" w:line="249" w:lineRule="exact"/>
        <w:rPr>
          <w:rFonts w:ascii="Times New Roman" w:cs="Times New Roman" w:eastAsia="Times New Roman" w:hAnsi="Times New Roman"/>
          <w:sz w:val="22"/>
          <w:szCs w:val="22"/>
          <w:color w:val="auto"/>
        </w:rPr>
      </w:pPr>
    </w:p>
    <w:p>
      <w:pPr>
        <w:ind w:left="2540" w:hanging="507"/>
        <w:spacing w:after="0"/>
        <w:tabs>
          <w:tab w:leader="none" w:pos="2540" w:val="left"/>
        </w:tabs>
        <w:numPr>
          <w:ilvl w:val="0"/>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“covered bank” as that term is defined in, and interpreted in accordance with, 12 C.F.R. § 47.3(b);</w:t>
      </w:r>
    </w:p>
    <w:p>
      <w:pPr>
        <w:spacing w:after="0" w:line="39" w:lineRule="exact"/>
        <w:rPr>
          <w:rFonts w:ascii="Times New Roman" w:cs="Times New Roman" w:eastAsia="Times New Roman" w:hAnsi="Times New Roman"/>
          <w:sz w:val="21"/>
          <w:szCs w:val="21"/>
          <w:color w:val="auto"/>
        </w:rPr>
      </w:pPr>
    </w:p>
    <w:p>
      <w:pPr>
        <w:ind w:left="13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or</w:t>
      </w:r>
    </w:p>
    <w:p>
      <w:pPr>
        <w:spacing w:after="0" w:line="249" w:lineRule="exact"/>
        <w:rPr>
          <w:rFonts w:ascii="Times New Roman" w:cs="Times New Roman" w:eastAsia="Times New Roman" w:hAnsi="Times New Roman"/>
          <w:sz w:val="21"/>
          <w:szCs w:val="21"/>
          <w:color w:val="auto"/>
        </w:rPr>
      </w:pPr>
    </w:p>
    <w:p>
      <w:pPr>
        <w:ind w:left="2580" w:hanging="547"/>
        <w:spacing w:after="0"/>
        <w:tabs>
          <w:tab w:leader="none" w:pos="2580" w:val="left"/>
        </w:tabs>
        <w:numPr>
          <w:ilvl w:val="0"/>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“covered FSI” as that term is defined in, and interpreted in accordance with, 12 C.F.R. § 382.2(b).</w:t>
      </w:r>
    </w:p>
    <w:p>
      <w:pPr>
        <w:spacing w:after="0" w:line="299" w:lineRule="exact"/>
        <w:rPr>
          <w:sz w:val="20"/>
          <w:szCs w:val="20"/>
          <w:color w:val="auto"/>
        </w:rPr>
      </w:pPr>
    </w:p>
    <w:p>
      <w:pPr>
        <w:ind w:left="6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Right</w:t>
      </w:r>
      <w:r>
        <w:rPr>
          <w:rFonts w:ascii="Times New Roman" w:cs="Times New Roman" w:eastAsia="Times New Roman" w:hAnsi="Times New Roman"/>
          <w:sz w:val="22"/>
          <w:szCs w:val="22"/>
          <w:color w:val="auto"/>
        </w:rPr>
        <w:t>” has the meaning assigned to that term in, and shall be interpreted in accordance with, 12 C.F.R. §§ 252.81, 47.2 or 382.1, as applicable.</w:t>
      </w:r>
    </w:p>
    <w:p>
      <w:pPr>
        <w:spacing w:after="0" w:line="212" w:lineRule="exact"/>
        <w:rPr>
          <w:sz w:val="20"/>
          <w:szCs w:val="20"/>
          <w:color w:val="auto"/>
        </w:rPr>
      </w:pPr>
    </w:p>
    <w:p>
      <w:pPr>
        <w:ind w:left="6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has the meaning assigned to the term “qualified financial contract” in, and shall be interpreted in accordance with, 12 U.S.C. 5390(c)(8)(D).</w:t>
      </w:r>
    </w:p>
    <w:p>
      <w:pPr>
        <w:spacing w:after="0" w:line="21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9.21. </w:t>
      </w:r>
      <w:r>
        <w:rPr>
          <w:rFonts w:ascii="Times New Roman" w:cs="Times New Roman" w:eastAsia="Times New Roman" w:hAnsi="Times New Roman"/>
          <w:sz w:val="22"/>
          <w:szCs w:val="22"/>
          <w:u w:val="single" w:color="auto"/>
          <w:color w:val="auto"/>
        </w:rPr>
        <w:t>Crediting of Payments and Proceeds</w:t>
      </w:r>
      <w:r>
        <w:rPr>
          <w:rFonts w:ascii="Times New Roman" w:cs="Times New Roman" w:eastAsia="Times New Roman" w:hAnsi="Times New Roman"/>
          <w:sz w:val="22"/>
          <w:szCs w:val="22"/>
          <w:color w:val="auto"/>
        </w:rPr>
        <w:t xml:space="preserve">. In the event that the Obligations have been accelerated pursuant to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or the Administrative Agent or any Lender has exercised any remedy set forth in this Agreement or any other Loan Document, all payments received on account of the Borrower Obligations and Guaranteed Obligations and all net proceeds from the enforcement of the Borrower Obligations and Guaranteed Obligations shall, subject to the provisions of </w:t>
      </w:r>
      <w:r>
        <w:rPr>
          <w:rFonts w:ascii="Times New Roman" w:cs="Times New Roman" w:eastAsia="Times New Roman" w:hAnsi="Times New Roman"/>
          <w:sz w:val="22"/>
          <w:szCs w:val="22"/>
          <w:u w:val="single" w:color="auto"/>
          <w:color w:val="auto"/>
        </w:rPr>
        <w:t>Sections 2.18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2.21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10.12</w:t>
      </w:r>
      <w:r>
        <w:rPr>
          <w:rFonts w:ascii="Times New Roman" w:cs="Times New Roman" w:eastAsia="Times New Roman" w:hAnsi="Times New Roman"/>
          <w:sz w:val="22"/>
          <w:szCs w:val="22"/>
          <w:color w:val="auto"/>
        </w:rPr>
        <w:t>, be applied by the Administrative Agent as follows:</w:t>
      </w:r>
    </w:p>
    <w:p>
      <w:pPr>
        <w:spacing w:after="0" w:line="246" w:lineRule="exact"/>
        <w:rPr>
          <w:sz w:val="20"/>
          <w:szCs w:val="20"/>
          <w:color w:val="auto"/>
        </w:rPr>
      </w:pPr>
    </w:p>
    <w:p>
      <w:pPr>
        <w:jc w:val="both"/>
        <w:ind w:left="660"/>
        <w:spacing w:after="0" w:line="271" w:lineRule="auto"/>
        <w:rPr>
          <w:sz w:val="20"/>
          <w:szCs w:val="20"/>
          <w:color w:val="auto"/>
        </w:rPr>
      </w:pP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to payment of that portion of the Obligations constituting fees, indemnities, expenses and other amounts, including attorney fees, payable to the Administrative Agent in its capacity as such;</w:t>
      </w:r>
    </w:p>
    <w:p>
      <w:pPr>
        <w:spacing w:after="0" w:line="158"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to payment of that portion of the Obligations constituting fees (other than Commitment Fees and Letter of Credit fees payable to the Lenders), indemnities and other amounts (other than principal and interest) payable to the Lenders and the Issuing Lenders under the Loan Documents, including attorney fees, ratably among the Lenders and the Issuing Lenders in proportion to the respective amounts described in this clause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payable to them;</w:t>
      </w:r>
    </w:p>
    <w:p>
      <w:pPr>
        <w:spacing w:after="0" w:line="230"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to payment of that portion of the Obligations constituting accrued and unpaid Commitment Fees, Letter of Credit fees payable to the Lenders and interest on the Advances and Reimbursement Obligations, ratably among the Lenders and the Issuing Lenders in proportion to the respective amounts described in this clause </w:t>
      </w: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payable to them;</w:t>
      </w:r>
    </w:p>
    <w:p>
      <w:pPr>
        <w:spacing w:after="0" w:line="227"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to payment of that portion of the Borrower Obligations and Guaranteed Obligations constituting unpaid principal of the Advances and Reimbursement Obligations, Guaranteed Hedge Obligations and Guaranteed Cash Management Obligations then owing and to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ectPr>
          <w:pgSz w:w="11900" w:h="16838" w:orient="portrait"/>
          <w:cols w:equalWidth="0" w:num="1">
            <w:col w:w="11240"/>
          </w:cols>
          <w:pgMar w:left="320" w:top="1260" w:right="339" w:bottom="1440" w:gutter="0" w:footer="0" w:header="0"/>
        </w:sectPr>
      </w:pPr>
    </w:p>
    <w:bookmarkStart w:id="226" w:name="page227"/>
    <w:bookmarkEnd w:id="226"/>
    <w:p>
      <w:pPr>
        <w:ind w:left="660"/>
        <w:spacing w:after="0" w:line="271" w:lineRule="auto"/>
        <w:rPr>
          <w:sz w:val="20"/>
          <w:szCs w:val="20"/>
          <w:color w:val="auto"/>
        </w:rPr>
      </w:pPr>
      <w:r>
        <w:rPr>
          <w:rFonts w:ascii="Times New Roman" w:cs="Times New Roman" w:eastAsia="Times New Roman" w:hAnsi="Times New Roman"/>
          <w:sz w:val="22"/>
          <w:szCs w:val="22"/>
          <w:color w:val="auto"/>
        </w:rPr>
        <w:t xml:space="preserve">Collateralize any L/C Obligations then outstanding, ratably among the holders of such obligations in proportion to the respective amounts described in this clause </w:t>
      </w: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xml:space="preserve"> payable to them; and</w:t>
      </w:r>
    </w:p>
    <w:p>
      <w:pPr>
        <w:spacing w:after="0" w:line="158"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22"/>
          <w:szCs w:val="22"/>
          <w:u w:val="single" w:color="auto"/>
          <w:color w:val="auto"/>
        </w:rPr>
        <w:t>Last</w:t>
      </w:r>
      <w:r>
        <w:rPr>
          <w:rFonts w:ascii="Times New Roman" w:cs="Times New Roman" w:eastAsia="Times New Roman" w:hAnsi="Times New Roman"/>
          <w:sz w:val="22"/>
          <w:szCs w:val="22"/>
          <w:color w:val="auto"/>
        </w:rPr>
        <w:t>, the balance, if any, after all of the Obligations have been paid in full, to the Company or as otherwise required by Applicable Law.</w:t>
      </w:r>
    </w:p>
    <w:p>
      <w:pPr>
        <w:spacing w:after="0" w:line="14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Notwithstanding the foregoing, Guaranteed Cash Management Obligations and Guaranteed Hedge Obligations shall be excluded from the application described above if the Administrative Agent has not received written notice thereof, together with such supporting documentation as the Administrative Agent may request, from the applicable holders thereof following such acceleration or exercise of remedies and at least three (3) Business Days prior to the application of the proceeds thereof. Each holder of Guaranteed Cash Management Obligations or Guaranteed Hedge Obligations that, in either case, is not a party to this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for itself and its Affiliates as if a “Lender” party hereto.</w:t>
      </w:r>
    </w:p>
    <w:p>
      <w:pPr>
        <w:spacing w:after="0" w:line="182"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u w:val="single" w:color="auto"/>
          <w:color w:val="auto"/>
        </w:rPr>
        <w:t>SECTION 9.22.</w:t>
      </w:r>
      <w:r>
        <w:rPr>
          <w:sz w:val="20"/>
          <w:szCs w:val="20"/>
          <w:color w:val="auto"/>
        </w:rPr>
        <w:tab/>
      </w:r>
      <w:r>
        <w:rPr>
          <w:rFonts w:ascii="Times New Roman" w:cs="Times New Roman" w:eastAsia="Times New Roman" w:hAnsi="Times New Roman"/>
          <w:sz w:val="21"/>
          <w:szCs w:val="21"/>
          <w:u w:val="single" w:color="auto"/>
          <w:color w:val="auto"/>
        </w:rPr>
        <w:t>No Advisory or Fiduciary Responsibility.</w:t>
      </w:r>
    </w:p>
    <w:p>
      <w:pPr>
        <w:spacing w:after="0" w:line="166" w:lineRule="exact"/>
        <w:rPr>
          <w:sz w:val="20"/>
          <w:szCs w:val="20"/>
          <w:color w:val="auto"/>
        </w:rPr>
      </w:pPr>
    </w:p>
    <w:p>
      <w:pPr>
        <w:jc w:val="both"/>
        <w:ind w:firstLine="656"/>
        <w:spacing w:after="0" w:line="259" w:lineRule="auto"/>
        <w:tabs>
          <w:tab w:leader="none" w:pos="1126" w:val="left"/>
        </w:tabs>
        <w:numPr>
          <w:ilvl w:val="0"/>
          <w:numId w:val="2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all aspects of each transaction contemplated hereby, each Credit Party acknowledges and agrees, and acknowledges its Affiliates’ understanding, that (i) the facilities provided for hereunder and any related arranging or other services in connection therewith (including in connection with any amendment, waiver or other modification hereof or of any other Loan Document) are an arm’s-length commercial transaction between the Company and its Affiliates, on the one hand, and the Administrative Agent and the Lenders, on the other hand, and the Company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each of the Administrative Agent and the Lenders is and has been acting solely as a principal and is not the financial advisor, agent or fiduciary, for the Company or any of its Affiliates, stockholders, creditors or employees or any other Person, (iii) none of the Administrative Agent or the Lenders has assumed or will assume an advisory, agency or fiduciary responsibility in favor of the Company with respect to any of the transactions contemplated hereby or the process leading thereto, including with respect to any amendment, waiver or other modification hereof or of any other Loan Document (irrespective of whether the Lender has advised or is currently advising the Company or any of its Affiliates on other matters) and none of the Administrative Agent or the Lenders has any obligation to the Company or any of its Affiliates with respect to the financing transactions contemplated hereby except those obligations expressly set forth herein and in the other Loan Documents, (iv) the Lenders and their respective Affiliates may be engaged in a broad range of transactions that involve interests that differ from, and may conflict with, those of the Company and its Affiliates, and none of the Administrative Agent or the Lenders has any obligation to disclose any of such interests by virtue of any advisory, agency or fiduciary relationship and (v) the Administrative Agent and the Lenders have not provided and will not provide any legal, accounting, regulatory or tax advice with respect to any of the transactions contemplated hereby (including any amendment, waiver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ectPr>
          <w:pgSz w:w="11900" w:h="16838" w:orient="portrait"/>
          <w:cols w:equalWidth="0" w:num="1">
            <w:col w:w="11240"/>
          </w:cols>
          <w:pgMar w:left="320" w:top="1260" w:right="339" w:bottom="1440" w:gutter="0" w:footer="0" w:header="0"/>
        </w:sectPr>
      </w:pPr>
    </w:p>
    <w:bookmarkStart w:id="227" w:name="page228"/>
    <w:bookmarkEnd w:id="227"/>
    <w:p>
      <w:pPr>
        <w:spacing w:after="0" w:line="271" w:lineRule="auto"/>
        <w:rPr>
          <w:sz w:val="20"/>
          <w:szCs w:val="20"/>
          <w:color w:val="auto"/>
        </w:rPr>
      </w:pPr>
      <w:r>
        <w:rPr>
          <w:rFonts w:ascii="Times New Roman" w:cs="Times New Roman" w:eastAsia="Times New Roman" w:hAnsi="Times New Roman"/>
          <w:sz w:val="22"/>
          <w:szCs w:val="22"/>
          <w:color w:val="auto"/>
        </w:rPr>
        <w:t>modification hereof or of any other Loan Document) and the Credit Parties have consulted their own legal, accounting, regulatory and tax advisors to the extent they have deemed appropriate.</w:t>
      </w:r>
    </w:p>
    <w:p>
      <w:pPr>
        <w:spacing w:after="0" w:line="158" w:lineRule="exact"/>
        <w:rPr>
          <w:sz w:val="20"/>
          <w:szCs w:val="20"/>
          <w:color w:val="auto"/>
        </w:rPr>
      </w:pPr>
    </w:p>
    <w:p>
      <w:pPr>
        <w:jc w:val="both"/>
        <w:ind w:firstLine="656"/>
        <w:spacing w:after="0" w:line="250" w:lineRule="auto"/>
        <w:tabs>
          <w:tab w:leader="none" w:pos="1123"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Credit Party acknowledges and agrees that each Lender and any Affiliate thereof may lend money to, invest in, and generally engage in any kind of business with, any of the Company, any Affiliate thereof or any other person or entity that may do business with or own securities of any of the foregoing, all as if such Lender or such Affiliate thereof were not a Lender or an Affiliate thereof (or an agent or any other person with any similar role under the Credit Facilities) and without any duty to account therefor to any other Lender, the Company or any Affiliate of the foregoing. Each Lender and any Affiliate thereof may accept fees and other consideration from the Company or any Affiliate thereof for services in connection with this Agreement, the Credit Facilities or otherwise without having to account for the same to any other Lender, the Company or any Affiliate of the foregoing.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X</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LETTER OF CREDIT FACILITY</w:t>
      </w:r>
    </w:p>
    <w:p>
      <w:pPr>
        <w:spacing w:after="0" w:line="220" w:lineRule="exact"/>
        <w:rPr>
          <w:sz w:val="20"/>
          <w:szCs w:val="20"/>
          <w:color w:val="auto"/>
        </w:rPr>
      </w:pPr>
    </w:p>
    <w:p>
      <w:pPr>
        <w:ind w:left="660"/>
        <w:spacing w:after="0"/>
        <w:tabs>
          <w:tab w:leader="none" w:pos="2360" w:val="left"/>
        </w:tabs>
        <w:rPr>
          <w:sz w:val="20"/>
          <w:szCs w:val="20"/>
          <w:color w:val="auto"/>
        </w:rPr>
      </w:pPr>
      <w:r>
        <w:rPr>
          <w:rFonts w:ascii="Times New Roman" w:cs="Times New Roman" w:eastAsia="Times New Roman" w:hAnsi="Times New Roman"/>
          <w:sz w:val="22"/>
          <w:szCs w:val="22"/>
          <w:color w:val="auto"/>
        </w:rPr>
        <w:t>SECTION 10.01.</w:t>
      </w:r>
      <w:r>
        <w:rPr>
          <w:sz w:val="20"/>
          <w:szCs w:val="20"/>
          <w:color w:val="auto"/>
        </w:rPr>
        <w:tab/>
      </w:r>
      <w:r>
        <w:rPr>
          <w:rFonts w:ascii="Times New Roman" w:cs="Times New Roman" w:eastAsia="Times New Roman" w:hAnsi="Times New Roman"/>
          <w:sz w:val="21"/>
          <w:szCs w:val="21"/>
          <w:u w:val="single" w:color="auto"/>
          <w:color w:val="auto"/>
        </w:rPr>
        <w:t>L/C Facility</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jc w:val="both"/>
        <w:ind w:firstLine="656"/>
        <w:spacing w:after="0" w:line="243" w:lineRule="auto"/>
        <w:tabs>
          <w:tab w:leader="none" w:pos="1158"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Availability</w:t>
      </w:r>
      <w:r>
        <w:rPr>
          <w:rFonts w:ascii="Times New Roman" w:cs="Times New Roman" w:eastAsia="Times New Roman" w:hAnsi="Times New Roman"/>
          <w:sz w:val="22"/>
          <w:szCs w:val="22"/>
          <w:color w:val="auto"/>
        </w:rPr>
        <w:t xml:space="preserve">. Subject to the terms and conditions hereof, each Issuing Lender, in reliance on the agreements of the Lenders set forth in </w:t>
      </w:r>
      <w:r>
        <w:rPr>
          <w:rFonts w:ascii="Times New Roman" w:cs="Times New Roman" w:eastAsia="Times New Roman" w:hAnsi="Times New Roman"/>
          <w:sz w:val="22"/>
          <w:szCs w:val="22"/>
          <w:u w:val="single" w:color="auto"/>
          <w:color w:val="auto"/>
        </w:rPr>
        <w:t>Section 10.04(a)</w:t>
      </w:r>
      <w:r>
        <w:rPr>
          <w:rFonts w:ascii="Times New Roman" w:cs="Times New Roman" w:eastAsia="Times New Roman" w:hAnsi="Times New Roman"/>
          <w:sz w:val="22"/>
          <w:szCs w:val="22"/>
          <w:color w:val="auto"/>
        </w:rPr>
        <w:t xml:space="preserve">, agrees to issue standby or commercial Letters of Credit in US Dollars or one or more Foreign Currencies in the Dollar Equivalent of an aggregate amount not to exceed its L/C Commitment for the account of the Company or, subject to </w:t>
      </w:r>
      <w:r>
        <w:rPr>
          <w:rFonts w:ascii="Times New Roman" w:cs="Times New Roman" w:eastAsia="Times New Roman" w:hAnsi="Times New Roman"/>
          <w:sz w:val="22"/>
          <w:szCs w:val="22"/>
          <w:u w:val="single" w:color="auto"/>
          <w:color w:val="auto"/>
        </w:rPr>
        <w:t>Section 10.10</w:t>
      </w:r>
      <w:r>
        <w:rPr>
          <w:rFonts w:ascii="Times New Roman" w:cs="Times New Roman" w:eastAsia="Times New Roman" w:hAnsi="Times New Roman"/>
          <w:sz w:val="22"/>
          <w:szCs w:val="22"/>
          <w:color w:val="auto"/>
        </w:rPr>
        <w:t>, any Subsidiary thereof, provided, that an Issuing Lender may designate an Applicable Lending Office as the issuing lender for all or a portion of its L/C Commitment under this Agreement. Letters of Credit may be issued on any Business Day from the Restatement Effective Date to, but not including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Business Day prior to the Termination Date in such form as may be approved from time to time by the applicable Issuing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 Issuing Lender shall be required to issue any Letter of Credit if, after giving effect to such issuance, (i) the Dollar Equivalent of the aggregate amount of the outstanding Letters of Credit issued by such Issuing Lender would exceed its L/C Commitment, (ii) the Dollar Equivalent of the L/C Obligations would exceed the L/C Sublimit or (iii) the Dollar Equivalent of the Revolving Credit Outstandings would exceed the total Commitments. Letters of Credit issued hereunder shall constitute utilization of the Commitments measured based on the Dollar Equivalent of the issued and outstanding Letters of Credit.</w:t>
      </w:r>
    </w:p>
    <w:p>
      <w:pPr>
        <w:spacing w:after="0" w:line="190" w:lineRule="exact"/>
        <w:rPr>
          <w:rFonts w:ascii="Times New Roman" w:cs="Times New Roman" w:eastAsia="Times New Roman" w:hAnsi="Times New Roman"/>
          <w:sz w:val="22"/>
          <w:szCs w:val="22"/>
          <w:color w:val="auto"/>
        </w:rPr>
      </w:pPr>
    </w:p>
    <w:p>
      <w:pPr>
        <w:jc w:val="both"/>
        <w:ind w:firstLine="656"/>
        <w:spacing w:after="0" w:line="249" w:lineRule="auto"/>
        <w:tabs>
          <w:tab w:leader="none" w:pos="1129"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of Letters of Credit</w:t>
      </w:r>
      <w:r>
        <w:rPr>
          <w:rFonts w:ascii="Times New Roman" w:cs="Times New Roman" w:eastAsia="Times New Roman" w:hAnsi="Times New Roman"/>
          <w:sz w:val="22"/>
          <w:szCs w:val="22"/>
          <w:color w:val="auto"/>
        </w:rPr>
        <w:t xml:space="preserve">. Each Letter of Credit shall (i) be denominated in US Dollars or in any Foreign Currency in a minimum amount of $10,000 or the Foreign Currency Equivalent thereof (or such other amount as agreed to by the applicable Issuing Lender and the Administrative Agent), (ii) expire on a date no more than twelve (12) months after the date of issuance or last renewal or extension of such Letter of Credit (subject to automatic renewal or extension for additional one (1) year periods (but not to a date later than the date set forth below) pursuant to the terms of the Letter of Credit Documents or other documentation acceptable to the applicable Issuing Lender), which date shall be no later than the fifth (5th) Business Day prior to the Termination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Letter of Credit may expire after such date, including as a result of customary “evergreen” provisions (each such Letter of Credit, an “</w:t>
      </w:r>
      <w:r>
        <w:rPr>
          <w:rFonts w:ascii="Times New Roman" w:cs="Times New Roman" w:eastAsia="Times New Roman" w:hAnsi="Times New Roman"/>
          <w:sz w:val="22"/>
          <w:szCs w:val="22"/>
          <w:u w:val="single" w:color="auto"/>
          <w:color w:val="auto"/>
        </w:rPr>
        <w:t>Extended Letter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ectPr>
          <w:pgSz w:w="11900" w:h="16838" w:orient="portrait"/>
          <w:cols w:equalWidth="0" w:num="1">
            <w:col w:w="11240"/>
          </w:cols>
          <w:pgMar w:left="320" w:top="1260" w:right="339" w:bottom="1440" w:gutter="0" w:footer="0" w:header="0"/>
        </w:sectPr>
      </w:pPr>
    </w:p>
    <w:bookmarkStart w:id="228" w:name="page229"/>
    <w:bookmarkEnd w:id="228"/>
    <w:p>
      <w:pPr>
        <w:jc w:val="both"/>
        <w:spacing w:after="0" w:line="246" w:lineRule="auto"/>
        <w:rPr>
          <w:sz w:val="20"/>
          <w:szCs w:val="20"/>
          <w:color w:val="auto"/>
        </w:rPr>
      </w:pPr>
      <w:r>
        <w:rPr>
          <w:rFonts w:ascii="Times New Roman" w:cs="Times New Roman" w:eastAsia="Times New Roman" w:hAnsi="Times New Roman"/>
          <w:sz w:val="22"/>
          <w:szCs w:val="22"/>
          <w:u w:val="single" w:color="auto"/>
          <w:color w:val="auto"/>
        </w:rPr>
        <w:t>Credit</w:t>
      </w:r>
      <w:r>
        <w:rPr>
          <w:rFonts w:ascii="Times New Roman" w:cs="Times New Roman" w:eastAsia="Times New Roman" w:hAnsi="Times New Roman"/>
          <w:sz w:val="22"/>
          <w:szCs w:val="22"/>
          <w:color w:val="auto"/>
        </w:rPr>
        <w:t xml:space="preserve">”), with the consent of the applicable Issuing Lender and subject to the requirements of </w:t>
      </w:r>
      <w:r>
        <w:rPr>
          <w:rFonts w:ascii="Times New Roman" w:cs="Times New Roman" w:eastAsia="Times New Roman" w:hAnsi="Times New Roman"/>
          <w:sz w:val="22"/>
          <w:szCs w:val="22"/>
          <w:u w:val="single" w:color="auto"/>
          <w:color w:val="auto"/>
        </w:rPr>
        <w:t>Section 10.12</w:t>
      </w:r>
      <w:r>
        <w:rPr>
          <w:rFonts w:ascii="Times New Roman" w:cs="Times New Roman" w:eastAsia="Times New Roman" w:hAnsi="Times New Roman"/>
          <w:sz w:val="22"/>
          <w:szCs w:val="22"/>
          <w:color w:val="auto"/>
        </w:rPr>
        <w:t xml:space="preserve">, and (iii) unless otherwise expressly agreed by the applicable Issuing Lender and the Company when a Letter of Credit is issued by it (including any such agreement applicable to an Existing Letter of Credit), be subject to the UCP, in the case of a commercial Letter of Credit, or the ISP, in the case of a standby Letter of Credit, in each case, as set forth in the Letter of Credit Documents or as determined by the applicable Issuing Lender and, to the extent not inconsistent therewith, the laws of the State of New York. No Issuing Lender shall at any time be obligated to issue any Letter of Credit hereunder if (A) any order, judgment or decree of any Governmental Authority shall by its terms purport to enjoin or restrain such Issuing Lender from issuing such Letter of Credit, or request that such Issuing Lender refrain from, or any Applicable Law applicable to such Issuing Lender or any request or directive (whether or not having the force of law) from any Governmental Authority with jurisdiction over such Issuing Lender shall prohibit, the issuance of letters of credit generally or such Letter of Credit in particular or shall impose upon such Issuing Lender with respect to letters of credit generally or such Letter of Credit in particular any restriction or reserve or capital requirement (for which such Issuing Lender is not otherwise compensated) not in effect on the Restatement Effective Date, or any unreimbursed loss, cost or expense that was not applicable, in effect or known to such Issuing Lender as of the Restatement Effective Date and that such Issuing Lender in good faith deems material to it, (B) the conditions set forth in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 xml:space="preserve"> are not satisfied, (C) the issuance of such Letter of Credit would violate one or more policies of such Issuing Lender applicable to letters of credit generally, (D) the proceeds of which would be made available to any Person to fund any activity or business of or with any Sanctioned Person, or in any Sanctioned Country, in each case, in violation of Sanctions or in any manner that would result in a violation of any Sanctions by any party to this Agreement or (E) any Lender is at that time a Defaulting Lender, unless (1) no Fronting Exposure exists as a result of the application of Section 2.18(c) or (2) such Issuing Lender has entered into arrangements, including the delivery of Cash Collateral, satisfactory to such Issuing Lender (in its sole discretion) with the Company or such Lender to eliminate such Issuing Lender’s actual or potential Fronting Exposure. An Issuing Lender shall be under no obligation to amend any Letter of Credit if (x) such Issuing Lender would have no obligation at such time to issue the Letter of Credit in its amended form under the terms hereof or (y) the beneficiary of the Letter of Credit does not accept the proposed amendment to the Letter of Credit. References herein to “issue” and derivations thereof with respect to Letters of Credit shall also include extensions or modifications of any outstanding Letters of Credit, unless the context otherwise requires. As of the Restatement Effective Date, each of the Existing Letters of Credit shall constitute, for all purposes of this Agreement and the other Loan Documents, a Letter of Credit issued and outstanding hereunder.</w:t>
      </w:r>
    </w:p>
    <w:p>
      <w:pPr>
        <w:spacing w:after="0" w:line="208" w:lineRule="exact"/>
        <w:rPr>
          <w:sz w:val="20"/>
          <w:szCs w:val="20"/>
          <w:color w:val="auto"/>
        </w:rPr>
      </w:pPr>
    </w:p>
    <w:p>
      <w:pPr>
        <w:ind w:firstLine="656"/>
        <w:spacing w:after="0" w:line="284" w:lineRule="auto"/>
        <w:tabs>
          <w:tab w:leader="none" w:pos="1239"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Defaulting Lenders</w:t>
      </w:r>
      <w:r>
        <w:rPr>
          <w:rFonts w:ascii="Times New Roman" w:cs="Times New Roman" w:eastAsia="Times New Roman" w:hAnsi="Times New Roman"/>
          <w:sz w:val="22"/>
          <w:szCs w:val="22"/>
          <w:color w:val="auto"/>
        </w:rPr>
        <w:t xml:space="preserve">. Notwithstanding anything to the contrary contained in this Agreement,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shall be subject to the terms and conditions of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left="660"/>
        <w:spacing w:after="0"/>
        <w:tabs>
          <w:tab w:leader="none" w:pos="2360" w:val="left"/>
        </w:tabs>
        <w:rPr>
          <w:sz w:val="20"/>
          <w:szCs w:val="20"/>
          <w:color w:val="auto"/>
        </w:rPr>
      </w:pPr>
      <w:r>
        <w:rPr>
          <w:rFonts w:ascii="Times New Roman" w:cs="Times New Roman" w:eastAsia="Times New Roman" w:hAnsi="Times New Roman"/>
          <w:sz w:val="22"/>
          <w:szCs w:val="22"/>
          <w:color w:val="auto"/>
        </w:rPr>
        <w:t>SECTION 10.02.</w:t>
      </w:r>
      <w:r>
        <w:rPr>
          <w:sz w:val="20"/>
          <w:szCs w:val="20"/>
          <w:color w:val="auto"/>
        </w:rPr>
        <w:tab/>
      </w:r>
      <w:r>
        <w:rPr>
          <w:rFonts w:ascii="Times New Roman" w:cs="Times New Roman" w:eastAsia="Times New Roman" w:hAnsi="Times New Roman"/>
          <w:sz w:val="21"/>
          <w:szCs w:val="21"/>
          <w:u w:val="single" w:color="auto"/>
          <w:color w:val="auto"/>
        </w:rPr>
        <w:t>Procedure for Issuance and Disbursement of Letters of Credit</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jc w:val="both"/>
        <w:ind w:firstLine="656"/>
        <w:spacing w:after="0" w:line="253" w:lineRule="auto"/>
        <w:tabs>
          <w:tab w:leader="none" w:pos="1189"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from time to time request that any Issuing Lender issue, amend, renew or extend a Letter of Credit by delivering to such Issuing Lender at its Applicable Lending Office (with a copy to the Administrative Agent at the Administrative Agent’s office) a Letter of Credit Application therefor, completed to the satisfaction of such Issuing Lender, and such other certificates, documents and other Letter of Credit Documents and information as such Issuing Lender or the Administrative Agent may request, not later than 11:00 a.m. at least two (2)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ectPr>
          <w:pgSz w:w="11900" w:h="16838" w:orient="portrait"/>
          <w:cols w:equalWidth="0" w:num="1">
            <w:col w:w="11240"/>
          </w:cols>
          <w:pgMar w:left="320" w:top="1260" w:right="339" w:bottom="1440" w:gutter="0" w:footer="0" w:header="0"/>
        </w:sectPr>
      </w:pPr>
    </w:p>
    <w:bookmarkStart w:id="229" w:name="page230"/>
    <w:bookmarkEnd w:id="229"/>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Days (or such later date and time as the Administrative Agent and such Issuing Lender may agree in their sole discretion) prior to the proposed date of issuance, amendment, renewal or extension, as the case may be. Such notice shall specify (i) the requested date of issuance, amendment, renewal or extension (which shall be a Business Day), (ii) the date on which such Letter of Credit is to expire (which shall comply with </w:t>
      </w:r>
      <w:r>
        <w:rPr>
          <w:rFonts w:ascii="Times New Roman" w:cs="Times New Roman" w:eastAsia="Times New Roman" w:hAnsi="Times New Roman"/>
          <w:sz w:val="22"/>
          <w:szCs w:val="22"/>
          <w:u w:val="single" w:color="auto"/>
          <w:color w:val="auto"/>
        </w:rPr>
        <w:t>Section 10.01(b)</w:t>
      </w:r>
      <w:r>
        <w:rPr>
          <w:rFonts w:ascii="Times New Roman" w:cs="Times New Roman" w:eastAsia="Times New Roman" w:hAnsi="Times New Roman"/>
          <w:sz w:val="22"/>
          <w:szCs w:val="22"/>
          <w:color w:val="auto"/>
        </w:rPr>
        <w:t xml:space="preserve">), (iii) the amount and Currency of such Letter of Credit, (iv) the name and address of the beneficiary thereof, (v) the purpose and nature of such Letter of Credit and (vi) such other information as shall be necessary to issue, amend, renew or extend such Letter of Credit. Upon receipt of any Letter of Credit Application, the applicable Issuing Lender shall process such Letter of Credit Application and the certificates, documents and other Letter of Credit Documents and information delivered to it in connection therewith in accordance with its customary procedures and shall, subject to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promptly issue, amend, renew or extend the Letter of Credit requested thereby (subject to the timing requirements set forth in this </w:t>
      </w:r>
      <w:r>
        <w:rPr>
          <w:rFonts w:ascii="Times New Roman" w:cs="Times New Roman" w:eastAsia="Times New Roman" w:hAnsi="Times New Roman"/>
          <w:sz w:val="22"/>
          <w:szCs w:val="22"/>
          <w:u w:val="single" w:color="auto"/>
          <w:color w:val="auto"/>
        </w:rPr>
        <w:t>Section 10.02</w:t>
      </w:r>
      <w:r>
        <w:rPr>
          <w:rFonts w:ascii="Times New Roman" w:cs="Times New Roman" w:eastAsia="Times New Roman" w:hAnsi="Times New Roman"/>
          <w:sz w:val="22"/>
          <w:szCs w:val="22"/>
          <w:color w:val="auto"/>
        </w:rPr>
        <w:t>) by issuing the original of such Letter of Credit to the beneficiary thereof or as otherwise may be agreed by such Issuing Lender and the Company. The applicable Issuing Lender shall promptly furnish to the Company and the Administrative Agent a copy of such Letter of Credit and the related Letter of Credit Documents and the Administrative Agent shall promptly notify each Lender of the issuance and upon request by any Lender, furnish to such Lender a copy of such Letter of Credit and the amount of such Lender’s participation therein.</w:t>
      </w:r>
    </w:p>
    <w:p>
      <w:pPr>
        <w:spacing w:after="0" w:line="203" w:lineRule="exact"/>
        <w:rPr>
          <w:sz w:val="20"/>
          <w:szCs w:val="20"/>
          <w:color w:val="auto"/>
        </w:rPr>
      </w:pPr>
    </w:p>
    <w:p>
      <w:pPr>
        <w:jc w:val="both"/>
        <w:ind w:firstLine="656"/>
        <w:spacing w:after="0" w:line="251" w:lineRule="auto"/>
        <w:tabs>
          <w:tab w:leader="none" w:pos="1138"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Issuing Lender for any Letter of Credit shall, within the time allowed by Applicable Laws or the specific terms of the Letter of Credit following its receipt thereof, examine all documents purporting to represent a demand for payment under such Letter of Credit. Such Issuing Lender shall promptly after such examination notify the Administrative Agent and the Company in writing of such demand for payment if such Issuing Lender has or will honor such demand for payment thereunder; provided that any failure to give or delay in giving such notice shall not relieve the Company of its obligation to reimburse such Issuing Lender and the L/C Participants with respect to such payment.</w:t>
      </w:r>
    </w:p>
    <w:p>
      <w:pPr>
        <w:spacing w:after="0" w:line="181" w:lineRule="exact"/>
        <w:rPr>
          <w:sz w:val="20"/>
          <w:szCs w:val="20"/>
          <w:color w:val="auto"/>
        </w:rPr>
      </w:pPr>
    </w:p>
    <w:p>
      <w:pPr>
        <w:ind w:left="660"/>
        <w:spacing w:after="0"/>
        <w:tabs>
          <w:tab w:leader="none" w:pos="2360" w:val="left"/>
        </w:tabs>
        <w:rPr>
          <w:sz w:val="20"/>
          <w:szCs w:val="20"/>
          <w:color w:val="auto"/>
        </w:rPr>
      </w:pPr>
      <w:r>
        <w:rPr>
          <w:rFonts w:ascii="Times New Roman" w:cs="Times New Roman" w:eastAsia="Times New Roman" w:hAnsi="Times New Roman"/>
          <w:sz w:val="22"/>
          <w:szCs w:val="22"/>
          <w:color w:val="auto"/>
        </w:rPr>
        <w:t>SECTION 10.03.</w:t>
      </w:r>
      <w:r>
        <w:rPr>
          <w:sz w:val="20"/>
          <w:szCs w:val="20"/>
          <w:color w:val="auto"/>
        </w:rPr>
        <w:tab/>
      </w:r>
      <w:r>
        <w:rPr>
          <w:rFonts w:ascii="Times New Roman" w:cs="Times New Roman" w:eastAsia="Times New Roman" w:hAnsi="Times New Roman"/>
          <w:sz w:val="21"/>
          <w:szCs w:val="21"/>
          <w:u w:val="single" w:color="auto"/>
          <w:color w:val="auto"/>
        </w:rPr>
        <w:t>Commissions and Other Charges</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jc w:val="both"/>
        <w:ind w:firstLine="656"/>
        <w:spacing w:after="0" w:line="249" w:lineRule="auto"/>
        <w:tabs>
          <w:tab w:leader="none" w:pos="1131"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Letter of Credit Commissions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xml:space="preserve"> the Company shall pay to the Administrative Agent, for the account of the applicable Issuing Lender and the L/C Participants, a letter of credit commission with respect to each Letter of Credit beginning on the Restatement Effective Date in the amount equal to the Dollar Equivalent of the daily amount available to be drawn under such standby and commercial Letters of Credit times the Applicable Margin with respect to Revolving Advances that are RFR Advances (determined, in each case, on a per annum basis). Such commission shall be payable in US Dollars quarterly in arrears on the last Business Day of each calendar quarter (commencing with the first such date to occur after the issuance of such Letter of Credit), on the Termination Date and thereafter on demand of the Administrative Agent. The Administrative Agent shall, promptly following its receipt thereof, distribute to the applicable Issuing Lender and the L/C Participants all commissions received pursuant to this </w:t>
      </w:r>
      <w:r>
        <w:rPr>
          <w:rFonts w:ascii="Times New Roman" w:cs="Times New Roman" w:eastAsia="Times New Roman" w:hAnsi="Times New Roman"/>
          <w:sz w:val="22"/>
          <w:szCs w:val="22"/>
          <w:u w:val="single" w:color="auto"/>
          <w:color w:val="auto"/>
        </w:rPr>
        <w:t>Section 10.03</w:t>
      </w:r>
      <w:r>
        <w:rPr>
          <w:rFonts w:ascii="Times New Roman" w:cs="Times New Roman" w:eastAsia="Times New Roman" w:hAnsi="Times New Roman"/>
          <w:sz w:val="22"/>
          <w:szCs w:val="22"/>
          <w:color w:val="auto"/>
        </w:rPr>
        <w:t xml:space="preserve"> in accordance with their respective Commitment Percentages.</w:t>
      </w:r>
    </w:p>
    <w:p>
      <w:pPr>
        <w:spacing w:after="0" w:line="183" w:lineRule="exact"/>
        <w:rPr>
          <w:rFonts w:ascii="Times New Roman" w:cs="Times New Roman" w:eastAsia="Times New Roman" w:hAnsi="Times New Roman"/>
          <w:sz w:val="22"/>
          <w:szCs w:val="22"/>
          <w:color w:val="auto"/>
        </w:rPr>
      </w:pPr>
    </w:p>
    <w:p>
      <w:pPr>
        <w:jc w:val="both"/>
        <w:ind w:firstLine="656"/>
        <w:spacing w:after="0" w:line="252" w:lineRule="auto"/>
        <w:tabs>
          <w:tab w:leader="none" w:pos="1197"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Fee</w:t>
      </w:r>
      <w:r>
        <w:rPr>
          <w:rFonts w:ascii="Times New Roman" w:cs="Times New Roman" w:eastAsia="Times New Roman" w:hAnsi="Times New Roman"/>
          <w:sz w:val="22"/>
          <w:szCs w:val="22"/>
          <w:color w:val="auto"/>
        </w:rPr>
        <w:t>. In addition to the foregoing commission, the Company shall pay directly to the applicable Issuing Lender, for its own account, an issuance fee with respect to each Letter of Credit issued by such Issuing Lender in such amount or as otherwise agreed upon between such Issuing Lender and the Company. Such issuance fee shall be payable in US Dollars quarterly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ectPr>
          <w:pgSz w:w="11900" w:h="16838" w:orient="portrait"/>
          <w:cols w:equalWidth="0" w:num="1">
            <w:col w:w="11240"/>
          </w:cols>
          <w:pgMar w:left="320" w:top="1260" w:right="339" w:bottom="1440" w:gutter="0" w:footer="0" w:header="0"/>
        </w:sectPr>
      </w:pPr>
    </w:p>
    <w:bookmarkStart w:id="230" w:name="page231"/>
    <w:bookmarkEnd w:id="230"/>
    <w:p>
      <w:pPr>
        <w:jc w:val="both"/>
        <w:spacing w:after="0" w:line="256" w:lineRule="auto"/>
        <w:rPr>
          <w:sz w:val="20"/>
          <w:szCs w:val="20"/>
          <w:color w:val="auto"/>
        </w:rPr>
      </w:pPr>
      <w:r>
        <w:rPr>
          <w:rFonts w:ascii="Times New Roman" w:cs="Times New Roman" w:eastAsia="Times New Roman" w:hAnsi="Times New Roman"/>
          <w:sz w:val="22"/>
          <w:szCs w:val="22"/>
          <w:color w:val="auto"/>
        </w:rPr>
        <w:t>in arrears on the last Business Day of each calendar quarter commencing with the first such date to occur after the issuance of such Letter of Credit, on the Termination Date and thereafter on demand of the applicable Issuing Lender. For the avoidance of doubt, such issuance fee shall be applicable to and paid upon each of the Existing Letters of Credit beginning on the Restatement Effective Date.</w:t>
      </w:r>
    </w:p>
    <w:p>
      <w:pPr>
        <w:spacing w:after="0" w:line="176" w:lineRule="exact"/>
        <w:rPr>
          <w:sz w:val="20"/>
          <w:szCs w:val="20"/>
          <w:color w:val="auto"/>
        </w:rPr>
      </w:pPr>
    </w:p>
    <w:p>
      <w:pPr>
        <w:jc w:val="both"/>
        <w:ind w:right="20" w:firstLine="656"/>
        <w:spacing w:after="0" w:line="268" w:lineRule="auto"/>
        <w:tabs>
          <w:tab w:leader="none" w:pos="1104" w:val="left"/>
        </w:tabs>
        <w:numPr>
          <w:ilvl w:val="0"/>
          <w:numId w:val="2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Fees, Costs, Charges and Expenses</w:t>
      </w:r>
      <w:r>
        <w:rPr>
          <w:rFonts w:ascii="Times New Roman" w:cs="Times New Roman" w:eastAsia="Times New Roman" w:hAnsi="Times New Roman"/>
          <w:sz w:val="21"/>
          <w:szCs w:val="21"/>
          <w:color w:val="auto"/>
        </w:rPr>
        <w:t>. In addition to the foregoing fees and commissions, the Company shall pay or reimburse each Issuing Lender for such normal and customary fees, costs, charges and expenses as are incurred or charged by such Issuing Lender in issuing, effecting payment under, amending or otherwise administering any Letter of Credit issued by it. Such customary fees, costs, charges and expenses are due and payable in US Dollars on demand and are nonrefundable.</w:t>
      </w:r>
    </w:p>
    <w:p>
      <w:pPr>
        <w:spacing w:after="0" w:line="177" w:lineRule="exact"/>
        <w:rPr>
          <w:sz w:val="20"/>
          <w:szCs w:val="20"/>
          <w:color w:val="auto"/>
        </w:rPr>
      </w:pPr>
    </w:p>
    <w:p>
      <w:pPr>
        <w:ind w:left="660"/>
        <w:spacing w:after="0"/>
        <w:tabs>
          <w:tab w:leader="none" w:pos="2360" w:val="left"/>
        </w:tabs>
        <w:rPr>
          <w:sz w:val="20"/>
          <w:szCs w:val="20"/>
          <w:color w:val="auto"/>
        </w:rPr>
      </w:pPr>
      <w:r>
        <w:rPr>
          <w:rFonts w:ascii="Times New Roman" w:cs="Times New Roman" w:eastAsia="Times New Roman" w:hAnsi="Times New Roman"/>
          <w:sz w:val="22"/>
          <w:szCs w:val="22"/>
          <w:color w:val="auto"/>
        </w:rPr>
        <w:t>SECTION 10.04.</w:t>
      </w:r>
      <w:r>
        <w:rPr>
          <w:sz w:val="20"/>
          <w:szCs w:val="20"/>
          <w:color w:val="auto"/>
        </w:rPr>
        <w:tab/>
      </w:r>
      <w:r>
        <w:rPr>
          <w:rFonts w:ascii="Times New Roman" w:cs="Times New Roman" w:eastAsia="Times New Roman" w:hAnsi="Times New Roman"/>
          <w:sz w:val="21"/>
          <w:szCs w:val="21"/>
          <w:u w:val="single" w:color="auto"/>
          <w:color w:val="auto"/>
        </w:rPr>
        <w:t>L/C Participations</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jc w:val="both"/>
        <w:ind w:firstLine="656"/>
        <w:spacing w:after="0" w:line="248" w:lineRule="auto"/>
        <w:tabs>
          <w:tab w:leader="none" w:pos="1212"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Issuing Lender irrevocably agrees to grant and hereby grants to each L/C Participant, and, to induce each Issuing Lender to issue Letters of Credit hereunder, each L/C Participant irrevocably agrees to accept and purchase and hereby accepts and purchases from each Issuing Lender, on the terms and conditions hereinafter stated, for such L/C Participant’s own account and risk an undivided interest equal to such L/C Participant’s Commitment Percentage in each Issuing Lender’s obligations and rights under and in respect of each Letter of Credit issued by it hereunder and the amount of each draft paid by such Issuing Lender thereunder. Each L/C Participant unconditionally and irrevocably agrees with each Issuing Lender that, if a draft is paid under any Letter of Credit issued by such Issuing Lender for which such Issuing Lender is not reimbursed in full by the Company through a Revolving Advance or otherwise in accordance with the terms of this Agreement, such L/C Participant shall pay to such Issuing Lender in the Currency of such Letter of Credit, upon demand at such Issuing Lender’s address for notices specified herein an amount equal to such L/C Participant’s Commitment Percentage of the amount of such draft, or any part thereof, which is not so reimbursed.</w:t>
      </w:r>
    </w:p>
    <w:p>
      <w:pPr>
        <w:spacing w:after="0" w:line="188" w:lineRule="exact"/>
        <w:rPr>
          <w:rFonts w:ascii="Times New Roman" w:cs="Times New Roman" w:eastAsia="Times New Roman" w:hAnsi="Times New Roman"/>
          <w:sz w:val="22"/>
          <w:szCs w:val="22"/>
          <w:color w:val="auto"/>
        </w:rPr>
      </w:pPr>
    </w:p>
    <w:p>
      <w:pPr>
        <w:jc w:val="both"/>
        <w:ind w:firstLine="656"/>
        <w:spacing w:after="0" w:line="260" w:lineRule="auto"/>
        <w:tabs>
          <w:tab w:leader="none" w:pos="1151" w:val="left"/>
        </w:tabs>
        <w:numPr>
          <w:ilvl w:val="0"/>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becoming aware of any amount required to be paid by any L/C Participant to any Issuing Lender pursuant to </w:t>
      </w:r>
      <w:r>
        <w:rPr>
          <w:rFonts w:ascii="Times New Roman" w:cs="Times New Roman" w:eastAsia="Times New Roman" w:hAnsi="Times New Roman"/>
          <w:sz w:val="21"/>
          <w:szCs w:val="21"/>
          <w:u w:val="single" w:color="auto"/>
          <w:color w:val="auto"/>
        </w:rPr>
        <w:t>Section 10.04(a)</w:t>
      </w:r>
      <w:r>
        <w:rPr>
          <w:rFonts w:ascii="Times New Roman" w:cs="Times New Roman" w:eastAsia="Times New Roman" w:hAnsi="Times New Roman"/>
          <w:sz w:val="21"/>
          <w:szCs w:val="21"/>
          <w:color w:val="auto"/>
        </w:rPr>
        <w:t xml:space="preserve"> in respect of any unreimbursed portion of any payment made by such Issuing Lender under any Letter of Credit, issued by it, such Issuing Lender shall notify the Administrative Agent of such unreimbursed amount and the Currency thereof and the Administrative Agent shall notify each L/C Participant (with a copy to the applicable Issuing Lender) of the amount, Currency and due date of such required payment and such L/C Participant shall pay to the Administrative Agent (which, in turn shall pay such Issuing Lender) the amount specified on the applicable due date. If any such amount is paid to such Issuing Lender after the date such payment is due, such L/C Participant shall pay to the Administrative Agent, which in turn shall pay such Issuing Lender, in the applicable Currency in which such Letter of Credit is denominated, on demand, in addition to such amount, the product of (i) such amount, </w:t>
      </w:r>
      <w:r>
        <w:rPr>
          <w:rFonts w:ascii="Times New Roman" w:cs="Times New Roman" w:eastAsia="Times New Roman" w:hAnsi="Times New Roman"/>
          <w:sz w:val="21"/>
          <w:szCs w:val="21"/>
          <w:u w:val="single" w:color="auto"/>
          <w:color w:val="auto"/>
        </w:rPr>
        <w:t>times</w:t>
      </w:r>
      <w:r>
        <w:rPr>
          <w:rFonts w:ascii="Times New Roman" w:cs="Times New Roman" w:eastAsia="Times New Roman" w:hAnsi="Times New Roman"/>
          <w:sz w:val="21"/>
          <w:szCs w:val="21"/>
          <w:color w:val="auto"/>
        </w:rPr>
        <w:t xml:space="preserve"> (ii) the applicable Overnight Rate as determined by the Administrative Agent during the period from and including the date such payment is due to the date on which such payment is immediately available to such Issuing Lender, </w:t>
      </w:r>
      <w:r>
        <w:rPr>
          <w:rFonts w:ascii="Times New Roman" w:cs="Times New Roman" w:eastAsia="Times New Roman" w:hAnsi="Times New Roman"/>
          <w:sz w:val="21"/>
          <w:szCs w:val="21"/>
          <w:u w:val="single" w:color="auto"/>
          <w:color w:val="auto"/>
        </w:rPr>
        <w:t>times</w:t>
      </w:r>
      <w:r>
        <w:rPr>
          <w:rFonts w:ascii="Times New Roman" w:cs="Times New Roman" w:eastAsia="Times New Roman" w:hAnsi="Times New Roman"/>
          <w:sz w:val="21"/>
          <w:szCs w:val="21"/>
          <w:color w:val="auto"/>
        </w:rPr>
        <w:t xml:space="preserve"> (iii) a fraction the numerator of which is the number of days that elapse during such period and the denominator of which is 360, plus any administrative, processing or similar fees customarily charged by such Issuing Lender in connection with the foregoing. A certificate of such Issuing Lender with respect to any amounts owing under this Section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ectPr>
          <w:pgSz w:w="11900" w:h="16838" w:orient="portrait"/>
          <w:cols w:equalWidth="0" w:num="1">
            <w:col w:w="11240"/>
          </w:cols>
          <w:pgMar w:left="320" w:top="1260" w:right="339" w:bottom="1440" w:gutter="0" w:footer="0" w:header="0"/>
        </w:sectPr>
      </w:pPr>
    </w:p>
    <w:bookmarkStart w:id="231" w:name="page232"/>
    <w:bookmarkEnd w:id="231"/>
    <w:p>
      <w:pPr>
        <w:jc w:val="both"/>
        <w:spacing w:after="0" w:line="256" w:lineRule="auto"/>
        <w:rPr>
          <w:sz w:val="20"/>
          <w:szCs w:val="20"/>
          <w:color w:val="auto"/>
        </w:rPr>
      </w:pPr>
      <w:r>
        <w:rPr>
          <w:rFonts w:ascii="Times New Roman" w:cs="Times New Roman" w:eastAsia="Times New Roman" w:hAnsi="Times New Roman"/>
          <w:sz w:val="22"/>
          <w:szCs w:val="22"/>
          <w:color w:val="auto"/>
        </w:rPr>
        <w:t>conclusive in the absence of manifest error. With respect to payment to such Issuing Lender of the unreimbursed amounts described in this Section, if the L/C Participants receive notice that any such payment is due (A) prior to 1:00 p.m. on any Business Day, such payment shall be due that Business Day, and (B) after 1:00 p.m. on any Business Day, such payment shall be due on the following Business Day.</w:t>
      </w:r>
    </w:p>
    <w:p>
      <w:pPr>
        <w:spacing w:after="0" w:line="176" w:lineRule="exact"/>
        <w:rPr>
          <w:sz w:val="20"/>
          <w:szCs w:val="20"/>
          <w:color w:val="auto"/>
        </w:rPr>
      </w:pPr>
    </w:p>
    <w:p>
      <w:pPr>
        <w:jc w:val="both"/>
        <w:ind w:firstLine="656"/>
        <w:spacing w:after="0" w:line="250" w:lineRule="auto"/>
        <w:tabs>
          <w:tab w:leader="none" w:pos="1149"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Whenever, at any time after any Issuing Lender has made payment under any Letter of Credit issued by it and has received from any L/C Participant its Commitment Percentage of such payment in accordance with this Section, such Issuing Lender receives any payment related to such Letter of Credit (whether directly from the Administrative Agent or otherwise), or any payment of interest on account thereof, such Issuing Lender will distribute to such L/C Participant its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share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the event that any such payment received by such Issuing Lender shall be required to be returned by such Issuing Lender, such L/C Participant shall return to the Administrative Agent, which shall in turn pay to such Issuing Lender, the portion thereof previously distributed by such Issuing Lender to it.</w:t>
      </w:r>
    </w:p>
    <w:p>
      <w:pPr>
        <w:spacing w:after="0" w:line="180" w:lineRule="exact"/>
        <w:rPr>
          <w:rFonts w:ascii="Times New Roman" w:cs="Times New Roman" w:eastAsia="Times New Roman" w:hAnsi="Times New Roman"/>
          <w:sz w:val="22"/>
          <w:szCs w:val="22"/>
          <w:color w:val="auto"/>
        </w:rPr>
      </w:pPr>
    </w:p>
    <w:p>
      <w:pPr>
        <w:jc w:val="both"/>
        <w:ind w:firstLine="656"/>
        <w:spacing w:after="0" w:line="250" w:lineRule="auto"/>
        <w:tabs>
          <w:tab w:leader="none" w:pos="1155"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L/C Participant’s obligation to make the Revolving Advances and to purchase participating interests pursuant to this </w:t>
      </w:r>
      <w:r>
        <w:rPr>
          <w:rFonts w:ascii="Times New Roman" w:cs="Times New Roman" w:eastAsia="Times New Roman" w:hAnsi="Times New Roman"/>
          <w:sz w:val="22"/>
          <w:szCs w:val="22"/>
          <w:u w:val="single" w:color="auto"/>
          <w:color w:val="auto"/>
        </w:rPr>
        <w:t>Section 10.04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10.05</w:t>
      </w:r>
      <w:r>
        <w:rPr>
          <w:rFonts w:ascii="Times New Roman" w:cs="Times New Roman" w:eastAsia="Times New Roman" w:hAnsi="Times New Roman"/>
          <w:sz w:val="22"/>
          <w:szCs w:val="22"/>
          <w:color w:val="auto"/>
        </w:rPr>
        <w:t>, as applicable, shall be absolute and unconditional and shall not be affected by any circumstance, including (i) any setoff, counterclaim, recoupment, defense or other right that such Lender or the Company may have against the Issuing Lender, the Company or any other Person for any reason whatsoever, (ii) the occurrence or continuance of a Default or an Event of Default or the failure to satisfy any of the other conditions specified in Section 3.02, (iii) any adverse change in the condition (financial or otherwise) of the Company, (iv) any breach of this Agreement or any other Loan Document by the Company, any other Credit Party or any other Lender or (v) any adverse change in the relevant exchange rates or in the availability of the relevant Foreign Currency to any L/C Participant or in the relevant currency markets generally or (vi) any other circumstance, happening or event whatsoever, whether or not similar to any of the foregoing.</w:t>
      </w:r>
    </w:p>
    <w:p>
      <w:pPr>
        <w:spacing w:after="0" w:line="18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SECTION 10.05. </w:t>
      </w:r>
      <w:r>
        <w:rPr>
          <w:rFonts w:ascii="Times New Roman" w:cs="Times New Roman" w:eastAsia="Times New Roman" w:hAnsi="Times New Roman"/>
          <w:sz w:val="21"/>
          <w:szCs w:val="21"/>
          <w:u w:val="single" w:color="auto"/>
          <w:color w:val="auto"/>
        </w:rPr>
        <w:t>Reimbursement</w:t>
      </w:r>
      <w:r>
        <w:rPr>
          <w:rFonts w:ascii="Times New Roman" w:cs="Times New Roman" w:eastAsia="Times New Roman" w:hAnsi="Times New Roman"/>
          <w:sz w:val="21"/>
          <w:szCs w:val="21"/>
          <w:color w:val="auto"/>
        </w:rPr>
        <w:t xml:space="preserve">. In the event of any drawing under any Letter of Credit, the Company agrees to reimburse (either with the proceeds of an Advance as provided for in this Section or with funds from other sources), in same day funds, in the Currency of such Letter of Credit, the applicable Issuing Lender by paying to the Administrative Agent the amount of such drawing not later than 12:00 noon on the Business Day immediately following the day that the Company receives such notice for the amount of (x) such draft so paid and (y) any amounts referred to in </w:t>
      </w:r>
      <w:r>
        <w:rPr>
          <w:rFonts w:ascii="Times New Roman" w:cs="Times New Roman" w:eastAsia="Times New Roman" w:hAnsi="Times New Roman"/>
          <w:sz w:val="21"/>
          <w:szCs w:val="21"/>
          <w:u w:val="single" w:color="auto"/>
          <w:color w:val="auto"/>
        </w:rPr>
        <w:t>Section 10.03(c)</w:t>
      </w:r>
      <w:r>
        <w:rPr>
          <w:rFonts w:ascii="Times New Roman" w:cs="Times New Roman" w:eastAsia="Times New Roman" w:hAnsi="Times New Roman"/>
          <w:sz w:val="21"/>
          <w:szCs w:val="21"/>
          <w:color w:val="auto"/>
        </w:rPr>
        <w:t xml:space="preserve"> incurred by such Issuing Lender in connection with such payment. Unless the Company shall notify the Administrative Agent and such Issuing Lender that the Company intends to reimburse such Issuing Lender for such drawing from other sources or funds, the Company shall be deemed to have timely given a Notice of Borrowing to the Administrative Agent requesting that the Lenders make a Revolving Advance as a Base Rate Advance in US Dollars on the applicable repayment date in the amount (which, in the case of an amount denominated in a Foreign Currency, shall be the US Dollar Equivalent thereof)(without regard to the minimum and multiples specified in </w:t>
      </w:r>
      <w:r>
        <w:rPr>
          <w:rFonts w:ascii="Times New Roman" w:cs="Times New Roman" w:eastAsia="Times New Roman" w:hAnsi="Times New Roman"/>
          <w:sz w:val="21"/>
          <w:szCs w:val="21"/>
          <w:u w:val="single" w:color="auto"/>
          <w:color w:val="auto"/>
        </w:rPr>
        <w:t>Section 2.02(a)</w:t>
      </w:r>
      <w:r>
        <w:rPr>
          <w:rFonts w:ascii="Times New Roman" w:cs="Times New Roman" w:eastAsia="Times New Roman" w:hAnsi="Times New Roman"/>
          <w:sz w:val="21"/>
          <w:szCs w:val="21"/>
          <w:color w:val="auto"/>
        </w:rPr>
        <w:t xml:space="preserve">) of (i) such draft so paid and (ii) any amounts referred to in </w:t>
      </w:r>
      <w:r>
        <w:rPr>
          <w:rFonts w:ascii="Times New Roman" w:cs="Times New Roman" w:eastAsia="Times New Roman" w:hAnsi="Times New Roman"/>
          <w:sz w:val="21"/>
          <w:szCs w:val="21"/>
          <w:u w:val="single" w:color="auto"/>
          <w:color w:val="auto"/>
        </w:rPr>
        <w:t>Section 10.03(c)</w:t>
      </w:r>
      <w:r>
        <w:rPr>
          <w:rFonts w:ascii="Times New Roman" w:cs="Times New Roman" w:eastAsia="Times New Roman" w:hAnsi="Times New Roman"/>
          <w:sz w:val="21"/>
          <w:szCs w:val="21"/>
          <w:color w:val="auto"/>
        </w:rPr>
        <w:t xml:space="preserve"> incurred by such Issuing Lender in connection with such payment (including any and all costs, fees and other expenses incurred by the applicable Issuing Lender in effecting the payment of any Letter of Credit denominated in a Foreign Currency), and the Lenders shall make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118</w:t>
      </w:r>
    </w:p>
    <w:p>
      <w:pPr>
        <w:sectPr>
          <w:pgSz w:w="11900" w:h="16838" w:orient="portrait"/>
          <w:cols w:equalWidth="0" w:num="1">
            <w:col w:w="11240"/>
          </w:cols>
          <w:pgMar w:left="320" w:top="1260" w:right="339" w:bottom="1440" w:gutter="0" w:footer="0" w:header="0"/>
        </w:sectPr>
      </w:pPr>
    </w:p>
    <w:bookmarkStart w:id="232" w:name="page233"/>
    <w:bookmarkEnd w:id="232"/>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Revolving Advance as a Base Rate Advance in such amount, the proceeds of which shall be applied to reimburse such Issuing Lender for the amount of the related drawing and such fees and expenses. Each Lender acknowledges and agrees that its obligation to fund a Revolving Advance in accordance with this Section to reimburse such Issuing Lender for any draft paid under a Letter of Credit issued by it is absolute and unconditional and shall not be affected by any circumstance whatsoever, including non-satisfaction of the conditions set forth in </w:t>
      </w:r>
      <w:r>
        <w:rPr>
          <w:rFonts w:ascii="Times New Roman" w:cs="Times New Roman" w:eastAsia="Times New Roman" w:hAnsi="Times New Roman"/>
          <w:sz w:val="22"/>
          <w:szCs w:val="22"/>
          <w:u w:val="single" w:color="auto"/>
          <w:color w:val="auto"/>
        </w:rPr>
        <w:t>Section 2.02(a)</w:t>
      </w:r>
      <w:r>
        <w:rPr>
          <w:rFonts w:ascii="Times New Roman" w:cs="Times New Roman" w:eastAsia="Times New Roman" w:hAnsi="Times New Roman"/>
          <w:sz w:val="22"/>
          <w:szCs w:val="22"/>
          <w:color w:val="auto"/>
        </w:rPr>
        <w:t>. If the Company has elected to pay the amount of such drawing with funds from other sources and shall fail to reimburse such Issuing Lender in the applicable Currency as provided above, or if the amount of such drawing is not fully refunded through a Base Rate Advance as provided above, the unreimbursed amount of such drawing shall bear interest at the rate which would be payable on any outstanding Base Rate Advances which were then overdue from the date such amounts become payable (whether at stated maturity, by acceleration or otherwise) until paid in full. The Company shall, upon demand from any Issuing Lender or L/C Participant, pay to such Issuing Lender or L/C Participant, the amount of (i) any loss or cost or increased cost incurred by such Issuing Lender or L/C Participant, (ii) any reduction in any amount payable to or in the effective return on the capital to such Issuing Lender or L/C Participant and (iii) any currency exchange loss, in each case that such Issuing Lender or L/C Participant sustains as a result of the Company’s repayment in US Dollars of any Letter of Credit denominated in a Foreign Currency. A certificate of such Issuing Lender setting forth in reasonable detail the basis for determining such additional amounts or amounts necessary to compensate such Issuing Lender shall be conclusively presumed to be correct save for manifest error.</w:t>
      </w:r>
    </w:p>
    <w:p>
      <w:pPr>
        <w:spacing w:after="0" w:line="141" w:lineRule="exact"/>
        <w:rPr>
          <w:sz w:val="20"/>
          <w:szCs w:val="20"/>
          <w:color w:val="auto"/>
        </w:rPr>
      </w:pPr>
    </w:p>
    <w:p>
      <w:pPr>
        <w:ind w:left="660"/>
        <w:spacing w:after="0"/>
        <w:tabs>
          <w:tab w:leader="none" w:pos="2360" w:val="left"/>
        </w:tabs>
        <w:rPr>
          <w:sz w:val="20"/>
          <w:szCs w:val="20"/>
          <w:color w:val="auto"/>
        </w:rPr>
      </w:pPr>
      <w:r>
        <w:rPr>
          <w:rFonts w:ascii="Times New Roman" w:cs="Times New Roman" w:eastAsia="Times New Roman" w:hAnsi="Times New Roman"/>
          <w:sz w:val="22"/>
          <w:szCs w:val="22"/>
          <w:color w:val="auto"/>
        </w:rPr>
        <w:t>SECTION 10.06.</w:t>
      </w:r>
      <w:r>
        <w:rPr>
          <w:sz w:val="20"/>
          <w:szCs w:val="20"/>
          <w:color w:val="auto"/>
        </w:rPr>
        <w:tab/>
      </w:r>
      <w:r>
        <w:rPr>
          <w:rFonts w:ascii="Times New Roman" w:cs="Times New Roman" w:eastAsia="Times New Roman" w:hAnsi="Times New Roman"/>
          <w:sz w:val="21"/>
          <w:szCs w:val="21"/>
          <w:u w:val="single" w:color="auto"/>
          <w:color w:val="auto"/>
        </w:rPr>
        <w:t>Obligations Absolute</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jc w:val="both"/>
        <w:ind w:firstLine="656"/>
        <w:spacing w:after="0" w:line="263" w:lineRule="auto"/>
        <w:tabs>
          <w:tab w:leader="none" w:pos="1262"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Company’s obligations under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(including the Reimbursement Obligation) shall be absolute, unconditional and irrevocable under any and all circumstances whatsoever, and shall be performed strictly in accordance with the terms of this Agreement, and irrespective of:</w:t>
      </w:r>
    </w:p>
    <w:p>
      <w:pPr>
        <w:spacing w:after="0" w:line="113" w:lineRule="exact"/>
        <w:rPr>
          <w:rFonts w:ascii="Times New Roman" w:cs="Times New Roman" w:eastAsia="Times New Roman" w:hAnsi="Times New Roman"/>
          <w:sz w:val="22"/>
          <w:szCs w:val="22"/>
          <w:color w:val="auto"/>
        </w:rPr>
      </w:pPr>
    </w:p>
    <w:p>
      <w:pPr>
        <w:ind w:left="660" w:firstLine="644"/>
        <w:spacing w:after="0" w:line="271" w:lineRule="auto"/>
        <w:tabs>
          <w:tab w:leader="none" w:pos="1916" w:val="left"/>
        </w:tabs>
        <w:numPr>
          <w:ilvl w:val="1"/>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lack of validity or enforceability of any Letter of Credit, any Letter of Credit Document or this Agreement, or any term or provision therein or herein;</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832" w:val="left"/>
        </w:tabs>
        <w:numPr>
          <w:ilvl w:val="1"/>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any claim, counterclaim, setoff, defense or other right that the Company may have or have had against the applicable Issuing Lender or any beneficiary of a Letter of Credit (or any Person for whom any such beneficiary or any such transferee may be acting), the applicable Issuing Lender or any other Person, whether in connection with this Agreement, the transactions contemplated hereby or by such Letter of Credit or any agreement or instrument relating thereto, or any unrelated transaction;</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848" w:val="left"/>
        </w:tabs>
        <w:numPr>
          <w:ilvl w:val="1"/>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validity or genuineness of documents or of any endorsements thereon, even though such documents shall in fact prove to be invalid, fraudulent, forged or insufficient in any respect or any statement in such draft or other document being untrue or inaccurate in any respect; or any loss or delay in the transmission or otherwise of any document required in order to make a drawing under such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119</w:t>
      </w:r>
    </w:p>
    <w:p>
      <w:pPr>
        <w:sectPr>
          <w:pgSz w:w="11900" w:h="16838" w:orient="portrait"/>
          <w:cols w:equalWidth="0" w:num="1">
            <w:col w:w="11240"/>
          </w:cols>
          <w:pgMar w:left="320" w:top="1260" w:right="339" w:bottom="1440" w:gutter="0" w:footer="0" w:header="0"/>
        </w:sectPr>
      </w:pPr>
    </w:p>
    <w:bookmarkStart w:id="233" w:name="page234"/>
    <w:bookmarkEnd w:id="233"/>
    <w:p>
      <w:pPr>
        <w:ind w:left="660" w:firstLine="644"/>
        <w:spacing w:after="0" w:line="271" w:lineRule="auto"/>
        <w:tabs>
          <w:tab w:leader="none" w:pos="1838" w:val="left"/>
        </w:tabs>
        <w:numPr>
          <w:ilvl w:val="1"/>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by the Issuing Lender under a Letter of Credit against presentation of a draft or other document that does not comply with the terms of such Letter of Credit;</w:t>
      </w:r>
    </w:p>
    <w:p>
      <w:pPr>
        <w:spacing w:after="0" w:line="211" w:lineRule="exact"/>
        <w:rPr>
          <w:rFonts w:ascii="Times New Roman" w:cs="Times New Roman" w:eastAsia="Times New Roman" w:hAnsi="Times New Roman"/>
          <w:sz w:val="22"/>
          <w:szCs w:val="22"/>
          <w:color w:val="auto"/>
        </w:rPr>
      </w:pPr>
    </w:p>
    <w:p>
      <w:pPr>
        <w:ind w:left="660" w:firstLine="644"/>
        <w:spacing w:after="0" w:line="284" w:lineRule="auto"/>
        <w:tabs>
          <w:tab w:leader="none" w:pos="1822" w:val="left"/>
        </w:tabs>
        <w:numPr>
          <w:ilvl w:val="1"/>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adverse change in the relevant exchange rates or in the availability of the relevant Foreign Currency to the Company or any Subsidiary or in the relevant currency markets generally;</w:t>
      </w:r>
    </w:p>
    <w:p>
      <w:pPr>
        <w:spacing w:after="0" w:line="197" w:lineRule="exact"/>
        <w:rPr>
          <w:rFonts w:ascii="Times New Roman" w:cs="Times New Roman" w:eastAsia="Times New Roman" w:hAnsi="Times New Roman"/>
          <w:sz w:val="22"/>
          <w:szCs w:val="22"/>
          <w:color w:val="auto"/>
        </w:rPr>
      </w:pPr>
    </w:p>
    <w:p>
      <w:pPr>
        <w:ind w:left="660" w:firstLine="644"/>
        <w:spacing w:after="0" w:line="271" w:lineRule="auto"/>
        <w:tabs>
          <w:tab w:leader="none" w:pos="1853" w:val="left"/>
        </w:tabs>
        <w:numPr>
          <w:ilvl w:val="1"/>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draft or other document presented under a Letter of Credit proving to be forged, fraudulent or invalid in any respect or any statement in such draft or other document being untrue or inaccurate in any respect; or</w:t>
      </w:r>
    </w:p>
    <w:p>
      <w:pPr>
        <w:spacing w:after="0" w:line="211"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19" w:val="left"/>
        </w:tabs>
        <w:numPr>
          <w:ilvl w:val="1"/>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event or circumstance whatsoever, whether or not similar to any of the foregoing, that might, but for the provisions of this Section, constitute a legal or equitable discharge of, or provide a right of setoff against, the Company’s obligations hereunder.</w:t>
      </w:r>
    </w:p>
    <w:p>
      <w:pPr>
        <w:spacing w:after="0" w:line="221" w:lineRule="exact"/>
        <w:rPr>
          <w:rFonts w:ascii="Times New Roman" w:cs="Times New Roman" w:eastAsia="Times New Roman" w:hAnsi="Times New Roman"/>
          <w:sz w:val="22"/>
          <w:szCs w:val="22"/>
          <w:color w:val="auto"/>
        </w:rPr>
      </w:pPr>
    </w:p>
    <w:p>
      <w:pPr>
        <w:jc w:val="both"/>
        <w:ind w:firstLine="656"/>
        <w:spacing w:after="0" w:line="247" w:lineRule="auto"/>
        <w:tabs>
          <w:tab w:leader="none" w:pos="1171"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also agrees that the applicable Issuing Lender and the L/C Participants shall not be responsible for, and the Company’s Reimbursement Obligation under </w:t>
      </w:r>
      <w:r>
        <w:rPr>
          <w:rFonts w:ascii="Times New Roman" w:cs="Times New Roman" w:eastAsia="Times New Roman" w:hAnsi="Times New Roman"/>
          <w:sz w:val="22"/>
          <w:szCs w:val="22"/>
          <w:u w:val="single" w:color="auto"/>
          <w:color w:val="auto"/>
        </w:rPr>
        <w:t>Section 10.05</w:t>
      </w:r>
      <w:r>
        <w:rPr>
          <w:rFonts w:ascii="Times New Roman" w:cs="Times New Roman" w:eastAsia="Times New Roman" w:hAnsi="Times New Roman"/>
          <w:sz w:val="22"/>
          <w:szCs w:val="22"/>
          <w:color w:val="auto"/>
        </w:rPr>
        <w:t xml:space="preserve"> shall not be affected by, among other things, the validity or genuineness of documents or of any endorsements thereon, even though such documents shall in fact prove to be invalid, fraudulent or forged, or any dispute between or among the Company and any beneficiary of any Letter of Credit or any other party to which such Letter of Credit may be transferred or any claims whatsoever of the Company against any beneficiary of such Letter of Credit or any such transferee. The applicable Issuing Lender, the L/C Participants and their respective Related Parties shall not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be construed to excuse an Issuing Lender from liability to the Company to the extent of any direct damages (as opposed to special, indirect, consequential or punitive damages, claims in respect of which are hereby waived by the Company to the extent permitted by Applicable Law) suffered by the Company that are caused by such Issuing Lender’s failure to exercise care when determining whether drafts and other documents presented under a Letter of Credit comply with the terms thereof. The parties hereto expressly agree that, in the absence of gross negligence or willful misconduct on the part of the applicable Issuing Lender (as finally determined by a court of competent jurisdiction), such Issuing Lender shall be deemed to have exercised care in each such determination.</w:t>
      </w:r>
    </w:p>
    <w:p>
      <w:pPr>
        <w:spacing w:after="0" w:line="241" w:lineRule="exact"/>
        <w:rPr>
          <w:rFonts w:ascii="Times New Roman" w:cs="Times New Roman" w:eastAsia="Times New Roman" w:hAnsi="Times New Roman"/>
          <w:sz w:val="22"/>
          <w:szCs w:val="22"/>
          <w:color w:val="auto"/>
        </w:rPr>
      </w:pPr>
    </w:p>
    <w:p>
      <w:pPr>
        <w:jc w:val="both"/>
        <w:ind w:firstLine="656"/>
        <w:spacing w:after="0" w:line="256" w:lineRule="auto"/>
        <w:tabs>
          <w:tab w:leader="none" w:pos="1150"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furtherance of the foregoing and without limiting the generality thereof, the parties agree that (i) with respect to documents presented which appear on their face to be in substantial compliance with the terms of a Letter of Credit, the applicable Issuing Lender may, in its sole discretion, either accept and make payment upon such documents without responsibility for further investigation, regardless of any notice or information to the contrary, or refuse to accept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120</w:t>
      </w:r>
    </w:p>
    <w:p>
      <w:pPr>
        <w:sectPr>
          <w:pgSz w:w="11900" w:h="16838" w:orient="portrait"/>
          <w:cols w:equalWidth="0" w:num="1">
            <w:col w:w="11240"/>
          </w:cols>
          <w:pgMar w:left="320" w:top="1260" w:right="339" w:bottom="1440" w:gutter="0" w:footer="0" w:header="0"/>
        </w:sectPr>
      </w:pPr>
    </w:p>
    <w:bookmarkStart w:id="234" w:name="page235"/>
    <w:bookmarkEnd w:id="234"/>
    <w:p>
      <w:pPr>
        <w:jc w:val="both"/>
        <w:spacing w:after="0" w:line="250" w:lineRule="auto"/>
        <w:rPr>
          <w:sz w:val="20"/>
          <w:szCs w:val="20"/>
          <w:color w:val="auto"/>
        </w:rPr>
      </w:pPr>
      <w:r>
        <w:rPr>
          <w:rFonts w:ascii="Times New Roman" w:cs="Times New Roman" w:eastAsia="Times New Roman" w:hAnsi="Times New Roman"/>
          <w:sz w:val="22"/>
          <w:szCs w:val="22"/>
          <w:color w:val="auto"/>
        </w:rPr>
        <w:t>make payment upon such documents if such documents are not in strict compliance with the terms of such Letter of Credit, (ii) an Issuing Lender may act upon any instruction or request relative to a Letter of Credit or requested Letter of Credit that such Issuing Lender in good faith believes to have been given by a Person authorized to give such instruction or request and (iii) an Issuing Lender may replace a purportedly lost, stolen, or destroyed original Letter of Credit or missing amendment thereto with a certified true copy marked as such or waive a requirement for its presentation. The responsibility of any Issuing Lender to the Company in connection with any draft presented for payment under any Letter of Credit issued by it shall, in addition to any payment obligation expressly provided for in such Letter of Credit, be limited to determining that the documents (including each draft) delivered under such Letter of Credit in connection with such presentment substantially conforms to the requirements under such Letter of Credit.</w:t>
      </w:r>
    </w:p>
    <w:p>
      <w:pPr>
        <w:spacing w:after="0" w:line="180" w:lineRule="exact"/>
        <w:rPr>
          <w:sz w:val="20"/>
          <w:szCs w:val="20"/>
          <w:color w:val="auto"/>
        </w:rPr>
      </w:pPr>
    </w:p>
    <w:p>
      <w:pPr>
        <w:jc w:val="both"/>
        <w:ind w:firstLine="656"/>
        <w:spacing w:after="0" w:line="250" w:lineRule="auto"/>
        <w:tabs>
          <w:tab w:leader="none" w:pos="1191"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no Issuing Lender shall be responsible to the Company for, and such Issuing Lender’s rights and remedies against the Company shall not be impaired by, any action or inaction of such Issuing Lender required or permitted under any law, order, or practice that is required or permitted to be applied to any Letter of Credit or this Agreement, including the Applicable Laws or any order of a jurisdiction in which such Issuing Lender or the beneficiary is located, the practice stated in the ISP or in the decisions, opinions, practice statements or official commentary of the International Chamber of Commerce Banking Commission, the Banker’s Association for Finance and Trade (BAFT) or the Institute of International Banking Law &amp; Practice, whether or not any Letter of Credit chooses such laws or practice rules.</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10.07. </w:t>
      </w:r>
      <w:r>
        <w:rPr>
          <w:rFonts w:ascii="Times New Roman" w:cs="Times New Roman" w:eastAsia="Times New Roman" w:hAnsi="Times New Roman"/>
          <w:sz w:val="22"/>
          <w:szCs w:val="22"/>
          <w:u w:val="single" w:color="auto"/>
          <w:color w:val="auto"/>
        </w:rPr>
        <w:t>Effect of Letter of Credit Documents</w:t>
      </w:r>
      <w:r>
        <w:rPr>
          <w:rFonts w:ascii="Times New Roman" w:cs="Times New Roman" w:eastAsia="Times New Roman" w:hAnsi="Times New Roman"/>
          <w:sz w:val="22"/>
          <w:szCs w:val="22"/>
          <w:color w:val="auto"/>
        </w:rPr>
        <w:t xml:space="preserve">. To the extent that any provision of any Letter of Credit Document related to any Letter of Credit is inconsistent with the provisions of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the provisions of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shall apply.</w:t>
      </w:r>
    </w:p>
    <w:p>
      <w:pPr>
        <w:spacing w:after="0" w:line="132" w:lineRule="exact"/>
        <w:rPr>
          <w:sz w:val="20"/>
          <w:szCs w:val="20"/>
          <w:color w:val="auto"/>
        </w:rPr>
      </w:pPr>
    </w:p>
    <w:p>
      <w:pPr>
        <w:ind w:left="660"/>
        <w:spacing w:after="0"/>
        <w:tabs>
          <w:tab w:leader="none" w:pos="2360" w:val="left"/>
        </w:tabs>
        <w:rPr>
          <w:sz w:val="20"/>
          <w:szCs w:val="20"/>
          <w:color w:val="auto"/>
        </w:rPr>
      </w:pPr>
      <w:r>
        <w:rPr>
          <w:rFonts w:ascii="Times New Roman" w:cs="Times New Roman" w:eastAsia="Times New Roman" w:hAnsi="Times New Roman"/>
          <w:sz w:val="22"/>
          <w:szCs w:val="22"/>
          <w:color w:val="auto"/>
        </w:rPr>
        <w:t>SECTION 10.08.</w:t>
      </w:r>
      <w:r>
        <w:rPr>
          <w:sz w:val="20"/>
          <w:szCs w:val="20"/>
          <w:color w:val="auto"/>
        </w:rPr>
        <w:tab/>
      </w:r>
      <w:r>
        <w:rPr>
          <w:rFonts w:ascii="Times New Roman" w:cs="Times New Roman" w:eastAsia="Times New Roman" w:hAnsi="Times New Roman"/>
          <w:sz w:val="21"/>
          <w:szCs w:val="21"/>
          <w:u w:val="single" w:color="auto"/>
          <w:color w:val="auto"/>
        </w:rPr>
        <w:t>Removal and Resignation of Issuing Lenders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56"/>
        <w:spacing w:after="0" w:line="257" w:lineRule="auto"/>
        <w:tabs>
          <w:tab w:leader="none" w:pos="1138"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at any time remove any Lender from its role as an Issuing Lender hereunder upon not less than thirty (30) days prior notice to such Issuing Lender and the Administrative Agent (or such shorter period of time as may be acceptable to such Issuing Lender and the Administrative Agent).</w:t>
      </w:r>
    </w:p>
    <w:p>
      <w:pPr>
        <w:spacing w:after="0" w:line="118" w:lineRule="exact"/>
        <w:rPr>
          <w:rFonts w:ascii="Times New Roman" w:cs="Times New Roman" w:eastAsia="Times New Roman" w:hAnsi="Times New Roman"/>
          <w:sz w:val="22"/>
          <w:szCs w:val="22"/>
          <w:color w:val="auto"/>
        </w:rPr>
      </w:pPr>
    </w:p>
    <w:p>
      <w:pPr>
        <w:jc w:val="both"/>
        <w:ind w:firstLine="656"/>
        <w:spacing w:after="0" w:line="253" w:lineRule="auto"/>
        <w:tabs>
          <w:tab w:leader="none" w:pos="1116"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Issuing Lender may resign at any time by giving 30 days’ prior notice to the Administrative Agent, the Lenders and the Company. After the resignation of an Issuing Lender hereunder, the retiring Issuing Lender shall remain a party hereto and shall continue to have all the rights and obligations of an Issuing Lender under this Agreement and the other Loan Documents with respect to Letters of Credit issued by it prior to such resignation, but shall not be required to issue additional Letters of Credit or to extend, renew or increase the outstanding Letter of Credit.</w:t>
      </w:r>
    </w:p>
    <w:p>
      <w:pPr>
        <w:spacing w:after="0" w:line="178" w:lineRule="exact"/>
        <w:rPr>
          <w:rFonts w:ascii="Times New Roman" w:cs="Times New Roman" w:eastAsia="Times New Roman" w:hAnsi="Times New Roman"/>
          <w:sz w:val="22"/>
          <w:szCs w:val="22"/>
          <w:color w:val="auto"/>
        </w:rPr>
      </w:pPr>
    </w:p>
    <w:p>
      <w:pPr>
        <w:jc w:val="both"/>
        <w:ind w:firstLine="656"/>
        <w:spacing w:after="0" w:line="253" w:lineRule="auto"/>
        <w:tabs>
          <w:tab w:leader="none" w:pos="1200"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removed or resigning Issuing Lender shall retain all the rights, powers, privileges and duties of an Issuing Lender hereunder with respect to all Letters of Credit issued by it that are outstanding as of the effective date of its removal or resignation as an Issuing Lender and all L/C Obligations with respect thereto (including the right to require the Lenders to take such actions as are required under </w:t>
      </w:r>
      <w:r>
        <w:rPr>
          <w:rFonts w:ascii="Times New Roman" w:cs="Times New Roman" w:eastAsia="Times New Roman" w:hAnsi="Times New Roman"/>
          <w:sz w:val="22"/>
          <w:szCs w:val="22"/>
          <w:u w:val="single" w:color="auto"/>
          <w:color w:val="auto"/>
        </w:rPr>
        <w:t>Section 10.04</w:t>
      </w:r>
      <w:r>
        <w:rPr>
          <w:rFonts w:ascii="Times New Roman" w:cs="Times New Roman" w:eastAsia="Times New Roman" w:hAnsi="Times New Roman"/>
          <w:sz w:val="22"/>
          <w:szCs w:val="22"/>
          <w:color w:val="auto"/>
        </w:rPr>
        <w:t>). Without limiting the foregoing, upon the removal or resignation of a Lender as an Issuing Lender hereunder, the Company may arrange for one 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121</w:t>
      </w:r>
    </w:p>
    <w:p>
      <w:pPr>
        <w:sectPr>
          <w:pgSz w:w="11900" w:h="16838" w:orient="portrait"/>
          <w:cols w:equalWidth="0" w:num="1">
            <w:col w:w="11240"/>
          </w:cols>
          <w:pgMar w:left="320" w:top="1260" w:right="339" w:bottom="1440" w:gutter="0" w:footer="0" w:header="0"/>
        </w:sectPr>
      </w:pPr>
    </w:p>
    <w:bookmarkStart w:id="235" w:name="page236"/>
    <w:bookmarkEnd w:id="235"/>
    <w:p>
      <w:pPr>
        <w:jc w:val="both"/>
        <w:spacing w:after="0" w:line="256" w:lineRule="auto"/>
        <w:rPr>
          <w:sz w:val="20"/>
          <w:szCs w:val="20"/>
          <w:color w:val="auto"/>
        </w:rPr>
      </w:pPr>
      <w:r>
        <w:rPr>
          <w:rFonts w:ascii="Times New Roman" w:cs="Times New Roman" w:eastAsia="Times New Roman" w:hAnsi="Times New Roman"/>
          <w:sz w:val="22"/>
          <w:szCs w:val="22"/>
          <w:color w:val="auto"/>
        </w:rPr>
        <w:t>of the other Issuing Lenders to issue Letters of Credit in the applicable Currency hereunder in substitution for the Letters of Credit, if any, issued by such removed or resigned Issuing Lender and outstanding at the time of such removal or resignation, or make other arrangements satisfactory to the removed or resigned Issuing Lender to effectively cause another Issuing Lender to assume the obligations of the removed or resigned Issuing Lender with respect to any such Letters of Credit.</w:t>
      </w:r>
    </w:p>
    <w:p>
      <w:pPr>
        <w:spacing w:after="0" w:line="28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 xml:space="preserve">SECTION 10.09. </w:t>
      </w:r>
      <w:r>
        <w:rPr>
          <w:rFonts w:ascii="Times New Roman" w:cs="Times New Roman" w:eastAsia="Times New Roman" w:hAnsi="Times New Roman"/>
          <w:sz w:val="21"/>
          <w:szCs w:val="21"/>
          <w:u w:val="single" w:color="auto"/>
          <w:color w:val="auto"/>
        </w:rPr>
        <w:t>Reporting of Letter of Credit Information and L/C Commitment</w:t>
      </w:r>
      <w:r>
        <w:rPr>
          <w:rFonts w:ascii="Times New Roman" w:cs="Times New Roman" w:eastAsia="Times New Roman" w:hAnsi="Times New Roman"/>
          <w:sz w:val="21"/>
          <w:szCs w:val="21"/>
          <w:color w:val="auto"/>
        </w:rPr>
        <w:t>. At any time that there is an Issuing Lender that is not also the financial institution acting as Administrative Agent, then (a) no later than the fifth Business Day following the last day of each calendar month, (b) on each date that a Letter of Credit is amended or terminated, by such Issuing Lender, or otherwise expires, (c) on each date that a Letter of Credit is issued or the expiry date of a Letter of Credit is extended by such Issuing Lender, and (d) upon the request of the Administrative Agent, each Issuing Lender (or, in the case of clauses (b),</w:t>
      </w:r>
    </w:p>
    <w:p>
      <w:pPr>
        <w:spacing w:after="0" w:line="2" w:lineRule="exact"/>
        <w:rPr>
          <w:sz w:val="20"/>
          <w:szCs w:val="20"/>
          <w:color w:val="auto"/>
        </w:rPr>
      </w:pPr>
    </w:p>
    <w:p>
      <w:pPr>
        <w:jc w:val="both"/>
        <w:ind w:firstLine="8"/>
        <w:spacing w:after="0" w:line="245" w:lineRule="auto"/>
        <w:tabs>
          <w:tab w:leader="none" w:pos="309"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or (d) of this Section, the applicable Issuing Lender) shall deliver to the Administrative Agent a report setting forth in form and detail reasonably satisfactory to the Administrative Agent information (including any reimbursement, Cash Collateral, or termination in respect of Letters of Credit issued by such Issuing Lender) with respect to each Letter of Credit issued by such Issuing Lender that is outstanding hereunder. In addition, each Issuing Lender shall provide notice to the Administrative Agent of its L/C Commitment, or any change thereto, promptly upon it becoming an Issuing Lender or making any change to its L/C Commitment. No failure on the part of any Issuing Lender to provide such information pursuant to this </w:t>
      </w:r>
      <w:r>
        <w:rPr>
          <w:rFonts w:ascii="Times New Roman" w:cs="Times New Roman" w:eastAsia="Times New Roman" w:hAnsi="Times New Roman"/>
          <w:sz w:val="22"/>
          <w:szCs w:val="22"/>
          <w:u w:val="single" w:color="auto"/>
          <w:color w:val="auto"/>
        </w:rPr>
        <w:t>Section 10.09</w:t>
      </w:r>
      <w:r>
        <w:rPr>
          <w:rFonts w:ascii="Times New Roman" w:cs="Times New Roman" w:eastAsia="Times New Roman" w:hAnsi="Times New Roman"/>
          <w:sz w:val="22"/>
          <w:szCs w:val="22"/>
          <w:color w:val="auto"/>
        </w:rPr>
        <w:t xml:space="preserve"> shall limit the obligations of the Company or any Lender hereunder with respect to its reimbursement and participation obligations hereunder.</w:t>
      </w:r>
    </w:p>
    <w:p>
      <w:pPr>
        <w:spacing w:after="0" w:line="30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10.10. </w:t>
      </w:r>
      <w:r>
        <w:rPr>
          <w:rFonts w:ascii="Times New Roman" w:cs="Times New Roman" w:eastAsia="Times New Roman" w:hAnsi="Times New Roman"/>
          <w:sz w:val="22"/>
          <w:szCs w:val="22"/>
          <w:u w:val="single" w:color="auto"/>
          <w:color w:val="auto"/>
        </w:rPr>
        <w:t>Letters of Credit Issued for Subsidiaries</w:t>
      </w:r>
      <w:r>
        <w:rPr>
          <w:rFonts w:ascii="Times New Roman" w:cs="Times New Roman" w:eastAsia="Times New Roman" w:hAnsi="Times New Roman"/>
          <w:sz w:val="22"/>
          <w:szCs w:val="22"/>
          <w:color w:val="auto"/>
        </w:rPr>
        <w:t>. Notwithstanding that a Letter of Credit issued or outstanding hereunder is in support of any obligations of, or is for the account of, a Subsidiary, or states that a Subsidiary is the “account party,” “applicant,” “customer,” “instructing party,” or the like of or for such Letter of Credit, and without derogating from any rights of the applicable Issuing Lender (whether arising by contract, at law, in equity or otherwise) against such Subsidiary in respect of such Letter of Credit, the Company (a) shall be obligated to reimburse, or to cause the applicable Subsidiary to reimburse, the applicable Issuing Lender hereunder for any and all drawings under such Letter of Credit as if such Letter of Credit had been issued solely for the account of the Company and (b) irrevocably waives any and all defenses that might otherwise be available to it as a guarantor or surety of any or all of the obligations of such Subsidiary in respect of such Letter of Credit. The Company hereby acknowledges that the issuance of Letters of Credit for the account of any of its Subsidiaries inures to the benefit of the Company and that the Company’s business derives substantial benefits from the businesses of such Subsidiaries.</w:t>
      </w:r>
    </w:p>
    <w:p>
      <w:pPr>
        <w:spacing w:after="0" w:line="2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10.11. </w:t>
      </w:r>
      <w:r>
        <w:rPr>
          <w:rFonts w:ascii="Times New Roman" w:cs="Times New Roman" w:eastAsia="Times New Roman" w:hAnsi="Times New Roman"/>
          <w:sz w:val="22"/>
          <w:szCs w:val="22"/>
          <w:u w:val="single" w:color="auto"/>
          <w:color w:val="auto"/>
        </w:rPr>
        <w:t>Letter of Credit Amounts</w:t>
      </w:r>
      <w:r>
        <w:rPr>
          <w:rFonts w:ascii="Times New Roman" w:cs="Times New Roman" w:eastAsia="Times New Roman" w:hAnsi="Times New Roman"/>
          <w:sz w:val="22"/>
          <w:szCs w:val="22"/>
          <w:color w:val="auto"/>
        </w:rPr>
        <w:t>. Unless otherwise specified, all references herein to the amount of a Letter of Credit at any time shall be deemed to mean the maximum face amount, or the Dollar Equivalent of the maximum face amount, if applicable, of such Letter of Credit after giving effect to all increases thereof contemplated by such Letter of Credit or the Letter of Credit Documents therefor (at the time specified therefor in such applicable Letter of Credit or Letter of Credit Documents and as such amount may be reduced by (a) any permanent reduction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122</w:t>
      </w:r>
    </w:p>
    <w:p>
      <w:pPr>
        <w:sectPr>
          <w:pgSz w:w="11900" w:h="16838" w:orient="portrait"/>
          <w:cols w:equalWidth="0" w:num="1">
            <w:col w:w="11240"/>
          </w:cols>
          <w:pgMar w:left="320" w:top="1260" w:right="3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22"/>
          <w:szCs w:val="22"/>
          <w:color w:val="auto"/>
        </w:rPr>
        <w:t>such Letter of Credit or (b) any amount which is drawn, reimbursed and no longer available under such Letter of Credit).</w:t>
      </w:r>
    </w:p>
    <w:p>
      <w:pPr>
        <w:spacing w:after="0" w:line="166" w:lineRule="exact"/>
        <w:rPr>
          <w:sz w:val="20"/>
          <w:szCs w:val="20"/>
          <w:color w:val="auto"/>
        </w:rPr>
      </w:pPr>
    </w:p>
    <w:p>
      <w:pPr>
        <w:ind w:left="660"/>
        <w:spacing w:after="0"/>
        <w:tabs>
          <w:tab w:leader="none" w:pos="2360" w:val="left"/>
        </w:tabs>
        <w:rPr>
          <w:sz w:val="20"/>
          <w:szCs w:val="20"/>
          <w:color w:val="auto"/>
        </w:rPr>
      </w:pPr>
      <w:r>
        <w:rPr>
          <w:rFonts w:ascii="Times New Roman" w:cs="Times New Roman" w:eastAsia="Times New Roman" w:hAnsi="Times New Roman"/>
          <w:sz w:val="22"/>
          <w:szCs w:val="22"/>
          <w:color w:val="auto"/>
        </w:rPr>
        <w:t>SECTION 10.12.</w:t>
      </w:r>
      <w:r>
        <w:rPr>
          <w:sz w:val="20"/>
          <w:szCs w:val="20"/>
          <w:color w:val="auto"/>
        </w:rPr>
        <w:tab/>
      </w:r>
      <w:r>
        <w:rPr>
          <w:rFonts w:ascii="Times New Roman" w:cs="Times New Roman" w:eastAsia="Times New Roman" w:hAnsi="Times New Roman"/>
          <w:sz w:val="21"/>
          <w:szCs w:val="21"/>
          <w:u w:val="single" w:color="auto"/>
          <w:color w:val="auto"/>
        </w:rPr>
        <w:t>Cash Collateral for Extended Letters of Credit</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jc w:val="both"/>
        <w:ind w:firstLine="656"/>
        <w:spacing w:after="0" w:line="261" w:lineRule="auto"/>
        <w:tabs>
          <w:tab w:leader="none" w:pos="1104" w:val="left"/>
        </w:tabs>
        <w:numPr>
          <w:ilvl w:val="0"/>
          <w:numId w:val="2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Cash Collateralization</w:t>
      </w:r>
      <w:r>
        <w:rPr>
          <w:rFonts w:ascii="Times New Roman" w:cs="Times New Roman" w:eastAsia="Times New Roman" w:hAnsi="Times New Roman"/>
          <w:sz w:val="21"/>
          <w:szCs w:val="21"/>
          <w:color w:val="auto"/>
        </w:rPr>
        <w:t xml:space="preserve">. The Company shall provide Cash Collateral to each applicable Issuing Lender with respect to each Extended Letter of Credit issued by such Issuing Lender (in an amount equal to the Dollar Equivalent of 103% of the maximum face amount of each Extended Letter of Credit) by a date that is no later than 45 days prior to the Termination Date by depositing such amount in immediately available funds, in US Dollars, into a cash collateral account maintained at the applicable Issuing Lender and shall enter into a cash collateral agreement in form and substance reasonably satisfactory to such Issuing Lender and such other documentation as such Issuing Lender or the Administrative Agent may reasonably request;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Company fails to provide Cash Collateral with respect to any such Extended Letter of Credit by such time, such event shall be treated as a drawing under such Extended Letter of Credit in an amount equal to the Dollar Equivalent of 103% of the maximum face amount of each such Letter of Credit, which shall be reimbursed (or participations therein funded) in accordance with this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with the proceeds of Advances (or funded participations) being utilized to provide Cash Collateral for such Letter of Credit (provided that for purposes of determining the usage of the Commitment any such Extended Letter of Credit that has been, or will concurrently be, Cash Collateralized with proceeds of an Advance, the portion of such Extended Letter of Credit that has been (or will concurrently be) so Cash Collateralized will not be deemed to be utilization of the Commitment).</w:t>
      </w:r>
    </w:p>
    <w:p>
      <w:pPr>
        <w:spacing w:after="0" w:line="123" w:lineRule="exact"/>
        <w:rPr>
          <w:rFonts w:ascii="Times New Roman" w:cs="Times New Roman" w:eastAsia="Times New Roman" w:hAnsi="Times New Roman"/>
          <w:sz w:val="21"/>
          <w:szCs w:val="21"/>
          <w:color w:val="auto"/>
        </w:rPr>
      </w:pPr>
    </w:p>
    <w:p>
      <w:pPr>
        <w:jc w:val="both"/>
        <w:ind w:firstLine="656"/>
        <w:spacing w:after="0" w:line="249" w:lineRule="auto"/>
        <w:tabs>
          <w:tab w:leader="none" w:pos="1224"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Security Interest</w:t>
      </w:r>
      <w:r>
        <w:rPr>
          <w:rFonts w:ascii="Times New Roman" w:cs="Times New Roman" w:eastAsia="Times New Roman" w:hAnsi="Times New Roman"/>
          <w:sz w:val="22"/>
          <w:szCs w:val="22"/>
          <w:color w:val="auto"/>
        </w:rPr>
        <w:t xml:space="preserve">. The Company, and to the extent provided by the L/C Participants, each of such L/C Participants, hereby grants to the applicable Issuing Lender of each Extended Letter of Credit, and agrees to maintain, a first priority security interest in, all Cash Collateral required to be provided by this </w:t>
      </w:r>
      <w:r>
        <w:rPr>
          <w:rFonts w:ascii="Times New Roman" w:cs="Times New Roman" w:eastAsia="Times New Roman" w:hAnsi="Times New Roman"/>
          <w:sz w:val="22"/>
          <w:szCs w:val="22"/>
          <w:u w:val="single" w:color="auto"/>
          <w:color w:val="auto"/>
        </w:rPr>
        <w:t>Section 10.12</w:t>
      </w:r>
      <w:r>
        <w:rPr>
          <w:rFonts w:ascii="Times New Roman" w:cs="Times New Roman" w:eastAsia="Times New Roman" w:hAnsi="Times New Roman"/>
          <w:sz w:val="22"/>
          <w:szCs w:val="22"/>
          <w:color w:val="auto"/>
        </w:rPr>
        <w:t xml:space="preserve"> as security for such Issuing Lender’s obligation to fund draws under such Extended Letters of Credit, to be applied pursuant to subsection (c) below. If at any time the applicable Issuing Lender determines that the Cash Collateral is subject to any right or claim of any Person other than such Issuing Lender as herein provided, or that the total amount of such Cash Collateral is less than the amount required pursuant to subsection (a) above, the Company will, promptly upon demand by such Issuing Lender, pay or provide to such Issuing Lender additional Cash Collateral in an amount sufficient to eliminate such deficiency.</w:t>
      </w:r>
    </w:p>
    <w:p>
      <w:pPr>
        <w:spacing w:after="0" w:line="181" w:lineRule="exact"/>
        <w:rPr>
          <w:rFonts w:ascii="Times New Roman" w:cs="Times New Roman" w:eastAsia="Times New Roman" w:hAnsi="Times New Roman"/>
          <w:sz w:val="22"/>
          <w:szCs w:val="22"/>
          <w:color w:val="auto"/>
        </w:rPr>
      </w:pPr>
    </w:p>
    <w:p>
      <w:pPr>
        <w:jc w:val="both"/>
        <w:ind w:firstLine="656"/>
        <w:spacing w:after="0" w:line="272" w:lineRule="auto"/>
        <w:tabs>
          <w:tab w:leader="none" w:pos="1171" w:val="left"/>
        </w:tabs>
        <w:numPr>
          <w:ilvl w:val="0"/>
          <w:numId w:val="2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Application</w:t>
      </w:r>
      <w:r>
        <w:rPr>
          <w:rFonts w:ascii="Times New Roman" w:cs="Times New Roman" w:eastAsia="Times New Roman" w:hAnsi="Times New Roman"/>
          <w:sz w:val="21"/>
          <w:szCs w:val="21"/>
          <w:color w:val="auto"/>
        </w:rPr>
        <w:t xml:space="preserve">. Notwithstanding anything to the contrary contained in this Agreement or any other Loan Document, Cash Collateral provided under this </w:t>
      </w:r>
      <w:r>
        <w:rPr>
          <w:rFonts w:ascii="Times New Roman" w:cs="Times New Roman" w:eastAsia="Times New Roman" w:hAnsi="Times New Roman"/>
          <w:sz w:val="21"/>
          <w:szCs w:val="21"/>
          <w:u w:val="single" w:color="auto"/>
          <w:color w:val="auto"/>
        </w:rPr>
        <w:t>Section 10.12</w:t>
      </w:r>
      <w:r>
        <w:rPr>
          <w:rFonts w:ascii="Times New Roman" w:cs="Times New Roman" w:eastAsia="Times New Roman" w:hAnsi="Times New Roman"/>
          <w:sz w:val="21"/>
          <w:szCs w:val="21"/>
          <w:color w:val="auto"/>
        </w:rPr>
        <w:t xml:space="preserve"> in respect of Extended Letters of Credit shall be applied to reimburse the applicable Issuing Lender for all drawings made under such Extended Letters of Credit and any and all fees, expenses and charges incurred in connection therewith, prior to any other application of such property as may otherwise be provided for herein.</w:t>
      </w:r>
    </w:p>
    <w:p>
      <w:pPr>
        <w:spacing w:after="0" w:line="160" w:lineRule="exact"/>
        <w:rPr>
          <w:rFonts w:ascii="Times New Roman" w:cs="Times New Roman" w:eastAsia="Times New Roman" w:hAnsi="Times New Roman"/>
          <w:sz w:val="21"/>
          <w:szCs w:val="21"/>
          <w:color w:val="auto"/>
        </w:rPr>
      </w:pPr>
    </w:p>
    <w:p>
      <w:pPr>
        <w:jc w:val="both"/>
        <w:ind w:firstLine="656"/>
        <w:spacing w:after="0" w:line="256" w:lineRule="auto"/>
        <w:tabs>
          <w:tab w:leader="none" w:pos="1143"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Collateralized Letters of Credit</w:t>
      </w:r>
      <w:r>
        <w:rPr>
          <w:rFonts w:ascii="Times New Roman" w:cs="Times New Roman" w:eastAsia="Times New Roman" w:hAnsi="Times New Roman"/>
          <w:sz w:val="22"/>
          <w:szCs w:val="22"/>
          <w:color w:val="auto"/>
        </w:rPr>
        <w:t>. Subject to clause (e) below, if the Company has fully Cash Collateralized the applicable Issuing Lender with respect to any Extended Letter of Credit issued by such Issuing Lender in accordance with subsections (a) through (c) above and the Company and the applicable Issuing Lender have made arrangements between them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123</w:t>
      </w:r>
    </w:p>
    <w:p>
      <w:pPr>
        <w:sectPr>
          <w:pgSz w:w="11900" w:h="16838" w:orient="portrait"/>
          <w:cols w:equalWidth="0" w:num="1">
            <w:col w:w="11240"/>
          </w:cols>
          <w:pgMar w:left="320" w:top="1260" w:right="339" w:bottom="1440" w:gutter="0" w:footer="0" w:header="0"/>
        </w:sectPr>
      </w:pPr>
    </w:p>
    <w:bookmarkStart w:id="237" w:name="page238"/>
    <w:bookmarkEnd w:id="237"/>
    <w:p>
      <w:pPr>
        <w:jc w:val="both"/>
        <w:spacing w:after="0" w:line="262" w:lineRule="auto"/>
        <w:rPr>
          <w:sz w:val="20"/>
          <w:szCs w:val="20"/>
          <w:color w:val="auto"/>
        </w:rPr>
      </w:pPr>
      <w:r>
        <w:rPr>
          <w:rFonts w:ascii="Times New Roman" w:cs="Times New Roman" w:eastAsia="Times New Roman" w:hAnsi="Times New Roman"/>
          <w:sz w:val="21"/>
          <w:szCs w:val="21"/>
          <w:color w:val="auto"/>
        </w:rPr>
        <w:t>the pricing and fees associated therewith (each such Extended Letter of Credit, a “</w:t>
      </w:r>
      <w:r>
        <w:rPr>
          <w:rFonts w:ascii="Times New Roman" w:cs="Times New Roman" w:eastAsia="Times New Roman" w:hAnsi="Times New Roman"/>
          <w:sz w:val="21"/>
          <w:szCs w:val="21"/>
          <w:u w:val="single" w:color="auto"/>
          <w:color w:val="auto"/>
        </w:rPr>
        <w:t>Cash Collateralized Letter of Credit</w:t>
      </w:r>
      <w:r>
        <w:rPr>
          <w:rFonts w:ascii="Times New Roman" w:cs="Times New Roman" w:eastAsia="Times New Roman" w:hAnsi="Times New Roman"/>
          <w:sz w:val="21"/>
          <w:szCs w:val="21"/>
          <w:color w:val="auto"/>
        </w:rPr>
        <w:t xml:space="preserve">”), then after the date of notice to the Administrative Agent thereof by the applicable Issuing Lender and for so long as such Cash Collateral remains in place (i) such Cash Collateralized Letter of Credit shall cease to be a “Letter of Credit” hereunder, (ii) such Cash Collateralized Letter of Credit shall not constitute utilization of the Commitment, (iii) no Lender shall have any further obligation to fund participations or Advances to reimburse any drawing under any such Cash Collateralized Letter of Credit, (iv) no Letter of Credit commissions under </w:t>
      </w:r>
      <w:r>
        <w:rPr>
          <w:rFonts w:ascii="Times New Roman" w:cs="Times New Roman" w:eastAsia="Times New Roman" w:hAnsi="Times New Roman"/>
          <w:sz w:val="21"/>
          <w:szCs w:val="21"/>
          <w:u w:val="single" w:color="auto"/>
          <w:color w:val="auto"/>
        </w:rPr>
        <w:t>Section 10.03(a)</w:t>
      </w:r>
      <w:r>
        <w:rPr>
          <w:rFonts w:ascii="Times New Roman" w:cs="Times New Roman" w:eastAsia="Times New Roman" w:hAnsi="Times New Roman"/>
          <w:sz w:val="21"/>
          <w:szCs w:val="21"/>
          <w:color w:val="auto"/>
        </w:rPr>
        <w:t xml:space="preserve"> shall be due or payable to the Lenders, or any of them, hereunder with respect to such Cash Collateralized Letter of Credit, and (v) any fronting fee, issuance fee or other fee with respect to such Cash Collateralized Letter of Credit shall be as agreed separately between the Company and such Issuing Lender.</w:t>
      </w:r>
    </w:p>
    <w:p>
      <w:pPr>
        <w:spacing w:after="0" w:line="186" w:lineRule="exact"/>
        <w:rPr>
          <w:sz w:val="20"/>
          <w:szCs w:val="20"/>
          <w:color w:val="auto"/>
        </w:rPr>
      </w:pPr>
    </w:p>
    <w:p>
      <w:pPr>
        <w:jc w:val="both"/>
        <w:ind w:firstLine="656"/>
        <w:spacing w:after="0" w:line="246" w:lineRule="auto"/>
        <w:tabs>
          <w:tab w:leader="none" w:pos="1144"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Reinstatement</w:t>
      </w:r>
      <w:r>
        <w:rPr>
          <w:rFonts w:ascii="Times New Roman" w:cs="Times New Roman" w:eastAsia="Times New Roman" w:hAnsi="Times New Roman"/>
          <w:sz w:val="22"/>
          <w:szCs w:val="22"/>
          <w:color w:val="auto"/>
        </w:rPr>
        <w:t xml:space="preserve">. The Company and each Lender agree that, if any payment or deposit made by the Company or any other Person applied to the Cash Collateral required under this </w:t>
      </w:r>
      <w:r>
        <w:rPr>
          <w:rFonts w:ascii="Times New Roman" w:cs="Times New Roman" w:eastAsia="Times New Roman" w:hAnsi="Times New Roman"/>
          <w:sz w:val="22"/>
          <w:szCs w:val="22"/>
          <w:u w:val="single" w:color="auto"/>
          <w:color w:val="auto"/>
        </w:rPr>
        <w:t>Section 10.12</w:t>
      </w:r>
      <w:r>
        <w:rPr>
          <w:rFonts w:ascii="Times New Roman" w:cs="Times New Roman" w:eastAsia="Times New Roman" w:hAnsi="Times New Roman"/>
          <w:sz w:val="22"/>
          <w:szCs w:val="22"/>
          <w:color w:val="auto"/>
        </w:rPr>
        <w:t xml:space="preserve"> is at any time avoided, annulled, set aside, rescinded, invalidated, declared to be fraudulent or preferential or otherwise required to be refunded or repaid, or is repaid in whole or in part pursuant to a good faith settlement of a pending or threatened avoidance claim, or the proceeds of any such Cash Collateral are required to be refunded by the applicable Issuing Lender to the Company or any Lender or its respective estate, trustee, receiver or any other Person, under any Applicable Law or equitable cause, then, to the extent of such payment or repayment, (i) the applicable Extended Letter of Credit shall automatically be a “Letter of Credit” hereunder in a face amount equal to such payment or repayment (each such Letter of Credit, a “</w:t>
      </w:r>
      <w:r>
        <w:rPr>
          <w:rFonts w:ascii="Times New Roman" w:cs="Times New Roman" w:eastAsia="Times New Roman" w:hAnsi="Times New Roman"/>
          <w:sz w:val="22"/>
          <w:szCs w:val="22"/>
          <w:u w:val="single" w:color="auto"/>
          <w:color w:val="auto"/>
        </w:rPr>
        <w:t>Reinstated Letter of Credit</w:t>
      </w:r>
      <w:r>
        <w:rPr>
          <w:rFonts w:ascii="Times New Roman" w:cs="Times New Roman" w:eastAsia="Times New Roman" w:hAnsi="Times New Roman"/>
          <w:sz w:val="22"/>
          <w:szCs w:val="22"/>
          <w:color w:val="auto"/>
        </w:rPr>
        <w:t xml:space="preserve">”), (ii) such Reinstated Letter of Credit shall no longer be deemed to be Cash Collateralized hereunder and shall constitute a utilization of the Commitment, (iii) each Lender shall be obligated to fund participations or Advances to reimburse any drawing under such Reinstated Letter of Credit, (iv) Letter of Credit commissions under </w:t>
      </w:r>
      <w:r>
        <w:rPr>
          <w:rFonts w:ascii="Times New Roman" w:cs="Times New Roman" w:eastAsia="Times New Roman" w:hAnsi="Times New Roman"/>
          <w:sz w:val="22"/>
          <w:szCs w:val="22"/>
          <w:u w:val="single" w:color="auto"/>
          <w:color w:val="auto"/>
        </w:rPr>
        <w:t>Section 10.03(a)</w:t>
      </w:r>
      <w:r>
        <w:rPr>
          <w:rFonts w:ascii="Times New Roman" w:cs="Times New Roman" w:eastAsia="Times New Roman" w:hAnsi="Times New Roman"/>
          <w:sz w:val="22"/>
          <w:szCs w:val="22"/>
          <w:color w:val="auto"/>
        </w:rPr>
        <w:t xml:space="preserve"> shall accrue and be due and payable to the Lenders with respect to such Reinstated Letter of Credit and (v) the Company’s and each Lender’s liability hereunder (and any Guarantee, Lien or Collateral guaranteeing or securing such liability) shall be and remain in full force and effect, as fully as if such payment or deposit had never been made, and, if prior thereto, this Agreement shall have been canceled, terminated, paid in full or otherwise extinguished (and if any Guarantee, Lien or Collateral guaranteeing or securing such Company’s or such Lender’s) liability hereunder shall have been released or terminated by virtue of such cancellation, termination, payment or extinguishment), the provisions of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and all other rights and duties of the applicable Issuing Lender, the L/C Participants and the Credit Parties with respect to such Reinstated Letter of Credit (and any Guarantee, Lien or Collateral guaranteeing or securing such liability) shall be reinstated in full force and effect, and such prior cancellation, termination, payment or extinguishment shall not diminish, release, discharge, impair or otherwise affect the obligations of such Persons in respect of such Reinstated Letter of Credit (and any Guarantee, Lien or Collateral guaranteeing or securing such obligation).</w:t>
      </w:r>
    </w:p>
    <w:p>
      <w:pPr>
        <w:spacing w:after="0" w:line="197" w:lineRule="exact"/>
        <w:rPr>
          <w:rFonts w:ascii="Times New Roman" w:cs="Times New Roman" w:eastAsia="Times New Roman" w:hAnsi="Times New Roman"/>
          <w:sz w:val="22"/>
          <w:szCs w:val="22"/>
          <w:color w:val="auto"/>
        </w:rPr>
      </w:pPr>
    </w:p>
    <w:p>
      <w:pPr>
        <w:jc w:val="both"/>
        <w:ind w:firstLine="656"/>
        <w:spacing w:after="0" w:line="253" w:lineRule="auto"/>
        <w:tabs>
          <w:tab w:leader="none" w:pos="1134"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With respect to any Extended Letter of Credit, each party’s obligations under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and all other rights and duties of the applicable Issuing Lender of such Extended Letter of Credit, the L/C Participants and the Credit Parties with respect to such Extended Letter of Credit shall survive the resignation or replacement of the applicable Issuing Lender or any assignment of rights by the applicable Issuing Lender, the termination of the Commitments and the repayment, satisfaction or discharge of the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2614930</wp:posOffset>
            </wp:positionH>
            <wp:positionV relativeFrom="paragraph">
              <wp:posOffset>-365760</wp:posOffset>
            </wp:positionV>
            <wp:extent cx="431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124</w:t>
      </w:r>
    </w:p>
    <w:p>
      <w:pPr>
        <w:sectPr>
          <w:pgSz w:w="11900" w:h="16838" w:orient="portrait"/>
          <w:cols w:equalWidth="0" w:num="1">
            <w:col w:w="11240"/>
          </w:cols>
          <w:pgMar w:left="320" w:top="1260" w:right="339" w:bottom="1440" w:gutter="0" w:footer="0" w:header="0"/>
        </w:sectPr>
      </w:pPr>
    </w:p>
    <w:bookmarkStart w:id="238" w:name="page239"/>
    <w:bookmarkEnd w:id="238"/>
    <w:p>
      <w:pPr>
        <w:jc w:val="center"/>
        <w:spacing w:after="0"/>
        <w:rPr>
          <w:sz w:val="20"/>
          <w:szCs w:val="20"/>
          <w:color w:val="auto"/>
        </w:rPr>
      </w:pPr>
      <w:r>
        <w:rPr>
          <w:rFonts w:ascii="Times New Roman" w:cs="Times New Roman" w:eastAsia="Times New Roman" w:hAnsi="Times New Roman"/>
          <w:sz w:val="21"/>
          <w:szCs w:val="21"/>
          <w:color w:val="auto"/>
        </w:rPr>
        <w:t>[SIGNATURE PAGES INTENTIONALLY OMITTED]</w:t>
      </w:r>
    </w:p>
    <w:p>
      <w:pPr>
        <w:sectPr>
          <w:pgSz w:w="11900" w:h="16838" w:orient="portrait"/>
          <w:cols w:equalWidth="0" w:num="1">
            <w:col w:w="9019"/>
          </w:cols>
          <w:pgMar w:left="1440" w:top="12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125</w:t>
      </w:r>
    </w:p>
    <w:sectPr>
      <w:pgSz w:w="11900" w:h="16838" w:orient="portrait"/>
      <w:cols w:equalWidth="0" w:num="1">
        <w:col w:w="9019"/>
      </w:cols>
      <w:pgMar w:left="1440" w:top="126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E534CDE"/>
    <w:multiLevelType w:val="hybridMultilevel"/>
    <w:lvl w:ilvl="0">
      <w:lvlJc w:val="left"/>
      <w:lvlText w:val="☐"/>
      <w:numFmt w:val="bullet"/>
      <w:start w:val="1"/>
    </w:lvl>
  </w:abstractNum>
  <w:abstractNum w:abstractNumId="1">
    <w:nsid w:val="1A0DDE32"/>
    <w:multiLevelType w:val="hybridMultilevel"/>
    <w:lvl w:ilvl="0">
      <w:lvlJc w:val="left"/>
      <w:lvlText w:val="(%1)"/>
      <w:numFmt w:val="lowerRoman"/>
      <w:start w:val="1"/>
    </w:lvl>
  </w:abstractNum>
  <w:abstractNum w:abstractNumId="2">
    <w:nsid w:val="65968C1C"/>
    <w:multiLevelType w:val="hybridMultilevel"/>
    <w:lvl w:ilvl="0">
      <w:lvlJc w:val="left"/>
      <w:lvlText w:val="(%1)"/>
      <w:numFmt w:val="decimal"/>
      <w:start w:val="1"/>
    </w:lvl>
  </w:abstractNum>
  <w:abstractNum w:abstractNumId="3">
    <w:nsid w:val="46263DEC"/>
    <w:multiLevelType w:val="hybridMultilevel"/>
    <w:lvl w:ilvl="0">
      <w:lvlJc w:val="left"/>
      <w:lvlText w:val="(%1)"/>
      <w:numFmt w:val="decimal"/>
      <w:start w:val="1"/>
    </w:lvl>
  </w:abstractNum>
  <w:abstractNum w:abstractNumId="4">
    <w:nsid w:val="260D8C4A"/>
    <w:multiLevelType w:val="hybridMultilevel"/>
    <w:lvl w:ilvl="0">
      <w:lvlJc w:val="left"/>
      <w:lvlText w:val="(%1)"/>
      <w:numFmt w:val="decimal"/>
      <w:start w:val="1"/>
    </w:lvl>
  </w:abstractNum>
  <w:abstractNum w:abstractNumId="5">
    <w:nsid w:val="73D4D3C4"/>
    <w:multiLevelType w:val="hybridMultilevel"/>
    <w:lvl w:ilvl="0">
      <w:lvlJc w:val="left"/>
      <w:lvlText w:val="%1"/>
      <w:numFmt w:val="decimal"/>
      <w:start w:val="1"/>
    </w:lvl>
    <w:lvl w:ilvl="1">
      <w:lvlJc w:val="left"/>
      <w:lvlText w:val="(%2)"/>
      <w:numFmt w:val="decimal"/>
      <w:start w:val="2"/>
    </w:lvl>
  </w:abstractNum>
  <w:abstractNum w:abstractNumId="6">
    <w:nsid w:val="746F2E30"/>
    <w:multiLevelType w:val="hybridMultilevel"/>
    <w:lvl w:ilvl="0">
      <w:lvlJc w:val="left"/>
      <w:lvlText w:val="(%1)"/>
      <w:numFmt w:val="decimal"/>
      <w:start w:val="3"/>
    </w:lvl>
    <w:lvl w:ilvl="1">
      <w:lvlJc w:val="left"/>
      <w:lvlText w:val="(%2)"/>
      <w:numFmt w:val="decimal"/>
      <w:start w:val="3"/>
    </w:lvl>
  </w:abstractNum>
  <w:abstractNum w:abstractNumId="7">
    <w:nsid w:val="6FDE8AF6"/>
    <w:multiLevelType w:val="hybridMultilevel"/>
    <w:lvl w:ilvl="0">
      <w:lvlJc w:val="left"/>
      <w:lvlText w:val="(%1)"/>
      <w:numFmt w:val="lowerLetter"/>
      <w:start w:val="1"/>
    </w:lvl>
  </w:abstractNum>
  <w:abstractNum w:abstractNumId="8">
    <w:nsid w:val="3FC32E20"/>
    <w:multiLevelType w:val="hybridMultilevel"/>
    <w:lvl w:ilvl="0">
      <w:lvlJc w:val="left"/>
      <w:lvlText w:val="(%1)"/>
      <w:numFmt w:val="decimal"/>
      <w:start w:val="1"/>
    </w:lvl>
  </w:abstractNum>
  <w:abstractNum w:abstractNumId="9">
    <w:nsid w:val="49C0E823"/>
    <w:multiLevelType w:val="hybridMultilevel"/>
    <w:lvl w:ilvl="0">
      <w:lvlJc w:val="left"/>
      <w:lvlText w:val="(%1)"/>
      <w:numFmt w:val="lowerLetter"/>
      <w:start w:val="1"/>
    </w:lvl>
  </w:abstractNum>
  <w:abstractNum w:abstractNumId="10">
    <w:nsid w:val="14D53685"/>
    <w:multiLevelType w:val="hybridMultilevel"/>
    <w:lvl w:ilvl="0">
      <w:lvlJc w:val="left"/>
      <w:lvlText w:val="(%1)"/>
      <w:numFmt w:val="decimal"/>
      <w:start w:val="1"/>
    </w:lvl>
  </w:abstractNum>
  <w:abstractNum w:abstractNumId="11">
    <w:nsid w:val="230F856C"/>
    <w:multiLevelType w:val="hybridMultilevel"/>
    <w:lvl w:ilvl="0">
      <w:lvlJc w:val="left"/>
      <w:lvlText w:val="(%1)"/>
      <w:numFmt w:val="decimal"/>
      <w:start w:val="2"/>
    </w:lvl>
  </w:abstractNum>
  <w:abstractNum w:abstractNumId="12">
    <w:nsid w:val="6EAA85FB"/>
    <w:multiLevelType w:val="hybridMultilevel"/>
    <w:lvl w:ilvl="0">
      <w:lvlJc w:val="left"/>
      <w:lvlText w:val="(%1)"/>
      <w:numFmt w:val="lowerLetter"/>
      <w:start w:val="1"/>
    </w:lvl>
  </w:abstractNum>
  <w:abstractNum w:abstractNumId="13">
    <w:nsid w:val="3F06ECB2"/>
    <w:multiLevelType w:val="hybridMultilevel"/>
    <w:lvl w:ilvl="0">
      <w:lvlJc w:val="left"/>
      <w:lvlText w:val="(%1)"/>
      <w:numFmt w:val="decimal"/>
      <w:start w:val="9"/>
    </w:lvl>
  </w:abstractNum>
  <w:abstractNum w:abstractNumId="14">
    <w:nsid w:val="3B594807"/>
    <w:multiLevelType w:val="hybridMultilevel"/>
    <w:lvl w:ilvl="0">
      <w:lvlJc w:val="left"/>
      <w:lvlText w:val="(%1)"/>
      <w:numFmt w:val="lowerLetter"/>
      <w:start w:val="1"/>
    </w:lvl>
  </w:abstractNum>
  <w:abstractNum w:abstractNumId="15">
    <w:nsid w:val="6CAA2304"/>
    <w:multiLevelType w:val="hybridMultilevel"/>
    <w:lvl w:ilvl="0">
      <w:lvlJc w:val="left"/>
      <w:lvlText w:val="(%1)"/>
      <w:numFmt w:val="lowerLetter"/>
      <w:start w:val="6"/>
    </w:lvl>
  </w:abstractNum>
  <w:abstractNum w:abstractNumId="16">
    <w:nsid w:val="3F7C2FF4"/>
    <w:multiLevelType w:val="hybridMultilevel"/>
    <w:lvl w:ilvl="0">
      <w:lvlJc w:val="left"/>
      <w:lvlText w:val="(%1)"/>
      <w:numFmt w:val="lowerLetter"/>
      <w:start w:val="1"/>
    </w:lvl>
  </w:abstractNum>
  <w:abstractNum w:abstractNumId="17">
    <w:nsid w:val="25413BEC"/>
    <w:multiLevelType w:val="hybridMultilevel"/>
    <w:lvl w:ilvl="0">
      <w:lvlJc w:val="left"/>
      <w:lvlText w:val="(%1)"/>
      <w:numFmt w:val="lowerLetter"/>
      <w:start w:val="5"/>
    </w:lvl>
  </w:abstractNum>
  <w:abstractNum w:abstractNumId="18">
    <w:nsid w:val="17180B0B"/>
    <w:multiLevelType w:val="hybridMultilevel"/>
    <w:lvl w:ilvl="0">
      <w:lvlJc w:val="left"/>
      <w:lvlText w:val="(%1)"/>
      <w:numFmt w:val="lowerLetter"/>
      <w:start w:val="9"/>
    </w:lvl>
  </w:abstractNum>
  <w:abstractNum w:abstractNumId="19">
    <w:nsid w:val="579328B9"/>
    <w:multiLevelType w:val="hybridMultilevel"/>
    <w:lvl w:ilvl="0">
      <w:lvlJc w:val="left"/>
      <w:lvlText w:val="(%1)"/>
      <w:numFmt w:val="lowerLetter"/>
      <w:start w:val="1"/>
    </w:lvl>
  </w:abstractNum>
  <w:abstractNum w:abstractNumId="20">
    <w:nsid w:val="5D205E20"/>
    <w:multiLevelType w:val="hybridMultilevel"/>
    <w:lvl w:ilvl="0">
      <w:lvlJc w:val="left"/>
      <w:lvlText w:val="(%1)"/>
      <w:numFmt w:val="lowerLetter"/>
      <w:start w:val="1"/>
    </w:lvl>
  </w:abstractNum>
  <w:abstractNum w:abstractNumId="21">
    <w:nsid w:val="11CCA8BA"/>
    <w:multiLevelType w:val="hybridMultilevel"/>
    <w:lvl w:ilvl="0">
      <w:lvlJc w:val="left"/>
      <w:lvlText w:val="%1"/>
      <w:numFmt w:val="decimal"/>
      <w:start w:val="1"/>
    </w:lvl>
    <w:lvl w:ilvl="1">
      <w:lvlJc w:val="left"/>
      <w:lvlText w:val="(%2)"/>
      <w:numFmt w:val="lowerLetter"/>
      <w:start w:val="4"/>
    </w:lvl>
  </w:abstractNum>
  <w:abstractNum w:abstractNumId="22">
    <w:nsid w:val="4D32AB86"/>
    <w:multiLevelType w:val="hybridMultilevel"/>
    <w:lvl w:ilvl="0">
      <w:lvlJc w:val="left"/>
      <w:lvlText w:val="(%1)"/>
      <w:numFmt w:val="decimal"/>
      <w:start w:val="2"/>
    </w:lvl>
    <w:lvl w:ilvl="1">
      <w:lvlJc w:val="left"/>
      <w:lvlText w:val="%2"/>
      <w:numFmt w:val="lowerLetter"/>
      <w:start w:val="1"/>
    </w:lvl>
  </w:abstractNum>
  <w:abstractNum w:abstractNumId="23">
    <w:nsid w:val="3F07ACC3"/>
    <w:multiLevelType w:val="hybridMultilevel"/>
    <w:lvl w:ilvl="0">
      <w:lvlJc w:val="left"/>
      <w:lvlText w:val="(%1)"/>
      <w:numFmt w:val="lowerLetter"/>
      <w:start w:val="1"/>
    </w:lvl>
  </w:abstractNum>
  <w:abstractNum w:abstractNumId="24">
    <w:nsid w:val="6B47F63E"/>
    <w:multiLevelType w:val="hybridMultilevel"/>
    <w:lvl w:ilvl="0">
      <w:lvlJc w:val="left"/>
      <w:lvlText w:val="(%1)"/>
      <w:numFmt w:val="lowerLetter"/>
      <w:start w:val="2"/>
    </w:lvl>
  </w:abstractNum>
  <w:abstractNum w:abstractNumId="25">
    <w:nsid w:val="5CB44A05"/>
    <w:multiLevelType w:val="hybridMultilevel"/>
    <w:lvl w:ilvl="0">
      <w:lvlJc w:val="left"/>
      <w:lvlText w:val="(%1)"/>
      <w:numFmt w:val="lowerLetter"/>
      <w:start w:val="1"/>
    </w:lvl>
  </w:abstractNum>
  <w:abstractNum w:abstractNumId="26">
    <w:nsid w:val="16CF80F1"/>
    <w:multiLevelType w:val="hybridMultilevel"/>
    <w:lvl w:ilvl="0">
      <w:lvlJc w:val="left"/>
      <w:lvlText w:val="(%1)"/>
      <w:numFmt w:val="lowerLetter"/>
      <w:start w:val="5"/>
    </w:lvl>
  </w:abstractNum>
  <w:abstractNum w:abstractNumId="27">
    <w:nsid w:val="1C695DEC"/>
    <w:multiLevelType w:val="hybridMultilevel"/>
    <w:lvl w:ilvl="0">
      <w:lvlJc w:val="left"/>
      <w:lvlText w:val="(%1)"/>
      <w:numFmt w:val="lowerLetter"/>
      <w:start w:val="1"/>
    </w:lvl>
  </w:abstractNum>
  <w:abstractNum w:abstractNumId="28">
    <w:nsid w:val="3FCFAED9"/>
    <w:multiLevelType w:val="hybridMultilevel"/>
    <w:lvl w:ilvl="0">
      <w:lvlJc w:val="left"/>
      <w:lvlText w:val="(%1)"/>
      <w:numFmt w:val="lowerLetter"/>
      <w:start w:val="2"/>
    </w:lvl>
  </w:abstractNum>
  <w:abstractNum w:abstractNumId="29">
    <w:nsid w:val="F856867"/>
    <w:multiLevelType w:val="hybridMultilevel"/>
    <w:lvl w:ilvl="0">
      <w:lvlJc w:val="left"/>
      <w:lvlText w:val="(%1)"/>
      <w:numFmt w:val="lowerLetter"/>
      <w:start w:val="1"/>
    </w:lvl>
  </w:abstractNum>
  <w:abstractNum w:abstractNumId="30">
    <w:nsid w:val="11B1CC33"/>
    <w:multiLevelType w:val="hybridMultilevel"/>
    <w:lvl w:ilvl="0">
      <w:lvlJc w:val="left"/>
      <w:lvlText w:val="(%1)"/>
      <w:numFmt w:val="lowerLetter"/>
      <w:start w:val="1"/>
    </w:lvl>
  </w:abstractNum>
  <w:abstractNum w:abstractNumId="31">
    <w:nsid w:val="2E22FBB7"/>
    <w:multiLevelType w:val="hybridMultilevel"/>
    <w:lvl w:ilvl="0">
      <w:lvlJc w:val="left"/>
      <w:lvlText w:val="(%1)"/>
      <w:numFmt w:val="lowerLetter"/>
      <w:start w:val="1"/>
    </w:lvl>
    <w:lvl w:ilvl="1">
      <w:lvlJc w:val="left"/>
      <w:lvlText w:val="(%2)"/>
      <w:numFmt w:val="decimal"/>
      <w:start w:val="1"/>
    </w:lvl>
  </w:abstractNum>
  <w:abstractNum w:abstractNumId="32">
    <w:nsid w:val="29934699"/>
    <w:multiLevelType w:val="hybridMultilevel"/>
    <w:lvl w:ilvl="0">
      <w:lvlJc w:val="left"/>
      <w:lvlText w:val="%1"/>
      <w:numFmt w:val="lowerLetter"/>
      <w:start w:val="1"/>
    </w:lvl>
    <w:lvl w:ilvl="1">
      <w:lvlJc w:val="left"/>
      <w:lvlText w:val="(%2)"/>
      <w:numFmt w:val="decimal"/>
      <w:start w:val="4"/>
    </w:lvl>
  </w:abstractNum>
  <w:abstractNum w:abstractNumId="33">
    <w:nsid w:val="77485850"/>
    <w:multiLevelType w:val="hybridMultilevel"/>
    <w:lvl w:ilvl="0">
      <w:lvlJc w:val="left"/>
      <w:lvlText w:val="(%1)"/>
      <w:numFmt w:val="lowerLetter"/>
      <w:start w:val="3"/>
    </w:lvl>
    <w:lvl w:ilvl="1">
      <w:lvlJc w:val="left"/>
      <w:lvlText w:val="%2"/>
      <w:numFmt w:val="decimal"/>
      <w:start w:val="1"/>
    </w:lvl>
  </w:abstractNum>
  <w:abstractNum w:abstractNumId="34">
    <w:nsid w:val="744939A3"/>
    <w:multiLevelType w:val="hybridMultilevel"/>
    <w:lvl w:ilvl="0">
      <w:lvlJc w:val="left"/>
      <w:lvlText w:val="(%1)"/>
      <w:numFmt w:val="lowerLetter"/>
      <w:start w:val="1"/>
    </w:lvl>
  </w:abstractNum>
  <w:abstractNum w:abstractNumId="35">
    <w:nsid w:val="4FA0D2E3"/>
    <w:multiLevelType w:val="hybridMultilevel"/>
    <w:lvl w:ilvl="0">
      <w:lvlJc w:val="left"/>
      <w:lvlText w:val="(%1)"/>
      <w:numFmt w:val="lowerLetter"/>
      <w:start w:val="1"/>
    </w:lvl>
  </w:abstractNum>
  <w:abstractNum w:abstractNumId="36">
    <w:nsid w:val="6B1D2C14"/>
    <w:multiLevelType w:val="hybridMultilevel"/>
    <w:lvl w:ilvl="0">
      <w:lvlJc w:val="left"/>
      <w:lvlText w:val="(%1)"/>
      <w:numFmt w:val="lowerLetter"/>
      <w:start w:val="3"/>
    </w:lvl>
  </w:abstractNum>
  <w:abstractNum w:abstractNumId="37">
    <w:nsid w:val="68B867D3"/>
    <w:multiLevelType w:val="hybridMultilevel"/>
    <w:lvl w:ilvl="0">
      <w:lvlJc w:val="left"/>
      <w:lvlText w:val="(%1)"/>
      <w:numFmt w:val="lowerLetter"/>
      <w:start w:val="5"/>
    </w:lvl>
  </w:abstractNum>
  <w:abstractNum w:abstractNumId="38">
    <w:nsid w:val="3F7F5DD9"/>
    <w:multiLevelType w:val="hybridMultilevel"/>
    <w:lvl w:ilvl="0">
      <w:lvlJc w:val="left"/>
      <w:lvlText w:val="(%1)"/>
      <w:numFmt w:val="lowerLetter"/>
      <w:start w:val="1"/>
    </w:lvl>
  </w:abstractNum>
  <w:abstractNum w:abstractNumId="39">
    <w:nsid w:val="2AE05A34"/>
    <w:multiLevelType w:val="hybridMultilevel"/>
    <w:lvl w:ilvl="0">
      <w:lvlJc w:val="left"/>
      <w:lvlText w:val="(%1)"/>
      <w:numFmt w:val="lowerLetter"/>
      <w:start w:val="2"/>
    </w:lvl>
  </w:abstractNum>
  <w:abstractNum w:abstractNumId="40">
    <w:nsid w:val="32794FF7"/>
    <w:multiLevelType w:val="hybridMultilevel"/>
    <w:lvl w:ilvl="0">
      <w:lvlJc w:val="left"/>
      <w:lvlText w:val="(%1)"/>
      <w:numFmt w:val="lowerLetter"/>
      <w:start w:val="1"/>
    </w:lvl>
  </w:abstractNum>
  <w:abstractNum w:abstractNumId="41">
    <w:nsid w:val="5454945E"/>
    <w:multiLevelType w:val="hybridMultilevel"/>
    <w:lvl w:ilvl="0">
      <w:lvlJc w:val="left"/>
      <w:lvlText w:val="(%1)"/>
      <w:numFmt w:val="lowerLetter"/>
      <w:start w:val="2"/>
    </w:lvl>
  </w:abstractNum>
  <w:abstractNum w:abstractNumId="42">
    <w:nsid w:val="4DEFDFA0"/>
    <w:multiLevelType w:val="hybridMultilevel"/>
    <w:lvl w:ilvl="0">
      <w:lvlJc w:val="left"/>
      <w:lvlText w:val="(%1)"/>
      <w:numFmt w:val="lowerLetter"/>
      <w:start w:val="1"/>
    </w:lvl>
  </w:abstractNum>
  <w:abstractNum w:abstractNumId="43">
    <w:nsid w:val="2123D5F2"/>
    <w:multiLevelType w:val="hybridMultilevel"/>
    <w:lvl w:ilvl="0">
      <w:lvlJc w:val="left"/>
      <w:lvlText w:val="(%1)"/>
      <w:numFmt w:val="lowerLetter"/>
      <w:start w:val="1"/>
    </w:lvl>
  </w:abstractNum>
  <w:abstractNum w:abstractNumId="44">
    <w:nsid w:val="135B8110"/>
    <w:multiLevelType w:val="hybridMultilevel"/>
    <w:lvl w:ilvl="0">
      <w:lvlJc w:val="left"/>
      <w:lvlText w:val="(%1)"/>
      <w:numFmt w:val="lowerLetter"/>
      <w:start w:val="5"/>
    </w:lvl>
    <w:lvl w:ilvl="1">
      <w:lvlJc w:val="left"/>
      <w:lvlText w:val="(%2)"/>
      <w:numFmt w:val="decimal"/>
      <w:start w:val="1"/>
    </w:lvl>
  </w:abstractNum>
  <w:abstractNum w:abstractNumId="45">
    <w:nsid w:val="94927A8"/>
    <w:multiLevelType w:val="hybridMultilevel"/>
    <w:lvl w:ilvl="0">
      <w:lvlJc w:val="left"/>
      <w:lvlText w:val="(%1)"/>
      <w:numFmt w:val="lowerLetter"/>
      <w:start w:val="1"/>
    </w:lvl>
    <w:lvl w:ilvl="1">
      <w:lvlJc w:val="left"/>
      <w:lvlText w:val="(%2)"/>
      <w:numFmt w:val="decimal"/>
      <w:start w:val="1"/>
    </w:lvl>
  </w:abstractNum>
  <w:abstractNum w:abstractNumId="46">
    <w:nsid w:val="DCDF8F6"/>
    <w:multiLevelType w:val="hybridMultilevel"/>
    <w:lvl w:ilvl="0">
      <w:lvlJc w:val="left"/>
      <w:lvlText w:val="%1"/>
      <w:numFmt w:val="lowerRoman"/>
      <w:start w:val="1"/>
    </w:lvl>
    <w:lvl w:ilvl="1">
      <w:lvlJc w:val="left"/>
      <w:lvlText w:val="(%2)"/>
      <w:numFmt w:val="decimal"/>
      <w:start w:val="5"/>
    </w:lvl>
  </w:abstractNum>
  <w:abstractNum w:abstractNumId="47">
    <w:nsid w:val="52D7B105"/>
    <w:multiLevelType w:val="hybridMultilevel"/>
    <w:lvl w:ilvl="0">
      <w:lvlJc w:val="left"/>
      <w:lvlText w:val="(%1)"/>
      <w:numFmt w:val="lowerRoman"/>
      <w:start w:val="2"/>
    </w:lvl>
    <w:lvl w:ilvl="1">
      <w:lvlJc w:val="left"/>
      <w:lvlText w:val="(%2)"/>
      <w:numFmt w:val="decimal"/>
      <w:start w:val="6"/>
    </w:lvl>
  </w:abstractNum>
  <w:abstractNum w:abstractNumId="48">
    <w:nsid w:val="2E8A6394"/>
    <w:multiLevelType w:val="hybridMultilevel"/>
    <w:lvl w:ilvl="0">
      <w:lvlJc w:val="left"/>
      <w:lvlText w:val="(%1)"/>
      <w:numFmt w:val="lowerLetter"/>
      <w:start w:val="2"/>
    </w:lvl>
  </w:abstractNum>
  <w:abstractNum w:abstractNumId="49">
    <w:nsid w:val="24E60401"/>
    <w:multiLevelType w:val="hybridMultilevel"/>
    <w:lvl w:ilvl="0">
      <w:lvlJc w:val="left"/>
      <w:lvlText w:val="(%1)"/>
      <w:numFmt w:val="lowerLetter"/>
      <w:start w:val="1"/>
    </w:lvl>
  </w:abstractNum>
  <w:abstractNum w:abstractNumId="50">
    <w:nsid w:val="2A6AD9BE"/>
    <w:multiLevelType w:val="hybridMultilevel"/>
    <w:lvl w:ilvl="0">
      <w:lvlJc w:val="left"/>
      <w:lvlText w:val="(%1)"/>
      <w:numFmt w:val="lowerLetter"/>
      <w:start w:val="1"/>
    </w:lvl>
  </w:abstractNum>
  <w:abstractNum w:abstractNumId="51">
    <w:nsid w:val="BAAC1B4"/>
    <w:multiLevelType w:val="hybridMultilevel"/>
    <w:lvl w:ilvl="0">
      <w:lvlJc w:val="left"/>
      <w:lvlText w:val="(%1)"/>
      <w:numFmt w:val="decimal"/>
      <w:start w:val="1"/>
    </w:lvl>
  </w:abstractNum>
  <w:abstractNum w:abstractNumId="52">
    <w:nsid w:val="36B2ACBC"/>
    <w:multiLevelType w:val="hybridMultilevel"/>
    <w:lvl w:ilvl="0">
      <w:lvlJc w:val="left"/>
      <w:lvlText w:val="(%1)"/>
      <w:numFmt w:val="lowerLetter"/>
      <w:start w:val="2"/>
    </w:lvl>
    <w:lvl w:ilvl="1">
      <w:lvlJc w:val="left"/>
      <w:lvlText w:val="(%2)"/>
      <w:numFmt w:val="decimal"/>
      <w:start w:val="1"/>
    </w:lvl>
  </w:abstractNum>
  <w:abstractNum w:abstractNumId="53">
    <w:nsid w:val="779D8544"/>
    <w:multiLevelType w:val="hybridMultilevel"/>
    <w:lvl w:ilvl="0">
      <w:lvlJc w:val="left"/>
      <w:lvlText w:val="(%1)"/>
      <w:numFmt w:val="lowerLetter"/>
      <w:start w:val="1"/>
    </w:lvl>
  </w:abstractNum>
  <w:abstractNum w:abstractNumId="54">
    <w:nsid w:val="4AB26E78"/>
    <w:multiLevelType w:val="hybridMultilevel"/>
    <w:lvl w:ilvl="0">
      <w:lvlJc w:val="left"/>
      <w:lvlText w:val="(%1)"/>
      <w:numFmt w:val="lowerRoman"/>
      <w:start w:val="1"/>
    </w:lvl>
  </w:abstractNum>
  <w:abstractNum w:abstractNumId="55">
    <w:nsid w:val="21FAA2FA"/>
    <w:multiLevelType w:val="hybridMultilevel"/>
    <w:lvl w:ilvl="0">
      <w:lvlJc w:val="left"/>
      <w:lvlText w:val="(%1)"/>
      <w:numFmt w:val="lowerLetter"/>
      <w:start w:val="1"/>
    </w:lvl>
    <w:lvl w:ilvl="1">
      <w:lvlJc w:val="left"/>
      <w:lvlText w:val="(%2)"/>
      <w:numFmt w:val="decimal"/>
      <w:start w:val="1"/>
    </w:lvl>
  </w:abstractNum>
  <w:abstractNum w:abstractNumId="56">
    <w:nsid w:val="5451CF49"/>
    <w:multiLevelType w:val="hybridMultilevel"/>
    <w:lvl w:ilvl="0">
      <w:lvlJc w:val="left"/>
      <w:lvlText w:val="(%1)"/>
      <w:numFmt w:val="decimal"/>
      <w:start w:val="1"/>
    </w:lvl>
  </w:abstractNum>
  <w:abstractNum w:abstractNumId="57">
    <w:nsid w:val="6181EF69"/>
    <w:multiLevelType w:val="hybridMultilevel"/>
    <w:lvl w:ilvl="0">
      <w:lvlJc w:val="left"/>
      <w:lvlText w:val="(%1)"/>
      <w:numFmt w:val="decimal"/>
      <w:start w:val="1"/>
    </w:lvl>
  </w:abstractNum>
  <w:abstractNum w:abstractNumId="58">
    <w:nsid w:val="3E6400E6"/>
    <w:multiLevelType w:val="hybridMultilevel"/>
    <w:lvl w:ilvl="0">
      <w:lvlJc w:val="left"/>
      <w:lvlText w:val="(%1)"/>
      <w:numFmt w:val="decimal"/>
      <w:start w:val="3"/>
    </w:lvl>
  </w:abstractNum>
  <w:abstractNum w:abstractNumId="59">
    <w:nsid w:val="14217E23"/>
    <w:multiLevelType w:val="hybridMultilevel"/>
    <w:lvl w:ilvl="0">
      <w:lvlJc w:val="left"/>
      <w:lvlText w:val="(%1)"/>
      <w:numFmt w:val="decimal"/>
      <w:start w:val="1"/>
    </w:lvl>
  </w:abstractNum>
  <w:abstractNum w:abstractNumId="60">
    <w:nsid w:val="710757D0"/>
    <w:multiLevelType w:val="hybridMultilevel"/>
    <w:lvl w:ilvl="0">
      <w:lvlJc w:val="left"/>
      <w:lvlText w:val="(%1)"/>
      <w:numFmt w:val="lowerLetter"/>
      <w:start w:val="1"/>
    </w:lvl>
    <w:lvl w:ilvl="1">
      <w:lvlJc w:val="left"/>
      <w:lvlText w:val="(%2)"/>
      <w:numFmt w:val="decimal"/>
      <w:start w:val="1"/>
    </w:lvl>
  </w:abstractNum>
  <w:abstractNum w:abstractNumId="61">
    <w:nsid w:val="5015CD1A"/>
    <w:multiLevelType w:val="hybridMultilevel"/>
    <w:lvl w:ilvl="0">
      <w:lvlJc w:val="left"/>
      <w:lvlText w:val="%1"/>
      <w:numFmt w:val="lowerLetter"/>
      <w:start w:val="1"/>
    </w:lvl>
    <w:lvl w:ilvl="1">
      <w:lvlJc w:val="left"/>
      <w:lvlText w:val="(%2)"/>
      <w:numFmt w:val="decimal"/>
      <w:start w:val="3"/>
    </w:lvl>
  </w:abstractNum>
  <w:abstractNum w:abstractNumId="62">
    <w:nsid w:val="424479DA"/>
    <w:multiLevelType w:val="hybridMultilevel"/>
    <w:lvl w:ilvl="0">
      <w:lvlJc w:val="left"/>
      <w:lvlText w:val="(%1)"/>
      <w:numFmt w:val="lowerLetter"/>
      <w:start w:val="4"/>
    </w:lvl>
    <w:lvl w:ilvl="1">
      <w:lvlJc w:val="left"/>
      <w:lvlText w:val="%2"/>
      <w:numFmt w:val="decimal"/>
      <w:start w:val="1"/>
    </w:lvl>
  </w:abstractNum>
  <w:abstractNum w:abstractNumId="63">
    <w:nsid w:val="1A9A9E69"/>
    <w:multiLevelType w:val="hybridMultilevel"/>
    <w:lvl w:ilvl="0">
      <w:lvlJc w:val="left"/>
      <w:lvlText w:val="(%1)"/>
      <w:numFmt w:val="lowerLetter"/>
      <w:start w:val="1"/>
    </w:lvl>
  </w:abstractNum>
  <w:abstractNum w:abstractNumId="64">
    <w:nsid w:val="475E256A"/>
    <w:multiLevelType w:val="hybridMultilevel"/>
    <w:lvl w:ilvl="0">
      <w:lvlJc w:val="left"/>
      <w:lvlText w:val="(%1)"/>
      <w:numFmt w:val="lowerLetter"/>
      <w:start w:val="7"/>
    </w:lvl>
  </w:abstractNum>
  <w:abstractNum w:abstractNumId="65">
    <w:nsid w:val="368DB37E"/>
    <w:multiLevelType w:val="hybridMultilevel"/>
    <w:lvl w:ilvl="0">
      <w:lvlJc w:val="left"/>
      <w:lvlText w:val="(%1)"/>
      <w:numFmt w:val="lowerLetter"/>
      <w:start w:val="1"/>
    </w:lvl>
  </w:abstractNum>
  <w:abstractNum w:abstractNumId="66">
    <w:nsid w:val="6A3B714C"/>
    <w:multiLevelType w:val="hybridMultilevel"/>
    <w:lvl w:ilvl="0">
      <w:lvlJc w:val="left"/>
      <w:lvlText w:val="(%1)"/>
      <w:numFmt w:val="lowerLetter"/>
      <w:start w:val="1"/>
    </w:lvl>
  </w:abstractNum>
  <w:abstractNum w:abstractNumId="67">
    <w:nsid w:val="327B517E"/>
    <w:multiLevelType w:val="hybridMultilevel"/>
    <w:lvl w:ilvl="0">
      <w:lvlJc w:val="left"/>
      <w:lvlText w:val="%1"/>
      <w:numFmt w:val="lowerLetter"/>
      <w:start w:val="1"/>
    </w:lvl>
    <w:lvl w:ilvl="1">
      <w:lvlJc w:val="left"/>
      <w:lvlText w:val="(%2)"/>
      <w:numFmt w:val="decimal"/>
      <w:start w:val="1"/>
    </w:lvl>
  </w:abstractNum>
  <w:abstractNum w:abstractNumId="68">
    <w:nsid w:val="1F461B51"/>
    <w:multiLevelType w:val="hybridMultilevel"/>
    <w:lvl w:ilvl="0">
      <w:lvlJc w:val="left"/>
      <w:lvlText w:val="(%1)"/>
      <w:numFmt w:val="lowerLetter"/>
      <w:start w:val="2"/>
    </w:lvl>
    <w:lvl w:ilvl="1">
      <w:lvlJc w:val="left"/>
      <w:lvlText w:val="%2"/>
      <w:numFmt w:val="decimal"/>
      <w:start w:val="1"/>
    </w:lvl>
  </w:abstractNum>
  <w:abstractNum w:abstractNumId="69">
    <w:nsid w:val="29BACF25"/>
    <w:multiLevelType w:val="hybridMultilevel"/>
    <w:lvl w:ilvl="0">
      <w:lvlJc w:val="left"/>
      <w:lvlText w:val="(%1)"/>
      <w:numFmt w:val="lowerLetter"/>
      <w:start w:val="1"/>
    </w:lvl>
    <w:lvl w:ilvl="1">
      <w:lvlJc w:val="left"/>
      <w:lvlText w:val="(%2)"/>
      <w:numFmt w:val="decimal"/>
      <w:start w:val="1"/>
    </w:lvl>
  </w:abstractNum>
  <w:abstractNum w:abstractNumId="70">
    <w:nsid w:val="5D5BABB3"/>
    <w:multiLevelType w:val="hybridMultilevel"/>
    <w:lvl w:ilvl="0">
      <w:lvlJc w:val="left"/>
      <w:lvlText w:val="(%1)"/>
      <w:numFmt w:val="lowerLetter"/>
      <w:start w:val="1"/>
    </w:lvl>
    <w:lvl w:ilvl="1">
      <w:lvlJc w:val="left"/>
      <w:lvlText w:val="(%2)"/>
      <w:numFmt w:val="decimal"/>
      <w:start w:val="1"/>
    </w:lvl>
  </w:abstractNum>
  <w:abstractNum w:abstractNumId="71">
    <w:nsid w:val="51BF6B48"/>
    <w:multiLevelType w:val="hybridMultilevel"/>
    <w:lvl w:ilvl="0">
      <w:lvlJc w:val="left"/>
      <w:lvlText w:val="(%1)"/>
      <w:numFmt w:val="upperLetter"/>
      <w:start w:val="1"/>
    </w:lvl>
  </w:abstractNum>
  <w:abstractNum w:abstractNumId="72">
    <w:nsid w:val="7E0F6384"/>
    <w:multiLevelType w:val="hybridMultilevel"/>
    <w:lvl w:ilvl="0">
      <w:lvlJc w:val="left"/>
      <w:lvlText w:val="(%1)"/>
      <w:numFmt w:val="decimal"/>
      <w:start w:val="3"/>
    </w:lvl>
  </w:abstractNum>
  <w:abstractNum w:abstractNumId="73">
    <w:nsid w:val="2B4B8B53"/>
    <w:multiLevelType w:val="hybridMultilevel"/>
    <w:lvl w:ilvl="0">
      <w:lvlJc w:val="left"/>
      <w:lvlText w:val="(%1)"/>
      <w:numFmt w:val="lowerLetter"/>
      <w:start w:val="1"/>
    </w:lvl>
  </w:abstractNum>
  <w:abstractNum w:abstractNumId="74">
    <w:nsid w:val="72E3413A"/>
    <w:multiLevelType w:val="hybridMultilevel"/>
    <w:lvl w:ilvl="0">
      <w:lvlJc w:val="left"/>
      <w:lvlText w:val="(%1)"/>
      <w:numFmt w:val="lowerLetter"/>
      <w:start w:val="2"/>
    </w:lvl>
  </w:abstractNum>
  <w:abstractNum w:abstractNumId="75">
    <w:nsid w:val="116AE494"/>
    <w:multiLevelType w:val="hybridMultilevel"/>
    <w:lvl w:ilvl="0">
      <w:lvlJc w:val="left"/>
      <w:lvlText w:val="(%1)"/>
      <w:numFmt w:val="lowerLetter"/>
      <w:start w:val="1"/>
    </w:lvl>
    <w:lvl w:ilvl="1">
      <w:lvlJc w:val="left"/>
      <w:lvlText w:val="(%2)"/>
      <w:numFmt w:val="decimal"/>
      <w:start w:val="1"/>
    </w:lvl>
  </w:abstractNum>
  <w:abstractNum w:abstractNumId="76">
    <w:nsid w:val="3494B2FB"/>
    <w:multiLevelType w:val="hybridMultilevel"/>
    <w:lvl w:ilvl="0">
      <w:lvlJc w:val="left"/>
      <w:lvlText w:val="(%1)"/>
      <w:numFmt w:val="decimal"/>
      <w:start w:val="2"/>
    </w:lvl>
  </w:abstractNum>
  <w:abstractNum w:abstractNumId="77">
    <w:nsid w:val="B13A31"/>
    <w:multiLevelType w:val="hybridMultilevel"/>
    <w:lvl w:ilvl="0">
      <w:lvlJc w:val="left"/>
      <w:lvlText w:val="(%1)"/>
      <w:numFmt w:val="lowerLetter"/>
      <w:start w:val="1"/>
    </w:lvl>
  </w:abstractNum>
  <w:abstractNum w:abstractNumId="78">
    <w:nsid w:val="64429599"/>
    <w:multiLevelType w:val="hybridMultilevel"/>
    <w:lvl w:ilvl="0">
      <w:lvlJc w:val="left"/>
      <w:lvlText w:val="%1"/>
      <w:numFmt w:val="lowerLetter"/>
      <w:start w:val="1"/>
    </w:lvl>
    <w:lvl w:ilvl="1">
      <w:lvlJc w:val="left"/>
      <w:lvlText w:val="(%2)"/>
      <w:numFmt w:val="decimal"/>
      <w:start w:val="1"/>
    </w:lvl>
  </w:abstractNum>
  <w:abstractNum w:abstractNumId="79">
    <w:nsid w:val="631F1690"/>
    <w:multiLevelType w:val="hybridMultilevel"/>
    <w:lvl w:ilvl="0">
      <w:lvlJc w:val="left"/>
      <w:lvlText w:val="(%1)"/>
      <w:numFmt w:val="lowerLetter"/>
      <w:start w:val="1"/>
    </w:lvl>
    <w:lvl w:ilvl="1">
      <w:lvlJc w:val="left"/>
      <w:lvlText w:val="%2"/>
      <w:numFmt w:val="decimal"/>
      <w:start w:val="1"/>
    </w:lvl>
  </w:abstractNum>
  <w:abstractNum w:abstractNumId="80">
    <w:nsid w:val="25973E32"/>
    <w:multiLevelType w:val="hybridMultilevel"/>
    <w:lvl w:ilvl="0">
      <w:lvlJc w:val="left"/>
      <w:lvlText w:val="(%1)"/>
      <w:numFmt w:val="lowerLetter"/>
      <w:start w:val="1"/>
    </w:lvl>
  </w:abstractNum>
  <w:abstractNum w:abstractNumId="81">
    <w:nsid w:val="EAD6F57"/>
    <w:multiLevelType w:val="hybridMultilevel"/>
    <w:lvl w:ilvl="0">
      <w:lvlJc w:val="left"/>
      <w:lvlText w:val="(%1)"/>
      <w:numFmt w:val="lowerLetter"/>
      <w:start w:val="1"/>
    </w:lvl>
  </w:abstractNum>
  <w:abstractNum w:abstractNumId="82">
    <w:nsid w:val="6EC9D844"/>
    <w:multiLevelType w:val="hybridMultilevel"/>
    <w:lvl w:ilvl="0">
      <w:lvlJc w:val="left"/>
      <w:lvlText w:val="(%1)"/>
      <w:numFmt w:val="lowerLetter"/>
      <w:start w:val="1"/>
    </w:lvl>
  </w:abstractNum>
  <w:abstractNum w:abstractNumId="83">
    <w:nsid w:val="5C49EAEE"/>
    <w:multiLevelType w:val="hybridMultilevel"/>
    <w:lvl w:ilvl="0">
      <w:lvlJc w:val="left"/>
      <w:lvlText w:val="(%1)"/>
      <w:numFmt w:val="lowerLetter"/>
      <w:start w:val="2"/>
    </w:lvl>
  </w:abstractNum>
  <w:abstractNum w:abstractNumId="84">
    <w:nsid w:val="64AF49B"/>
    <w:multiLevelType w:val="hybridMultilevel"/>
    <w:lvl w:ilvl="0">
      <w:lvlJc w:val="left"/>
      <w:lvlText w:val="(%1)"/>
      <w:numFmt w:val="lowerLetter"/>
      <w:start w:val="7"/>
    </w:lvl>
  </w:abstractNum>
  <w:abstractNum w:abstractNumId="85">
    <w:nsid w:val="397C46BC"/>
    <w:multiLevelType w:val="hybridMultilevel"/>
    <w:lvl w:ilvl="0">
      <w:lvlJc w:val="left"/>
      <w:lvlText w:val="(%1)"/>
      <w:numFmt w:val="lowerLetter"/>
      <w:start w:val="1"/>
    </w:lvl>
  </w:abstractNum>
  <w:abstractNum w:abstractNumId="86">
    <w:nsid w:val="7E448DE9"/>
    <w:multiLevelType w:val="hybridMultilevel"/>
    <w:lvl w:ilvl="0">
      <w:lvlJc w:val="left"/>
      <w:lvlText w:val="(%1)"/>
      <w:numFmt w:val="lowerLetter"/>
      <w:start w:val="1"/>
    </w:lvl>
    <w:lvl w:ilvl="1">
      <w:lvlJc w:val="left"/>
      <w:lvlText w:val="(%2)"/>
      <w:numFmt w:val="decimal"/>
      <w:start w:val="1"/>
    </w:lvl>
  </w:abstractNum>
  <w:abstractNum w:abstractNumId="87">
    <w:nsid w:val="5A9CC3E5"/>
    <w:multiLevelType w:val="hybridMultilevel"/>
    <w:lvl w:ilvl="0">
      <w:lvlJc w:val="left"/>
      <w:lvlText w:val="(%1)"/>
      <w:numFmt w:val="lowerLetter"/>
      <w:start w:val="2"/>
    </w:lvl>
  </w:abstractNum>
  <w:abstractNum w:abstractNumId="88">
    <w:nsid w:val="1AFE3625"/>
    <w:multiLevelType w:val="hybridMultilevel"/>
    <w:lvl w:ilvl="0">
      <w:lvlJc w:val="left"/>
      <w:lvlText w:val="(%1)"/>
      <w:numFmt w:val="decimal"/>
      <w:start w:val="2"/>
    </w:lvl>
  </w:abstractNum>
  <w:abstractNum w:abstractNumId="89">
    <w:nsid w:val="3CA88ECF"/>
    <w:multiLevelType w:val="hybridMultilevel"/>
    <w:lvl w:ilvl="0">
      <w:lvlJc w:val="left"/>
      <w:lvlText w:val="(%1)"/>
      <w:numFmt w:val="lowerLetter"/>
      <w:start w:val="1"/>
    </w:lvl>
    <w:lvl w:ilvl="1">
      <w:lvlJc w:val="left"/>
      <w:lvlText w:val="(%2)"/>
      <w:numFmt w:val="decimal"/>
      <w:start w:val="1"/>
    </w:lvl>
  </w:abstractNum>
  <w:abstractNum w:abstractNumId="90">
    <w:nsid w:val="6EBE4208"/>
    <w:multiLevelType w:val="hybridMultilevel"/>
    <w:lvl w:ilvl="0">
      <w:lvlJc w:val="left"/>
      <w:lvlText w:val="(%1)"/>
      <w:numFmt w:val="decimal"/>
      <w:start w:val="2"/>
    </w:lvl>
  </w:abstractNum>
  <w:abstractNum w:abstractNumId="91">
    <w:nsid w:val="C058DF5"/>
    <w:multiLevelType w:val="hybridMultilevel"/>
    <w:lvl w:ilvl="0">
      <w:lvlJc w:val="left"/>
      <w:lvlText w:val="%1"/>
      <w:numFmt w:val="lowerLetter"/>
      <w:start w:val="1"/>
    </w:lvl>
    <w:lvl w:ilvl="1">
      <w:lvlJc w:val="left"/>
      <w:lvlText w:val="(%2)"/>
      <w:numFmt w:val="upperLetter"/>
      <w:start w:val="2"/>
    </w:lvl>
  </w:abstractNum>
  <w:abstractNum w:abstractNumId="92">
    <w:nsid w:val="CBE5BE9"/>
    <w:multiLevelType w:val="hybridMultilevel"/>
    <w:lvl w:ilvl="0">
      <w:lvlJc w:val="left"/>
      <w:lvlText w:val="(%1)"/>
      <w:numFmt w:val="lowerLetter"/>
      <w:start w:val="2"/>
    </w:lvl>
    <w:lvl w:ilvl="1">
      <w:lvlJc w:val="left"/>
      <w:lvlText w:val="%2"/>
      <w:numFmt w:val="upperLetter"/>
      <w:start w:val="1"/>
    </w:lvl>
  </w:abstractNum>
  <w:abstractNum w:abstractNumId="93">
    <w:nsid w:val="3102BBE2"/>
    <w:multiLevelType w:val="hybridMultilevel"/>
    <w:lvl w:ilvl="0">
      <w:lvlJc w:val="left"/>
      <w:lvlText w:val="(%1)"/>
      <w:numFmt w:val="lowerLetter"/>
      <w:start w:val="1"/>
    </w:lvl>
  </w:abstractNum>
  <w:abstractNum w:abstractNumId="94">
    <w:nsid w:val="26A02C5E"/>
    <w:multiLevelType w:val="hybridMultilevel"/>
    <w:lvl w:ilvl="0">
      <w:lvlJc w:val="left"/>
      <w:lvlText w:val="%1"/>
      <w:numFmt w:val="decimal"/>
      <w:start w:val="1"/>
    </w:lvl>
    <w:lvl w:ilvl="1">
      <w:lvlJc w:val="left"/>
      <w:lvlText w:val="(%2)"/>
      <w:numFmt w:val="lowerLetter"/>
      <w:start w:val="1"/>
    </w:lvl>
  </w:abstractNum>
  <w:abstractNum w:abstractNumId="95">
    <w:nsid w:val="541C8153"/>
    <w:multiLevelType w:val="hybridMultilevel"/>
    <w:lvl w:ilvl="0">
      <w:lvlJc w:val="left"/>
      <w:lvlText w:val="(%1)"/>
      <w:numFmt w:val="decimal"/>
      <w:start w:val="1"/>
    </w:lvl>
    <w:lvl w:ilvl="1">
      <w:lvlJc w:val="left"/>
      <w:lvlText w:val="%2"/>
      <w:numFmt w:val="lowerLetter"/>
      <w:start w:val="1"/>
    </w:lvl>
  </w:abstractNum>
  <w:abstractNum w:abstractNumId="96">
    <w:nsid w:val="67906F60"/>
    <w:multiLevelType w:val="hybridMultilevel"/>
    <w:lvl w:ilvl="0">
      <w:lvlJc w:val="left"/>
      <w:lvlText w:val="(%1)"/>
      <w:numFmt w:val="lowerLetter"/>
      <w:start w:val="2"/>
    </w:lvl>
  </w:abstractNum>
  <w:abstractNum w:abstractNumId="97">
    <w:nsid w:val="10DB9DAA"/>
    <w:multiLevelType w:val="hybridMultilevel"/>
    <w:lvl w:ilvl="0">
      <w:lvlJc w:val="left"/>
      <w:lvlText w:val="(%1)"/>
      <w:numFmt w:val="lowerLetter"/>
      <w:start w:val="5"/>
    </w:lvl>
  </w:abstractNum>
  <w:abstractNum w:abstractNumId="98">
    <w:nsid w:val="697D2D2"/>
    <w:multiLevelType w:val="hybridMultilevel"/>
    <w:lvl w:ilvl="0">
      <w:lvlJc w:val="left"/>
      <w:lvlText w:val="(%1)"/>
      <w:numFmt w:val="lowerLetter"/>
      <w:start w:val="7"/>
    </w:lvl>
  </w:abstractNum>
  <w:abstractNum w:abstractNumId="99">
    <w:nsid w:val="6D68AB2"/>
    <w:multiLevelType w:val="hybridMultilevel"/>
    <w:lvl w:ilvl="0">
      <w:lvlJc w:val="left"/>
      <w:lvlText w:val="(%1)"/>
      <w:numFmt w:val="decimal"/>
      <w:start w:val="1"/>
    </w:lvl>
  </w:abstractNum>
  <w:abstractNum w:abstractNumId="100">
    <w:nsid w:val="3A966CD0"/>
    <w:multiLevelType w:val="hybridMultilevel"/>
    <w:lvl w:ilvl="0">
      <w:lvlJc w:val="left"/>
      <w:lvlText w:val="(%1)"/>
      <w:numFmt w:val="decimal"/>
      <w:start w:val="2"/>
    </w:lvl>
  </w:abstractNum>
  <w:abstractNum w:abstractNumId="101">
    <w:nsid w:val="63F37E85"/>
    <w:multiLevelType w:val="hybridMultilevel"/>
    <w:lvl w:ilvl="0">
      <w:lvlJc w:val="left"/>
      <w:lvlText w:val="(%1)"/>
      <w:numFmt w:val="decimal"/>
      <w:start w:val="1"/>
    </w:lvl>
  </w:abstractNum>
  <w:abstractNum w:abstractNumId="102">
    <w:nsid w:val="5895F5FA"/>
    <w:multiLevelType w:val="hybridMultilevel"/>
    <w:lvl w:ilvl="0">
      <w:lvlJc w:val="left"/>
      <w:lvlText w:val="(%1)"/>
      <w:numFmt w:val="lowerLetter"/>
      <w:start w:val="1"/>
    </w:lvl>
  </w:abstractNum>
  <w:abstractNum w:abstractNumId="103">
    <w:nsid w:val="38A5D054"/>
    <w:multiLevelType w:val="hybridMultilevel"/>
    <w:lvl w:ilvl="0">
      <w:lvlJc w:val="left"/>
      <w:lvlText w:val="(%1)"/>
      <w:numFmt w:val="lowerLetter"/>
      <w:start w:val="2"/>
    </w:lvl>
  </w:abstractNum>
  <w:abstractNum w:abstractNumId="104">
    <w:nsid w:val="F3F09D8"/>
    <w:multiLevelType w:val="hybridMultilevel"/>
    <w:lvl w:ilvl="0">
      <w:lvlJc w:val="left"/>
      <w:lvlText w:val="(%1)"/>
      <w:numFmt w:val="lowerLetter"/>
      <w:start w:val="1"/>
    </w:lvl>
  </w:abstractNum>
  <w:abstractNum w:abstractNumId="105">
    <w:nsid w:val="4B793735"/>
    <w:multiLevelType w:val="hybridMultilevel"/>
    <w:lvl w:ilvl="0">
      <w:lvlJc w:val="left"/>
      <w:lvlText w:val="(%1)"/>
      <w:numFmt w:val="lowerLetter"/>
      <w:start w:val="4"/>
    </w:lvl>
  </w:abstractNum>
  <w:abstractNum w:abstractNumId="106">
    <w:nsid w:val="4A10B4E8"/>
    <w:multiLevelType w:val="hybridMultilevel"/>
    <w:lvl w:ilvl="0">
      <w:lvlJc w:val="left"/>
      <w:lvlText w:val="(%1)"/>
      <w:numFmt w:val="lowerLetter"/>
      <w:start w:val="1"/>
    </w:lvl>
  </w:abstractNum>
  <w:abstractNum w:abstractNumId="107">
    <w:nsid w:val="43D3BCD4"/>
    <w:multiLevelType w:val="hybridMultilevel"/>
    <w:lvl w:ilvl="0">
      <w:lvlJc w:val="left"/>
      <w:lvlText w:val="(%1)"/>
      <w:numFmt w:val="decimal"/>
      <w:start w:val="1"/>
    </w:lvl>
  </w:abstractNum>
  <w:abstractNum w:abstractNumId="108">
    <w:nsid w:val="4C2A7166"/>
    <w:multiLevelType w:val="hybridMultilevel"/>
    <w:lvl w:ilvl="0">
      <w:lvlJc w:val="left"/>
      <w:lvlText w:val="(%1)"/>
      <w:numFmt w:val="decimal"/>
      <w:start w:val="1"/>
    </w:lvl>
  </w:abstractNum>
  <w:abstractNum w:abstractNumId="109">
    <w:nsid w:val="2E534A82"/>
    <w:multiLevelType w:val="hybridMultilevel"/>
    <w:lvl w:ilvl="0">
      <w:lvlJc w:val="left"/>
      <w:lvlText w:val="(%1)"/>
      <w:numFmt w:val="lowerLetter"/>
      <w:start w:val="2"/>
    </w:lvl>
  </w:abstractNum>
  <w:abstractNum w:abstractNumId="110">
    <w:nsid w:val="26F2D364"/>
    <w:multiLevelType w:val="hybridMultilevel"/>
    <w:lvl w:ilvl="0">
      <w:lvlJc w:val="left"/>
      <w:lvlText w:val="(%1)"/>
      <w:numFmt w:val="decimal"/>
      <w:start w:val="1"/>
    </w:lvl>
  </w:abstractNum>
  <w:abstractNum w:abstractNumId="111">
    <w:nsid w:val="71C1AF98"/>
    <w:multiLevelType w:val="hybridMultilevel"/>
    <w:lvl w:ilvl="0">
      <w:lvlJc w:val="left"/>
      <w:lvlText w:val="(%1)"/>
      <w:numFmt w:val="lowerLetter"/>
      <w:start w:val="3"/>
    </w:lvl>
  </w:abstractNum>
  <w:abstractNum w:abstractNumId="112">
    <w:nsid w:val="3D00B9D9"/>
    <w:multiLevelType w:val="hybridMultilevel"/>
    <w:lvl w:ilvl="0">
      <w:lvlJc w:val="left"/>
      <w:lvlText w:val="(%1)"/>
      <w:numFmt w:val="decimal"/>
      <w:start w:val="1"/>
    </w:lvl>
  </w:abstractNum>
  <w:abstractNum w:abstractNumId="113">
    <w:nsid w:val="15BCABA8"/>
    <w:multiLevelType w:val="hybridMultilevel"/>
    <w:lvl w:ilvl="0">
      <w:lvlJc w:val="left"/>
      <w:lvlText w:val="(%1)"/>
      <w:numFmt w:val="lowerLetter"/>
      <w:start w:val="4"/>
    </w:lvl>
  </w:abstractNum>
  <w:abstractNum w:abstractNumId="114">
    <w:nsid w:val="4E0B9A87"/>
    <w:multiLevelType w:val="hybridMultilevel"/>
    <w:lvl w:ilvl="0">
      <w:lvlJc w:val="left"/>
      <w:lvlText w:val="(%1)"/>
      <w:numFmt w:val="decimal"/>
      <w:start w:val="1"/>
    </w:lvl>
  </w:abstractNum>
  <w:abstractNum w:abstractNumId="115">
    <w:nsid w:val="434BAE75"/>
    <w:multiLevelType w:val="hybridMultilevel"/>
    <w:lvl w:ilvl="0">
      <w:lvlJc w:val="left"/>
      <w:lvlText w:val="(%1)"/>
      <w:numFmt w:val="decimal"/>
      <w:start w:val="3"/>
    </w:lvl>
  </w:abstractNum>
  <w:abstractNum w:abstractNumId="116">
    <w:nsid w:val="4F38F265"/>
    <w:multiLevelType w:val="hybridMultilevel"/>
    <w:lvl w:ilvl="0">
      <w:lvlJc w:val="left"/>
      <w:lvlText w:val="(%1)"/>
      <w:numFmt w:val="lowerLetter"/>
      <w:start w:val="5"/>
    </w:lvl>
  </w:abstractNum>
  <w:abstractNum w:abstractNumId="117">
    <w:nsid w:val="4C502870"/>
    <w:multiLevelType w:val="hybridMultilevel"/>
    <w:lvl w:ilvl="0">
      <w:lvlJc w:val="left"/>
      <w:lvlText w:val="%1"/>
      <w:numFmt w:val="decimal"/>
      <w:start w:val="1"/>
    </w:lvl>
    <w:lvl w:ilvl="1">
      <w:lvlJc w:val="left"/>
      <w:lvlText w:val="(%2)"/>
      <w:numFmt w:val="decimal"/>
      <w:start w:val="1"/>
    </w:lvl>
  </w:abstractNum>
  <w:abstractNum w:abstractNumId="118">
    <w:nsid w:val="1DE8725A"/>
    <w:multiLevelType w:val="hybridMultilevel"/>
    <w:lvl w:ilvl="0">
      <w:lvlJc w:val="left"/>
      <w:lvlText w:val="(%1)"/>
      <w:numFmt w:val="decimal"/>
      <w:start w:val="2"/>
    </w:lvl>
    <w:lvl w:ilvl="1">
      <w:lvlJc w:val="left"/>
      <w:lvlText w:val="%2"/>
      <w:numFmt w:val="decimal"/>
      <w:start w:val="1"/>
    </w:lvl>
  </w:abstractNum>
  <w:abstractNum w:abstractNumId="119">
    <w:nsid w:val="6A37288A"/>
    <w:multiLevelType w:val="hybridMultilevel"/>
    <w:lvl w:ilvl="0">
      <w:lvlJc w:val="left"/>
      <w:lvlText w:val="(%1)"/>
      <w:numFmt w:val="decimal"/>
      <w:start w:val="3"/>
    </w:lvl>
  </w:abstractNum>
  <w:abstractNum w:abstractNumId="120">
    <w:nsid w:val="8F8B73F"/>
    <w:multiLevelType w:val="hybridMultilevel"/>
    <w:lvl w:ilvl="0">
      <w:lvlJc w:val="left"/>
      <w:lvlText w:val="(%1)"/>
      <w:numFmt w:val="lowerLetter"/>
      <w:start w:val="6"/>
    </w:lvl>
  </w:abstractNum>
  <w:abstractNum w:abstractNumId="121">
    <w:nsid w:val="CA6B462"/>
    <w:multiLevelType w:val="hybridMultilevel"/>
    <w:lvl w:ilvl="0">
      <w:lvlJc w:val="left"/>
      <w:lvlText w:val="(%1)"/>
      <w:numFmt w:val="decimal"/>
      <w:start w:val="1"/>
    </w:lvl>
  </w:abstractNum>
  <w:abstractNum w:abstractNumId="122">
    <w:nsid w:val="763CB680"/>
    <w:multiLevelType w:val="hybridMultilevel"/>
    <w:lvl w:ilvl="0">
      <w:lvlJc w:val="left"/>
      <w:lvlText w:val="(%1)"/>
      <w:numFmt w:val="decimal"/>
      <w:start w:val="3"/>
    </w:lvl>
  </w:abstractNum>
  <w:abstractNum w:abstractNumId="123">
    <w:nsid w:val="15B71329"/>
    <w:multiLevelType w:val="hybridMultilevel"/>
    <w:lvl w:ilvl="0">
      <w:lvlJc w:val="left"/>
      <w:lvlText w:val="(%1)"/>
      <w:numFmt w:val="lowerLetter"/>
      <w:start w:val="8"/>
    </w:lvl>
  </w:abstractNum>
  <w:abstractNum w:abstractNumId="124">
    <w:nsid w:val="3DA97044"/>
    <w:multiLevelType w:val="hybridMultilevel"/>
    <w:lvl w:ilvl="0">
      <w:lvlJc w:val="left"/>
      <w:lvlText w:val="(%1)"/>
      <w:numFmt w:val="decimal"/>
      <w:start w:val="1"/>
    </w:lvl>
  </w:abstractNum>
  <w:abstractNum w:abstractNumId="125">
    <w:nsid w:val="1CDCE2DE"/>
    <w:multiLevelType w:val="hybridMultilevel"/>
    <w:lvl w:ilvl="0">
      <w:lvlJc w:val="left"/>
      <w:lvlText w:val="(%1)"/>
      <w:numFmt w:val="lowerLetter"/>
      <w:start w:val="1"/>
    </w:lvl>
  </w:abstractNum>
  <w:abstractNum w:abstractNumId="126">
    <w:nsid w:val="69D3947C"/>
    <w:multiLevelType w:val="hybridMultilevel"/>
    <w:lvl w:ilvl="0">
      <w:lvlJc w:val="left"/>
      <w:lvlText w:val="(%1)"/>
      <w:numFmt w:val="lowerLetter"/>
      <w:start w:val="2"/>
    </w:lvl>
  </w:abstractNum>
  <w:abstractNum w:abstractNumId="127">
    <w:nsid w:val="2539DFA5"/>
    <w:multiLevelType w:val="hybridMultilevel"/>
    <w:lvl w:ilvl="0">
      <w:lvlJc w:val="left"/>
      <w:lvlText w:val="(%1)"/>
      <w:numFmt w:val="upperLetter"/>
      <w:start w:val="1"/>
    </w:lvl>
  </w:abstractNum>
  <w:abstractNum w:abstractNumId="128">
    <w:nsid w:val="2DB88089"/>
    <w:multiLevelType w:val="hybridMultilevel"/>
    <w:lvl w:ilvl="0">
      <w:lvlJc w:val="left"/>
      <w:lvlText w:val="(%1)"/>
      <w:numFmt w:val="upperLetter"/>
      <w:start w:val="6"/>
    </w:lvl>
  </w:abstractNum>
  <w:abstractNum w:abstractNumId="129">
    <w:nsid w:val="706B674E"/>
    <w:multiLevelType w:val="hybridMultilevel"/>
    <w:lvl w:ilvl="0">
      <w:lvlJc w:val="left"/>
      <w:lvlText w:val="(%1)"/>
      <w:numFmt w:val="upperLetter"/>
      <w:start w:val="9"/>
    </w:lvl>
  </w:abstractNum>
  <w:abstractNum w:abstractNumId="130">
    <w:nsid w:val="2C106A57"/>
    <w:multiLevelType w:val="hybridMultilevel"/>
    <w:lvl w:ilvl="0">
      <w:lvlJc w:val="left"/>
      <w:lvlText w:val="☐"/>
      <w:numFmt w:val="bullet"/>
      <w:start w:val="1"/>
    </w:lvl>
  </w:abstractNum>
  <w:abstractNum w:abstractNumId="131">
    <w:nsid w:val="684EED59"/>
    <w:multiLevelType w:val="hybridMultilevel"/>
    <w:lvl w:ilvl="0">
      <w:lvlJc w:val="left"/>
      <w:lvlText w:val="(%1)"/>
      <w:numFmt w:val="decimal"/>
      <w:start w:val="1"/>
    </w:lvl>
  </w:abstractNum>
  <w:abstractNum w:abstractNumId="132">
    <w:nsid w:val="545EE5D3"/>
    <w:multiLevelType w:val="hybridMultilevel"/>
    <w:lvl w:ilvl="0">
      <w:lvlJc w:val="left"/>
      <w:lvlText w:val="*"/>
      <w:numFmt w:val="bullet"/>
      <w:start w:val="1"/>
    </w:lvl>
  </w:abstractNum>
  <w:abstractNum w:abstractNumId="133">
    <w:nsid w:val="4A66051"/>
    <w:multiLevelType w:val="hybridMultilevel"/>
    <w:lvl w:ilvl="0">
      <w:lvlJc w:val="left"/>
      <w:lvlText w:val="☐"/>
      <w:numFmt w:val="bullet"/>
      <w:start w:val="1"/>
    </w:lvl>
  </w:abstractNum>
  <w:abstractNum w:abstractNumId="134">
    <w:nsid w:val="20F4BDAD"/>
    <w:multiLevelType w:val="hybridMultilevel"/>
    <w:lvl w:ilvl="0">
      <w:lvlJc w:val="left"/>
      <w:lvlText w:val="(%1)"/>
      <w:numFmt w:val="upperLetter"/>
      <w:start w:val="1"/>
    </w:lvl>
  </w:abstractNum>
  <w:abstractNum w:abstractNumId="135">
    <w:nsid w:val="639DEFAC"/>
    <w:multiLevelType w:val="hybridMultilevel"/>
    <w:lvl w:ilvl="0">
      <w:lvlJc w:val="left"/>
      <w:lvlText w:val="(%1)"/>
      <w:numFmt w:val="upperLetter"/>
      <w:start w:val="2"/>
    </w:lvl>
  </w:abstractNum>
  <w:abstractNum w:abstractNumId="136">
    <w:nsid w:val="501F9786"/>
    <w:multiLevelType w:val="hybridMultilevel"/>
    <w:lvl w:ilvl="0">
      <w:lvlJc w:val="left"/>
      <w:lvlText w:val="(%1)"/>
      <w:numFmt w:val="upperLetter"/>
      <w:start w:val="6"/>
    </w:lvl>
  </w:abstractNum>
  <w:abstractNum w:abstractNumId="137">
    <w:nsid w:val="6B057295"/>
    <w:multiLevelType w:val="hybridMultilevel"/>
    <w:lvl w:ilvl="0">
      <w:lvlJc w:val="left"/>
      <w:lvlText w:val="(%1)"/>
      <w:numFmt w:val="lowerLetter"/>
      <w:start w:val="1"/>
    </w:lvl>
    <w:lvl w:ilvl="1">
      <w:lvlJc w:val="left"/>
      <w:lvlText w:val="(%2)"/>
      <w:numFmt w:val="lowerRoman"/>
      <w:start w:val="1"/>
    </w:lvl>
  </w:abstractNum>
  <w:abstractNum w:abstractNumId="138">
    <w:nsid w:val="2771AC80"/>
    <w:multiLevelType w:val="hybridMultilevel"/>
    <w:lvl w:ilvl="0">
      <w:lvlJc w:val="left"/>
      <w:lvlText w:val="(%1)"/>
      <w:numFmt w:val="lowerLetter"/>
      <w:start w:val="2"/>
    </w:lvl>
  </w:abstractNum>
  <w:abstractNum w:abstractNumId="139">
    <w:nsid w:val="1C4A08EC"/>
    <w:multiLevelType w:val="hybridMultilevel"/>
    <w:lvl w:ilvl="0">
      <w:lvlJc w:val="left"/>
      <w:lvlText w:val="(%1)"/>
      <w:numFmt w:val="lowerLetter"/>
      <w:start w:val="1"/>
    </w:lvl>
    <w:lvl w:ilvl="1">
      <w:lvlJc w:val="left"/>
      <w:lvlText w:val="(%2)"/>
      <w:numFmt w:val="lowerRoman"/>
      <w:start w:val="1"/>
    </w:lvl>
  </w:abstractNum>
  <w:abstractNum w:abstractNumId="140">
    <w:nsid w:val="1958BD17"/>
    <w:multiLevelType w:val="hybridMultilevel"/>
    <w:lvl w:ilvl="0">
      <w:lvlJc w:val="left"/>
      <w:lvlText w:val="%1"/>
      <w:numFmt w:val="lowerLetter"/>
      <w:start w:val="1"/>
    </w:lvl>
    <w:lvl w:ilvl="1">
      <w:lvlJc w:val="left"/>
      <w:lvlText w:val="(%2)"/>
      <w:numFmt w:val="lowerRoman"/>
      <w:start w:val="7"/>
    </w:lvl>
  </w:abstractNum>
  <w:abstractNum w:abstractNumId="141">
    <w:nsid w:val="4E647FE4"/>
    <w:multiLevelType w:val="hybridMultilevel"/>
    <w:lvl w:ilvl="0">
      <w:lvlJc w:val="left"/>
      <w:lvlText w:val="(%1)"/>
      <w:numFmt w:val="lowerLetter"/>
      <w:start w:val="3"/>
    </w:lvl>
    <w:lvl w:ilvl="1">
      <w:lvlJc w:val="left"/>
      <w:lvlText w:val="%2"/>
      <w:numFmt w:val="lowerRoman"/>
      <w:start w:val="1"/>
    </w:lvl>
  </w:abstractNum>
  <w:abstractNum w:abstractNumId="142">
    <w:nsid w:val="E0BB885"/>
    <w:multiLevelType w:val="hybridMultilevel"/>
    <w:lvl w:ilvl="0">
      <w:lvlJc w:val="left"/>
      <w:lvlText w:val="(%1)"/>
      <w:numFmt w:val="lowerLetter"/>
      <w:start w:val="1"/>
    </w:lvl>
  </w:abstractNum>
  <w:abstractNum w:abstractNumId="143">
    <w:nsid w:val="565976F1"/>
    <w:multiLevelType w:val="hybridMultilevel"/>
    <w:lvl w:ilvl="0">
      <w:lvlJc w:val="left"/>
      <w:lvlText w:val="(%1)"/>
      <w:numFmt w:val="lowerLetter"/>
      <w:start w:val="1"/>
    </w:lvl>
  </w:abstractNum>
  <w:abstractNum w:abstractNumId="144">
    <w:nsid w:val="64212B8C"/>
    <w:multiLevelType w:val="hybridMultilevel"/>
    <w:lvl w:ilvl="0">
      <w:lvlJc w:val="left"/>
      <w:lvlText w:val="(%1)"/>
      <w:numFmt w:val="lowerRoman"/>
      <w:start w:val="3"/>
    </w:lvl>
  </w:abstractNum>
  <w:abstractNum w:abstractNumId="145">
    <w:nsid w:val="5C17530C"/>
    <w:multiLevelType w:val="hybridMultilevel"/>
    <w:lvl w:ilvl="0">
      <w:lvlJc w:val="left"/>
      <w:lvlText w:val="(%1)"/>
      <w:numFmt w:val="lowerLetter"/>
      <w:start w:val="1"/>
    </w:lvl>
  </w:abstractNum>
  <w:abstractNum w:abstractNumId="146">
    <w:nsid w:val="19A52566"/>
    <w:multiLevelType w:val="hybridMultilevel"/>
    <w:lvl w:ilvl="0">
      <w:lvlJc w:val="left"/>
      <w:lvlText w:val="(%1)"/>
      <w:numFmt w:val="lowerLetter"/>
      <w:start w:val="1"/>
    </w:lvl>
  </w:abstractNum>
  <w:abstractNum w:abstractNumId="147">
    <w:nsid w:val="335A1DF1"/>
    <w:multiLevelType w:val="hybridMultilevel"/>
    <w:lvl w:ilvl="0">
      <w:lvlJc w:val="left"/>
      <w:lvlText w:val="(%1)"/>
      <w:numFmt w:val="lowerRoman"/>
      <w:start w:val="1"/>
    </w:lvl>
  </w:abstractNum>
  <w:abstractNum w:abstractNumId="148">
    <w:nsid w:val="28677B7C"/>
    <w:multiLevelType w:val="hybridMultilevel"/>
    <w:lvl w:ilvl="0">
      <w:lvlJc w:val="left"/>
      <w:lvlText w:val="(%1)"/>
      <w:numFmt w:val="lowerLetter"/>
      <w:start w:val="1"/>
    </w:lvl>
  </w:abstractNum>
  <w:abstractNum w:abstractNumId="149">
    <w:nsid w:val="378D97C0"/>
    <w:multiLevelType w:val="hybridMultilevel"/>
    <w:lvl w:ilvl="0">
      <w:lvlJc w:val="left"/>
      <w:lvlText w:val="(%1)"/>
      <w:numFmt w:val="lowerLetter"/>
      <w:start w:val="4"/>
    </w:lvl>
  </w:abstractNum>
  <w:abstractNum w:abstractNumId="150">
    <w:nsid w:val="1D91467C"/>
    <w:multiLevelType w:val="hybridMultilevel"/>
    <w:lvl w:ilvl="0">
      <w:lvlJc w:val="left"/>
      <w:lvlText w:val="(%1)"/>
      <w:numFmt w:val="lowerLetter"/>
      <w:start w:val="1"/>
    </w:lvl>
  </w:abstractNum>
  <w:abstractNum w:abstractNumId="151">
    <w:nsid w:val="316032BB"/>
    <w:multiLevelType w:val="hybridMultilevel"/>
    <w:lvl w:ilvl="0">
      <w:lvlJc w:val="left"/>
      <w:lvlText w:val="(%1)"/>
      <w:numFmt w:val="lowerLetter"/>
      <w:start w:val="1"/>
    </w:lvl>
  </w:abstractNum>
  <w:abstractNum w:abstractNumId="152">
    <w:nsid w:val="44344C22"/>
    <w:multiLevelType w:val="hybridMultilevel"/>
    <w:lvl w:ilvl="0">
      <w:lvlJc w:val="left"/>
      <w:lvlText w:val="(%1)"/>
      <w:numFmt w:val="lowerLetter"/>
      <w:start w:val="1"/>
    </w:lvl>
  </w:abstractNum>
  <w:abstractNum w:abstractNumId="153">
    <w:nsid w:val="13CDFCFC"/>
    <w:multiLevelType w:val="hybridMultilevel"/>
    <w:lvl w:ilvl="0">
      <w:lvlJc w:val="left"/>
      <w:lvlText w:val="(%1)"/>
      <w:numFmt w:val="lowerLetter"/>
      <w:start w:val="5"/>
    </w:lvl>
  </w:abstractNum>
  <w:abstractNum w:abstractNumId="154">
    <w:nsid w:val="471745E4"/>
    <w:multiLevelType w:val="hybridMultilevel"/>
    <w:lvl w:ilvl="0">
      <w:lvlJc w:val="left"/>
      <w:lvlText w:val="(%1)"/>
      <w:numFmt w:val="lowerLetter"/>
      <w:start w:val="1"/>
    </w:lvl>
  </w:abstractNum>
  <w:abstractNum w:abstractNumId="155">
    <w:nsid w:val="1DDBC66"/>
    <w:multiLevelType w:val="hybridMultilevel"/>
    <w:lvl w:ilvl="0">
      <w:lvlJc w:val="left"/>
      <w:lvlText w:val="(%1)"/>
      <w:numFmt w:val="lowerRoman"/>
      <w:start w:val="2"/>
    </w:lvl>
  </w:abstractNum>
  <w:abstractNum w:abstractNumId="156">
    <w:nsid w:val="30AADFDA"/>
    <w:multiLevelType w:val="hybridMultilevel"/>
    <w:lvl w:ilvl="0">
      <w:lvlJc w:val="left"/>
      <w:lvlText w:val="(%1)"/>
      <w:numFmt w:val="lowerLetter"/>
      <w:start w:val="1"/>
    </w:lvl>
  </w:abstractNum>
  <w:abstractNum w:abstractNumId="157">
    <w:nsid w:val="30EADA61"/>
    <w:multiLevelType w:val="hybridMultilevel"/>
    <w:lvl w:ilvl="0">
      <w:lvlJc w:val="left"/>
      <w:lvlText w:val="(%1)"/>
      <w:numFmt w:val="lowerLetter"/>
      <w:start w:val="3"/>
    </w:lvl>
  </w:abstractNum>
  <w:abstractNum w:abstractNumId="158">
    <w:nsid w:val="27179C0B"/>
    <w:multiLevelType w:val="hybridMultilevel"/>
    <w:lvl w:ilvl="0">
      <w:lvlJc w:val="left"/>
      <w:lvlText w:val="(%1)"/>
      <w:numFmt w:val="lowerLetter"/>
      <w:start w:val="1"/>
    </w:lvl>
  </w:abstractNum>
  <w:abstractNum w:abstractNumId="159">
    <w:nsid w:val="5E636063"/>
    <w:multiLevelType w:val="hybridMultilevel"/>
    <w:lvl w:ilvl="0">
      <w:lvlJc w:val="left"/>
      <w:lvlText w:val="(%1)"/>
      <w:numFmt w:val="lowerLetter"/>
      <w:start w:val="2"/>
    </w:lvl>
  </w:abstractNum>
  <w:abstractNum w:abstractNumId="160">
    <w:nsid w:val="215641AF"/>
    <w:multiLevelType w:val="hybridMultilevel"/>
    <w:lvl w:ilvl="0">
      <w:lvlJc w:val="left"/>
      <w:lvlText w:val="(%1)"/>
      <w:numFmt w:val="lowerRoman"/>
      <w:start w:val="2"/>
    </w:lvl>
  </w:abstractNum>
  <w:abstractNum w:abstractNumId="161">
    <w:nsid w:val="53280662"/>
    <w:multiLevelType w:val="hybridMultilevel"/>
    <w:lvl w:ilvl="0">
      <w:lvlJc w:val="left"/>
      <w:lvlText w:val="(%1)"/>
      <w:numFmt w:val="lowerLetter"/>
      <w:start w:val="1"/>
    </w:lvl>
  </w:abstractNum>
  <w:abstractNum w:abstractNumId="162">
    <w:nsid w:val="46B24DBC"/>
    <w:multiLevelType w:val="hybridMultilevel"/>
    <w:lvl w:ilvl="0">
      <w:lvlJc w:val="left"/>
      <w:lvlText w:val="(%1)"/>
      <w:numFmt w:val="lowerLetter"/>
      <w:start w:val="2"/>
    </w:lvl>
  </w:abstractNum>
  <w:abstractNum w:abstractNumId="163">
    <w:nsid w:val="75B52783"/>
    <w:multiLevelType w:val="hybridMultilevel"/>
    <w:lvl w:ilvl="0">
      <w:lvlJc w:val="left"/>
      <w:lvlText w:val="(%1)"/>
      <w:numFmt w:val="lowerLetter"/>
      <w:start w:val="1"/>
    </w:lvl>
  </w:abstractNum>
  <w:abstractNum w:abstractNumId="164">
    <w:nsid w:val="57CE66B4"/>
    <w:multiLevelType w:val="hybridMultilevel"/>
    <w:lvl w:ilvl="0">
      <w:lvlJc w:val="left"/>
      <w:lvlText w:val="(%1)"/>
      <w:numFmt w:val="lowerLetter"/>
      <w:start w:val="8"/>
    </w:lvl>
  </w:abstractNum>
  <w:abstractNum w:abstractNumId="165">
    <w:nsid w:val="67A70B69"/>
    <w:multiLevelType w:val="hybridMultilevel"/>
    <w:lvl w:ilvl="0">
      <w:lvlJc w:val="left"/>
      <w:lvlText w:val="(%1)"/>
      <w:numFmt w:val="lowerLetter"/>
      <w:start w:val="1"/>
    </w:lvl>
  </w:abstractNum>
  <w:abstractNum w:abstractNumId="166">
    <w:nsid w:val="5953172F"/>
    <w:multiLevelType w:val="hybridMultilevel"/>
    <w:lvl w:ilvl="0">
      <w:lvlJc w:val="left"/>
      <w:lvlText w:val="(%1)"/>
      <w:numFmt w:val="lowerLetter"/>
      <w:start w:val="2"/>
    </w:lvl>
  </w:abstractNum>
  <w:abstractNum w:abstractNumId="167">
    <w:nsid w:val="27EDFE3A"/>
    <w:multiLevelType w:val="hybridMultilevel"/>
    <w:lvl w:ilvl="0">
      <w:lvlJc w:val="left"/>
      <w:lvlText w:val="%1"/>
      <w:numFmt w:val="upperLetter"/>
      <w:start w:val="1"/>
    </w:lvl>
    <w:lvl w:ilvl="1">
      <w:lvlJc w:val="left"/>
      <w:lvlText w:val="(%2)"/>
      <w:numFmt w:val="lowerLetter"/>
      <w:start w:val="1"/>
    </w:lvl>
  </w:abstractNum>
  <w:abstractNum w:abstractNumId="168">
    <w:nsid w:val="52AC7DFF"/>
    <w:multiLevelType w:val="hybridMultilevel"/>
    <w:lvl w:ilvl="0">
      <w:lvlJc w:val="left"/>
      <w:lvlText w:val="(%1)"/>
      <w:numFmt w:val="upperLetter"/>
      <w:start w:val="61"/>
    </w:lvl>
    <w:lvl w:ilvl="1">
      <w:lvlJc w:val="left"/>
      <w:lvlText w:val="%2"/>
      <w:numFmt w:val="lowerLetter"/>
      <w:start w:val="1"/>
    </w:lvl>
  </w:abstractNum>
  <w:abstractNum w:abstractNumId="169">
    <w:nsid w:val="C4C3AF"/>
    <w:multiLevelType w:val="hybridMultilevel"/>
    <w:lvl w:ilvl="0">
      <w:lvlJc w:val="left"/>
      <w:lvlText w:val="(%1)"/>
      <w:numFmt w:val="lowerLetter"/>
      <w:start w:val="2"/>
    </w:lvl>
  </w:abstractNum>
  <w:abstractNum w:abstractNumId="170">
    <w:nsid w:val="44380727"/>
    <w:multiLevelType w:val="hybridMultilevel"/>
    <w:lvl w:ilvl="0">
      <w:lvlJc w:val="left"/>
      <w:lvlText w:val="(%1)"/>
      <w:numFmt w:val="lowerLetter"/>
      <w:start w:val="1"/>
    </w:lvl>
  </w:abstractNum>
  <w:abstractNum w:abstractNumId="171">
    <w:nsid w:val="6C053B16"/>
    <w:multiLevelType w:val="hybridMultilevel"/>
    <w:lvl w:ilvl="0">
      <w:lvlJc w:val="left"/>
      <w:lvlText w:val="(%1)"/>
      <w:numFmt w:val="lowerLetter"/>
      <w:start w:val="1"/>
    </w:lvl>
  </w:abstractNum>
  <w:abstractNum w:abstractNumId="172">
    <w:nsid w:val="4F294393"/>
    <w:multiLevelType w:val="hybridMultilevel"/>
    <w:lvl w:ilvl="0">
      <w:lvlJc w:val="left"/>
      <w:lvlText w:val="(%1)"/>
      <w:numFmt w:val="lowerLetter"/>
      <w:start w:val="2"/>
    </w:lvl>
  </w:abstractNum>
  <w:abstractNum w:abstractNumId="173">
    <w:nsid w:val="5243BFAC"/>
    <w:multiLevelType w:val="hybridMultilevel"/>
    <w:lvl w:ilvl="0">
      <w:lvlJc w:val="left"/>
      <w:lvlText w:val="(%1)"/>
      <w:numFmt w:val="decimal"/>
      <w:start w:val="1"/>
    </w:lvl>
  </w:abstractNum>
  <w:abstractNum w:abstractNumId="174">
    <w:nsid w:val="425EB207"/>
    <w:multiLevelType w:val="hybridMultilevel"/>
    <w:lvl w:ilvl="0">
      <w:lvlJc w:val="left"/>
      <w:lvlText w:val="(%1)"/>
      <w:numFmt w:val="decimal"/>
      <w:start w:val="3"/>
    </w:lvl>
  </w:abstractNum>
  <w:abstractNum w:abstractNumId="175">
    <w:nsid w:val="334A6F1F"/>
    <w:multiLevelType w:val="hybridMultilevel"/>
    <w:lvl w:ilvl="0">
      <w:lvlJc w:val="left"/>
      <w:lvlText w:val="(%1)"/>
      <w:numFmt w:val="lowerLetter"/>
      <w:start w:val="3"/>
    </w:lvl>
  </w:abstractNum>
  <w:abstractNum w:abstractNumId="176">
    <w:nsid w:val="2E5B12B8"/>
    <w:multiLevelType w:val="hybridMultilevel"/>
    <w:lvl w:ilvl="0">
      <w:lvlJc w:val="left"/>
      <w:lvlText w:val="(%1)"/>
      <w:numFmt w:val="lowerRoman"/>
      <w:start w:val="1"/>
    </w:lvl>
  </w:abstractNum>
  <w:abstractNum w:abstractNumId="177">
    <w:nsid w:val="5C03D76D"/>
    <w:multiLevelType w:val="hybridMultilevel"/>
    <w:lvl w:ilvl="0">
      <w:lvlJc w:val="left"/>
      <w:lvlText w:val="%1"/>
      <w:numFmt w:val="lowerLetter"/>
      <w:start w:val="1"/>
    </w:lvl>
    <w:lvl w:ilvl="1">
      <w:lvlJc w:val="left"/>
      <w:lvlText w:val="(%2)"/>
      <w:numFmt w:val="lowerLetter"/>
      <w:start w:val="2"/>
    </w:lvl>
  </w:abstractNum>
  <w:abstractNum w:abstractNumId="178">
    <w:nsid w:val="66A48D11"/>
    <w:multiLevelType w:val="hybridMultilevel"/>
    <w:lvl w:ilvl="0">
      <w:lvlJc w:val="left"/>
      <w:lvlText w:val="(%1)"/>
      <w:numFmt w:val="lowerLetter"/>
      <w:start w:val="9"/>
    </w:lvl>
    <w:lvl w:ilvl="1">
      <w:lvlJc w:val="left"/>
      <w:lvlText w:val="(%2)"/>
      <w:numFmt w:val="lowerLetter"/>
      <w:start w:val="3"/>
    </w:lvl>
  </w:abstractNum>
  <w:abstractNum w:abstractNumId="179">
    <w:nsid w:val="56C28E34"/>
    <w:multiLevelType w:val="hybridMultilevel"/>
    <w:lvl w:ilvl="0">
      <w:lvlJc w:val="left"/>
      <w:lvlText w:val="(%1)"/>
      <w:numFmt w:val="lowerLetter"/>
      <w:start w:val="4"/>
    </w:lvl>
  </w:abstractNum>
  <w:abstractNum w:abstractNumId="180">
    <w:nsid w:val="13916F2D"/>
    <w:multiLevelType w:val="hybridMultilevel"/>
    <w:lvl w:ilvl="0">
      <w:lvlJc w:val="left"/>
      <w:lvlText w:val="(%1)"/>
      <w:numFmt w:val="lowerLetter"/>
      <w:start w:val="1"/>
    </w:lvl>
    <w:lvl w:ilvl="1">
      <w:lvlJc w:val="left"/>
      <w:lvlText w:val="(%2)"/>
      <w:numFmt w:val="lowerLetter"/>
      <w:start w:val="9"/>
    </w:lvl>
  </w:abstractNum>
  <w:abstractNum w:abstractNumId="181">
    <w:nsid w:val="435D38D"/>
    <w:multiLevelType w:val="hybridMultilevel"/>
    <w:lvl w:ilvl="0">
      <w:lvlJc w:val="left"/>
      <w:lvlText w:val="(%1)"/>
      <w:numFmt w:val="lowerLetter"/>
      <w:start w:val="2"/>
    </w:lvl>
  </w:abstractNum>
  <w:abstractNum w:abstractNumId="182">
    <w:nsid w:val="822C0EF"/>
    <w:multiLevelType w:val="hybridMultilevel"/>
    <w:lvl w:ilvl="0">
      <w:lvlJc w:val="left"/>
      <w:lvlText w:val="(%1)"/>
      <w:numFmt w:val="lowerLetter"/>
      <w:start w:val="1"/>
    </w:lvl>
    <w:lvl w:ilvl="1">
      <w:lvlJc w:val="left"/>
      <w:lvlText w:val="(%2)"/>
      <w:numFmt w:val="lowerRoman"/>
      <w:start w:val="1"/>
    </w:lvl>
  </w:abstractNum>
  <w:abstractNum w:abstractNumId="183">
    <w:nsid w:val="57C5BB4F"/>
    <w:multiLevelType w:val="hybridMultilevel"/>
    <w:lvl w:ilvl="0">
      <w:lvlJc w:val="left"/>
      <w:lvlText w:val="(%1)"/>
      <w:numFmt w:val="lowerLetter"/>
      <w:start w:val="2"/>
    </w:lvl>
  </w:abstractNum>
  <w:abstractNum w:abstractNumId="184">
    <w:nsid w:val="1803D089"/>
    <w:multiLevelType w:val="hybridMultilevel"/>
    <w:lvl w:ilvl="0">
      <w:lvlJc w:val="left"/>
      <w:lvlText w:val="(%1)"/>
      <w:numFmt w:val="lowerLetter"/>
      <w:start w:val="5"/>
    </w:lvl>
  </w:abstractNum>
  <w:abstractNum w:abstractNumId="185">
    <w:nsid w:val="4F3A06D4"/>
    <w:multiLevelType w:val="hybridMultilevel"/>
    <w:lvl w:ilvl="0">
      <w:lvlJc w:val="left"/>
      <w:lvlText w:val="(%1)"/>
      <w:numFmt w:val="lowerLetter"/>
      <w:start w:val="2"/>
    </w:lvl>
  </w:abstractNum>
  <w:abstractNum w:abstractNumId="186">
    <w:nsid w:val="59A377B6"/>
    <w:multiLevelType w:val="hybridMultilevel"/>
    <w:lvl w:ilvl="0">
      <w:lvlJc w:val="left"/>
      <w:lvlText w:val="(%1)"/>
      <w:numFmt w:val="lowerLetter"/>
      <w:start w:val="4"/>
    </w:lvl>
  </w:abstractNum>
  <w:abstractNum w:abstractNumId="187">
    <w:nsid w:val="48AEB063"/>
    <w:multiLevelType w:val="hybridMultilevel"/>
    <w:lvl w:ilvl="0">
      <w:lvlJc w:val="left"/>
      <w:lvlText w:val="(%1)"/>
      <w:numFmt w:val="lowerLetter"/>
      <w:start w:val="2"/>
    </w:lvl>
  </w:abstractNum>
  <w:abstractNum w:abstractNumId="188">
    <w:nsid w:val="24E135"/>
    <w:multiLevelType w:val="hybridMultilevel"/>
    <w:lvl w:ilvl="0">
      <w:lvlJc w:val="left"/>
      <w:lvlText w:val="(%1)"/>
      <w:numFmt w:val="lowerLetter"/>
      <w:start w:val="4"/>
    </w:lvl>
    <w:lvl w:ilvl="1">
      <w:lvlJc w:val="left"/>
      <w:lvlText w:val="(%2)"/>
      <w:numFmt w:val="lowerLetter"/>
      <w:start w:val="35"/>
    </w:lvl>
  </w:abstractNum>
  <w:abstractNum w:abstractNumId="189">
    <w:nsid w:val="BB13C1"/>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90">
    <w:nsid w:val="271210C7"/>
    <w:multiLevelType w:val="hybridMultilevel"/>
    <w:lvl w:ilvl="0">
      <w:lvlJc w:val="left"/>
      <w:lvlText w:val="(%1)"/>
      <w:numFmt w:val="lowerLetter"/>
      <w:start w:val="5"/>
    </w:lvl>
    <w:lvl w:ilvl="1">
      <w:lvlJc w:val="left"/>
      <w:lvlText w:val="(%2)"/>
      <w:numFmt w:val="lowerLetter"/>
      <w:start w:val="35"/>
    </w:lvl>
    <w:lvl w:ilvl="2">
      <w:lvlJc w:val="left"/>
      <w:lvlText w:val="(%3)"/>
      <w:numFmt w:val="upperLetter"/>
      <w:start w:val="2"/>
    </w:lvl>
  </w:abstractNum>
  <w:abstractNum w:abstractNumId="191">
    <w:nsid w:val="217B22E4"/>
    <w:multiLevelType w:val="hybridMultilevel"/>
    <w:lvl w:ilvl="0">
      <w:lvlJc w:val="left"/>
      <w:lvlText w:val="(%1)"/>
      <w:numFmt w:val="lowerRoman"/>
      <w:start w:val="3"/>
    </w:lvl>
  </w:abstractNum>
  <w:abstractNum w:abstractNumId="192">
    <w:nsid w:val="53E31A24"/>
    <w:multiLevelType w:val="hybridMultilevel"/>
    <w:lvl w:ilvl="0">
      <w:lvlJc w:val="left"/>
      <w:lvlText w:val="(%1)"/>
      <w:numFmt w:val="decimal"/>
      <w:start w:val="1"/>
    </w:lvl>
  </w:abstractNum>
  <w:abstractNum w:abstractNumId="193">
    <w:nsid w:val="6DC45E83"/>
    <w:multiLevelType w:val="hybridMultilevel"/>
    <w:lvl w:ilvl="0">
      <w:lvlJc w:val="left"/>
      <w:lvlText w:val="%1"/>
      <w:numFmt w:val="lowerLetter"/>
      <w:start w:val="1"/>
    </w:lvl>
    <w:lvl w:ilvl="1">
      <w:lvlJc w:val="left"/>
      <w:lvlText w:val="(%2)"/>
      <w:numFmt w:val="lowerRoman"/>
      <w:start w:val="4"/>
    </w:lvl>
  </w:abstractNum>
  <w:abstractNum w:abstractNumId="194">
    <w:nsid w:val="17304A67"/>
    <w:multiLevelType w:val="hybridMultilevel"/>
    <w:lvl w:ilvl="0">
      <w:lvlJc w:val="left"/>
      <w:lvlText w:val="(%1)"/>
      <w:numFmt w:val="lowerLetter"/>
      <w:start w:val="7"/>
    </w:lvl>
    <w:lvl w:ilvl="1">
      <w:lvlJc w:val="left"/>
      <w:lvlText w:val="%2"/>
      <w:numFmt w:val="lowerRoman"/>
      <w:start w:val="1"/>
    </w:lvl>
  </w:abstractNum>
  <w:abstractNum w:abstractNumId="195">
    <w:nsid w:val="2BB180D8"/>
    <w:multiLevelType w:val="hybridMultilevel"/>
    <w:lvl w:ilvl="0">
      <w:lvlJc w:val="left"/>
      <w:lvlText w:val="(%1)"/>
      <w:numFmt w:val="lowerLetter"/>
      <w:start w:val="8"/>
    </w:lvl>
  </w:abstractNum>
  <w:abstractNum w:abstractNumId="196">
    <w:nsid w:val="556B69ED"/>
    <w:multiLevelType w:val="hybridMultilevel"/>
    <w:lvl w:ilvl="0">
      <w:lvlJc w:val="left"/>
      <w:lvlText w:val="(%1)"/>
      <w:numFmt w:val="lowerLetter"/>
      <w:start w:val="2"/>
    </w:lvl>
  </w:abstractNum>
  <w:abstractNum w:abstractNumId="197">
    <w:nsid w:val="70836196"/>
    <w:multiLevelType w:val="hybridMultilevel"/>
    <w:lvl w:ilvl="0">
      <w:lvlJc w:val="left"/>
      <w:lvlText w:val="(%1)"/>
      <w:numFmt w:val="lowerRoman"/>
      <w:start w:val="1"/>
    </w:lvl>
  </w:abstractNum>
  <w:abstractNum w:abstractNumId="198">
    <w:nsid w:val="539F7F12"/>
    <w:multiLevelType w:val="hybridMultilevel"/>
    <w:lvl w:ilvl="0">
      <w:lvlJc w:val="left"/>
      <w:lvlText w:val="(%1)"/>
      <w:numFmt w:val="lowerLetter"/>
      <w:start w:val="4"/>
    </w:lvl>
  </w:abstractNum>
  <w:abstractNum w:abstractNumId="199">
    <w:nsid w:val="2817E7EC"/>
    <w:multiLevelType w:val="hybridMultilevel"/>
    <w:lvl w:ilvl="0">
      <w:lvlJc w:val="left"/>
      <w:lvlText w:val="(%1)"/>
      <w:numFmt w:val="lowerLetter"/>
      <w:start w:val="1"/>
    </w:lvl>
    <w:lvl w:ilvl="1">
      <w:lvlJc w:val="left"/>
      <w:lvlText w:val="(%2)"/>
      <w:numFmt w:val="lowerRoman"/>
      <w:start w:val="1"/>
    </w:lvl>
  </w:abstractNum>
  <w:abstractNum w:abstractNumId="200">
    <w:nsid w:val="71482545"/>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201">
    <w:nsid w:val="17D78639"/>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202">
    <w:nsid w:val="141D2302"/>
    <w:multiLevelType w:val="hybridMultilevel"/>
    <w:lvl w:ilvl="0">
      <w:lvlJc w:val="left"/>
      <w:lvlText w:val="(%1)"/>
      <w:numFmt w:val="lowerLetter"/>
      <w:start w:val="3"/>
    </w:lvl>
  </w:abstractNum>
  <w:abstractNum w:abstractNumId="203">
    <w:nsid w:val="407168D8"/>
    <w:multiLevelType w:val="hybridMultilevel"/>
    <w:lvl w:ilvl="0">
      <w:lvlJc w:val="left"/>
      <w:lvlText w:val="(%1)"/>
      <w:numFmt w:val="lowerLetter"/>
      <w:start w:val="2"/>
    </w:lvl>
    <w:lvl w:ilvl="1">
      <w:lvlJc w:val="left"/>
      <w:lvlText w:val="(%2)"/>
      <w:numFmt w:val="lowerRoman"/>
      <w:start w:val="1"/>
    </w:lvl>
  </w:abstractNum>
  <w:abstractNum w:abstractNumId="204">
    <w:nsid w:val="6A1B45E5"/>
    <w:multiLevelType w:val="hybridMultilevel"/>
    <w:lvl w:ilvl="0">
      <w:lvlJc w:val="left"/>
      <w:lvlText w:val="(%1)"/>
      <w:numFmt w:val="lowerRoman"/>
      <w:start w:val="3"/>
    </w:lvl>
  </w:abstractNum>
  <w:abstractNum w:abstractNumId="205">
    <w:nsid w:val="567BD50A"/>
    <w:multiLevelType w:val="hybridMultilevel"/>
    <w:lvl w:ilvl="0">
      <w:lvlJc w:val="left"/>
      <w:lvlText w:val="(%1)"/>
      <w:numFmt w:val="lowerLetter"/>
      <w:start w:val="1"/>
    </w:lvl>
    <w:lvl w:ilvl="1">
      <w:lvlJc w:val="left"/>
      <w:lvlText w:val="(%2)"/>
      <w:numFmt w:val="lowerLetter"/>
      <w:start w:val="9"/>
    </w:lvl>
  </w:abstractNum>
  <w:abstractNum w:abstractNumId="206">
    <w:nsid w:val="73BBD7F8"/>
    <w:multiLevelType w:val="hybridMultilevel"/>
    <w:lvl w:ilvl="0">
      <w:lvlJc w:val="left"/>
      <w:lvlText w:val="(%1)"/>
      <w:numFmt w:val="upperLetter"/>
      <w:start w:val="9"/>
    </w:lvl>
  </w:abstractNum>
  <w:abstractNum w:abstractNumId="207">
    <w:nsid w:val="1876589D"/>
    <w:multiLevelType w:val="hybridMultilevel"/>
    <w:lvl w:ilvl="0">
      <w:lvlJc w:val="left"/>
      <w:lvlText w:val="(%1)"/>
      <w:numFmt w:val="lowerLetter"/>
      <w:start w:val="2"/>
    </w:lvl>
  </w:abstractNum>
  <w:abstractNum w:abstractNumId="208">
    <w:nsid w:val="327FAC77"/>
    <w:multiLevelType w:val="hybridMultilevel"/>
    <w:lvl w:ilvl="0">
      <w:lvlJc w:val="left"/>
      <w:lvlText w:val="(%1)"/>
      <w:numFmt w:val="lowerLetter"/>
      <w:start w:val="3"/>
    </w:lvl>
    <w:lvl w:ilvl="1">
      <w:lvlJc w:val="left"/>
      <w:lvlText w:val="(%2)"/>
      <w:numFmt w:val="lowerLetter"/>
      <w:start w:val="9"/>
    </w:lvl>
  </w:abstractNum>
  <w:abstractNum w:abstractNumId="209">
    <w:nsid w:val="5A606509"/>
    <w:multiLevelType w:val="hybridMultilevel"/>
    <w:lvl w:ilvl="0">
      <w:lvlJc w:val="left"/>
      <w:lvlText w:val="(%1)"/>
      <w:numFmt w:val="lowerRoman"/>
      <w:start w:val="2"/>
    </w:lvl>
  </w:abstractNum>
  <w:abstractNum w:abstractNumId="210">
    <w:nsid w:val="6F38E6D1"/>
    <w:multiLevelType w:val="hybridMultilevel"/>
    <w:lvl w:ilvl="0">
      <w:lvlJc w:val="left"/>
      <w:lvlText w:val="%1"/>
      <w:numFmt w:val="lowerLetter"/>
      <w:start w:val="1"/>
    </w:lvl>
    <w:lvl w:ilvl="1">
      <w:lvlJc w:val="left"/>
      <w:lvlText w:val="(%2)"/>
      <w:numFmt w:val="lowerLetter"/>
      <w:start w:val="22"/>
    </w:lvl>
  </w:abstractNum>
  <w:abstractNum w:abstractNumId="211">
    <w:nsid w:val="46111BA5"/>
    <w:multiLevelType w:val="hybridMultilevel"/>
    <w:lvl w:ilvl="0">
      <w:lvlJc w:val="left"/>
      <w:lvlText w:val="(%1)"/>
      <w:numFmt w:val="lowerLetter"/>
      <w:start w:val="4"/>
    </w:lvl>
    <w:lvl w:ilvl="1">
      <w:lvlJc w:val="left"/>
      <w:lvlText w:val="%2"/>
      <w:numFmt w:val="lowerLetter"/>
      <w:start w:val="1"/>
    </w:lvl>
  </w:abstractNum>
  <w:abstractNum w:abstractNumId="212">
    <w:nsid w:val="5E963896"/>
    <w:multiLevelType w:val="hybridMultilevel"/>
    <w:lvl w:ilvl="0">
      <w:lvlJc w:val="left"/>
      <w:lvlText w:val="(%1)"/>
      <w:numFmt w:val="lowerLetter"/>
      <w:start w:val="5"/>
    </w:lvl>
  </w:abstractNum>
  <w:abstractNum w:abstractNumId="213">
    <w:nsid w:val="775BA7C1"/>
    <w:multiLevelType w:val="hybridMultilevel"/>
    <w:lvl w:ilvl="0">
      <w:lvlJc w:val="left"/>
      <w:lvlText w:val="(%1)"/>
      <w:numFmt w:val="lowerLetter"/>
      <w:start w:val="1"/>
    </w:lvl>
  </w:abstractNum>
  <w:abstractNum w:abstractNumId="214">
    <w:nsid w:val="1DD6D6F4"/>
    <w:multiLevelType w:val="hybridMultilevel"/>
    <w:lvl w:ilvl="0">
      <w:lvlJc w:val="left"/>
      <w:lvlText w:val="%1"/>
      <w:numFmt w:val="lowerLetter"/>
      <w:start w:val="1"/>
    </w:lvl>
    <w:lvl w:ilvl="1">
      <w:lvlJc w:val="left"/>
      <w:lvlText w:val="(%2)"/>
      <w:numFmt w:val="lowerLetter"/>
      <w:start w:val="3"/>
    </w:lvl>
  </w:abstractNum>
  <w:abstractNum w:abstractNumId="215">
    <w:nsid w:val="769A091F"/>
    <w:multiLevelType w:val="hybridMultilevel"/>
    <w:lvl w:ilvl="0">
      <w:lvlJc w:val="left"/>
      <w:lvlText w:val="(%1)"/>
      <w:numFmt w:val="lowerLetter"/>
      <w:start w:val="9"/>
    </w:lvl>
    <w:lvl w:ilvl="1">
      <w:lvlJc w:val="left"/>
      <w:lvlText w:val="%2"/>
      <w:numFmt w:val="lowerLetter"/>
      <w:start w:val="1"/>
    </w:lvl>
  </w:abstractNum>
  <w:abstractNum w:abstractNumId="216">
    <w:nsid w:val="4695AE95"/>
    <w:multiLevelType w:val="hybridMultilevel"/>
    <w:lvl w:ilvl="0">
      <w:lvlJc w:val="left"/>
      <w:lvlText w:val="(%1)"/>
      <w:numFmt w:val="lowerLetter"/>
      <w:start w:val="1"/>
    </w:lvl>
  </w:abstractNum>
  <w:abstractNum w:abstractNumId="217">
    <w:nsid w:val="777A4EAA"/>
    <w:multiLevelType w:val="hybridMultilevel"/>
    <w:lvl w:ilvl="0">
      <w:lvlJc w:val="left"/>
      <w:lvlText w:val="(%1)"/>
      <w:numFmt w:val="lowerLetter"/>
      <w:start w:val="3"/>
    </w:lvl>
  </w:abstractNum>
  <w:abstractNum w:abstractNumId="218">
    <w:nsid w:val="3F48B982"/>
    <w:multiLevelType w:val="hybridMultilevel"/>
    <w:lvl w:ilvl="0">
      <w:lvlJc w:val="left"/>
      <w:lvlText w:val="(%1)"/>
      <w:numFmt w:val="lowerLetter"/>
      <w:start w:val="1"/>
    </w:lvl>
  </w:abstractNum>
  <w:abstractNum w:abstractNumId="219">
    <w:nsid w:val="46BA8FCA"/>
    <w:multiLevelType w:val="hybridMultilevel"/>
    <w:lvl w:ilvl="0">
      <w:lvlJc w:val="left"/>
      <w:lvlText w:val="(%1)"/>
      <w:numFmt w:val="lowerLetter"/>
      <w:start w:val="4"/>
    </w:lvl>
  </w:abstractNum>
  <w:abstractNum w:abstractNumId="220">
    <w:nsid w:val="7835626C"/>
    <w:multiLevelType w:val="hybridMultilevel"/>
    <w:lvl w:ilvl="0">
      <w:lvlJc w:val="left"/>
      <w:lvlText w:val="(%1)"/>
      <w:numFmt w:val="lowerLetter"/>
      <w:start w:val="11"/>
    </w:lvl>
  </w:abstractNum>
  <w:abstractNum w:abstractNumId="221">
    <w:nsid w:val="665ACA49"/>
    <w:multiLevelType w:val="hybridMultilevel"/>
    <w:lvl w:ilvl="0">
      <w:lvlJc w:val="left"/>
      <w:lvlText w:val="%1"/>
      <w:numFmt w:val="lowerLetter"/>
      <w:start w:val="1"/>
    </w:lvl>
    <w:lvl w:ilvl="1">
      <w:lvlJc w:val="left"/>
      <w:lvlText w:val="(%2)"/>
      <w:numFmt w:val="lowerLetter"/>
      <w:start w:val="16"/>
    </w:lvl>
  </w:abstractNum>
  <w:abstractNum w:abstractNumId="222">
    <w:nsid w:val="6835B2AE"/>
    <w:multiLevelType w:val="hybridMultilevel"/>
    <w:lvl w:ilvl="0">
      <w:lvlJc w:val="left"/>
      <w:lvlText w:val="(%1)"/>
      <w:numFmt w:val="lowerLetter"/>
      <w:start w:val="35"/>
    </w:lvl>
    <w:lvl w:ilvl="1">
      <w:lvlJc w:val="left"/>
      <w:lvlText w:val="(%2)"/>
      <w:numFmt w:val="lowerLetter"/>
      <w:start w:val="17"/>
    </w:lvl>
  </w:abstractNum>
  <w:abstractNum w:abstractNumId="223">
    <w:nsid w:val="4C187C90"/>
    <w:multiLevelType w:val="hybridMultilevel"/>
    <w:lvl w:ilvl="0">
      <w:lvlJc w:val="left"/>
      <w:lvlText w:val="(%1)"/>
      <w:numFmt w:val="lowerLetter"/>
      <w:start w:val="25"/>
    </w:lvl>
    <w:lvl w:ilvl="1">
      <w:lvlJc w:val="left"/>
      <w:lvlText w:val="(%2)"/>
      <w:numFmt w:val="lowerLetter"/>
      <w:start w:val="18"/>
    </w:lvl>
  </w:abstractNum>
  <w:abstractNum w:abstractNumId="224">
    <w:nsid w:val="541F28CD"/>
    <w:multiLevelType w:val="hybridMultilevel"/>
    <w:lvl w:ilvl="0">
      <w:lvlJc w:val="left"/>
      <w:lvlText w:val="(%1)"/>
      <w:numFmt w:val="lowerLetter"/>
      <w:start w:val="19"/>
    </w:lvl>
  </w:abstractNum>
  <w:abstractNum w:abstractNumId="225">
    <w:nsid w:val="7F65FD16"/>
    <w:multiLevelType w:val="hybridMultilevel"/>
    <w:lvl w:ilvl="0">
      <w:lvlJc w:val="left"/>
      <w:lvlText w:val="(%1)"/>
      <w:numFmt w:val="lowerLetter"/>
      <w:start w:val="1"/>
    </w:lvl>
  </w:abstractNum>
  <w:abstractNum w:abstractNumId="226">
    <w:nsid w:val="77C9FD68"/>
    <w:multiLevelType w:val="hybridMultilevel"/>
    <w:lvl w:ilvl="0">
      <w:lvlJc w:val="left"/>
      <w:lvlText w:val="(%1)"/>
      <w:numFmt w:val="lowerLetter"/>
      <w:start w:val="5"/>
    </w:lvl>
    <w:lvl w:ilvl="1">
      <w:lvlJc w:val="left"/>
      <w:lvlText w:val="(%2)"/>
      <w:numFmt w:val="lowerRoman"/>
      <w:start w:val="1"/>
    </w:lvl>
  </w:abstractNum>
  <w:abstractNum w:abstractNumId="227">
    <w:nsid w:val="298A92BA"/>
    <w:multiLevelType w:val="hybridMultilevel"/>
    <w:lvl w:ilvl="0">
      <w:lvlJc w:val="left"/>
      <w:lvlText w:val="%1"/>
      <w:numFmt w:val="lowerLetter"/>
      <w:start w:val="1"/>
    </w:lvl>
    <w:lvl w:ilvl="1">
      <w:lvlJc w:val="left"/>
      <w:lvlText w:val="(%2)"/>
      <w:numFmt w:val="lowerRoman"/>
      <w:start w:val="3"/>
    </w:lvl>
  </w:abstractNum>
  <w:abstractNum w:abstractNumId="228">
    <w:nsid w:val="6FE95EAC"/>
    <w:multiLevelType w:val="hybridMultilevel"/>
    <w:lvl w:ilvl="0">
      <w:lvlJc w:val="left"/>
      <w:lvlText w:val="(%1)"/>
      <w:numFmt w:val="lowerLetter"/>
      <w:start w:val="10"/>
    </w:lvl>
    <w:lvl w:ilvl="1">
      <w:lvlJc w:val="left"/>
      <w:lvlText w:val="(%2)"/>
      <w:numFmt w:val="lowerRoman"/>
      <w:start w:val="1"/>
    </w:lvl>
  </w:abstractNum>
  <w:abstractNum w:abstractNumId="229">
    <w:nsid w:val="4B697C7A"/>
    <w:multiLevelType w:val="hybridMultilevel"/>
    <w:lvl w:ilvl="0">
      <w:lvlJc w:val="left"/>
      <w:lvlText w:val="%1"/>
      <w:numFmt w:val="decimal"/>
      <w:start w:val="1"/>
    </w:lvl>
    <w:lvl w:ilvl="1">
      <w:lvlJc w:val="left"/>
      <w:lvlText w:val="(%2)"/>
      <w:numFmt w:val="lowerRoman"/>
      <w:start w:val="2"/>
    </w:lvl>
  </w:abstractNum>
  <w:abstractNum w:abstractNumId="230">
    <w:nsid w:val="51A27AA6"/>
    <w:multiLevelType w:val="hybridMultilevel"/>
    <w:lvl w:ilvl="0">
      <w:lvlJc w:val="left"/>
      <w:lvlText w:val="(%1)"/>
      <w:numFmt w:val="decimal"/>
      <w:start w:val="3"/>
    </w:lvl>
    <w:lvl w:ilvl="1">
      <w:lvlJc w:val="left"/>
      <w:lvlText w:val="(%2)"/>
      <w:numFmt w:val="lowerRoman"/>
      <w:start w:val="3"/>
    </w:lvl>
  </w:abstractNum>
  <w:abstractNum w:abstractNumId="231">
    <w:nsid w:val="613183F2"/>
    <w:multiLevelType w:val="hybridMultilevel"/>
    <w:lvl w:ilvl="0">
      <w:lvlJc w:val="left"/>
      <w:lvlText w:val="(%1)"/>
      <w:numFmt w:val="lowerLetter"/>
      <w:start w:val="1"/>
    </w:lvl>
    <w:lvl w:ilvl="1">
      <w:lvlJc w:val="left"/>
      <w:lvlText w:val="(%2)"/>
      <w:numFmt w:val="lowerRoman"/>
      <w:start w:val="1"/>
    </w:lvl>
  </w:abstractNum>
  <w:abstractNum w:abstractNumId="232">
    <w:nsid w:val="634102B4"/>
    <w:multiLevelType w:val="hybridMultilevel"/>
    <w:lvl w:ilvl="0">
      <w:lvlJc w:val="left"/>
      <w:lvlText w:val="(%1)"/>
      <w:numFmt w:val="lowerLetter"/>
      <w:start w:val="9"/>
    </w:lvl>
    <w:lvl w:ilvl="1">
      <w:lvlJc w:val="left"/>
      <w:lvlText w:val="(%2)"/>
      <w:numFmt w:val="lowerRoman"/>
      <w:start w:val="3"/>
    </w:lvl>
  </w:abstractNum>
  <w:abstractNum w:abstractNumId="233">
    <w:nsid w:val="65BF9DA8"/>
    <w:multiLevelType w:val="hybridMultilevel"/>
    <w:lvl w:ilvl="0">
      <w:lvlJc w:val="left"/>
      <w:lvlText w:val="(%1)"/>
      <w:numFmt w:val="lowerLetter"/>
      <w:start w:val="2"/>
    </w:lvl>
    <w:lvl w:ilvl="1">
      <w:lvlJc w:val="left"/>
      <w:lvlText w:val="%2"/>
      <w:numFmt w:val="lowerRoman"/>
      <w:start w:val="1"/>
    </w:lvl>
  </w:abstractNum>
  <w:abstractNum w:abstractNumId="234">
    <w:nsid w:val="21A2ECCA"/>
    <w:multiLevelType w:val="hybridMultilevel"/>
    <w:lvl w:ilvl="0">
      <w:lvlJc w:val="left"/>
      <w:lvlText w:val="(%1)"/>
      <w:numFmt w:val="lowerRoman"/>
      <w:start w:val="1"/>
    </w:lvl>
  </w:abstractNum>
  <w:abstractNum w:abstractNumId="235">
    <w:nsid w:val="4D5C4899"/>
    <w:multiLevelType w:val="hybridMultilevel"/>
    <w:lvl w:ilvl="0">
      <w:lvlJc w:val="left"/>
      <w:lvlText w:val="(%1)"/>
      <w:numFmt w:val="lowerLetter"/>
      <w:start w:val="3"/>
    </w:lvl>
    <w:lvl w:ilvl="1">
      <w:lvlJc w:val="left"/>
      <w:lvlText w:val="(%2)"/>
      <w:numFmt w:val="lowerRoman"/>
      <w:start w:val="1"/>
    </w:lvl>
  </w:abstractNum>
  <w:abstractNum w:abstractNumId="236">
    <w:nsid w:val="3C3B72B2"/>
    <w:multiLevelType w:val="hybridMultilevel"/>
    <w:lvl w:ilvl="0">
      <w:lvlJc w:val="left"/>
      <w:lvlText w:val="%1"/>
      <w:numFmt w:val="lowerLetter"/>
      <w:start w:val="1"/>
    </w:lvl>
    <w:lvl w:ilvl="1">
      <w:lvlJc w:val="left"/>
      <w:lvlText w:val="(%2)"/>
      <w:numFmt w:val="lowerRoman"/>
      <w:start w:val="4"/>
    </w:lvl>
  </w:abstractNum>
  <w:abstractNum w:abstractNumId="237">
    <w:nsid w:val="155EC4C2"/>
    <w:multiLevelType w:val="hybridMultilevel"/>
    <w:lvl w:ilvl="0">
      <w:lvlJc w:val="left"/>
      <w:lvlText w:val="(%1)"/>
      <w:numFmt w:val="lowerLetter"/>
      <w:start w:val="5"/>
    </w:lvl>
    <w:lvl w:ilvl="1">
      <w:lvlJc w:val="left"/>
      <w:lvlText w:val="%2"/>
      <w:numFmt w:val="lowerRoman"/>
      <w:start w:val="1"/>
    </w:lvl>
  </w:abstractNum>
  <w:abstractNum w:abstractNumId="238">
    <w:nsid w:val="65D2A137"/>
    <w:multiLevelType w:val="hybridMultilevel"/>
    <w:lvl w:ilvl="0">
      <w:lvlJc w:val="left"/>
      <w:lvlText w:val="%1"/>
      <w:numFmt w:val="lowerLetter"/>
      <w:start w:val="1"/>
    </w:lvl>
    <w:lvl w:ilvl="1">
      <w:lvlJc w:val="left"/>
      <w:lvlText w:val="(%2)"/>
      <w:numFmt w:val="lowerLetter"/>
      <w:start w:val="7"/>
    </w:lvl>
  </w:abstractNum>
  <w:abstractNum w:abstractNumId="239">
    <w:nsid w:val="6EBB1F2A"/>
    <w:multiLevelType w:val="hybridMultilevel"/>
    <w:lvl w:ilvl="0">
      <w:lvlJc w:val="left"/>
      <w:lvlText w:val="(%1)"/>
      <w:numFmt w:val="lowerLetter"/>
      <w:start w:val="61"/>
    </w:lvl>
    <w:lvl w:ilvl="1">
      <w:lvlJc w:val="left"/>
      <w:lvlText w:val="%2"/>
      <w:numFmt w:val="lowerLetter"/>
      <w:start w:val="1"/>
    </w:lvl>
  </w:abstractNum>
  <w:abstractNum w:abstractNumId="240">
    <w:nsid w:val="6FBF29CB"/>
    <w:multiLevelType w:val="hybridMultilevel"/>
    <w:lvl w:ilvl="0">
      <w:lvlJc w:val="left"/>
      <w:lvlText w:val="(%1)"/>
      <w:numFmt w:val="lowerLetter"/>
      <w:start w:val="1"/>
    </w:lvl>
  </w:abstractNum>
  <w:abstractNum w:abstractNumId="241">
    <w:nsid w:val="550B8808"/>
    <w:multiLevelType w:val="hybridMultilevel"/>
    <w:lvl w:ilvl="0">
      <w:lvlJc w:val="left"/>
      <w:lvlText w:val="(%1)"/>
      <w:numFmt w:val="lowerLetter"/>
      <w:start w:val="1"/>
    </w:lvl>
  </w:abstractNum>
  <w:abstractNum w:abstractNumId="242">
    <w:nsid w:val="34CC3ACF"/>
    <w:multiLevelType w:val="hybridMultilevel"/>
    <w:lvl w:ilvl="0">
      <w:lvlJc w:val="left"/>
      <w:lvlText w:val="(%1)"/>
      <w:numFmt w:val="lowerLetter"/>
      <w:start w:val="2"/>
    </w:lvl>
  </w:abstractNum>
  <w:abstractNum w:abstractNumId="243">
    <w:nsid w:val="4E556261"/>
    <w:multiLevelType w:val="hybridMultilevel"/>
    <w:lvl w:ilvl="0">
      <w:lvlJc w:val="left"/>
      <w:lvlText w:val="(%1)"/>
      <w:numFmt w:val="lowerLetter"/>
      <w:start w:val="6"/>
    </w:lvl>
  </w:abstractNum>
  <w:abstractNum w:abstractNumId="244">
    <w:nsid w:val="4C672FC9"/>
    <w:multiLevelType w:val="hybridMultilevel"/>
    <w:lvl w:ilvl="0">
      <w:lvlJc w:val="left"/>
      <w:lvlText w:val="(%1)"/>
      <w:numFmt w:val="lowerLetter"/>
      <w:start w:val="1"/>
    </w:lvl>
    <w:lvl w:ilvl="1">
      <w:lvlJc w:val="left"/>
      <w:lvlText w:val="(%2)"/>
      <w:numFmt w:val="lowerRoman"/>
      <w:start w:val="1"/>
    </w:lvl>
  </w:abstractNum>
  <w:abstractNum w:abstractNumId="245">
    <w:nsid w:val="52A311C3"/>
    <w:multiLevelType w:val="hybridMultilevel"/>
    <w:lvl w:ilvl="0">
      <w:lvlJc w:val="left"/>
      <w:lvlText w:val="%1"/>
      <w:numFmt w:val="lowerLetter"/>
      <w:start w:val="1"/>
    </w:lvl>
    <w:lvl w:ilvl="1">
      <w:lvlJc w:val="left"/>
      <w:lvlText w:val="(%2)"/>
      <w:numFmt w:val="lowerLetter"/>
      <w:start w:val="2"/>
    </w:lvl>
  </w:abstractNum>
  <w:abstractNum w:abstractNumId="246">
    <w:nsid w:val="44EF6B80"/>
    <w:multiLevelType w:val="hybridMultilevel"/>
    <w:lvl w:ilvl="0">
      <w:lvlJc w:val="left"/>
      <w:lvlText w:val="(%1)"/>
      <w:numFmt w:val="lowerLetter"/>
      <w:start w:val="61"/>
    </w:lvl>
    <w:lvl w:ilvl="1">
      <w:lvlJc w:val="left"/>
      <w:lvlText w:val="%2"/>
      <w:numFmt w:val="lowerLetter"/>
      <w:start w:val="1"/>
    </w:lvl>
  </w:abstractNum>
  <w:abstractNum w:abstractNumId="247">
    <w:nsid w:val="12FCDE5E"/>
    <w:multiLevelType w:val="hybridMultilevel"/>
    <w:lvl w:ilvl="0">
      <w:lvlJc w:val="left"/>
      <w:lvlText w:val="(%1)"/>
      <w:numFmt w:val="lowerLetter"/>
      <w:start w:val="1"/>
    </w:lvl>
  </w:abstractNum>
  <w:abstractNum w:abstractNumId="248">
    <w:nsid w:val="4A1D606E"/>
    <w:multiLevelType w:val="hybridMultilevel"/>
    <w:lvl w:ilvl="0">
      <w:lvlJc w:val="left"/>
      <w:lvlText w:val="(%1)"/>
      <w:numFmt w:val="lowerLetter"/>
      <w:start w:val="2"/>
    </w:lvl>
  </w:abstractNum>
  <w:abstractNum w:abstractNumId="249">
    <w:nsid w:val="4382503"/>
    <w:multiLevelType w:val="hybridMultilevel"/>
    <w:lvl w:ilvl="0">
      <w:lvlJc w:val="left"/>
      <w:lvlText w:val="(%1)"/>
      <w:numFmt w:val="lowerRoman"/>
      <w:start w:val="1"/>
    </w:lvl>
  </w:abstractNum>
  <w:abstractNum w:abstractNumId="250">
    <w:nsid w:val="59B76E28"/>
    <w:multiLevelType w:val="hybridMultilevel"/>
    <w:lvl w:ilvl="0">
      <w:lvlJc w:val="left"/>
      <w:lvlText w:val="%1"/>
      <w:numFmt w:val="lowerLetter"/>
      <w:start w:val="1"/>
    </w:lvl>
    <w:lvl w:ilvl="1">
      <w:lvlJc w:val="left"/>
      <w:lvlText w:val="(%2)"/>
      <w:numFmt w:val="lowerLetter"/>
      <w:start w:val="1"/>
    </w:lvl>
  </w:abstractNum>
  <w:abstractNum w:abstractNumId="251">
    <w:nsid w:val="4252C2DA"/>
    <w:multiLevelType w:val="hybridMultilevel"/>
    <w:lvl w:ilvl="0">
      <w:lvlJc w:val="left"/>
      <w:lvlText w:val="(%1)"/>
      <w:numFmt w:val="lowerLetter"/>
      <w:start w:val="35"/>
    </w:lvl>
    <w:lvl w:ilvl="1">
      <w:lvlJc w:val="left"/>
      <w:lvlText w:val="(%2)"/>
      <w:numFmt w:val="lowerLetter"/>
      <w:start w:val="3"/>
    </w:lvl>
  </w:abstractNum>
  <w:abstractNum w:abstractNumId="252">
    <w:nsid w:val="6A92EF4C"/>
    <w:multiLevelType w:val="hybridMultilevel"/>
    <w:lvl w:ilvl="0">
      <w:lvlJc w:val="left"/>
      <w:lvlText w:val="(%1)"/>
      <w:numFmt w:val="lowerLetter"/>
      <w:start w:val="4"/>
    </w:lvl>
  </w:abstractNum>
  <w:abstractNum w:abstractNumId="253">
    <w:nsid w:val="41ED20D7"/>
    <w:multiLevelType w:val="hybridMultilevel"/>
    <w:lvl w:ilvl="0">
      <w:lvlJc w:val="left"/>
      <w:lvlText w:val="(%1)"/>
      <w:numFmt w:val="lowerLetter"/>
      <w:start w:val="7"/>
    </w:lvl>
  </w:abstractNum>
  <w:abstractNum w:abstractNumId="254">
    <w:nsid w:val="E6B3F6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5">
    <w:nsid w:val="3EB2181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56">
    <w:nsid w:val="41531DED"/>
    <w:multiLevelType w:val="hybridMultilevel"/>
    <w:lvl w:ilvl="0">
      <w:lvlJc w:val="left"/>
      <w:lvlText w:val="(%1)"/>
      <w:numFmt w:val="lowerLetter"/>
      <w:start w:val="5"/>
    </w:lvl>
  </w:abstractNum>
  <w:abstractNum w:abstractNumId="257">
    <w:nsid w:val="6353CD2"/>
    <w:multiLevelType w:val="hybridMultilevel"/>
    <w:lvl w:ilvl="0">
      <w:lvlJc w:val="left"/>
      <w:lvlText w:val="%1"/>
      <w:numFmt w:val="lowerLetter"/>
      <w:start w:val="1"/>
    </w:lvl>
    <w:lvl w:ilvl="1">
      <w:lvlJc w:val="left"/>
      <w:lvlText w:val="(%2)"/>
      <w:numFmt w:val="lowerLetter"/>
      <w:start w:val="1"/>
    </w:lvl>
  </w:abstractNum>
  <w:abstractNum w:abstractNumId="258">
    <w:nsid w:val="683CAAD3"/>
    <w:multiLevelType w:val="hybridMultilevel"/>
    <w:lvl w:ilvl="0">
      <w:lvlJc w:val="left"/>
      <w:lvlText w:val="(%1)"/>
      <w:numFmt w:val="lowerLetter"/>
      <w:start w:val="35"/>
    </w:lvl>
    <w:lvl w:ilvl="1">
      <w:lvlJc w:val="left"/>
      <w:lvlText w:val="%2"/>
      <w:numFmt w:val="lowerLetter"/>
      <w:start w:val="1"/>
    </w:lvl>
  </w:abstractNum>
  <w:abstractNum w:abstractNumId="259">
    <w:nsid w:val="313C7C99"/>
    <w:multiLevelType w:val="hybridMultilevel"/>
    <w:lvl w:ilvl="0">
      <w:lvlJc w:val="left"/>
      <w:lvlText w:val="(%1)"/>
      <w:numFmt w:val="lowerLetter"/>
      <w:start w:val="2"/>
    </w:lvl>
  </w:abstractNum>
  <w:abstractNum w:abstractNumId="260">
    <w:nsid w:val="519EB94C"/>
    <w:multiLevelType w:val="hybridMultilevel"/>
    <w:lvl w:ilvl="0">
      <w:lvlJc w:val="left"/>
      <w:lvlText w:val="%1"/>
      <w:numFmt w:val="upperLetter"/>
      <w:start w:val="1"/>
    </w:lvl>
    <w:lvl w:ilvl="1">
      <w:lvlJc w:val="left"/>
      <w:lvlText w:val="(%2)"/>
      <w:numFmt w:val="lowerRoman"/>
      <w:start w:val="1"/>
    </w:lvl>
  </w:abstractNum>
  <w:abstractNum w:abstractNumId="261">
    <w:nsid w:val="39DF2579"/>
    <w:multiLevelType w:val="hybridMultilevel"/>
    <w:lvl w:ilvl="0">
      <w:lvlJc w:val="left"/>
      <w:lvlText w:val="(%1)"/>
      <w:numFmt w:val="lowerLetter"/>
      <w:start w:val="2"/>
    </w:lvl>
  </w:abstractNum>
  <w:abstractNum w:abstractNumId="262">
    <w:nsid w:val="126E008B"/>
    <w:multiLevelType w:val="hybridMultilevel"/>
    <w:lvl w:ilvl="0">
      <w:lvlJc w:val="left"/>
      <w:lvlText w:val="(%1)"/>
      <w:numFmt w:val="lowerLetter"/>
      <w:start w:val="3"/>
    </w:lvl>
  </w:abstractNum>
  <w:abstractNum w:abstractNumId="263">
    <w:nsid w:val="34DFBC00"/>
    <w:multiLevelType w:val="hybridMultilevel"/>
    <w:lvl w:ilvl="0">
      <w:lvlJc w:val="left"/>
      <w:lvlText w:val="(%1)"/>
      <w:numFmt w:val="lowerLetter"/>
      <w:start w:val="4"/>
    </w:lvl>
    <w:lvl w:ilvl="1">
      <w:lvlJc w:val="left"/>
      <w:lvlText w:val="(%2)"/>
      <w:numFmt w:val="lowerRoman"/>
      <w:start w:val="1"/>
    </w:lvl>
  </w:abstractNum>
  <w:abstractNum w:abstractNumId="264">
    <w:nsid w:val="1F9EC322"/>
    <w:multiLevelType w:val="hybridMultilevel"/>
    <w:lvl w:ilvl="0">
      <w:lvlJc w:val="left"/>
      <w:lvlText w:val="(%1)"/>
      <w:numFmt w:val="lowerLetter"/>
      <w:start w:val="2"/>
    </w:lvl>
  </w:abstractNum>
  <w:abstractNum w:abstractNumId="265">
    <w:nsid w:val="3410ED56"/>
    <w:multiLevelType w:val="hybridMultilevel"/>
    <w:lvl w:ilvl="0">
      <w:lvlJc w:val="left"/>
      <w:lvlText w:val="(%1)"/>
      <w:numFmt w:val="lowerLetter"/>
      <w:start w:val="5"/>
    </w:lvl>
  </w:abstractNum>
  <w:abstractNum w:abstractNumId="266">
    <w:nsid w:val="23C049A"/>
    <w:multiLevelType w:val="hybridMultilevel"/>
    <w:lvl w:ilvl="0">
      <w:lvlJc w:val="left"/>
      <w:lvlText w:val="(%1)"/>
      <w:numFmt w:val="lowerRoman"/>
      <w:start w:val="3"/>
    </w:lvl>
  </w:abstractNum>
  <w:abstractNum w:abstractNumId="267">
    <w:nsid w:val="5BDA35D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68">
    <w:nsid w:val="496FB218"/>
    <w:multiLevelType w:val="hybridMultilevel"/>
    <w:lvl w:ilvl="0">
      <w:lvlJc w:val="left"/>
      <w:lvlText w:val="%1"/>
      <w:numFmt w:val="lowerRoman"/>
      <w:start w:val="1"/>
    </w:lvl>
    <w:lvl w:ilvl="1">
      <w:lvlJc w:val="left"/>
      <w:lvlText w:val="(%2)"/>
      <w:numFmt w:val="upperLetter"/>
      <w:start w:val="2"/>
    </w:lvl>
  </w:abstractNum>
  <w:abstractNum w:abstractNumId="269">
    <w:nsid w:val="680EA5D1"/>
    <w:multiLevelType w:val="hybridMultilevel"/>
    <w:lvl w:ilvl="0">
      <w:lvlJc w:val="left"/>
      <w:lvlText w:val="(%1)"/>
      <w:numFmt w:val="lowerRoman"/>
      <w:start w:val="4"/>
    </w:lvl>
    <w:lvl w:ilvl="1">
      <w:lvlJc w:val="left"/>
      <w:lvlText w:val="%2"/>
      <w:numFmt w:val="upperLetter"/>
      <w:start w:val="1"/>
    </w:lvl>
  </w:abstractNum>
  <w:abstractNum w:abstractNumId="270">
    <w:nsid w:val="4A9554FE"/>
    <w:multiLevelType w:val="hybridMultilevel"/>
    <w:lvl w:ilvl="0">
      <w:lvlJc w:val="left"/>
      <w:lvlText w:val="(%1)"/>
      <w:numFmt w:val="lowerLetter"/>
      <w:start w:val="3"/>
    </w:lvl>
  </w:abstractNum>
  <w:abstractNum w:abstractNumId="271">
    <w:nsid w:val="392EDBE4"/>
    <w:multiLevelType w:val="hybridMultilevel"/>
    <w:lvl w:ilvl="0">
      <w:lvlJc w:val="left"/>
      <w:lvlText w:val="(%1)"/>
      <w:numFmt w:val="lowerLetter"/>
      <w:start w:val="4"/>
    </w:lvl>
  </w:abstractNum>
  <w:abstractNum w:abstractNumId="272">
    <w:nsid w:val="3D1A2DD9"/>
    <w:multiLevelType w:val="hybridMultilevel"/>
    <w:lvl w:ilvl="0">
      <w:lvlJc w:val="left"/>
      <w:lvlText w:val="(%1)"/>
      <w:numFmt w:val="lowerLetter"/>
      <w:start w:val="6"/>
    </w:lvl>
  </w:abstractNum>
  <w:abstractNum w:abstractNumId="273">
    <w:nsid w:val="7F618FCD"/>
    <w:multiLevelType w:val="hybridMultilevel"/>
    <w:lvl w:ilvl="0">
      <w:lvlJc w:val="left"/>
      <w:lvlText w:val="(%1)"/>
      <w:numFmt w:val="lowerLetter"/>
      <w:start w:val="1"/>
    </w:lvl>
  </w:abstractNum>
  <w:abstractNum w:abstractNumId="274">
    <w:nsid w:val="7843E45"/>
    <w:multiLevelType w:val="hybridMultilevel"/>
    <w:lvl w:ilvl="0">
      <w:lvlJc w:val="left"/>
      <w:lvlText w:val="(%1)"/>
      <w:numFmt w:val="lowerLetter"/>
      <w:start w:val="2"/>
    </w:lvl>
  </w:abstractNum>
  <w:abstractNum w:abstractNumId="275">
    <w:nsid w:val="9815DA3"/>
    <w:multiLevelType w:val="hybridMultilevel"/>
    <w:lvl w:ilvl="0">
      <w:lvlJc w:val="left"/>
      <w:lvlText w:val="(%1)"/>
      <w:numFmt w:val="lowerLetter"/>
      <w:start w:val="1"/>
    </w:lvl>
    <w:lvl w:ilvl="1">
      <w:lvlJc w:val="left"/>
      <w:lvlText w:val="(%2)"/>
      <w:numFmt w:val="lowerRoman"/>
      <w:start w:val="1"/>
    </w:lvl>
  </w:abstractNum>
  <w:abstractNum w:abstractNumId="276">
    <w:nsid w:val="5204A191"/>
    <w:multiLevelType w:val="hybridMultilevel"/>
    <w:lvl w:ilvl="0">
      <w:lvlJc w:val="left"/>
      <w:lvlText w:val="(%1)"/>
      <w:numFmt w:val="lowerLetter"/>
      <w:start w:val="1"/>
    </w:lvl>
  </w:abstractNum>
  <w:abstractNum w:abstractNumId="277">
    <w:nsid w:val="4C73A9C6"/>
    <w:multiLevelType w:val="hybridMultilevel"/>
    <w:lvl w:ilvl="0">
      <w:lvlJc w:val="left"/>
      <w:lvlText w:val="(%1)"/>
      <w:numFmt w:val="lowerRoman"/>
      <w:start w:val="1"/>
    </w:lvl>
  </w:abstractNum>
  <w:abstractNum w:abstractNumId="278">
    <w:nsid w:val="1C7E3C01"/>
    <w:multiLevelType w:val="hybridMultilevel"/>
    <w:lvl w:ilvl="0">
      <w:lvlJc w:val="left"/>
      <w:lvlText w:val="(%1)"/>
      <w:numFmt w:val="lowerLetter"/>
      <w:start w:val="1"/>
    </w:lvl>
  </w:abstractNum>
  <w:abstractNum w:abstractNumId="279">
    <w:nsid w:val="1C2201FF"/>
    <w:multiLevelType w:val="hybridMultilevel"/>
    <w:lvl w:ilvl="0">
      <w:lvlJc w:val="left"/>
      <w:lvlText w:val="(%1)"/>
      <w:numFmt w:val="lowerLetter"/>
      <w:start w:val="2"/>
    </w:lvl>
  </w:abstractNum>
  <w:abstractNum w:abstractNumId="280">
    <w:nsid w:val="50ABCEC9"/>
    <w:multiLevelType w:val="hybridMultilevel"/>
    <w:lvl w:ilvl="0">
      <w:lvlJc w:val="left"/>
      <w:lvlText w:val="(%1)"/>
      <w:numFmt w:val="lowerLetter"/>
      <w:start w:val="1"/>
    </w:lvl>
  </w:abstractNum>
  <w:abstractNum w:abstractNumId="281">
    <w:nsid w:val="7635AA2A"/>
    <w:multiLevelType w:val="hybridMultilevel"/>
    <w:lvl w:ilvl="0">
      <w:lvlJc w:val="left"/>
      <w:lvlText w:val="(%1)"/>
      <w:numFmt w:val="lowerLetter"/>
      <w:start w:val="3"/>
    </w:lvl>
  </w:abstractNum>
  <w:abstractNum w:abstractNumId="282">
    <w:nsid w:val="5E74C4D9"/>
    <w:multiLevelType w:val="hybridMultilevel"/>
    <w:lvl w:ilvl="0">
      <w:lvlJc w:val="left"/>
      <w:lvlText w:val="(%1)"/>
      <w:numFmt w:val="lowerLetter"/>
      <w:start w:val="1"/>
    </w:lvl>
  </w:abstractNum>
  <w:abstractNum w:abstractNumId="283">
    <w:nsid w:val="3B3EBE15"/>
    <w:multiLevelType w:val="hybridMultilevel"/>
    <w:lvl w:ilvl="0">
      <w:lvlJc w:val="left"/>
      <w:lvlText w:val="(%1)"/>
      <w:numFmt w:val="lowerLetter"/>
      <w:start w:val="2"/>
    </w:lvl>
  </w:abstractNum>
  <w:abstractNum w:abstractNumId="284">
    <w:nsid w:val="3822CB01"/>
    <w:multiLevelType w:val="hybridMultilevel"/>
    <w:lvl w:ilvl="0">
      <w:lvlJc w:val="left"/>
      <w:lvlText w:val="(%1)"/>
      <w:numFmt w:val="lowerLetter"/>
      <w:start w:val="1"/>
    </w:lvl>
  </w:abstractNum>
  <w:abstractNum w:abstractNumId="285">
    <w:nsid w:val="6CE00443"/>
    <w:multiLevelType w:val="hybridMultilevel"/>
    <w:lvl w:ilvl="0">
      <w:lvlJc w:val="left"/>
      <w:lvlText w:val="(%1)"/>
      <w:numFmt w:val="lowerLetter"/>
      <w:start w:val="3"/>
    </w:lvl>
  </w:abstractNum>
  <w:abstractNum w:abstractNumId="286">
    <w:nsid w:val="79F0D62F"/>
    <w:multiLevelType w:val="hybridMultilevel"/>
    <w:lvl w:ilvl="0">
      <w:lvlJc w:val="left"/>
      <w:lvlText w:val="(%1)"/>
      <w:numFmt w:val="lowerLetter"/>
      <w:start w:val="1"/>
    </w:lvl>
  </w:abstractNum>
  <w:abstractNum w:abstractNumId="287">
    <w:nsid w:val="7975E8EE"/>
    <w:multiLevelType w:val="hybridMultilevel"/>
    <w:lvl w:ilvl="0">
      <w:lvlJc w:val="left"/>
      <w:lvlText w:val="(%1)"/>
      <w:numFmt w:val="lowerLetter"/>
      <w:start w:val="3"/>
    </w:lvl>
  </w:abstractNum>
  <w:abstractNum w:abstractNumId="288">
    <w:nsid w:val="73154115"/>
    <w:multiLevelType w:val="hybridMultilevel"/>
    <w:lvl w:ilvl="0">
      <w:lvlJc w:val="left"/>
      <w:lvlText w:val="(%1)"/>
      <w:numFmt w:val="lowerLetter"/>
      <w:start w:val="1"/>
    </w:lvl>
    <w:lvl w:ilvl="1">
      <w:lvlJc w:val="left"/>
      <w:lvlText w:val="(%2)"/>
      <w:numFmt w:val="lowerRoman"/>
      <w:start w:val="1"/>
    </w:lvl>
  </w:abstractNum>
  <w:abstractNum w:abstractNumId="289">
    <w:nsid w:val="622D8102"/>
    <w:multiLevelType w:val="hybridMultilevel"/>
    <w:lvl w:ilvl="0">
      <w:lvlJc w:val="left"/>
      <w:lvlText w:val="%1"/>
      <w:numFmt w:val="lowerLetter"/>
      <w:start w:val="1"/>
    </w:lvl>
    <w:lvl w:ilvl="1">
      <w:lvlJc w:val="left"/>
      <w:lvlText w:val="(%2)"/>
      <w:numFmt w:val="lowerRoman"/>
      <w:start w:val="4"/>
    </w:lvl>
  </w:abstractNum>
  <w:abstractNum w:abstractNumId="290">
    <w:nsid w:val="2AB26587"/>
    <w:multiLevelType w:val="hybridMultilevel"/>
    <w:lvl w:ilvl="0">
      <w:lvlJc w:val="left"/>
      <w:lvlText w:val="(%1)"/>
      <w:numFmt w:val="lowerLetter"/>
      <w:start w:val="2"/>
    </w:lvl>
    <w:lvl w:ilvl="1">
      <w:lvlJc w:val="left"/>
      <w:lvlText w:val="%2"/>
      <w:numFmt w:val="lowerRoman"/>
      <w:start w:val="1"/>
    </w:lvl>
  </w:abstractNum>
  <w:abstractNum w:abstractNumId="291">
    <w:nsid w:val="44B3FA61"/>
    <w:multiLevelType w:val="hybridMultilevel"/>
    <w:lvl w:ilvl="0">
      <w:lvlJc w:val="left"/>
      <w:lvlText w:val="(%1)"/>
      <w:numFmt w:val="lowerLetter"/>
      <w:start w:val="4"/>
    </w:lvl>
  </w:abstractNum>
  <w:abstractNum w:abstractNumId="292">
    <w:nsid w:val="1C0CA67C"/>
    <w:multiLevelType w:val="hybridMultilevel"/>
    <w:lvl w:ilvl="0">
      <w:lvlJc w:val="left"/>
      <w:lvlText w:val="(%1)"/>
      <w:numFmt w:val="lowerLetter"/>
      <w:start w:val="1"/>
    </w:lvl>
  </w:abstractNum>
  <w:abstractNum w:abstractNumId="293">
    <w:nsid w:val="3D206613"/>
    <w:multiLevelType w:val="hybridMultilevel"/>
    <w:lvl w:ilvl="0">
      <w:lvlJc w:val="left"/>
      <w:lvlText w:val="(%1)"/>
      <w:numFmt w:val="lowerLetter"/>
      <w:start w:val="3"/>
    </w:lvl>
  </w:abstractNum>
  <w:abstractNum w:abstractNumId="294">
    <w:nsid w:val="7993B662"/>
    <w:multiLevelType w:val="hybridMultilevel"/>
    <w:lvl w:ilvl="0">
      <w:lvlJc w:val="left"/>
      <w:lvlText w:val="(%1)"/>
      <w:numFmt w:val="lowerLetter"/>
      <w:start w:val="1"/>
    </w:lvl>
  </w:abstractNum>
  <w:abstractNum w:abstractNumId="295">
    <w:nsid w:val="3BAB699E"/>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2025-11-24T16:47:47Z</dcterms:created>
  <dcterms:modified xsi:type="dcterms:W3CDTF">2025-11-24T16:47:47Z</dcterms:modified>
</cp:coreProperties>
</file>