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26, 2025</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45"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1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February 26, 2025, Graham Holdings Company issued a press release announcing the Company’s earnings for the fourth quarter and year ended December 31, 2024. A copy of this press release is furnished with this report as an exhibit to this Form 8-K.</w:t>
      </w:r>
    </w:p>
    <w:p>
      <w:pPr>
        <w:spacing w:after="0" w:line="200" w:lineRule="exact"/>
        <w:rPr>
          <w:sz w:val="20"/>
          <w:szCs w:val="20"/>
          <w:color w:val="auto"/>
        </w:rPr>
      </w:pPr>
    </w:p>
    <w:p>
      <w:pPr>
        <w:spacing w:after="0" w:line="2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u w:val="single" w:color="auto"/>
          <w:color w:val="0000FF"/>
        </w:rPr>
        <w:t>Graham Holdings Company Earnings Release dated February 26, 2025</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February 26, 2025</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829310</wp:posOffset>
            </wp:positionV>
            <wp:extent cx="7089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380" w:type="dxa"/>
            <w:vAlign w:val="bottom"/>
            <w:gridSpan w:val="2"/>
          </w:tcPr>
          <w:p>
            <w:pPr>
              <w:ind w:left="1380"/>
              <w:spacing w:after="0"/>
              <w:rPr>
                <w:sz w:val="20"/>
                <w:szCs w:val="20"/>
                <w:color w:val="auto"/>
              </w:rPr>
            </w:pPr>
            <w:r>
              <w:rPr>
                <w:rFonts w:ascii="Arial" w:cs="Arial" w:eastAsia="Arial" w:hAnsi="Arial"/>
                <w:sz w:val="18"/>
                <w:szCs w:val="18"/>
                <w:b w:val="1"/>
                <w:bCs w:val="1"/>
                <w:color w:val="auto"/>
                <w:w w:val="97"/>
              </w:rPr>
              <w:t>Exhibit 99.1</w:t>
            </w:r>
          </w:p>
        </w:tc>
      </w:tr>
      <w:tr>
        <w:trPr>
          <w:trHeight w:val="420"/>
        </w:trPr>
        <w:tc>
          <w:tcPr>
            <w:tcW w:w="940" w:type="dxa"/>
            <w:vAlign w:val="bottom"/>
          </w:tcPr>
          <w:p>
            <w:pPr>
              <w:spacing w:after="0"/>
              <w:rPr>
                <w:sz w:val="20"/>
                <w:szCs w:val="20"/>
                <w:color w:val="auto"/>
              </w:rPr>
            </w:pPr>
            <w:r>
              <w:rPr>
                <w:rFonts w:ascii="Arial" w:cs="Arial" w:eastAsia="Arial" w:hAnsi="Arial"/>
                <w:sz w:val="18"/>
                <w:szCs w:val="18"/>
                <w:color w:val="auto"/>
              </w:rPr>
              <w:t>Contact:</w:t>
            </w:r>
          </w:p>
        </w:tc>
        <w:tc>
          <w:tcPr>
            <w:tcW w:w="2420" w:type="dxa"/>
            <w:vAlign w:val="bottom"/>
          </w:tcPr>
          <w:p>
            <w:pPr>
              <w:ind w:left="280"/>
              <w:spacing w:after="0"/>
              <w:rPr>
                <w:sz w:val="20"/>
                <w:szCs w:val="20"/>
                <w:color w:val="auto"/>
              </w:rPr>
            </w:pPr>
            <w:r>
              <w:rPr>
                <w:rFonts w:ascii="Arial" w:cs="Arial" w:eastAsia="Arial" w:hAnsi="Arial"/>
                <w:sz w:val="18"/>
                <w:szCs w:val="18"/>
                <w:color w:val="auto"/>
              </w:rPr>
              <w:t>Wallace R. Cooney</w:t>
            </w:r>
          </w:p>
        </w:tc>
        <w:tc>
          <w:tcPr>
            <w:tcW w:w="5480" w:type="dxa"/>
            <w:vAlign w:val="bottom"/>
          </w:tcPr>
          <w:p>
            <w:pPr>
              <w:spacing w:after="0"/>
              <w:rPr>
                <w:sz w:val="24"/>
                <w:szCs w:val="24"/>
                <w:color w:val="auto"/>
              </w:rPr>
            </w:pPr>
          </w:p>
        </w:tc>
        <w:tc>
          <w:tcPr>
            <w:tcW w:w="2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For Immediate Release</w:t>
            </w:r>
          </w:p>
        </w:tc>
      </w:tr>
      <w:tr>
        <w:trPr>
          <w:trHeight w:val="254"/>
        </w:trPr>
        <w:tc>
          <w:tcPr>
            <w:tcW w:w="940" w:type="dxa"/>
            <w:vAlign w:val="bottom"/>
          </w:tcPr>
          <w:p>
            <w:pPr>
              <w:spacing w:after="0"/>
              <w:rPr>
                <w:sz w:val="22"/>
                <w:szCs w:val="22"/>
                <w:color w:val="auto"/>
              </w:rPr>
            </w:pPr>
          </w:p>
        </w:tc>
        <w:tc>
          <w:tcPr>
            <w:tcW w:w="2420" w:type="dxa"/>
            <w:vAlign w:val="bottom"/>
          </w:tcPr>
          <w:p>
            <w:pPr>
              <w:ind w:left="280"/>
              <w:spacing w:after="0"/>
              <w:rPr>
                <w:sz w:val="20"/>
                <w:szCs w:val="20"/>
                <w:color w:val="auto"/>
              </w:rPr>
            </w:pPr>
            <w:r>
              <w:rPr>
                <w:rFonts w:ascii="Arial" w:cs="Arial" w:eastAsia="Arial" w:hAnsi="Arial"/>
                <w:sz w:val="18"/>
                <w:szCs w:val="18"/>
                <w:color w:val="auto"/>
              </w:rPr>
              <w:t>(703) 345-6470</w:t>
            </w:r>
          </w:p>
        </w:tc>
        <w:tc>
          <w:tcPr>
            <w:tcW w:w="5480" w:type="dxa"/>
            <w:vAlign w:val="bottom"/>
          </w:tcPr>
          <w:p>
            <w:pPr>
              <w:spacing w:after="0"/>
              <w:rPr>
                <w:sz w:val="22"/>
                <w:szCs w:val="22"/>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February 26, 2025</w:t>
            </w:r>
          </w:p>
        </w:tc>
        <w:tc>
          <w:tcPr>
            <w:tcW w:w="520" w:type="dxa"/>
            <w:vAlign w:val="bottom"/>
          </w:tcPr>
          <w:p>
            <w:pPr>
              <w:spacing w:after="0"/>
              <w:rPr>
                <w:sz w:val="22"/>
                <w:szCs w:val="22"/>
                <w:color w:val="auto"/>
              </w:rPr>
            </w:pPr>
          </w:p>
        </w:tc>
      </w:tr>
      <w:tr>
        <w:trPr>
          <w:trHeight w:val="423"/>
        </w:trPr>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60" w:type="dxa"/>
            <w:vAlign w:val="bottom"/>
            <w:gridSpan w:val="3"/>
          </w:tcPr>
          <w:p>
            <w:pPr>
              <w:jc w:val="center"/>
              <w:ind w:right="2980"/>
              <w:spacing w:after="0"/>
              <w:rPr>
                <w:sz w:val="20"/>
                <w:szCs w:val="20"/>
                <w:color w:val="auto"/>
              </w:rPr>
            </w:pPr>
            <w:r>
              <w:rPr>
                <w:rFonts w:ascii="Arial" w:cs="Arial" w:eastAsia="Arial" w:hAnsi="Arial"/>
                <w:sz w:val="18"/>
                <w:szCs w:val="18"/>
                <w:color w:val="auto"/>
                <w:w w:val="99"/>
              </w:rPr>
              <w:t>GRAHAM HOLDINGS COMPANY REPORTS</w:t>
            </w:r>
          </w:p>
        </w:tc>
      </w:tr>
      <w:tr>
        <w:trPr>
          <w:trHeight w:val="239"/>
        </w:trPr>
        <w:tc>
          <w:tcPr>
            <w:tcW w:w="9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860" w:type="dxa"/>
            <w:vAlign w:val="bottom"/>
            <w:gridSpan w:val="3"/>
          </w:tcPr>
          <w:p>
            <w:pPr>
              <w:jc w:val="center"/>
              <w:ind w:right="3000"/>
              <w:spacing w:after="0"/>
              <w:rPr>
                <w:sz w:val="20"/>
                <w:szCs w:val="20"/>
                <w:color w:val="auto"/>
              </w:rPr>
            </w:pPr>
            <w:r>
              <w:rPr>
                <w:rFonts w:ascii="Arial" w:cs="Arial" w:eastAsia="Arial" w:hAnsi="Arial"/>
                <w:sz w:val="18"/>
                <w:szCs w:val="18"/>
                <w:color w:val="auto"/>
                <w:w w:val="99"/>
              </w:rPr>
              <w:t>2024 AND FOURTH QUARTER EARNINGS</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its financial results for the fourth quarter and full year of 2024.</w:t>
      </w:r>
    </w:p>
    <w:p>
      <w:pPr>
        <w:spacing w:after="0"/>
        <w:rPr>
          <w:sz w:val="20"/>
          <w:szCs w:val="20"/>
          <w:color w:val="auto"/>
        </w:rPr>
      </w:pPr>
      <w:r>
        <w:rPr>
          <w:rFonts w:ascii="Arial" w:cs="Arial" w:eastAsia="Arial" w:hAnsi="Arial"/>
          <w:sz w:val="18"/>
          <w:szCs w:val="18"/>
          <w:color w:val="auto"/>
        </w:rPr>
        <w:t>The Company also filed its Form 10-K today for the year ended December 31, 2024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 xml:space="preserve">Revenue for 2024 was $4,790.9 million, up 9% from $ 4,414.9 million in 2023. Revenues increased at education, </w:t>
      </w:r>
      <w:r>
        <w:rPr>
          <w:rFonts w:ascii="Times New Roman" w:cs="Times New Roman" w:eastAsia="Times New Roman" w:hAnsi="Times New Roman"/>
          <w:sz w:val="18"/>
          <w:szCs w:val="18"/>
          <w:color w:val="auto"/>
        </w:rPr>
        <w:t>t</w:t>
      </w:r>
      <w:r>
        <w:rPr>
          <w:rFonts w:ascii="Arial" w:cs="Arial" w:eastAsia="Arial" w:hAnsi="Arial"/>
          <w:sz w:val="18"/>
          <w:szCs w:val="18"/>
          <w:color w:val="auto"/>
        </w:rPr>
        <w:t>elevision broadcasting, healthcare and automotive, partially offset by declines at manufacturing and other businesses. The Company reported operating income for</w:t>
      </w:r>
    </w:p>
    <w:p>
      <w:pPr>
        <w:spacing w:after="0" w:line="236" w:lineRule="auto"/>
        <w:rPr>
          <w:sz w:val="20"/>
          <w:szCs w:val="20"/>
          <w:color w:val="auto"/>
        </w:rPr>
      </w:pPr>
      <w:r>
        <w:rPr>
          <w:rFonts w:ascii="Arial" w:cs="Arial" w:eastAsia="Arial" w:hAnsi="Arial"/>
          <w:sz w:val="18"/>
          <w:szCs w:val="18"/>
          <w:color w:val="auto"/>
        </w:rPr>
        <w:t>2024 of $215.5 million, compared to $69.4 million in 2023. Excluding goodwill and other long-lived asset impairment charges, the</w:t>
      </w:r>
    </w:p>
    <w:p>
      <w:pPr>
        <w:spacing w:after="0" w:line="1" w:lineRule="exact"/>
        <w:rPr>
          <w:sz w:val="20"/>
          <w:szCs w:val="20"/>
          <w:color w:val="auto"/>
        </w:rPr>
      </w:pPr>
    </w:p>
    <w:p>
      <w:pPr>
        <w:ind w:right="340"/>
        <w:spacing w:after="0"/>
        <w:rPr>
          <w:sz w:val="20"/>
          <w:szCs w:val="20"/>
          <w:color w:val="auto"/>
        </w:rPr>
      </w:pPr>
      <w:r>
        <w:rPr>
          <w:rFonts w:ascii="Arial" w:cs="Arial" w:eastAsia="Arial" w:hAnsi="Arial"/>
          <w:sz w:val="17"/>
          <w:szCs w:val="17"/>
          <w:color w:val="auto"/>
        </w:rPr>
        <w:t>improvement in operating results is due to increases at education, television broadcasting and healthcare, partially offset by declines at manufacturing and automotive. The Company reported adjusted operating cash flow (non-GAAP) for 2024 of $447.0 million, compared to</w:t>
      </w:r>
    </w:p>
    <w:p>
      <w:pPr>
        <w:spacing w:after="0" w:line="235" w:lineRule="auto"/>
        <w:rPr>
          <w:sz w:val="20"/>
          <w:szCs w:val="20"/>
          <w:color w:val="auto"/>
        </w:rPr>
      </w:pPr>
      <w:r>
        <w:rPr>
          <w:rFonts w:ascii="Arial" w:cs="Arial" w:eastAsia="Arial" w:hAnsi="Arial"/>
          <w:sz w:val="18"/>
          <w:szCs w:val="18"/>
          <w:color w:val="auto"/>
        </w:rPr>
        <w:t>$338.3 million in 2023. Adjusted operating cash flow increased at education, television broadcasting, healthcare, automotive and other</w:t>
      </w:r>
    </w:p>
    <w:p>
      <w:pPr>
        <w:ind w:right="260"/>
        <w:spacing w:after="0" w:line="237" w:lineRule="auto"/>
        <w:rPr>
          <w:sz w:val="20"/>
          <w:szCs w:val="20"/>
          <w:color w:val="auto"/>
        </w:rPr>
      </w:pPr>
      <w:r>
        <w:rPr>
          <w:rFonts w:ascii="Arial" w:cs="Arial" w:eastAsia="Arial" w:hAnsi="Arial"/>
          <w:sz w:val="18"/>
          <w:szCs w:val="18"/>
          <w:color w:val="auto"/>
        </w:rPr>
        <w:t>businesses, partially offset by a decline at manufacturing. Capital expenditures totaled $93.1 million and $107.3 million for 2024 and 2023,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2024, revenue was $1,245.8 million, up 7% from $1,166.8 million in 2023. Revenues increased at education,</w:t>
      </w:r>
    </w:p>
    <w:p>
      <w:pPr>
        <w:spacing w:after="0" w:line="1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television broadcasting, healthcare and other businesses, partially offset by declines at manufacturing and automotive. The Company reported operating income of $72.5 million in the fourth quarter of 2024, compared to $40.8 million in 2023. The increase in operating results</w:t>
      </w:r>
    </w:p>
    <w:p>
      <w:pPr>
        <w:spacing w:after="0" w:line="236" w:lineRule="auto"/>
        <w:rPr>
          <w:sz w:val="20"/>
          <w:szCs w:val="20"/>
          <w:color w:val="auto"/>
        </w:rPr>
      </w:pPr>
      <w:r>
        <w:rPr>
          <w:rFonts w:ascii="Arial" w:cs="Arial" w:eastAsia="Arial" w:hAnsi="Arial"/>
          <w:sz w:val="18"/>
          <w:szCs w:val="18"/>
          <w:color w:val="auto"/>
        </w:rPr>
        <w:t>is due to increases at television broadcasting, manufacturing, healthcare and other business, partially offset by a decline at education, due to</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a fourth quarter long-lived asset impairment charge of $22.9 million, and a decline at automotive. The Company reported adjusted operating cash flow (non-GAAP) for the fourth quarter of 2024 of $139.6 million, compared to $83.0 million in 2023. Adjusted operating cash flow</w:t>
      </w:r>
    </w:p>
    <w:p>
      <w:pPr>
        <w:spacing w:after="0" w:line="221" w:lineRule="auto"/>
        <w:rPr>
          <w:sz w:val="20"/>
          <w:szCs w:val="20"/>
          <w:color w:val="auto"/>
        </w:rPr>
      </w:pPr>
      <w:r>
        <w:rPr>
          <w:rFonts w:ascii="Arial" w:cs="Arial" w:eastAsia="Arial" w:hAnsi="Arial"/>
          <w:sz w:val="18"/>
          <w:szCs w:val="18"/>
          <w:color w:val="auto"/>
        </w:rPr>
        <w:t>increased at education, television broadcasting, manufacturing, healthcare and other businesses, partially offset by a decline at automotive.</w:t>
      </w:r>
    </w:p>
    <w:p>
      <w:pPr>
        <w:spacing w:after="0"/>
        <w:rPr>
          <w:sz w:val="20"/>
          <w:szCs w:val="20"/>
          <w:color w:val="auto"/>
        </w:rPr>
      </w:pPr>
      <w:r>
        <w:rPr>
          <w:rFonts w:ascii="Arial" w:cs="Arial" w:eastAsia="Arial" w:hAnsi="Arial"/>
          <w:sz w:val="18"/>
          <w:szCs w:val="18"/>
          <w:color w:val="auto"/>
        </w:rPr>
        <w:t>Capital expenditures totaled $27.1 million and $35.7 million for the fourth quarter of 2024 and 2023,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Dispositions of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business acquisitions or dispositions during the fourth quarter of 2024.</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2024, the Company had $748.2 million in borrowings outstanding at an average interest rate of 6.0%, including $62.8</w:t>
      </w:r>
    </w:p>
    <w:p>
      <w:pPr>
        <w:spacing w:after="0" w:line="1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million outstanding on its $300 million revolving credit facility. Cash, marketable equity securities and other investments totaled $1,156.6 million at December 31,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2023, the Company had $811.8 million in borrowings outstanding at an average interest rate of 6.4%, including $97.9</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million outstanding on its $300 million revolving credit facility. Cash, marketable equity securities and other investments totaled $898.9 million at December 31, 2023.</w:t>
      </w:r>
    </w:p>
    <w:p>
      <w:pPr>
        <w:spacing w:after="0" w:line="127"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Company recognized $27.0 million and $24.6 million in net gains on marketable equity securities in the fourth quarter of 2024 and 2023, respectively.</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of 2024, the Company purchased a total of 19,672 shares of its Class B common stock at a cost of $15.9 million. At</w:t>
      </w:r>
    </w:p>
    <w:p>
      <w:pPr>
        <w:spacing w:after="0" w:line="14" w:lineRule="exact"/>
        <w:rPr>
          <w:sz w:val="20"/>
          <w:szCs w:val="20"/>
          <w:color w:val="auto"/>
        </w:rPr>
      </w:pPr>
    </w:p>
    <w:p>
      <w:pPr>
        <w:jc w:val="both"/>
        <w:ind w:right="200"/>
        <w:spacing w:after="0" w:line="226" w:lineRule="auto"/>
        <w:rPr>
          <w:sz w:val="20"/>
          <w:szCs w:val="20"/>
          <w:color w:val="auto"/>
        </w:rPr>
      </w:pPr>
      <w:r>
        <w:rPr>
          <w:rFonts w:ascii="Arial" w:cs="Arial" w:eastAsia="Arial" w:hAnsi="Arial"/>
          <w:sz w:val="18"/>
          <w:szCs w:val="18"/>
          <w:color w:val="auto"/>
        </w:rPr>
        <w:t>December 31, 2024, there were 4,332,307 shares outstanding. On September 12, 2024, the Board of Directors authorized the Company to acquire up to 500,000 shares of Class B common stock; the Company has remaining authorization for 466,460 shares as of December 31,</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Plan</w:t>
      </w:r>
    </w:p>
    <w:p>
      <w:pPr>
        <w:spacing w:after="0" w:line="14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At December 31, 2024, the Company had a pension surplus of $2,510.5 million, reported in the Company’s Consolidated Balance Sheet as Prepaid Pension Cost, an increase from $2,113.6 million at December 31, 2023.</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In the fourth quarter of 2024, the Company purchased an irrevocable group annuity contract from an insurance company for $461.3 million to</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settle $457.9 million of the outstanding defined benefit obligation related to certain retirees and beneficiaries. The purchase of the group annuity contract was funded from the assets of the Company’s pension plan. As a result of this transaction, the Company was relieved of all</w:t>
      </w:r>
    </w:p>
    <w:p>
      <w:pPr>
        <w:spacing w:after="0" w:line="235" w:lineRule="auto"/>
        <w:rPr>
          <w:sz w:val="20"/>
          <w:szCs w:val="20"/>
          <w:color w:val="auto"/>
        </w:rPr>
      </w:pPr>
      <w:r>
        <w:rPr>
          <w:rFonts w:ascii="Arial" w:cs="Arial" w:eastAsia="Arial" w:hAnsi="Arial"/>
          <w:sz w:val="18"/>
          <w:szCs w:val="18"/>
          <w:color w:val="auto"/>
        </w:rPr>
        <w:t>responsibility for these pension obligations and the insurance company is now required to pay and administer the retirement benefits owed to</w:t>
      </w:r>
    </w:p>
    <w:p>
      <w:pPr>
        <w:ind w:right="260"/>
        <w:spacing w:after="0" w:line="237" w:lineRule="auto"/>
        <w:rPr>
          <w:sz w:val="20"/>
          <w:szCs w:val="20"/>
          <w:color w:val="auto"/>
        </w:rPr>
      </w:pPr>
      <w:r>
        <w:rPr>
          <w:rFonts w:ascii="Arial" w:cs="Arial" w:eastAsia="Arial" w:hAnsi="Arial"/>
          <w:sz w:val="18"/>
          <w:szCs w:val="18"/>
          <w:color w:val="auto"/>
        </w:rPr>
        <w:t>approximately 1,850 retirees and beneficiaries, with no change to the amount, timing or form of monthly retirement benefit payments. As a result, the Company recorded a one-time, pre-tax, noncash settlement gain of $653.4 million in the fourth quarter of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Mandatorily Redeemable Noncontrolling Interest and Subsequent Event</w:t>
      </w:r>
    </w:p>
    <w:p>
      <w:pPr>
        <w:spacing w:after="0" w:line="158" w:lineRule="exact"/>
        <w:rPr>
          <w:sz w:val="20"/>
          <w:szCs w:val="20"/>
          <w:color w:val="auto"/>
        </w:rPr>
      </w:pPr>
    </w:p>
    <w:p>
      <w:pPr>
        <w:ind w:right="520"/>
        <w:spacing w:after="0" w:line="251" w:lineRule="auto"/>
        <w:rPr>
          <w:sz w:val="20"/>
          <w:szCs w:val="20"/>
          <w:color w:val="auto"/>
        </w:rPr>
      </w:pPr>
      <w:r>
        <w:rPr>
          <w:rFonts w:ascii="Arial" w:cs="Arial" w:eastAsia="Arial" w:hAnsi="Arial"/>
          <w:sz w:val="17"/>
          <w:szCs w:val="17"/>
          <w:color w:val="auto"/>
        </w:rPr>
        <w:t>The Company recorded interest expense of $34.2 million and $119.3 million for the fourth quarter and year ended December 31, 2024, respectively, to adjust the fair value of the mandatorily redeemable noncontrolling interest at Graham Healthcare Group (GHG). The</w:t>
      </w:r>
    </w:p>
    <w:p>
      <w:pPr>
        <w:spacing w:after="0" w:line="1"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significant adjustment recorded in 2024 is largely related to a substantial increase in the estimated fair value of CSI Pharmacy Holding Company, LLC (CSI).</w:t>
      </w:r>
    </w:p>
    <w:p>
      <w:pPr>
        <w:spacing w:after="0" w:line="10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On February 25, 2025, the Company and a group of minority shareholders entered into an agreement to settle a significant portion of the mandatorily redeemable noncontrolling interest for a total of $205 million, which consists of approximately $186.25 million in cash and $18.75</w:t>
      </w:r>
    </w:p>
    <w:p>
      <w:pPr>
        <w:ind w:right="40"/>
        <w:spacing w:after="0" w:line="237" w:lineRule="auto"/>
        <w:rPr>
          <w:sz w:val="20"/>
          <w:szCs w:val="20"/>
          <w:color w:val="auto"/>
        </w:rPr>
      </w:pPr>
      <w:r>
        <w:rPr>
          <w:rFonts w:ascii="Arial" w:cs="Arial" w:eastAsia="Arial" w:hAnsi="Arial"/>
          <w:sz w:val="18"/>
          <w:szCs w:val="18"/>
          <w:color w:val="auto"/>
        </w:rPr>
        <w:t>million in Graham Holdings Company Class B common stock. Refer to Notes 2, 3, 11 and 12 in the Company’s 2024 10-K filing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58"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 xml:space="preserve">The Company reported net income attributable to common shares of $724.6 million ($163.40 per share) for the year ended December 31, 2024, compared to $205.3 million </w:t>
      </w:r>
      <w:r>
        <w:rPr>
          <w:rFonts w:ascii="Times New Roman" w:cs="Times New Roman" w:eastAsia="Times New Roman" w:hAnsi="Times New Roman"/>
          <w:sz w:val="18"/>
          <w:szCs w:val="18"/>
          <w:color w:val="auto"/>
        </w:rPr>
        <w:t>(</w:t>
      </w:r>
      <w:r>
        <w:rPr>
          <w:rFonts w:ascii="Arial" w:cs="Arial" w:eastAsia="Arial" w:hAnsi="Arial"/>
          <w:sz w:val="18"/>
          <w:szCs w:val="18"/>
          <w:color w:val="auto"/>
        </w:rPr>
        <w:t>$43.82 per share) for the year ended December 31, 2023. For the fourth quarter of 2024, the Company</w:t>
      </w:r>
    </w:p>
    <w:p>
      <w:pPr>
        <w:spacing w:after="0" w:line="2"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reported net income attributable to common shares of $548.8 million ($125.55 per share), compared to $53.3 million ($11.72 per share) for the fourth quarter of 2023.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2024 and 2023 were affected by a number of items as described in the Non-GAAP Financial Information schedule attached to</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this release. Excluding these items, net income attributable to common shares was $282.2 million ($63.63 per share) for 2024, compared to $200.5 million ($42.78 per share) for 2023. Excluding these items, net income attributable to common shares was $98.7 million ($22.58 per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 for the fourth quarter of 2024, compared to $49.7 million ($10.94 per share) for the fourth quarter of 2023.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 * * * * * * *</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Commentary on Fourth Quarter 2024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2024, education division revenue totaled $408.2 million, up 3% from $395.5 million for the same period of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Kaplan reported operating income for the fourth quarter of 2024 of $0.1 million, compared to $21.5 million in the fourth quarter of 2023.</w:t>
      </w:r>
    </w:p>
    <w:p>
      <w:pPr>
        <w:spacing w:after="0"/>
        <w:rPr>
          <w:sz w:val="20"/>
          <w:szCs w:val="20"/>
          <w:color w:val="auto"/>
        </w:rPr>
      </w:pPr>
      <w:r>
        <w:rPr>
          <w:rFonts w:ascii="Arial" w:cs="Arial" w:eastAsia="Arial" w:hAnsi="Arial"/>
          <w:sz w:val="18"/>
          <w:szCs w:val="18"/>
          <w:color w:val="auto"/>
        </w:rPr>
        <w:t>Excluding a long-lived asset impairment charge recorded in the fourth quarter of 2024, operating income increased.</w:t>
      </w:r>
    </w:p>
    <w:p>
      <w:pPr>
        <w:spacing w:after="0" w:line="126"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Kaplan International revenue increased 3% in the fourth quarter of 2024 (1% on a constant currency basis). The increase is due largely to growth at Pathways and UK Professional, partially offset by lower revenue at Australia. Kaplan International reported operating income of</w:t>
      </w:r>
    </w:p>
    <w:p>
      <w:pPr>
        <w:ind w:right="680"/>
        <w:spacing w:after="0" w:line="226" w:lineRule="auto"/>
        <w:rPr>
          <w:sz w:val="20"/>
          <w:szCs w:val="20"/>
          <w:color w:val="auto"/>
        </w:rPr>
      </w:pPr>
      <w:r>
        <w:rPr>
          <w:rFonts w:ascii="Arial" w:cs="Arial" w:eastAsia="Arial" w:hAnsi="Arial"/>
          <w:sz w:val="18"/>
          <w:szCs w:val="18"/>
          <w:color w:val="auto"/>
        </w:rPr>
        <w:t>$19.0 million for the fourth quarter of 2024, an 18% decline from $23.3 million in 2023. The decrease is due primarily to declines at Languages and Australia. Revenue and operating results at Australia declined in the fourth quarter of 2024 due to lower new student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enrollments at Kaplan Business School resulting from changes in student visa policies.</w:t>
      </w:r>
    </w:p>
    <w:p>
      <w:pPr>
        <w:spacing w:after="0" w:line="140"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Higher Education revenue in the fourth quarter of 2024 increased 2% compared to the same period of 2023. Kaplan recorded $14.6 million and $11.3 million in fees from Purdue Global in its Higher Education operating results for each of the fourth quarters of 2024 and 2023.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Higher education results improved in the fourth quarter of 2024 due to an increase in the Purdue Global fee recorded.</w:t>
      </w:r>
    </w:p>
    <w:p>
      <w:pPr>
        <w:spacing w:after="0" w:line="140"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Supplemental Education revenue increased 6% in the fourth quarter of 2024, driven mostly by growth in Legal assessment services, publishing, CFA, pre-college test preparation and securities licensure. Operating results were flat in the fourth quarter of 2024 compared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2023 due to revenue growth, offset by increased employee healthcare and pension expense.</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Kaplan corporate and other expenses decreased in the fourth quarter of 2024 due to lower incentive compensation expense compared to the fourth quarter of 2023.</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039" w:right="359" w:bottom="1440" w:gutter="0" w:footer="0" w:header="0"/>
        </w:sectPr>
      </w:pPr>
    </w:p>
    <w:bookmarkStart w:id="6" w:name="page7"/>
    <w:bookmarkEnd w:id="6"/>
    <w:p>
      <w:pPr>
        <w:ind w:right="960"/>
        <w:spacing w:after="0" w:line="271" w:lineRule="auto"/>
        <w:rPr>
          <w:sz w:val="20"/>
          <w:szCs w:val="20"/>
          <w:color w:val="auto"/>
        </w:rPr>
      </w:pPr>
      <w:r>
        <w:rPr>
          <w:rFonts w:ascii="Arial" w:cs="Arial" w:eastAsia="Arial" w:hAnsi="Arial"/>
          <w:sz w:val="18"/>
          <w:szCs w:val="18"/>
          <w:color w:val="auto"/>
        </w:rPr>
        <w:t>In the fourth quarter of 2024, Kaplan recorded an intangible asset impairment charge of $22.9 million related to one of the Kaplan International business units.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2024, revenue increased 30% to $161.7 million, from $124.6 million in 2023, due primarily to a $49.7 million increase</w:t>
      </w:r>
    </w:p>
    <w:p>
      <w:pPr>
        <w:spacing w:after="0" w:line="1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in political advertising revenue and an increase in digital advertising revenue, partially offset by a decline in local advertising revenue from fewer available advertising spots and lower demand, and a $1.9 million decrease in retransmission revenues</w:t>
      </w: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Operating income for the fourth</w:t>
      </w:r>
    </w:p>
    <w:p>
      <w:pPr>
        <w:spacing w:after="0" w:line="1"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quarter of 2024 improved 95% to $78.5 million, from $40.2 million in the same period of 2023, due to increased revenues and cost reductions from lower headcount, partially offset by increased pension expense.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decreased 9% in the fourth quarter of 2024 due to lower revenues at Hoover, partially offset by increased revenues</w:t>
      </w:r>
    </w:p>
    <w:p>
      <w:pPr>
        <w:spacing w:after="0" w:line="14"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at Dekko, Forney and Joyce. The revenue decline at Hoover is due largely to a decrease in overall product demand, particularly for multi-family housing. Revenues improved at Dekko due largely to growth in the commercial office electrical products and lighting sectors. In the</w:t>
      </w:r>
    </w:p>
    <w:p>
      <w:pPr>
        <w:spacing w:after="0" w:line="235" w:lineRule="auto"/>
        <w:rPr>
          <w:sz w:val="20"/>
          <w:szCs w:val="20"/>
          <w:color w:val="auto"/>
        </w:rPr>
      </w:pPr>
      <w:r>
        <w:rPr>
          <w:rFonts w:ascii="Arial" w:cs="Arial" w:eastAsia="Arial" w:hAnsi="Arial"/>
          <w:sz w:val="18"/>
          <w:szCs w:val="18"/>
          <w:color w:val="auto"/>
        </w:rPr>
        <w:t>fourth quarter of 2024, Hoover results included wood gains on inventory sales, compared to higher wood gains in the fourth quarter of 2023.</w:t>
      </w:r>
    </w:p>
    <w:p>
      <w:pPr>
        <w:ind w:right="300"/>
        <w:spacing w:after="0" w:line="237" w:lineRule="auto"/>
        <w:rPr>
          <w:sz w:val="20"/>
          <w:szCs w:val="20"/>
          <w:color w:val="auto"/>
        </w:rPr>
      </w:pPr>
      <w:r>
        <w:rPr>
          <w:rFonts w:ascii="Arial" w:cs="Arial" w:eastAsia="Arial" w:hAnsi="Arial"/>
          <w:sz w:val="18"/>
          <w:szCs w:val="18"/>
          <w:color w:val="auto"/>
        </w:rPr>
        <w:t>Operating results were up in the fourth quarter of 2024 due to improved results at Dekko, Joyce and Forney, partially offset by a decline in results at Hoover.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ind w:right="500"/>
        <w:spacing w:after="0" w:line="251" w:lineRule="auto"/>
        <w:rPr>
          <w:sz w:val="20"/>
          <w:szCs w:val="20"/>
          <w:color w:val="auto"/>
        </w:rPr>
      </w:pPr>
      <w:r>
        <w:rPr>
          <w:rFonts w:ascii="Arial" w:cs="Arial" w:eastAsia="Arial" w:hAnsi="Arial"/>
          <w:sz w:val="17"/>
          <w:szCs w:val="17"/>
          <w:color w:val="auto"/>
        </w:rPr>
        <w:t>Healthcare revenues increased 41% in the fourth quarter of 2024, largely due to significant growth at CSI from an expansion of infusion treatment offerings and patient service areas; revenue also grew in home health and hospice services and at the other healthcare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businesses.</w:t>
      </w:r>
    </w:p>
    <w:p>
      <w:pPr>
        <w:spacing w:after="0" w:line="126"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The increase in GHG operating results in the fourth quarter of 2024 is due to substantially higher operating results at CSI from significant revenue growth, along with improved results at home health and Surpass Behavioral Health, partially offset by increased pension expense.</w:t>
      </w:r>
    </w:p>
    <w:p>
      <w:pPr>
        <w:ind w:right="360"/>
        <w:spacing w:after="0" w:line="237" w:lineRule="auto"/>
        <w:rPr>
          <w:sz w:val="20"/>
          <w:szCs w:val="20"/>
          <w:color w:val="auto"/>
        </w:rPr>
      </w:pPr>
      <w:r>
        <w:rPr>
          <w:rFonts w:ascii="Arial" w:cs="Arial" w:eastAsia="Arial" w:hAnsi="Arial"/>
          <w:sz w:val="18"/>
          <w:szCs w:val="18"/>
          <w:color w:val="auto"/>
        </w:rPr>
        <w:t>Adjusted operating cash flow (non-GAAP) at GHG increased to $24.6 million in the fourth quarter of 2024, from $12.7 million in the fourth quarter of 2023.</w:t>
      </w:r>
    </w:p>
    <w:p>
      <w:pPr>
        <w:spacing w:after="0" w:line="127"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GHG recorded equity in earnings of $3.5 million and $3.1 million for the fourth quarter of 2024 and 2023, respectively, related to its interests in home health and hospice joint ventures.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fourth quarter of 2024 decreased 5% due to a decline in new and used vehicle sales and a decline in sales of finance and</w:t>
      </w:r>
    </w:p>
    <w:p>
      <w:pPr>
        <w:spacing w:after="0" w:line="14"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insurance product offerings, partially offset by the addition of the Kia dealership and sales growth for services and parts. Operating results for the fourth quarter of 2024 declined due to lower sales and overall gross margins on new vehicles and a decline in finance and insurance</w:t>
      </w:r>
    </w:p>
    <w:p>
      <w:pPr>
        <w:spacing w:after="0" w:line="2" w:lineRule="exact"/>
        <w:rPr>
          <w:sz w:val="20"/>
          <w:szCs w:val="20"/>
          <w:color w:val="auto"/>
        </w:rPr>
      </w:pPr>
    </w:p>
    <w:p>
      <w:pPr>
        <w:ind w:right="200"/>
        <w:spacing w:after="0" w:line="250" w:lineRule="auto"/>
        <w:rPr>
          <w:sz w:val="20"/>
          <w:szCs w:val="20"/>
          <w:color w:val="auto"/>
        </w:rPr>
      </w:pPr>
      <w:r>
        <w:rPr>
          <w:rFonts w:ascii="Arial" w:cs="Arial" w:eastAsia="Arial" w:hAnsi="Arial"/>
          <w:sz w:val="18"/>
          <w:szCs w:val="18"/>
          <w:color w:val="auto"/>
        </w:rPr>
        <w:t>product sales, partially offset by higher overall gross profit on services and parts, and higher overall gross profit and gross margins on used vehicles.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03"/>
        </w:trPr>
        <w:tc>
          <w:tcPr>
            <w:tcW w:w="8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242"/>
              <w:spacing w:after="0"/>
              <w:rPr>
                <w:sz w:val="20"/>
                <w:szCs w:val="20"/>
                <w:color w:val="auto"/>
              </w:rPr>
            </w:pPr>
            <w:r>
              <w:rPr>
                <w:rFonts w:ascii="Arial" w:cs="Arial" w:eastAsia="Arial" w:hAnsi="Arial"/>
                <w:sz w:val="14"/>
                <w:szCs w:val="14"/>
                <w:color w:val="auto"/>
              </w:rPr>
              <w:t>%</w:t>
            </w:r>
          </w:p>
        </w:tc>
      </w:tr>
      <w:tr>
        <w:trPr>
          <w:trHeight w:val="19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Change</w:t>
            </w:r>
          </w:p>
        </w:tc>
      </w:tr>
      <w:tr>
        <w:trPr>
          <w:trHeight w:val="20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8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
              <w:spacing w:after="0"/>
              <w:rPr>
                <w:sz w:val="20"/>
                <w:szCs w:val="20"/>
                <w:color w:val="auto"/>
              </w:rPr>
            </w:pPr>
            <w:r>
              <w:rPr>
                <w:rFonts w:ascii="Arial" w:cs="Arial" w:eastAsia="Arial" w:hAnsi="Arial"/>
                <w:sz w:val="16"/>
                <w:szCs w:val="16"/>
                <w:b w:val="1"/>
                <w:bCs w:val="1"/>
                <w:color w:val="auto"/>
              </w:rPr>
              <w:t>32,998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34,108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6"/>
        </w:trPr>
        <w:tc>
          <w:tcPr>
            <w:tcW w:w="8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b w:val="1"/>
                <w:bCs w:val="1"/>
                <w:color w:val="auto"/>
              </w:rPr>
              <w:t>22,916</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28,131</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7"/>
        </w:trPr>
        <w:tc>
          <w:tcPr>
            <w:tcW w:w="8240" w:type="dxa"/>
            <w:vAlign w:val="bottom"/>
          </w:tcPr>
          <w:p>
            <w:pPr>
              <w:ind w:left="140"/>
              <w:spacing w:after="0" w:line="227"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46,853</w:t>
            </w: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38,304</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22</w:t>
            </w:r>
          </w:p>
        </w:tc>
      </w:tr>
      <w:tr>
        <w:trPr>
          <w:trHeight w:val="210"/>
        </w:trPr>
        <w:tc>
          <w:tcPr>
            <w:tcW w:w="824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102,767</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100,543</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55" w:lineRule="exact"/>
        <w:rPr>
          <w:sz w:val="20"/>
          <w:szCs w:val="20"/>
          <w:color w:val="auto"/>
        </w:rPr>
      </w:pPr>
    </w:p>
    <w:p>
      <w:pPr>
        <w:ind w:left="360" w:hanging="334"/>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Society6 and Saatchi Art (formerly Leaf Marketplace) and Framebridge</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World of Good Brands (WGB) (formerly Leaf Media), Code3, Slate, Foreign Policy and City Cast</w:t>
      </w:r>
    </w:p>
    <w:p>
      <w:pPr>
        <w:spacing w:after="0" w:line="41" w:lineRule="exact"/>
        <w:rPr>
          <w:rFonts w:ascii="Arial" w:cs="Arial" w:eastAsia="Arial" w:hAnsi="Arial"/>
          <w:sz w:val="14"/>
          <w:szCs w:val="14"/>
          <w:color w:val="auto"/>
        </w:rPr>
      </w:pPr>
    </w:p>
    <w:p>
      <w:pPr>
        <w:ind w:left="360" w:hanging="334"/>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Clyde’s Restaurant Group, Decile and Supporting Cast</w:t>
      </w:r>
    </w:p>
    <w:p>
      <w:pPr>
        <w:spacing w:after="0" w:line="153"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Overall, revenue from other businesses increased 2% in the fourth quarter of 2024. Retail revenue declined largely due to significantly lower revenue at Society6, partially offset by revenue growth at Framebridge and Saatchi Art. Media revenue declined due to lower revenue at</w:t>
      </w: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WGB, Slate, Foreign Policy and Code3, partially offset by revenue growth at City Cast. Specialty revenue increased due to revenue growth at Clyde’s Restaurant Group (CRG), Decile and Supporting Cast.</w:t>
      </w:r>
    </w:p>
    <w:p>
      <w:pPr>
        <w:sectPr>
          <w:pgSz w:w="11900" w:h="16838" w:orient="portrait"/>
          <w:cols w:equalWidth="0" w:num="1">
            <w:col w:w="11240"/>
          </w:cols>
          <w:pgMar w:left="320" w:top="877"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877"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Operating results improved in the fourth quarter of 2024 due to a reduction in losses at WGB and Saatchi Art and improved results at CRG</w:t>
      </w:r>
    </w:p>
    <w:p>
      <w:pPr>
        <w:spacing w:after="0" w:line="1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and Slate, partially offset by increased losses at Society6 and City Cast, and a decline in results at Code3 and Foreign Policy. Adjusted operating cash flow losses (non-GAAP) at other businesses improved to $16.1 million in the fourth quarter of 2024, from $20.0 million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fourth quarter of 2023.</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fourth quarter of 2024, the Company offered Separation Incentive Programs (SIPs) to certain employees at WGB and Decile to reduce the number of employees; $0.3 million in related non-operating pension expense was recorded.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Losses of Affiliates</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Overall, the Company recorded equity in earnings of affiliates of $5.2 million for the fourth quarter of 2024, compared to losses of $2.9 million for 2023. These amounts include $1.4 million in net gains and $6.4 million in net losses for 2024 and 2023, respectively, from affiliates whose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operations are not managed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Expense</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The Company incurred net interest expense of $46.2 million and $23.0 million for the fourth quarter of 2024 and 2023, respectively. The Company recorded interest expense of $34.2 million and $8.7 million in the fourth quarter of 2024 and 2023, respectively, to adjust the fair</w:t>
      </w:r>
    </w:p>
    <w:p>
      <w:pPr>
        <w:spacing w:after="0" w:line="1"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value of the mandatorily redeemable noncontrolling interest at GHG. Excluding these adjustments, the decrease in net interest expense relates primarily to lower debt balances and lower interest rates on the Company’s variable debt.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58" w:lineRule="exact"/>
        <w:rPr>
          <w:sz w:val="20"/>
          <w:szCs w:val="20"/>
          <w:color w:val="auto"/>
        </w:rPr>
      </w:pPr>
    </w:p>
    <w:p>
      <w:pPr>
        <w:ind w:right="640"/>
        <w:spacing w:after="0" w:line="256" w:lineRule="auto"/>
        <w:rPr>
          <w:sz w:val="20"/>
          <w:szCs w:val="20"/>
          <w:color w:val="auto"/>
        </w:rPr>
      </w:pPr>
      <w:r>
        <w:rPr>
          <w:rFonts w:ascii="Arial" w:cs="Arial" w:eastAsia="Arial" w:hAnsi="Arial"/>
          <w:sz w:val="18"/>
          <w:szCs w:val="18"/>
          <w:color w:val="auto"/>
        </w:rPr>
        <w:t>The Company recorded net non-operating pension and postretirement benefit income of $689.6 million for the fourth quarter of 2024, compared to $36.5 million for the fourth quarter of 2023.</w:t>
      </w:r>
    </w:p>
    <w:p>
      <w:pPr>
        <w:spacing w:after="0" w:line="11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the fourth quarter of 2024, the Company recorded a pre-tax, noncash settlement gain of $653.4 million in connection with the purchase of an irrevocable group annuity contract from an insurance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In the fourth quarter of 2024, the Company recorded $0.5 million in expenses related to non-operating SIPs at Kaplan, manufacturing and</w:t>
      </w:r>
    </w:p>
    <w:p>
      <w:pPr>
        <w:spacing w:after="0" w:line="14" w:lineRule="exact"/>
        <w:rPr>
          <w:sz w:val="20"/>
          <w:szCs w:val="20"/>
          <w:color w:val="auto"/>
        </w:rPr>
      </w:pPr>
    </w:p>
    <w:p>
      <w:pPr>
        <w:ind w:right="640"/>
        <w:spacing w:after="0" w:line="237" w:lineRule="auto"/>
        <w:rPr>
          <w:sz w:val="20"/>
          <w:szCs w:val="20"/>
          <w:color w:val="auto"/>
        </w:rPr>
      </w:pPr>
      <w:r>
        <w:rPr>
          <w:rFonts w:ascii="Arial" w:cs="Arial" w:eastAsia="Arial" w:hAnsi="Arial"/>
          <w:sz w:val="18"/>
          <w:szCs w:val="18"/>
          <w:color w:val="auto"/>
        </w:rPr>
        <w:t>other businesses. In the fourth quarter of 2023, the Company recorded $0.2 million in expenses related to a non-operating SIP at the television broadcasting division. The SIPs were funded by the assets of the Company’s pension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 (Expense)</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For the fourth quarter of 2024, the Company recorded other non-operating income, net, of $9.6 million, compared to non -operating expense, net, of $3.4 million for the fourth quarter of 2023. The 2024 amounts included $11.1 million in foreign currency gains and other items, partially</w:t>
      </w:r>
    </w:p>
    <w:p>
      <w:pPr>
        <w:spacing w:after="0" w:line="235" w:lineRule="auto"/>
        <w:rPr>
          <w:sz w:val="20"/>
          <w:szCs w:val="20"/>
          <w:color w:val="auto"/>
        </w:rPr>
      </w:pPr>
      <w:r>
        <w:rPr>
          <w:rFonts w:ascii="Arial" w:cs="Arial" w:eastAsia="Arial" w:hAnsi="Arial"/>
          <w:sz w:val="18"/>
          <w:szCs w:val="18"/>
          <w:color w:val="auto"/>
        </w:rPr>
        <w:t>offset by a $1.7 million decrease in the fair value of a cost method investment. The 2023 amounts included $3.0 million in foreign currency</w:t>
      </w:r>
    </w:p>
    <w:p>
      <w:pPr>
        <w:ind w:right="340"/>
        <w:spacing w:after="0" w:line="237" w:lineRule="auto"/>
        <w:rPr>
          <w:sz w:val="20"/>
          <w:szCs w:val="20"/>
          <w:color w:val="auto"/>
        </w:rPr>
      </w:pPr>
      <w:r>
        <w:rPr>
          <w:rFonts w:ascii="Arial" w:cs="Arial" w:eastAsia="Arial" w:hAnsi="Arial"/>
          <w:sz w:val="18"/>
          <w:szCs w:val="18"/>
          <w:color w:val="auto"/>
        </w:rPr>
        <w:t>losses; a $0.5 million impairment on a cost method investment, and other items; partially offset by $1.3 million in gains related to sales of businesses and contingent consideration.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5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The calculation of diluted earnings per share for the fourth quarter of 2024 was based on 4,341,412 weighted average shares outstanding compared to 4,515,022 for the fourth quarter of 2023.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5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2024 Annual Report to Stockholders, are “forward-</w:t>
      </w:r>
    </w:p>
    <w:p>
      <w:pPr>
        <w:spacing w:after="0" w:line="235" w:lineRule="auto"/>
        <w:rPr>
          <w:sz w:val="20"/>
          <w:szCs w:val="20"/>
          <w:color w:val="auto"/>
        </w:rPr>
      </w:pPr>
      <w:r>
        <w:rPr>
          <w:rFonts w:ascii="Arial" w:cs="Arial" w:eastAsia="Arial" w:hAnsi="Arial"/>
          <w:sz w:val="18"/>
          <w:szCs w:val="18"/>
          <w:color w:val="auto"/>
        </w:rPr>
        <w:t>looking statements” within the meaning of the Private Securities Litigation Reform Act of 1995. Forward-looking statements are based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expectations, forecasts, and assumptions by the Company’s management and involve a number of risks, uncertainties, and other factors that could cause actual results to differ from those stated, including, without limitation, comments about expectations related to acquisitions or</w:t>
      </w:r>
    </w:p>
    <w:p>
      <w:pPr>
        <w:spacing w:after="0" w:line="235" w:lineRule="auto"/>
        <w:rPr>
          <w:sz w:val="20"/>
          <w:szCs w:val="20"/>
          <w:color w:val="auto"/>
        </w:rPr>
      </w:pPr>
      <w:r>
        <w:rPr>
          <w:rFonts w:ascii="Arial" w:cs="Arial" w:eastAsia="Arial" w:hAnsi="Arial"/>
          <w:sz w:val="18"/>
          <w:szCs w:val="18"/>
          <w:color w:val="auto"/>
        </w:rPr>
        <w:t>dispositions or related business activities, the Company’s business strategies and objectives, the prospects for growth in the Company’s</w:t>
      </w:r>
    </w:p>
    <w:p>
      <w:pPr>
        <w:ind w:right="20"/>
        <w:spacing w:after="0"/>
        <w:rPr>
          <w:sz w:val="20"/>
          <w:szCs w:val="20"/>
          <w:color w:val="auto"/>
        </w:rPr>
      </w:pPr>
      <w:r>
        <w:rPr>
          <w:rFonts w:ascii="Arial" w:cs="Arial" w:eastAsia="Arial" w:hAnsi="Arial"/>
          <w:sz w:val="17"/>
          <w:szCs w:val="17"/>
          <w:color w:val="auto"/>
        </w:rPr>
        <w:t>various business operations, the Company’s future financial performance, and the risks and uncertainties described in Item 1A of the Company’s Annual Report on Form 10-K. Accordingly, undue reliance should not be placed on any forward-looking statement made by or on</w:t>
      </w:r>
    </w:p>
    <w:p>
      <w:pPr>
        <w:spacing w:after="0" w:line="235" w:lineRule="auto"/>
        <w:rPr>
          <w:sz w:val="20"/>
          <w:szCs w:val="20"/>
          <w:color w:val="auto"/>
        </w:rPr>
      </w:pPr>
      <w:r>
        <w:rPr>
          <w:rFonts w:ascii="Arial" w:cs="Arial" w:eastAsia="Arial" w:hAnsi="Arial"/>
          <w:sz w:val="18"/>
          <w:szCs w:val="18"/>
          <w:color w:val="auto"/>
        </w:rPr>
        <w:t>behalf of the Company. Any forward-looking statements made in this press release speaks only as of the date on which it is made. The</w:t>
      </w:r>
    </w:p>
    <w:p>
      <w:pPr>
        <w:ind w:right="500"/>
        <w:spacing w:after="0" w:line="237" w:lineRule="auto"/>
        <w:rPr>
          <w:sz w:val="20"/>
          <w:szCs w:val="20"/>
          <w:color w:val="auto"/>
        </w:rPr>
      </w:pPr>
      <w:r>
        <w:rPr>
          <w:rFonts w:ascii="Arial" w:cs="Arial" w:eastAsia="Arial" w:hAnsi="Arial"/>
          <w:sz w:val="18"/>
          <w:szCs w:val="18"/>
          <w:color w:val="auto"/>
        </w:rPr>
        <w:t>Company assumes no obligation to update any forward-looking statement after the date on which such statement is made, even if new information subsequently becomes available.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00"/>
          </w:cols>
          <w:pgMar w:left="320" w:top="877"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1,245,800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1,166,813</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1,120,823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1,092,258</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21,014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22,729</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7,925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11,032</w:t>
            </w:r>
          </w:p>
        </w:tc>
        <w:tc>
          <w:tcPr>
            <w:tcW w:w="7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color w:val="auto"/>
              </w:rPr>
              <w:t>Impairment of long-lived assets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23,535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72,503</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40,794</w:t>
            </w: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Equity in earnings (losses) of affiliates, net</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5,167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(2,938)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3,302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2,384</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(49,542)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(25,423)</w:t>
            </w:r>
          </w:p>
        </w:tc>
        <w:tc>
          <w:tcPr>
            <w:tcW w:w="7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689,570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36,499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27,019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24,638</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800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9,573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757,592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72,590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206,000</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551,592</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55,690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(2,801)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(2,431)</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548,791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53,259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126.63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11.76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4,305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4,498</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125.55</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11.72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0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4,341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4,515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931" w:right="339" w:bottom="1440" w:gutter="0" w:footer="0" w:header="0"/>
        </w:sectPr>
      </w:pPr>
    </w:p>
    <w:bookmarkStart w:id="9" w:name="page10"/>
    <w:bookmarkEnd w:id="9"/>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32"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23"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rPr>
              <w:t>Twelve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7"/>
                <w:szCs w:val="17"/>
                <w:color w:val="auto"/>
              </w:rPr>
            </w:pP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2023</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4,790,904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4,414,877</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4,401,413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5"/>
              </w:rPr>
              <w:t>4,110,315</w:t>
            </w: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87,046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86,064</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37,119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50,039</w:t>
            </w:r>
          </w:p>
        </w:tc>
        <w:tc>
          <w:tcPr>
            <w:tcW w:w="78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49,822</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99,066</w:t>
            </w: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215,504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69,393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Equity in losses of affiliates, net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(3,303)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(5,183)</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9,868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7,122</w:t>
            </w: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(186,149)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(63,301)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794,949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133,812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181,295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138,067</w:t>
            </w: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7"/>
        </w:trPr>
        <w:tc>
          <w:tcPr>
            <w:tcW w:w="800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12,546</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19,094</w:t>
            </w: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1,024,710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299,004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292,100</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87,300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732,610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211,704</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(7,976)</w:t>
            </w: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w:t>
            </w:r>
          </w:p>
        </w:tc>
        <w:tc>
          <w:tcPr>
            <w:tcW w:w="7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724,634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205,288</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164.62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43.96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4,372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4,639</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163.40</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43.82</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0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4,405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4,654</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3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DIVISION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2023</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408,191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395,476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1,691,778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1,587,581</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161,720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124,618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535,678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472,436</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94,728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104,028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395,642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447,910</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179,967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127,976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611,109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459,481</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298,431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314,642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1,200,477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1,079,893</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102,767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100,543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356,520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369,653</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2,302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1,580</w:t>
            </w:r>
          </w:p>
        </w:tc>
        <w:tc>
          <w:tcPr>
            <w:tcW w:w="90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7"/>
        </w:trPr>
        <w:tc>
          <w:tcPr>
            <w:tcW w:w="45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(579)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(2,602)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1,245,800</w:t>
            </w:r>
          </w:p>
        </w:tc>
        <w:tc>
          <w:tcPr>
            <w:tcW w:w="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1,166,813</w:t>
            </w: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4,790,904</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4,414,877</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408,116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374,020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1,590,949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1,483,110</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83,230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84,400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334,513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338,498</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88,187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99,157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377,272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464,703</w:t>
            </w: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162,170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121,415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560,224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435,636</w:t>
            </w:r>
          </w:p>
        </w:tc>
        <w:tc>
          <w:tcPr>
            <w:tcW w:w="9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289,335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303,924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1,162,462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1,040,635</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126,809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127,854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491,372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529,379</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16,029</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16,084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61,210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57,180</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45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(579)</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(2,602)</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1,173,297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1,126,019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4,575,400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4,345,484</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21,456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100,829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104,471</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78,490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40,218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201,165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133,938</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6,541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4,871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18,370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(16,793)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17,797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6,561</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50,885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23,845</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9,096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38,015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39,258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(24,042)</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(27,311)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(134,852)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(159,726)</w:t>
            </w: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7"/>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(15,454)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(58,908)</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(55,600)</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72,503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40,794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215,504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69,393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25,150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2,943</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33,417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14,553</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5,430</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5,450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2,431</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10,818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63,803</w:t>
            </w:r>
          </w:p>
        </w:tc>
        <w:tc>
          <w:tcPr>
            <w:tcW w:w="9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118</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1,511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3,675</w:t>
            </w: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2,397</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35,751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61,611</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 before Amortization of</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31,460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11,032</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86,941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149,105</w:t>
            </w: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42"/>
        </w:trPr>
        <w:tc>
          <w:tcPr>
            <w:tcW w:w="4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80" w:type="dxa"/>
            <w:vAlign w:val="bottom"/>
          </w:tcPr>
          <w:p>
            <w:pPr>
              <w:ind w:left="100"/>
              <w:spacing w:after="0" w:line="162" w:lineRule="exact"/>
              <w:rPr>
                <w:sz w:val="20"/>
                <w:szCs w:val="20"/>
                <w:color w:val="auto"/>
              </w:rPr>
            </w:pPr>
            <w:r>
              <w:rPr>
                <w:rFonts w:ascii="Arial" w:cs="Arial" w:eastAsia="Arial" w:hAnsi="Arial"/>
                <w:sz w:val="16"/>
                <w:szCs w:val="16"/>
                <w:b w:val="1"/>
                <w:bCs w:val="1"/>
                <w:color w:val="auto"/>
              </w:rPr>
              <w:t>Intangible Assets and Impairment of Goodwill and Other</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100"/>
              <w:spacing w:after="0"/>
              <w:rPr>
                <w:sz w:val="20"/>
                <w:szCs w:val="20"/>
                <w:color w:val="auto"/>
              </w:rPr>
            </w:pPr>
            <w:r>
              <w:rPr>
                <w:rFonts w:ascii="Arial" w:cs="Arial" w:eastAsia="Arial" w:hAnsi="Arial"/>
                <w:sz w:val="16"/>
                <w:szCs w:val="16"/>
                <w:b w:val="1"/>
                <w:bCs w:val="1"/>
                <w:color w:val="auto"/>
              </w:rPr>
              <w:t>Long-Lived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25,225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24,399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134,246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119,024</w:t>
            </w: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79,850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41,580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206,595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139,388</w:t>
            </w: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8,972</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7,991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29,188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47,010</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17,915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7,534</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52,396</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27,520</w:t>
            </w:r>
          </w:p>
        </w:tc>
        <w:tc>
          <w:tcPr>
            <w:tcW w:w="9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9,100</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10,728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38,029</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39,271</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(21,645)</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(24,687)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(99,101)</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(98,115)</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(15,454)</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(15,719)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(58,908)</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(55,600)</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103,963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51,826</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302,445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218,498</w:t>
            </w: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09"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7"/>
                <w:szCs w:val="17"/>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7"/>
                <w:szCs w:val="17"/>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7"/>
                <w:szCs w:val="17"/>
                <w:color w:val="auto"/>
              </w:rPr>
            </w:pPr>
          </w:p>
        </w:tc>
        <w:tc>
          <w:tcPr>
            <w:tcW w:w="920" w:type="dxa"/>
            <w:vAlign w:val="bottom"/>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7"/>
                <w:szCs w:val="17"/>
                <w:color w:val="auto"/>
              </w:rPr>
            </w:pPr>
          </w:p>
        </w:tc>
        <w:tc>
          <w:tcPr>
            <w:tcW w:w="740" w:type="dxa"/>
            <w:vAlign w:val="bottom"/>
          </w:tcPr>
          <w:p>
            <w:pPr>
              <w:jc w:val="right"/>
              <w:ind w:right="339"/>
              <w:spacing w:after="0"/>
              <w:rPr>
                <w:sz w:val="20"/>
                <w:szCs w:val="20"/>
                <w:color w:val="auto"/>
              </w:rPr>
            </w:pPr>
            <w:r>
              <w:rPr>
                <w:rFonts w:ascii="Arial" w:cs="Arial" w:eastAsia="Arial" w:hAnsi="Arial"/>
                <w:sz w:val="14"/>
                <w:szCs w:val="14"/>
                <w:color w:val="auto"/>
                <w:w w:val="96"/>
              </w:rPr>
              <w:t>2023</w:t>
            </w:r>
          </w:p>
        </w:tc>
        <w:tc>
          <w:tcPr>
            <w:tcW w:w="100" w:type="dxa"/>
            <w:vAlign w:val="bottom"/>
          </w:tcPr>
          <w:p>
            <w:pPr>
              <w:spacing w:after="0"/>
              <w:rPr>
                <w:sz w:val="17"/>
                <w:szCs w:val="17"/>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7"/>
                <w:szCs w:val="17"/>
                <w:color w:val="auto"/>
              </w:rPr>
            </w:pPr>
          </w:p>
        </w:tc>
        <w:tc>
          <w:tcPr>
            <w:tcW w:w="920" w:type="dxa"/>
            <w:vAlign w:val="bottom"/>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460" w:type="dxa"/>
            <w:vAlign w:val="bottom"/>
          </w:tcPr>
          <w:p>
            <w:pPr>
              <w:spacing w:after="0"/>
              <w:rPr>
                <w:sz w:val="17"/>
                <w:szCs w:val="17"/>
                <w:color w:val="auto"/>
              </w:rPr>
            </w:pPr>
          </w:p>
        </w:tc>
        <w:tc>
          <w:tcPr>
            <w:tcW w:w="720" w:type="dxa"/>
            <w:vAlign w:val="bottom"/>
          </w:tcPr>
          <w:p>
            <w:pPr>
              <w:jc w:val="right"/>
              <w:ind w:right="319"/>
              <w:spacing w:after="0"/>
              <w:rPr>
                <w:sz w:val="20"/>
                <w:szCs w:val="20"/>
                <w:color w:val="auto"/>
              </w:rPr>
            </w:pPr>
            <w:r>
              <w:rPr>
                <w:rFonts w:ascii="Arial" w:cs="Arial" w:eastAsia="Arial" w:hAnsi="Arial"/>
                <w:sz w:val="14"/>
                <w:szCs w:val="14"/>
                <w:color w:val="auto"/>
                <w:w w:val="96"/>
              </w:rPr>
              <w:t>2023</w:t>
            </w:r>
          </w:p>
        </w:tc>
        <w:tc>
          <w:tcPr>
            <w:tcW w:w="120" w:type="dxa"/>
            <w:vAlign w:val="bottom"/>
          </w:tcPr>
          <w:p>
            <w:pPr>
              <w:spacing w:after="0"/>
              <w:rPr>
                <w:sz w:val="17"/>
                <w:szCs w:val="17"/>
                <w:color w:val="auto"/>
              </w:rPr>
            </w:pPr>
          </w:p>
        </w:tc>
        <w:tc>
          <w:tcPr>
            <w:tcW w:w="780" w:type="dxa"/>
            <w:vAlign w:val="bottom"/>
          </w:tcPr>
          <w:p>
            <w:pPr>
              <w:jc w:val="right"/>
              <w:ind w:right="61"/>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46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8,322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9,759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35,058</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38,187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2,680</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2,981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11,174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12,224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2,756</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10,983</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9,453</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1,828</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1,673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6,859</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5,475</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1,756</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6,959</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5,177</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3,583</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4,059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15,492</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14,941</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89</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521</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21,014</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87,046</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86,064</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4,466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17,733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8,907</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1,472</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6,055</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3,331</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980</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2,877</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1,115</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4,890</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3,520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19,303</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14,083</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30</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116</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1,940</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7,517</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2,508</w:t>
            </w:r>
          </w:p>
        </w:tc>
        <w:tc>
          <w:tcPr>
            <w:tcW w:w="120" w:type="dxa"/>
            <w:vAlign w:val="bottom"/>
          </w:tcPr>
          <w:p>
            <w:pPr>
              <w:spacing w:after="0"/>
              <w:rPr>
                <w:sz w:val="18"/>
                <w:szCs w:val="18"/>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894</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952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3,937</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3,808</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6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14,672</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8,481</w:t>
            </w: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57,538</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33,787</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5"/>
        </w:trPr>
        <w:tc>
          <w:tcPr>
            <w:tcW w:w="46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38,013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36,385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187,037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166,118</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84,002</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45,394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223,824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154,943</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12,708</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10,766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43,048</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57,578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24,633</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12,727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78,558</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47,078</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10,886</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12,349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45,104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44,483</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(16,122)</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(19,967)</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(76,092)</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(80,666)</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7"/>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(14,471)</w:t>
            </w: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(54,450)</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(51,185)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46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139,649</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83,036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447,029</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338,349</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41" w:lineRule="exact"/>
        <w:rPr>
          <w:sz w:val="20"/>
          <w:szCs w:val="20"/>
          <w:color w:val="auto"/>
        </w:rPr>
      </w:pPr>
    </w:p>
    <w:p>
      <w:pPr>
        <w:ind w:left="360" w:right="400" w:hanging="334"/>
        <w:spacing w:after="0" w:line="264"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Goodwill and Other Long-Lived Assets plus Depreciation Expense and Pension Expense.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0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GRAHAM HOLDINGS COMPANY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EDUCATION DIVISION INFORMATION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Twelve Months Ended</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ind w:right="2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2023</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2023</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260,374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252,164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1,074,207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966,879</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77,997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76,404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324,815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326,961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70,241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66,241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291,630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292,776</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2,652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5,761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11,012</w:t>
            </w: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(4,635)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408,191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395,476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1,691,778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1,587,581</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241,349</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228,906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972,508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879,349</w:t>
            </w: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68,505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70,805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284,065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288,019</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64,745</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60,761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264,696</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270,304</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8,813</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12,469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40,909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40,903</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2,220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10,487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14,076</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22,930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22,930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(446)</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(4,646)</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(10,018)</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408,116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374,020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1,590,949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1,483,110</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19,025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23,258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101,699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87,530</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9,492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5,599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40,750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38,942</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5,496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5,480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26,934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22,472</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(8,791)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(9,817)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(35,148)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(29,891)</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(2,220)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(10,487)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(14,076)</w:t>
            </w: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(22,930)</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(22,930)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Income (Loss) before Amortization of Intangible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100,829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104,471</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42"/>
        </w:trPr>
        <w:tc>
          <w:tcPr>
            <w:tcW w:w="4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100"/>
              <w:spacing w:after="0"/>
              <w:rPr>
                <w:sz w:val="20"/>
                <w:szCs w:val="20"/>
                <w:color w:val="auto"/>
              </w:rPr>
            </w:pPr>
            <w:r>
              <w:rPr>
                <w:rFonts w:ascii="Arial" w:cs="Arial" w:eastAsia="Arial" w:hAnsi="Arial"/>
                <w:sz w:val="16"/>
                <w:szCs w:val="16"/>
                <w:b w:val="1"/>
                <w:bCs w:val="1"/>
                <w:color w:val="auto"/>
              </w:rPr>
              <w:t>Assets and Impairment of Long-Lived Assets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vMerge w:val="restart"/>
          </w:tcPr>
          <w:p>
            <w:pPr>
              <w:jc w:val="right"/>
              <w:ind w:right="59"/>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19,025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23,258</w:t>
            </w:r>
          </w:p>
        </w:tc>
        <w:tc>
          <w:tcPr>
            <w:tcW w:w="1000" w:type="dxa"/>
            <w:vAlign w:val="bottom"/>
            <w:vMerge w:val="continue"/>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101,699</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87,530</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9,492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5,599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70</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40,750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38,942</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5,496</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5,480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26,934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22,472</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(8,791)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(9,817)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(35,148)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(29,891)</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25,225</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24,399</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134,246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119,024</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6,948</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7,669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28,683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28,501</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534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(46)</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2,825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4,416</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834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3,487</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5,165</w:t>
            </w:r>
          </w:p>
        </w:tc>
        <w:tc>
          <w:tcPr>
            <w:tcW w:w="88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(78)</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8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8,322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35,058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38,187</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177</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704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325</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1,891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934</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7,620</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3,737</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1,974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1,037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7,848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4,147</w:t>
            </w: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424</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1,561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698</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4,466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17,733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8,907</w:t>
            </w:r>
          </w:p>
        </w:tc>
        <w:tc>
          <w:tcPr>
            <w:tcW w:w="88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5"/>
        </w:trPr>
        <w:tc>
          <w:tcPr>
            <w:tcW w:w="4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26,150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31,008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131,086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116,356</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11,917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7,518</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51,195</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47,095</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8,304</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7,595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38,269</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31,784</w:t>
            </w: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(8,361)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(9,615)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(33,524)</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(29,088)</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38,013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187,037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166,118</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w:t>
      </w:r>
    </w:p>
    <w:p>
      <w:pPr>
        <w:spacing w:after="0" w:line="41" w:lineRule="exact"/>
        <w:rPr>
          <w:sz w:val="20"/>
          <w:szCs w:val="20"/>
          <w:color w:val="auto"/>
        </w:rPr>
      </w:pPr>
    </w:p>
    <w:p>
      <w:pPr>
        <w:ind w:left="360" w:right="80" w:hanging="334"/>
        <w:spacing w:after="0" w:line="264" w:lineRule="auto"/>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ectPr>
          <w:pgSz w:w="11900" w:h="16838" w:orient="portrait"/>
          <w:cols w:equalWidth="0" w:num="1">
            <w:col w:w="11180"/>
          </w:cols>
          <w:pgMar w:left="320" w:top="809" w:right="39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80"/>
          </w:cols>
          <w:pgMar w:left="320" w:top="809" w:right="3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color w:val="auto"/>
        </w:rPr>
        <w:t>NON-GAAP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6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2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36" w:lineRule="auto"/>
        <w:rPr>
          <w:sz w:val="20"/>
          <w:szCs w:val="20"/>
          <w:color w:val="auto"/>
        </w:rPr>
      </w:pPr>
      <w:r>
        <w:rPr>
          <w:rFonts w:ascii="Arial" w:cs="Arial" w:eastAsia="Arial" w:hAnsi="Arial"/>
          <w:sz w:val="18"/>
          <w:szCs w:val="18"/>
          <w:color w:val="auto"/>
        </w:rPr>
        <w:t>noncontrolling interest are not directly related to the core performance of the Company’s business operations since these items do not</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directly relate to the sale of the Company’s services or products. The accounting principles generally accepted in the United States (“GAAP”) require that the Company include the gains and losses on marketable equity securities and net interest expense related to fair value</w:t>
      </w:r>
    </w:p>
    <w:p>
      <w:pPr>
        <w:spacing w:after="0" w:line="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adjustments of the mandatorily redeemable noncontrolling interest in net income on the Statements of Operations. The Company excludes the gains and losses on marketable equity securities and net interest expense related to fair value adjustments of the mandatorily</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redeemable noncontrolling interest from the non-GAAP adjusted net income because these items are independent of the Company’s core operations and not indicative of the performance of the Company’s business operations.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00"/>
          </w:cols>
          <w:pgMar w:left="320" w:top="890"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31" w:lineRule="exact"/>
        <w:rPr>
          <w:sz w:val="20"/>
          <w:szCs w:val="20"/>
          <w:color w:val="auto"/>
        </w:rPr>
      </w:pPr>
    </w:p>
    <w:p>
      <w:pPr>
        <w:ind w:left="6720"/>
        <w:spacing w:after="0"/>
        <w:rPr>
          <w:sz w:val="20"/>
          <w:szCs w:val="20"/>
          <w:color w:val="auto"/>
        </w:rPr>
      </w:pPr>
      <w:r>
        <w:rPr>
          <w:rFonts w:ascii="Arial" w:cs="Arial" w:eastAsia="Arial" w:hAnsi="Arial"/>
          <w:sz w:val="16"/>
          <w:szCs w:val="16"/>
          <w:b w:val="1"/>
          <w:bCs w:val="1"/>
          <w:color w:val="auto"/>
        </w:rPr>
        <w:t>Three Months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2024</w:t>
            </w: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2023</w:t>
            </w: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124"/>
              <w:spacing w:after="0" w:line="150" w:lineRule="exact"/>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13"/>
                <w:szCs w:val="13"/>
                <w:color w:val="auto"/>
              </w:rPr>
            </w:pPr>
          </w:p>
        </w:tc>
        <w:tc>
          <w:tcPr>
            <w:tcW w:w="92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center"/>
              <w:ind w:right="122"/>
              <w:spacing w:after="0" w:line="150" w:lineRule="exact"/>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3"/>
                <w:szCs w:val="13"/>
                <w:color w:val="auto"/>
              </w:rPr>
            </w:pPr>
          </w:p>
        </w:tc>
        <w:tc>
          <w:tcPr>
            <w:tcW w:w="900" w:type="dxa"/>
            <w:vAlign w:val="bottom"/>
            <w:vMerge w:val="restart"/>
          </w:tcPr>
          <w:p>
            <w:pPr>
              <w:jc w:val="right"/>
              <w:ind w:right="264"/>
              <w:spacing w:after="0"/>
              <w:rPr>
                <w:sz w:val="20"/>
                <w:szCs w:val="20"/>
                <w:color w:val="auto"/>
              </w:rPr>
            </w:pPr>
            <w:r>
              <w:rPr>
                <w:rFonts w:ascii="Arial" w:cs="Arial" w:eastAsia="Arial" w:hAnsi="Arial"/>
                <w:sz w:val="15"/>
                <w:szCs w:val="15"/>
                <w:color w:val="auto"/>
              </w:rPr>
              <w:t>Income</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center"/>
              <w:ind w:right="124"/>
              <w:spacing w:after="0" w:line="154"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spacing w:after="0"/>
              <w:rPr>
                <w:sz w:val="13"/>
                <w:szCs w:val="13"/>
                <w:color w:val="auto"/>
              </w:rPr>
            </w:pPr>
          </w:p>
        </w:tc>
        <w:tc>
          <w:tcPr>
            <w:tcW w:w="800" w:type="dxa"/>
            <w:vAlign w:val="bottom"/>
          </w:tcPr>
          <w:p>
            <w:pPr>
              <w:jc w:val="center"/>
              <w:ind w:right="122"/>
              <w:spacing w:after="0" w:line="154"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5"/>
                <w:szCs w:val="15"/>
                <w:color w:val="auto"/>
                <w:w w:val="99"/>
              </w:rPr>
              <w:t>Net Income</w:t>
            </w:r>
          </w:p>
        </w:tc>
        <w:tc>
          <w:tcPr>
            <w:tcW w:w="0" w:type="dxa"/>
            <w:vAlign w:val="bottom"/>
          </w:tcPr>
          <w:p>
            <w:pPr>
              <w:spacing w:after="0"/>
              <w:rPr>
                <w:sz w:val="1"/>
                <w:szCs w:val="1"/>
                <w:color w:val="auto"/>
              </w:rPr>
            </w:pPr>
          </w:p>
        </w:tc>
      </w:tr>
      <w:tr>
        <w:trPr>
          <w:trHeight w:val="123"/>
        </w:trPr>
        <w:tc>
          <w:tcPr>
            <w:tcW w:w="4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vMerge w:val="restart"/>
          </w:tcPr>
          <w:p>
            <w:pPr>
              <w:jc w:val="center"/>
              <w:ind w:right="124"/>
              <w:spacing w:after="0" w:line="149" w:lineRule="exact"/>
              <w:rPr>
                <w:sz w:val="20"/>
                <w:szCs w:val="20"/>
                <w:color w:val="auto"/>
              </w:rPr>
            </w:pPr>
            <w:r>
              <w:rPr>
                <w:rFonts w:ascii="Arial" w:cs="Arial" w:eastAsia="Arial" w:hAnsi="Arial"/>
                <w:sz w:val="15"/>
                <w:szCs w:val="15"/>
                <w:b w:val="1"/>
                <w:bCs w:val="1"/>
                <w:color w:val="auto"/>
                <w:w w:val="98"/>
              </w:rPr>
              <w:t>income</w:t>
            </w:r>
          </w:p>
        </w:tc>
        <w:tc>
          <w:tcPr>
            <w:tcW w:w="220" w:type="dxa"/>
            <w:vAlign w:val="bottom"/>
          </w:tcPr>
          <w:p>
            <w:pPr>
              <w:spacing w:after="0"/>
              <w:rPr>
                <w:sz w:val="10"/>
                <w:szCs w:val="10"/>
                <w:color w:val="auto"/>
              </w:rPr>
            </w:pPr>
          </w:p>
        </w:tc>
        <w:tc>
          <w:tcPr>
            <w:tcW w:w="920" w:type="dxa"/>
            <w:vAlign w:val="bottom"/>
            <w:vMerge w:val="restart"/>
          </w:tcPr>
          <w:p>
            <w:pPr>
              <w:jc w:val="right"/>
              <w:ind w:right="304"/>
              <w:spacing w:after="0" w:line="149" w:lineRule="exact"/>
              <w:rPr>
                <w:sz w:val="20"/>
                <w:szCs w:val="20"/>
                <w:color w:val="auto"/>
              </w:rPr>
            </w:pPr>
            <w:r>
              <w:rPr>
                <w:rFonts w:ascii="Arial" w:cs="Arial" w:eastAsia="Arial" w:hAnsi="Arial"/>
                <w:sz w:val="15"/>
                <w:szCs w:val="15"/>
                <w:b w:val="1"/>
                <w:bCs w:val="1"/>
                <w:color w:val="auto"/>
              </w:rPr>
              <w:t>Taxes</w:t>
            </w:r>
          </w:p>
        </w:tc>
        <w:tc>
          <w:tcPr>
            <w:tcW w:w="10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vMerge w:val="restart"/>
          </w:tcPr>
          <w:p>
            <w:pPr>
              <w:jc w:val="center"/>
              <w:ind w:right="122"/>
              <w:spacing w:after="0" w:line="149" w:lineRule="exact"/>
              <w:rPr>
                <w:sz w:val="20"/>
                <w:szCs w:val="20"/>
                <w:color w:val="auto"/>
              </w:rPr>
            </w:pPr>
            <w:r>
              <w:rPr>
                <w:rFonts w:ascii="Arial" w:cs="Arial" w:eastAsia="Arial" w:hAnsi="Arial"/>
                <w:sz w:val="15"/>
                <w:szCs w:val="15"/>
                <w:color w:val="auto"/>
                <w:w w:val="99"/>
              </w:rPr>
              <w:t>income</w:t>
            </w:r>
          </w:p>
        </w:tc>
        <w:tc>
          <w:tcPr>
            <w:tcW w:w="240" w:type="dxa"/>
            <w:vAlign w:val="bottom"/>
          </w:tcPr>
          <w:p>
            <w:pPr>
              <w:spacing w:after="0"/>
              <w:rPr>
                <w:sz w:val="10"/>
                <w:szCs w:val="10"/>
                <w:color w:val="auto"/>
              </w:rPr>
            </w:pPr>
          </w:p>
        </w:tc>
        <w:tc>
          <w:tcPr>
            <w:tcW w:w="900" w:type="dxa"/>
            <w:vAlign w:val="bottom"/>
            <w:vMerge w:val="restart"/>
          </w:tcPr>
          <w:p>
            <w:pPr>
              <w:jc w:val="right"/>
              <w:ind w:right="304"/>
              <w:spacing w:after="0" w:line="149" w:lineRule="exact"/>
              <w:rPr>
                <w:sz w:val="20"/>
                <w:szCs w:val="20"/>
                <w:color w:val="auto"/>
              </w:rPr>
            </w:pPr>
            <w:r>
              <w:rPr>
                <w:rFonts w:ascii="Arial" w:cs="Arial" w:eastAsia="Arial" w:hAnsi="Arial"/>
                <w:sz w:val="15"/>
                <w:szCs w:val="15"/>
                <w:color w:val="auto"/>
              </w:rPr>
              <w:t>Taxes</w:t>
            </w:r>
          </w:p>
        </w:tc>
        <w:tc>
          <w:tcPr>
            <w:tcW w:w="1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486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b w:val="1"/>
                <w:bCs w:val="1"/>
                <w:color w:val="auto"/>
              </w:rPr>
              <w:t>taxes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22"/>
              <w:spacing w:after="0"/>
              <w:rPr>
                <w:sz w:val="20"/>
                <w:szCs w:val="20"/>
                <w:color w:val="auto"/>
              </w:rPr>
            </w:pPr>
            <w:r>
              <w:rPr>
                <w:rFonts w:ascii="Arial" w:cs="Arial" w:eastAsia="Arial" w:hAnsi="Arial"/>
                <w:sz w:val="15"/>
                <w:szCs w:val="15"/>
                <w:color w:val="auto"/>
              </w:rPr>
              <w:t>taxes</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486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486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757,592</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206,000</w:t>
            </w:r>
          </w:p>
        </w:tc>
        <w:tc>
          <w:tcPr>
            <w:tcW w:w="2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551,592</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6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2"/>
              <w:spacing w:after="0"/>
              <w:rPr>
                <w:sz w:val="20"/>
                <w:szCs w:val="20"/>
                <w:color w:val="auto"/>
              </w:rPr>
            </w:pPr>
            <w:r>
              <w:rPr>
                <w:rFonts w:ascii="Arial" w:cs="Arial" w:eastAsia="Arial" w:hAnsi="Arial"/>
                <w:sz w:val="15"/>
                <w:szCs w:val="15"/>
                <w:color w:val="auto"/>
              </w:rPr>
              <w:t>72,590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16,900</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55,690</w:t>
            </w:r>
          </w:p>
        </w:tc>
        <w:tc>
          <w:tcPr>
            <w:tcW w:w="0" w:type="dxa"/>
            <w:vAlign w:val="bottom"/>
          </w:tcPr>
          <w:p>
            <w:pPr>
              <w:spacing w:after="0"/>
              <w:rPr>
                <w:sz w:val="1"/>
                <w:szCs w:val="1"/>
                <w:color w:val="auto"/>
              </w:rPr>
            </w:pPr>
          </w:p>
        </w:tc>
      </w:tr>
      <w:tr>
        <w:trPr>
          <w:trHeight w:val="208"/>
        </w:trPr>
        <w:tc>
          <w:tcPr>
            <w:tcW w:w="486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(2,801)</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(2,431)</w:t>
            </w:r>
          </w:p>
        </w:tc>
        <w:tc>
          <w:tcPr>
            <w:tcW w:w="0" w:type="dxa"/>
            <w:vAlign w:val="bottom"/>
          </w:tcPr>
          <w:p>
            <w:pPr>
              <w:spacing w:after="0"/>
              <w:rPr>
                <w:sz w:val="1"/>
                <w:szCs w:val="1"/>
                <w:color w:val="auto"/>
              </w:rPr>
            </w:pPr>
          </w:p>
        </w:tc>
      </w:tr>
      <w:tr>
        <w:trPr>
          <w:trHeight w:val="192"/>
        </w:trPr>
        <w:tc>
          <w:tcPr>
            <w:tcW w:w="4860" w:type="dxa"/>
            <w:vAlign w:val="bottom"/>
          </w:tcPr>
          <w:p>
            <w:pPr>
              <w:ind w:left="18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548,791</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53,259</w:t>
            </w:r>
          </w:p>
        </w:tc>
        <w:tc>
          <w:tcPr>
            <w:tcW w:w="0" w:type="dxa"/>
            <w:vAlign w:val="bottom"/>
          </w:tcPr>
          <w:p>
            <w:pPr>
              <w:spacing w:after="0"/>
              <w:rPr>
                <w:sz w:val="1"/>
                <w:szCs w:val="1"/>
                <w:color w:val="auto"/>
              </w:rPr>
            </w:pPr>
          </w:p>
        </w:tc>
      </w:tr>
      <w:tr>
        <w:trPr>
          <w:trHeight w:val="200"/>
        </w:trPr>
        <w:tc>
          <w:tcPr>
            <w:tcW w:w="486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860" w:type="dxa"/>
            <w:vAlign w:val="bottom"/>
          </w:tcPr>
          <w:p>
            <w:pPr>
              <w:ind w:left="400"/>
              <w:spacing w:after="0" w:line="164" w:lineRule="exact"/>
              <w:rPr>
                <w:sz w:val="20"/>
                <w:szCs w:val="20"/>
                <w:color w:val="auto"/>
              </w:rPr>
            </w:pPr>
            <w:r>
              <w:rPr>
                <w:rFonts w:ascii="Arial" w:cs="Arial" w:eastAsia="Arial" w:hAnsi="Arial"/>
                <w:sz w:val="15"/>
                <w:szCs w:val="15"/>
                <w:color w:val="auto"/>
              </w:rPr>
              <w:t>Net credit related to fair value changes in contingent</w:t>
            </w:r>
          </w:p>
        </w:tc>
        <w:tc>
          <w:tcPr>
            <w:tcW w:w="160" w:type="dxa"/>
            <w:vAlign w:val="bottom"/>
          </w:tcPr>
          <w:p>
            <w:pPr>
              <w:spacing w:after="0"/>
              <w:rPr>
                <w:sz w:val="14"/>
                <w:szCs w:val="14"/>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860" w:type="dxa"/>
            <w:vAlign w:val="bottom"/>
          </w:tcPr>
          <w:p>
            <w:pPr>
              <w:ind w:left="520"/>
              <w:spacing w:after="0"/>
              <w:rPr>
                <w:sz w:val="20"/>
                <w:szCs w:val="20"/>
                <w:color w:val="auto"/>
              </w:rPr>
            </w:pPr>
            <w:r>
              <w:rPr>
                <w:rFonts w:ascii="Arial" w:cs="Arial" w:eastAsia="Arial" w:hAnsi="Arial"/>
                <w:sz w:val="15"/>
                <w:szCs w:val="15"/>
                <w:color w:val="auto"/>
              </w:rPr>
              <w:t>consideration from prior acquisitions</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(2,267)</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(330)</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(1,937)</w:t>
            </w:r>
          </w:p>
        </w:tc>
        <w:tc>
          <w:tcPr>
            <w:tcW w:w="0" w:type="dxa"/>
            <w:vAlign w:val="bottom"/>
          </w:tcPr>
          <w:p>
            <w:pPr>
              <w:spacing w:after="0"/>
              <w:rPr>
                <w:sz w:val="1"/>
                <w:szCs w:val="1"/>
                <w:color w:val="auto"/>
              </w:rPr>
            </w:pPr>
          </w:p>
        </w:tc>
      </w:tr>
      <w:tr>
        <w:trPr>
          <w:trHeight w:val="204"/>
        </w:trPr>
        <w:tc>
          <w:tcPr>
            <w:tcW w:w="486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23,536</w:t>
            </w:r>
          </w:p>
        </w:tc>
        <w:tc>
          <w:tcPr>
            <w:tcW w:w="22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5,311</w:t>
            </w: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18,225</w:t>
            </w:r>
          </w:p>
        </w:tc>
        <w:tc>
          <w:tcPr>
            <w:tcW w:w="2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(3,874)</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3,874</w:t>
            </w:r>
          </w:p>
        </w:tc>
        <w:tc>
          <w:tcPr>
            <w:tcW w:w="0" w:type="dxa"/>
            <w:vAlign w:val="bottom"/>
          </w:tcPr>
          <w:p>
            <w:pPr>
              <w:spacing w:after="0"/>
              <w:rPr>
                <w:sz w:val="1"/>
                <w:szCs w:val="1"/>
                <w:color w:val="auto"/>
              </w:rPr>
            </w:pPr>
          </w:p>
        </w:tc>
      </w:tr>
      <w:tr>
        <w:trPr>
          <w:trHeight w:val="228"/>
        </w:trPr>
        <w:tc>
          <w:tcPr>
            <w:tcW w:w="486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9"/>
                <w:szCs w:val="19"/>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(653,427)</w:t>
            </w:r>
          </w:p>
        </w:tc>
        <w:tc>
          <w:tcPr>
            <w:tcW w:w="220" w:type="dxa"/>
            <w:vAlign w:val="bottom"/>
          </w:tcPr>
          <w:p>
            <w:pPr>
              <w:spacing w:after="0"/>
              <w:rPr>
                <w:sz w:val="19"/>
                <w:szCs w:val="19"/>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b w:val="1"/>
                <w:bCs w:val="1"/>
                <w:color w:val="auto"/>
              </w:rPr>
              <w:t>(167,285)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(486,142)</w:t>
            </w:r>
          </w:p>
        </w:tc>
        <w:tc>
          <w:tcPr>
            <w:tcW w:w="26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9"/>
                <w:szCs w:val="19"/>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505</w:t>
            </w:r>
          </w:p>
        </w:tc>
        <w:tc>
          <w:tcPr>
            <w:tcW w:w="220" w:type="dxa"/>
            <w:vAlign w:val="bottom"/>
          </w:tcPr>
          <w:p>
            <w:pPr>
              <w:spacing w:after="0"/>
              <w:rPr>
                <w:sz w:val="17"/>
                <w:szCs w:val="17"/>
                <w:color w:val="auto"/>
              </w:rPr>
            </w:pPr>
          </w:p>
        </w:tc>
        <w:tc>
          <w:tcPr>
            <w:tcW w:w="920" w:type="dxa"/>
            <w:vAlign w:val="bottom"/>
          </w:tcPr>
          <w:p>
            <w:pPr>
              <w:jc w:val="right"/>
              <w:ind w:right="104"/>
              <w:spacing w:after="0"/>
              <w:rPr>
                <w:sz w:val="20"/>
                <w:szCs w:val="20"/>
                <w:color w:val="auto"/>
              </w:rPr>
            </w:pPr>
            <w:r>
              <w:rPr>
                <w:rFonts w:ascii="Arial" w:cs="Arial" w:eastAsia="Arial" w:hAnsi="Arial"/>
                <w:sz w:val="15"/>
                <w:szCs w:val="15"/>
                <w:b w:val="1"/>
                <w:bCs w:val="1"/>
                <w:color w:val="auto"/>
              </w:rPr>
              <w:t>129</w:t>
            </w: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376</w:t>
            </w:r>
          </w:p>
        </w:tc>
        <w:tc>
          <w:tcPr>
            <w:tcW w:w="2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5"/>
                <w:szCs w:val="15"/>
                <w:color w:val="auto"/>
              </w:rPr>
              <w:t>240</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61</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179</w:t>
            </w:r>
          </w:p>
        </w:tc>
        <w:tc>
          <w:tcPr>
            <w:tcW w:w="0" w:type="dxa"/>
            <w:vAlign w:val="bottom"/>
          </w:tcPr>
          <w:p>
            <w:pPr>
              <w:spacing w:after="0"/>
              <w:rPr>
                <w:sz w:val="1"/>
                <w:szCs w:val="1"/>
                <w:color w:val="auto"/>
              </w:rPr>
            </w:pPr>
          </w:p>
        </w:tc>
      </w:tr>
      <w:tr>
        <w:trPr>
          <w:trHeight w:val="204"/>
        </w:trPr>
        <w:tc>
          <w:tcPr>
            <w:tcW w:w="486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(27,018)</w:t>
            </w:r>
          </w:p>
        </w:tc>
        <w:tc>
          <w:tcPr>
            <w:tcW w:w="220" w:type="dxa"/>
            <w:vAlign w:val="bottom"/>
          </w:tcPr>
          <w:p>
            <w:pPr>
              <w:spacing w:after="0"/>
              <w:rPr>
                <w:sz w:val="17"/>
                <w:szCs w:val="17"/>
                <w:color w:val="auto"/>
              </w:rPr>
            </w:pPr>
          </w:p>
        </w:tc>
        <w:tc>
          <w:tcPr>
            <w:tcW w:w="920" w:type="dxa"/>
            <w:vAlign w:val="bottom"/>
          </w:tcPr>
          <w:p>
            <w:pPr>
              <w:jc w:val="right"/>
              <w:ind w:right="64"/>
              <w:spacing w:after="0"/>
              <w:rPr>
                <w:sz w:val="20"/>
                <w:szCs w:val="20"/>
                <w:color w:val="auto"/>
              </w:rPr>
            </w:pPr>
            <w:r>
              <w:rPr>
                <w:rFonts w:ascii="Arial" w:cs="Arial" w:eastAsia="Arial" w:hAnsi="Arial"/>
                <w:sz w:val="15"/>
                <w:szCs w:val="15"/>
                <w:b w:val="1"/>
                <w:bCs w:val="1"/>
                <w:color w:val="auto"/>
              </w:rPr>
              <w:t>(6,927)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(20,091)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(24,639)</w:t>
            </w:r>
          </w:p>
        </w:tc>
        <w:tc>
          <w:tcPr>
            <w:tcW w:w="240" w:type="dxa"/>
            <w:vAlign w:val="bottom"/>
          </w:tcPr>
          <w:p>
            <w:pPr>
              <w:spacing w:after="0"/>
              <w:rPr>
                <w:sz w:val="17"/>
                <w:szCs w:val="17"/>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(5,491)</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(19,148)</w:t>
            </w:r>
          </w:p>
        </w:tc>
        <w:tc>
          <w:tcPr>
            <w:tcW w:w="0" w:type="dxa"/>
            <w:vAlign w:val="bottom"/>
          </w:tcPr>
          <w:p>
            <w:pPr>
              <w:spacing w:after="0"/>
              <w:rPr>
                <w:sz w:val="1"/>
                <w:szCs w:val="1"/>
                <w:color w:val="auto"/>
              </w:rPr>
            </w:pPr>
          </w:p>
        </w:tc>
      </w:tr>
      <w:tr>
        <w:trPr>
          <w:trHeight w:val="162"/>
        </w:trPr>
        <w:tc>
          <w:tcPr>
            <w:tcW w:w="4860" w:type="dxa"/>
            <w:vAlign w:val="bottom"/>
          </w:tcPr>
          <w:p>
            <w:pPr>
              <w:ind w:left="400"/>
              <w:spacing w:after="0" w:line="162" w:lineRule="exact"/>
              <w:rPr>
                <w:sz w:val="20"/>
                <w:szCs w:val="20"/>
                <w:color w:val="auto"/>
              </w:rPr>
            </w:pPr>
            <w:r>
              <w:rPr>
                <w:rFonts w:ascii="Arial" w:cs="Arial" w:eastAsia="Arial" w:hAnsi="Arial"/>
                <w:sz w:val="15"/>
                <w:szCs w:val="15"/>
                <w:color w:val="auto"/>
              </w:rPr>
              <w:t>Net (gains) losses of affiliates whose operations are not managed</w:t>
            </w:r>
          </w:p>
        </w:tc>
        <w:tc>
          <w:tcPr>
            <w:tcW w:w="160" w:type="dxa"/>
            <w:vAlign w:val="bottom"/>
          </w:tcPr>
          <w:p>
            <w:pPr>
              <w:spacing w:after="0"/>
              <w:rPr>
                <w:sz w:val="14"/>
                <w:szCs w:val="14"/>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(1,380)</w:t>
            </w:r>
          </w:p>
        </w:tc>
        <w:tc>
          <w:tcPr>
            <w:tcW w:w="220" w:type="dxa"/>
            <w:vAlign w:val="bottom"/>
          </w:tcPr>
          <w:p>
            <w:pPr>
              <w:spacing w:after="0"/>
              <w:rPr>
                <w:sz w:val="14"/>
                <w:szCs w:val="14"/>
                <w:color w:val="auto"/>
              </w:rPr>
            </w:pPr>
          </w:p>
        </w:tc>
        <w:tc>
          <w:tcPr>
            <w:tcW w:w="9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(354)</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(1,026)</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520"/>
              <w:spacing w:after="0"/>
              <w:rPr>
                <w:sz w:val="20"/>
                <w:szCs w:val="20"/>
                <w:color w:val="auto"/>
              </w:rPr>
            </w:pPr>
            <w:r>
              <w:rPr>
                <w:rFonts w:ascii="Arial" w:cs="Arial" w:eastAsia="Arial" w:hAnsi="Arial"/>
                <w:sz w:val="15"/>
                <w:szCs w:val="15"/>
                <w:color w:val="auto"/>
              </w:rPr>
              <w:t>by the Company</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5"/>
                <w:szCs w:val="15"/>
                <w:color w:val="auto"/>
              </w:rPr>
              <w:t>6,391</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1,637</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4,754</w:t>
            </w:r>
          </w:p>
        </w:tc>
        <w:tc>
          <w:tcPr>
            <w:tcW w:w="0" w:type="dxa"/>
            <w:vAlign w:val="bottom"/>
          </w:tcPr>
          <w:p>
            <w:pPr>
              <w:spacing w:after="0"/>
              <w:rPr>
                <w:sz w:val="1"/>
                <w:szCs w:val="1"/>
                <w:color w:val="auto"/>
              </w:rPr>
            </w:pPr>
          </w:p>
        </w:tc>
      </w:tr>
      <w:tr>
        <w:trPr>
          <w:trHeight w:val="162"/>
        </w:trPr>
        <w:tc>
          <w:tcPr>
            <w:tcW w:w="4860" w:type="dxa"/>
            <w:vAlign w:val="bottom"/>
          </w:tcPr>
          <w:p>
            <w:pPr>
              <w:ind w:left="400"/>
              <w:spacing w:after="0" w:line="162" w:lineRule="exact"/>
              <w:rPr>
                <w:sz w:val="20"/>
                <w:szCs w:val="20"/>
                <w:color w:val="auto"/>
              </w:rPr>
            </w:pPr>
            <w:r>
              <w:rPr>
                <w:rFonts w:ascii="Arial" w:cs="Arial" w:eastAsia="Arial" w:hAnsi="Arial"/>
                <w:sz w:val="15"/>
                <w:szCs w:val="15"/>
                <w:color w:val="auto"/>
              </w:rPr>
              <w:t>Non-operating loss, from write-downs and impairments of cost</w:t>
            </w:r>
          </w:p>
        </w:tc>
        <w:tc>
          <w:tcPr>
            <w:tcW w:w="160" w:type="dxa"/>
            <w:vAlign w:val="bottom"/>
          </w:tcPr>
          <w:p>
            <w:pPr>
              <w:spacing w:after="0"/>
              <w:rPr>
                <w:sz w:val="14"/>
                <w:szCs w:val="14"/>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1,718</w:t>
            </w:r>
          </w:p>
        </w:tc>
        <w:tc>
          <w:tcPr>
            <w:tcW w:w="220" w:type="dxa"/>
            <w:vAlign w:val="bottom"/>
          </w:tcPr>
          <w:p>
            <w:pPr>
              <w:spacing w:after="0"/>
              <w:rPr>
                <w:sz w:val="14"/>
                <w:szCs w:val="14"/>
                <w:color w:val="auto"/>
              </w:rPr>
            </w:pPr>
          </w:p>
        </w:tc>
        <w:tc>
          <w:tcPr>
            <w:tcW w:w="920" w:type="dxa"/>
            <w:vAlign w:val="bottom"/>
            <w:vMerge w:val="restart"/>
          </w:tcPr>
          <w:p>
            <w:pPr>
              <w:jc w:val="right"/>
              <w:ind w:right="104"/>
              <w:spacing w:after="0"/>
              <w:rPr>
                <w:sz w:val="20"/>
                <w:szCs w:val="20"/>
                <w:color w:val="auto"/>
              </w:rPr>
            </w:pPr>
            <w:r>
              <w:rPr>
                <w:rFonts w:ascii="Arial" w:cs="Arial" w:eastAsia="Arial" w:hAnsi="Arial"/>
                <w:sz w:val="15"/>
                <w:szCs w:val="15"/>
                <w:b w:val="1"/>
                <w:bCs w:val="1"/>
                <w:color w:val="auto"/>
              </w:rPr>
              <w:t>441</w:t>
            </w:r>
          </w:p>
        </w:tc>
        <w:tc>
          <w:tcPr>
            <w:tcW w:w="22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1,277</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52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5"/>
                <w:szCs w:val="15"/>
                <w:color w:val="auto"/>
              </w:rPr>
              <w:t>500</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111</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389</w:t>
            </w:r>
          </w:p>
        </w:tc>
        <w:tc>
          <w:tcPr>
            <w:tcW w:w="0" w:type="dxa"/>
            <w:vAlign w:val="bottom"/>
          </w:tcPr>
          <w:p>
            <w:pPr>
              <w:spacing w:after="0"/>
              <w:rPr>
                <w:sz w:val="1"/>
                <w:szCs w:val="1"/>
                <w:color w:val="auto"/>
              </w:rPr>
            </w:pPr>
          </w:p>
        </w:tc>
      </w:tr>
      <w:tr>
        <w:trPr>
          <w:trHeight w:val="162"/>
        </w:trPr>
        <w:tc>
          <w:tcPr>
            <w:tcW w:w="4860" w:type="dxa"/>
            <w:vAlign w:val="bottom"/>
          </w:tcPr>
          <w:p>
            <w:pPr>
              <w:ind w:left="400"/>
              <w:spacing w:after="0" w:line="162"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34,150</w:t>
            </w:r>
          </w:p>
        </w:tc>
        <w:tc>
          <w:tcPr>
            <w:tcW w:w="220" w:type="dxa"/>
            <w:vAlign w:val="bottom"/>
          </w:tcPr>
          <w:p>
            <w:pPr>
              <w:spacing w:after="0"/>
              <w:rPr>
                <w:sz w:val="14"/>
                <w:szCs w:val="14"/>
                <w:color w:val="auto"/>
              </w:rPr>
            </w:pPr>
          </w:p>
        </w:tc>
        <w:tc>
          <w:tcPr>
            <w:tcW w:w="92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(3,171)</w:t>
            </w:r>
          </w:p>
        </w:tc>
        <w:tc>
          <w:tcPr>
            <w:tcW w:w="22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37,321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6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2"/>
              <w:spacing w:after="0"/>
              <w:rPr>
                <w:sz w:val="20"/>
                <w:szCs w:val="20"/>
                <w:color w:val="auto"/>
              </w:rPr>
            </w:pPr>
            <w:r>
              <w:rPr>
                <w:rFonts w:ascii="Arial" w:cs="Arial" w:eastAsia="Arial" w:hAnsi="Arial"/>
                <w:sz w:val="15"/>
                <w:szCs w:val="15"/>
                <w:color w:val="auto"/>
              </w:rPr>
              <w:t>8,701</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377</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8,324</w:t>
            </w:r>
          </w:p>
        </w:tc>
        <w:tc>
          <w:tcPr>
            <w:tcW w:w="0" w:type="dxa"/>
            <w:vAlign w:val="bottom"/>
          </w:tcPr>
          <w:p>
            <w:pPr>
              <w:spacing w:after="0"/>
              <w:rPr>
                <w:sz w:val="1"/>
                <w:szCs w:val="1"/>
                <w:color w:val="auto"/>
              </w:rPr>
            </w:pPr>
          </w:p>
        </w:tc>
      </w:tr>
      <w:tr>
        <w:trPr>
          <w:trHeight w:val="196"/>
        </w:trPr>
        <w:tc>
          <w:tcPr>
            <w:tcW w:w="486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98,731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49,694</w:t>
            </w:r>
          </w:p>
        </w:tc>
        <w:tc>
          <w:tcPr>
            <w:tcW w:w="0" w:type="dxa"/>
            <w:vAlign w:val="bottom"/>
          </w:tcPr>
          <w:p>
            <w:pPr>
              <w:spacing w:after="0"/>
              <w:rPr>
                <w:sz w:val="1"/>
                <w:szCs w:val="1"/>
                <w:color w:val="auto"/>
              </w:rPr>
            </w:pPr>
          </w:p>
        </w:tc>
      </w:tr>
      <w:tr>
        <w:trPr>
          <w:trHeight w:val="244"/>
        </w:trPr>
        <w:tc>
          <w:tcPr>
            <w:tcW w:w="486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86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125.55</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860" w:type="dxa"/>
            <w:vAlign w:val="bottom"/>
          </w:tcPr>
          <w:p>
            <w:pPr>
              <w:ind w:left="18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11.72</w:t>
            </w:r>
          </w:p>
        </w:tc>
        <w:tc>
          <w:tcPr>
            <w:tcW w:w="0" w:type="dxa"/>
            <w:vAlign w:val="bottom"/>
          </w:tcPr>
          <w:p>
            <w:pPr>
              <w:spacing w:after="0"/>
              <w:rPr>
                <w:sz w:val="1"/>
                <w:szCs w:val="1"/>
                <w:color w:val="auto"/>
              </w:rPr>
            </w:pPr>
          </w:p>
        </w:tc>
      </w:tr>
      <w:tr>
        <w:trPr>
          <w:trHeight w:val="190"/>
        </w:trPr>
        <w:tc>
          <w:tcPr>
            <w:tcW w:w="486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860" w:type="dxa"/>
            <w:vAlign w:val="bottom"/>
          </w:tcPr>
          <w:p>
            <w:pPr>
              <w:ind w:left="400"/>
              <w:spacing w:after="0" w:line="164" w:lineRule="exact"/>
              <w:rPr>
                <w:sz w:val="20"/>
                <w:szCs w:val="20"/>
                <w:color w:val="auto"/>
              </w:rPr>
            </w:pPr>
            <w:r>
              <w:rPr>
                <w:rFonts w:ascii="Arial" w:cs="Arial" w:eastAsia="Arial" w:hAnsi="Arial"/>
                <w:sz w:val="15"/>
                <w:szCs w:val="15"/>
                <w:color w:val="auto"/>
              </w:rPr>
              <w:t>Net credit related to fair value changes in contingent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860" w:type="dxa"/>
            <w:vAlign w:val="bottom"/>
          </w:tcPr>
          <w:p>
            <w:pPr>
              <w:ind w:left="520"/>
              <w:spacing w:after="0"/>
              <w:rPr>
                <w:sz w:val="20"/>
                <w:szCs w:val="20"/>
                <w:color w:val="auto"/>
              </w:rPr>
            </w:pPr>
            <w:r>
              <w:rPr>
                <w:rFonts w:ascii="Arial" w:cs="Arial" w:eastAsia="Arial" w:hAnsi="Arial"/>
                <w:sz w:val="15"/>
                <w:szCs w:val="15"/>
                <w:color w:val="auto"/>
              </w:rPr>
              <w:t>consideration from prior acquisitions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(0.43)</w:t>
            </w:r>
          </w:p>
        </w:tc>
        <w:tc>
          <w:tcPr>
            <w:tcW w:w="0" w:type="dxa"/>
            <w:vAlign w:val="bottom"/>
          </w:tcPr>
          <w:p>
            <w:pPr>
              <w:spacing w:after="0"/>
              <w:rPr>
                <w:sz w:val="1"/>
                <w:szCs w:val="1"/>
                <w:color w:val="auto"/>
              </w:rPr>
            </w:pPr>
          </w:p>
        </w:tc>
      </w:tr>
      <w:tr>
        <w:trPr>
          <w:trHeight w:val="203"/>
        </w:trPr>
        <w:tc>
          <w:tcPr>
            <w:tcW w:w="486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4.17</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0.85</w:t>
            </w:r>
          </w:p>
        </w:tc>
        <w:tc>
          <w:tcPr>
            <w:tcW w:w="0" w:type="dxa"/>
            <w:vAlign w:val="bottom"/>
          </w:tcPr>
          <w:p>
            <w:pPr>
              <w:spacing w:after="0"/>
              <w:rPr>
                <w:sz w:val="1"/>
                <w:szCs w:val="1"/>
                <w:color w:val="auto"/>
              </w:rPr>
            </w:pPr>
          </w:p>
        </w:tc>
      </w:tr>
      <w:tr>
        <w:trPr>
          <w:trHeight w:val="203"/>
        </w:trPr>
        <w:tc>
          <w:tcPr>
            <w:tcW w:w="486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(111.23)</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b w:val="1"/>
                <w:bCs w:val="1"/>
                <w:color w:val="auto"/>
              </w:rPr>
              <w:t>0.09</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0.04</w:t>
            </w:r>
          </w:p>
        </w:tc>
        <w:tc>
          <w:tcPr>
            <w:tcW w:w="0" w:type="dxa"/>
            <w:vAlign w:val="bottom"/>
          </w:tcPr>
          <w:p>
            <w:pPr>
              <w:spacing w:after="0"/>
              <w:rPr>
                <w:sz w:val="1"/>
                <w:szCs w:val="1"/>
                <w:color w:val="auto"/>
              </w:rPr>
            </w:pPr>
          </w:p>
        </w:tc>
      </w:tr>
      <w:tr>
        <w:trPr>
          <w:trHeight w:val="204"/>
        </w:trPr>
        <w:tc>
          <w:tcPr>
            <w:tcW w:w="486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(4.60)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(4.21)</w:t>
            </w:r>
          </w:p>
        </w:tc>
        <w:tc>
          <w:tcPr>
            <w:tcW w:w="0" w:type="dxa"/>
            <w:vAlign w:val="bottom"/>
          </w:tcPr>
          <w:p>
            <w:pPr>
              <w:spacing w:after="0"/>
              <w:rPr>
                <w:sz w:val="1"/>
                <w:szCs w:val="1"/>
                <w:color w:val="auto"/>
              </w:rPr>
            </w:pPr>
          </w:p>
        </w:tc>
      </w:tr>
      <w:tr>
        <w:trPr>
          <w:trHeight w:val="162"/>
        </w:trPr>
        <w:tc>
          <w:tcPr>
            <w:tcW w:w="4860" w:type="dxa"/>
            <w:vAlign w:val="bottom"/>
          </w:tcPr>
          <w:p>
            <w:pPr>
              <w:ind w:left="400"/>
              <w:spacing w:after="0" w:line="162" w:lineRule="exact"/>
              <w:rPr>
                <w:sz w:val="20"/>
                <w:szCs w:val="20"/>
                <w:color w:val="auto"/>
              </w:rPr>
            </w:pPr>
            <w:r>
              <w:rPr>
                <w:rFonts w:ascii="Arial" w:cs="Arial" w:eastAsia="Arial" w:hAnsi="Arial"/>
                <w:sz w:val="15"/>
                <w:szCs w:val="15"/>
                <w:color w:val="auto"/>
              </w:rPr>
              <w:t>Net (gains) losses of affiliates whose operations are not managed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520"/>
              <w:spacing w:after="0"/>
              <w:rPr>
                <w:sz w:val="20"/>
                <w:szCs w:val="20"/>
                <w:color w:val="auto"/>
              </w:rPr>
            </w:pPr>
            <w:r>
              <w:rPr>
                <w:rFonts w:ascii="Arial" w:cs="Arial" w:eastAsia="Arial" w:hAnsi="Arial"/>
                <w:sz w:val="15"/>
                <w:szCs w:val="15"/>
                <w:color w:val="auto"/>
              </w:rPr>
              <w:t>by the Company</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162"/>
        </w:trPr>
        <w:tc>
          <w:tcPr>
            <w:tcW w:w="4860" w:type="dxa"/>
            <w:vAlign w:val="bottom"/>
          </w:tcPr>
          <w:p>
            <w:pPr>
              <w:ind w:left="400"/>
              <w:spacing w:after="0" w:line="162" w:lineRule="exact"/>
              <w:rPr>
                <w:sz w:val="20"/>
                <w:szCs w:val="20"/>
                <w:color w:val="auto"/>
              </w:rPr>
            </w:pPr>
            <w:r>
              <w:rPr>
                <w:rFonts w:ascii="Arial" w:cs="Arial" w:eastAsia="Arial" w:hAnsi="Arial"/>
                <w:sz w:val="15"/>
                <w:szCs w:val="15"/>
                <w:color w:val="auto"/>
              </w:rPr>
              <w:t>Non-operating loss, from write-downs and impairments of cost</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0.29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520"/>
              <w:spacing w:after="0"/>
              <w:rPr>
                <w:sz w:val="20"/>
                <w:szCs w:val="20"/>
                <w:color w:val="auto"/>
              </w:rPr>
            </w:pPr>
            <w:r>
              <w:rPr>
                <w:rFonts w:ascii="Arial" w:cs="Arial" w:eastAsia="Arial" w:hAnsi="Arial"/>
                <w:sz w:val="15"/>
                <w:szCs w:val="15"/>
                <w:color w:val="auto"/>
              </w:rPr>
              <w:t>method investments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162"/>
        </w:trPr>
        <w:tc>
          <w:tcPr>
            <w:tcW w:w="4860" w:type="dxa"/>
            <w:vAlign w:val="bottom"/>
          </w:tcPr>
          <w:p>
            <w:pPr>
              <w:ind w:left="400"/>
              <w:spacing w:after="0" w:line="162" w:lineRule="exact"/>
              <w:rPr>
                <w:sz w:val="20"/>
                <w:szCs w:val="20"/>
                <w:color w:val="auto"/>
              </w:rPr>
            </w:pPr>
            <w:r>
              <w:rPr>
                <w:rFonts w:ascii="Arial" w:cs="Arial" w:eastAsia="Arial" w:hAnsi="Arial"/>
                <w:sz w:val="15"/>
                <w:szCs w:val="15"/>
                <w:color w:val="auto"/>
              </w:rPr>
              <w:t>Interest expense related to the fair value adjustment of the</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8.54</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486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1.83</w:t>
            </w:r>
          </w:p>
        </w:tc>
        <w:tc>
          <w:tcPr>
            <w:tcW w:w="0" w:type="dxa"/>
            <w:vAlign w:val="bottom"/>
          </w:tcPr>
          <w:p>
            <w:pPr>
              <w:spacing w:after="0"/>
              <w:rPr>
                <w:sz w:val="1"/>
                <w:szCs w:val="1"/>
                <w:color w:val="auto"/>
              </w:rPr>
            </w:pPr>
          </w:p>
        </w:tc>
      </w:tr>
      <w:tr>
        <w:trPr>
          <w:trHeight w:val="196"/>
        </w:trPr>
        <w:tc>
          <w:tcPr>
            <w:tcW w:w="486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22.58</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10.94</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87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7"/>
        </w:trPr>
        <w:tc>
          <w:tcPr>
            <w:tcW w:w="4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7"/>
          </w:tcPr>
          <w:p>
            <w:pPr>
              <w:jc w:val="right"/>
              <w:ind w:right="724"/>
              <w:spacing w:after="0"/>
              <w:rPr>
                <w:sz w:val="20"/>
                <w:szCs w:val="20"/>
                <w:color w:val="auto"/>
              </w:rPr>
            </w:pPr>
            <w:r>
              <w:rPr>
                <w:rFonts w:ascii="Arial" w:cs="Arial" w:eastAsia="Arial" w:hAnsi="Arial"/>
                <w:sz w:val="16"/>
                <w:szCs w:val="16"/>
                <w:b w:val="1"/>
                <w:bCs w:val="1"/>
                <w:color w:val="auto"/>
              </w:rPr>
              <w:t>Twelve Months Ended December 31</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2024</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rPr>
              <w:t>2023</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44"/>
              <w:spacing w:after="0" w:line="142" w:lineRule="exact"/>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2"/>
                <w:szCs w:val="12"/>
                <w:color w:val="auto"/>
              </w:rPr>
            </w:pPr>
          </w:p>
        </w:tc>
        <w:tc>
          <w:tcPr>
            <w:tcW w:w="880" w:type="dxa"/>
            <w:vAlign w:val="bottom"/>
            <w:vMerge w:val="restart"/>
          </w:tcPr>
          <w:p>
            <w:pPr>
              <w:jc w:val="right"/>
              <w:ind w:right="223"/>
              <w:spacing w:after="0"/>
              <w:rPr>
                <w:sz w:val="20"/>
                <w:szCs w:val="20"/>
                <w:color w:val="auto"/>
              </w:rPr>
            </w:pPr>
            <w:r>
              <w:rPr>
                <w:rFonts w:ascii="Arial" w:cs="Arial" w:eastAsia="Arial" w:hAnsi="Arial"/>
                <w:sz w:val="15"/>
                <w:szCs w:val="15"/>
                <w:b w:val="1"/>
                <w:bCs w:val="1"/>
                <w:color w:val="auto"/>
              </w:rPr>
              <w:t>Income</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ind w:right="144"/>
              <w:spacing w:after="0" w:line="142" w:lineRule="exact"/>
              <w:rPr>
                <w:sz w:val="20"/>
                <w:szCs w:val="20"/>
                <w:color w:val="auto"/>
              </w:rPr>
            </w:pPr>
            <w:r>
              <w:rPr>
                <w:rFonts w:ascii="Arial" w:cs="Arial" w:eastAsia="Arial" w:hAnsi="Arial"/>
                <w:sz w:val="15"/>
                <w:szCs w:val="15"/>
                <w:color w:val="auto"/>
              </w:rPr>
              <w:t>Income</w:t>
            </w:r>
          </w:p>
        </w:tc>
        <w:tc>
          <w:tcPr>
            <w:tcW w:w="200" w:type="dxa"/>
            <w:vAlign w:val="bottom"/>
          </w:tcPr>
          <w:p>
            <w:pPr>
              <w:spacing w:after="0"/>
              <w:rPr>
                <w:sz w:val="12"/>
                <w:szCs w:val="12"/>
                <w:color w:val="auto"/>
              </w:rPr>
            </w:pPr>
          </w:p>
        </w:tc>
        <w:tc>
          <w:tcPr>
            <w:tcW w:w="880" w:type="dxa"/>
            <w:vAlign w:val="bottom"/>
            <w:vMerge w:val="restart"/>
          </w:tcPr>
          <w:p>
            <w:pPr>
              <w:jc w:val="center"/>
              <w:ind w:right="184"/>
              <w:spacing w:after="0"/>
              <w:rPr>
                <w:sz w:val="20"/>
                <w:szCs w:val="20"/>
                <w:color w:val="auto"/>
              </w:rPr>
            </w:pPr>
            <w:r>
              <w:rPr>
                <w:rFonts w:ascii="Arial" w:cs="Arial" w:eastAsia="Arial" w:hAnsi="Arial"/>
                <w:sz w:val="15"/>
                <w:szCs w:val="15"/>
                <w:color w:val="auto"/>
              </w:rPr>
              <w:t>Income</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20" w:type="dxa"/>
            <w:vAlign w:val="bottom"/>
            <w:vMerge w:val="restart"/>
          </w:tcPr>
          <w:p>
            <w:pPr>
              <w:jc w:val="center"/>
              <w:ind w:right="164"/>
              <w:spacing w:after="0" w:line="156" w:lineRule="exact"/>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960" w:type="dxa"/>
            <w:vAlign w:val="bottom"/>
            <w:gridSpan w:val="2"/>
            <w:vMerge w:val="restart"/>
          </w:tcPr>
          <w:p>
            <w:pPr>
              <w:jc w:val="right"/>
              <w:ind w:right="4"/>
              <w:spacing w:after="0" w:line="156" w:lineRule="exact"/>
              <w:rPr>
                <w:sz w:val="20"/>
                <w:szCs w:val="20"/>
                <w:color w:val="auto"/>
              </w:rPr>
            </w:pPr>
            <w:r>
              <w:rPr>
                <w:rFonts w:ascii="Arial" w:cs="Arial" w:eastAsia="Arial" w:hAnsi="Arial"/>
                <w:sz w:val="15"/>
                <w:szCs w:val="15"/>
                <w:b w:val="1"/>
                <w:bCs w:val="1"/>
                <w:color w:val="auto"/>
              </w:rPr>
              <w:t>Net Income</w:t>
            </w:r>
          </w:p>
        </w:tc>
        <w:tc>
          <w:tcPr>
            <w:tcW w:w="240" w:type="dxa"/>
            <w:vAlign w:val="bottom"/>
          </w:tcPr>
          <w:p>
            <w:pPr>
              <w:spacing w:after="0"/>
              <w:rPr>
                <w:sz w:val="5"/>
                <w:szCs w:val="5"/>
                <w:color w:val="auto"/>
              </w:rPr>
            </w:pPr>
          </w:p>
        </w:tc>
        <w:tc>
          <w:tcPr>
            <w:tcW w:w="840" w:type="dxa"/>
            <w:vAlign w:val="bottom"/>
            <w:vMerge w:val="restart"/>
          </w:tcPr>
          <w:p>
            <w:pPr>
              <w:jc w:val="center"/>
              <w:ind w:right="124"/>
              <w:spacing w:after="0" w:line="156" w:lineRule="exact"/>
              <w:rPr>
                <w:sz w:val="20"/>
                <w:szCs w:val="20"/>
                <w:color w:val="auto"/>
              </w:rPr>
            </w:pPr>
            <w:r>
              <w:rPr>
                <w:rFonts w:ascii="Arial" w:cs="Arial" w:eastAsia="Arial" w:hAnsi="Arial"/>
                <w:sz w:val="15"/>
                <w:szCs w:val="15"/>
                <w:color w:val="auto"/>
              </w:rPr>
              <w:t>before</w:t>
            </w:r>
          </w:p>
        </w:tc>
        <w:tc>
          <w:tcPr>
            <w:tcW w:w="20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960" w:type="dxa"/>
            <w:vAlign w:val="bottom"/>
            <w:gridSpan w:val="2"/>
            <w:vMerge w:val="restart"/>
          </w:tcPr>
          <w:p>
            <w:pPr>
              <w:jc w:val="right"/>
              <w:ind w:right="24"/>
              <w:spacing w:after="0" w:line="156" w:lineRule="exact"/>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89"/>
        </w:trPr>
        <w:tc>
          <w:tcPr>
            <w:tcW w:w="4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Taxes</w:t>
            </w:r>
          </w:p>
        </w:tc>
        <w:tc>
          <w:tcPr>
            <w:tcW w:w="9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vMerge w:val="restart"/>
          </w:tcPr>
          <w:p>
            <w:pPr>
              <w:jc w:val="center"/>
              <w:ind w:right="164"/>
              <w:spacing w:after="0"/>
              <w:rPr>
                <w:sz w:val="20"/>
                <w:szCs w:val="20"/>
                <w:color w:val="auto"/>
              </w:rPr>
            </w:pPr>
            <w:r>
              <w:rPr>
                <w:rFonts w:ascii="Arial" w:cs="Arial" w:eastAsia="Arial" w:hAnsi="Arial"/>
                <w:sz w:val="15"/>
                <w:szCs w:val="15"/>
                <w:color w:val="auto"/>
                <w:w w:val="97"/>
              </w:rPr>
              <w:t>Taxes</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492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10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income taxes</w:t>
            </w: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5"/>
                <w:szCs w:val="15"/>
                <w:color w:val="auto"/>
              </w:rPr>
              <w:t>income taxes</w:t>
            </w: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492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gridSpan w:val="2"/>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4920" w:type="dxa"/>
            <w:vAlign w:val="bottom"/>
          </w:tcPr>
          <w:p>
            <w:pPr>
              <w:ind w:left="20"/>
              <w:spacing w:after="0" w:line="142"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2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80" w:type="dxa"/>
            <w:vAlign w:val="bottom"/>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920" w:type="dxa"/>
            <w:vAlign w:val="bottom"/>
          </w:tcPr>
          <w:p>
            <w:pPr>
              <w:jc w:val="right"/>
              <w:ind w:right="44"/>
              <w:spacing w:after="0"/>
              <w:rPr>
                <w:sz w:val="20"/>
                <w:szCs w:val="20"/>
                <w:color w:val="auto"/>
              </w:rPr>
            </w:pPr>
            <w:r>
              <w:rPr>
                <w:rFonts w:ascii="Arial" w:cs="Arial" w:eastAsia="Arial" w:hAnsi="Arial"/>
                <w:sz w:val="15"/>
                <w:szCs w:val="15"/>
                <w:b w:val="1"/>
                <w:bCs w:val="1"/>
                <w:color w:val="auto"/>
              </w:rPr>
              <w:t>1,024,710</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83"/>
              <w:spacing w:after="0"/>
              <w:rPr>
                <w:sz w:val="20"/>
                <w:szCs w:val="20"/>
                <w:color w:val="auto"/>
              </w:rPr>
            </w:pPr>
            <w:r>
              <w:rPr>
                <w:rFonts w:ascii="Arial" w:cs="Arial" w:eastAsia="Arial" w:hAnsi="Arial"/>
                <w:sz w:val="15"/>
                <w:szCs w:val="15"/>
                <w:b w:val="1"/>
                <w:bCs w:val="1"/>
                <w:color w:val="auto"/>
              </w:rPr>
              <w:t>292,100</w:t>
            </w:r>
          </w:p>
        </w:tc>
        <w:tc>
          <w:tcPr>
            <w:tcW w:w="180" w:type="dxa"/>
            <w:vAlign w:val="bottom"/>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732,610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299,004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87,300</w:t>
            </w: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211,704</w:t>
            </w:r>
          </w:p>
        </w:tc>
        <w:tc>
          <w:tcPr>
            <w:tcW w:w="0" w:type="dxa"/>
            <w:vAlign w:val="bottom"/>
          </w:tcPr>
          <w:p>
            <w:pPr>
              <w:spacing w:after="0"/>
              <w:rPr>
                <w:sz w:val="1"/>
                <w:szCs w:val="1"/>
                <w:color w:val="auto"/>
              </w:rPr>
            </w:pPr>
          </w:p>
        </w:tc>
      </w:tr>
      <w:tr>
        <w:trPr>
          <w:trHeight w:val="208"/>
        </w:trPr>
        <w:tc>
          <w:tcPr>
            <w:tcW w:w="492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(7,976)</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(6,416)</w:t>
            </w:r>
          </w:p>
        </w:tc>
        <w:tc>
          <w:tcPr>
            <w:tcW w:w="0" w:type="dxa"/>
            <w:vAlign w:val="bottom"/>
          </w:tcPr>
          <w:p>
            <w:pPr>
              <w:spacing w:after="0"/>
              <w:rPr>
                <w:sz w:val="1"/>
                <w:szCs w:val="1"/>
                <w:color w:val="auto"/>
              </w:rPr>
            </w:pPr>
          </w:p>
        </w:tc>
      </w:tr>
      <w:tr>
        <w:trPr>
          <w:trHeight w:val="192"/>
        </w:trPr>
        <w:tc>
          <w:tcPr>
            <w:tcW w:w="492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724,634</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205,288</w:t>
            </w:r>
          </w:p>
        </w:tc>
        <w:tc>
          <w:tcPr>
            <w:tcW w:w="0" w:type="dxa"/>
            <w:vAlign w:val="bottom"/>
          </w:tcPr>
          <w:p>
            <w:pPr>
              <w:spacing w:after="0"/>
              <w:rPr>
                <w:sz w:val="1"/>
                <w:szCs w:val="1"/>
                <w:color w:val="auto"/>
              </w:rPr>
            </w:pPr>
          </w:p>
        </w:tc>
      </w:tr>
      <w:tr>
        <w:trPr>
          <w:trHeight w:val="200"/>
        </w:trPr>
        <w:tc>
          <w:tcPr>
            <w:tcW w:w="492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4920" w:type="dxa"/>
            <w:vAlign w:val="bottom"/>
          </w:tcPr>
          <w:p>
            <w:pPr>
              <w:ind w:left="380"/>
              <w:spacing w:after="0" w:line="154" w:lineRule="exact"/>
              <w:rPr>
                <w:sz w:val="20"/>
                <w:szCs w:val="20"/>
                <w:color w:val="auto"/>
              </w:rPr>
            </w:pPr>
            <w:r>
              <w:rPr>
                <w:rFonts w:ascii="Arial" w:cs="Arial" w:eastAsia="Arial" w:hAnsi="Arial"/>
                <w:sz w:val="15"/>
                <w:szCs w:val="15"/>
                <w:color w:val="auto"/>
              </w:rPr>
              <w:t>Net credit related to fair value changes in contingent consideration</w:t>
            </w:r>
          </w:p>
        </w:tc>
        <w:tc>
          <w:tcPr>
            <w:tcW w:w="180" w:type="dxa"/>
            <w:vAlign w:val="bottom"/>
          </w:tcPr>
          <w:p>
            <w:pPr>
              <w:spacing w:after="0"/>
              <w:rPr>
                <w:sz w:val="13"/>
                <w:szCs w:val="13"/>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3"/>
                <w:szCs w:val="13"/>
                <w:color w:val="auto"/>
              </w:rPr>
            </w:pPr>
          </w:p>
        </w:tc>
        <w:tc>
          <w:tcPr>
            <w:tcW w:w="88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500"/>
              <w:spacing w:after="0"/>
              <w:rPr>
                <w:sz w:val="20"/>
                <w:szCs w:val="20"/>
                <w:color w:val="auto"/>
              </w:rPr>
            </w:pPr>
            <w:r>
              <w:rPr>
                <w:rFonts w:ascii="Arial" w:cs="Arial" w:eastAsia="Arial" w:hAnsi="Arial"/>
                <w:sz w:val="15"/>
                <w:szCs w:val="15"/>
                <w:color w:val="auto"/>
              </w:rPr>
              <w:t>from prior acquisitions</w:t>
            </w: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(6,955)</w:t>
            </w:r>
          </w:p>
        </w:tc>
        <w:tc>
          <w:tcPr>
            <w:tcW w:w="20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(473)</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(6,482)</w:t>
            </w:r>
          </w:p>
        </w:tc>
        <w:tc>
          <w:tcPr>
            <w:tcW w:w="0" w:type="dxa"/>
            <w:vAlign w:val="bottom"/>
          </w:tcPr>
          <w:p>
            <w:pPr>
              <w:spacing w:after="0"/>
              <w:rPr>
                <w:sz w:val="1"/>
                <w:szCs w:val="1"/>
                <w:color w:val="auto"/>
              </w:rPr>
            </w:pPr>
          </w:p>
        </w:tc>
      </w:tr>
      <w:tr>
        <w:trPr>
          <w:trHeight w:val="203"/>
        </w:trPr>
        <w:tc>
          <w:tcPr>
            <w:tcW w:w="4920" w:type="dxa"/>
            <w:vAlign w:val="bottom"/>
          </w:tcPr>
          <w:p>
            <w:pPr>
              <w:ind w:left="380"/>
              <w:spacing w:after="0"/>
              <w:rPr>
                <w:sz w:val="20"/>
                <w:szCs w:val="20"/>
                <w:color w:val="auto"/>
              </w:rPr>
            </w:pPr>
            <w:r>
              <w:rPr>
                <w:rFonts w:ascii="Arial" w:cs="Arial" w:eastAsia="Arial" w:hAnsi="Arial"/>
                <w:sz w:val="15"/>
                <w:szCs w:val="15"/>
                <w:color w:val="auto"/>
              </w:rPr>
              <w:t>Goodwill and other long-lived asset impairment charges</w:t>
            </w:r>
          </w:p>
        </w:tc>
        <w:tc>
          <w:tcPr>
            <w:tcW w:w="180" w:type="dxa"/>
            <w:vAlign w:val="bottom"/>
          </w:tcPr>
          <w:p>
            <w:pPr>
              <w:spacing w:after="0"/>
              <w:rPr>
                <w:sz w:val="17"/>
                <w:szCs w:val="17"/>
                <w:color w:val="auto"/>
              </w:rPr>
            </w:pPr>
          </w:p>
        </w:tc>
        <w:tc>
          <w:tcPr>
            <w:tcW w:w="920" w:type="dxa"/>
            <w:vAlign w:val="bottom"/>
          </w:tcPr>
          <w:p>
            <w:pPr>
              <w:jc w:val="right"/>
              <w:ind w:right="44"/>
              <w:spacing w:after="0"/>
              <w:rPr>
                <w:sz w:val="20"/>
                <w:szCs w:val="20"/>
                <w:color w:val="auto"/>
              </w:rPr>
            </w:pPr>
            <w:r>
              <w:rPr>
                <w:rFonts w:ascii="Arial" w:cs="Arial" w:eastAsia="Arial" w:hAnsi="Arial"/>
                <w:sz w:val="15"/>
                <w:szCs w:val="15"/>
                <w:b w:val="1"/>
                <w:bCs w:val="1"/>
                <w:color w:val="auto"/>
              </w:rPr>
              <w:t>49,822</w:t>
            </w:r>
          </w:p>
        </w:tc>
        <w:tc>
          <w:tcPr>
            <w:tcW w:w="200" w:type="dxa"/>
            <w:vAlign w:val="bottom"/>
          </w:tcPr>
          <w:p>
            <w:pPr>
              <w:spacing w:after="0"/>
              <w:rPr>
                <w:sz w:val="17"/>
                <w:szCs w:val="17"/>
                <w:color w:val="auto"/>
              </w:rPr>
            </w:pPr>
          </w:p>
        </w:tc>
        <w:tc>
          <w:tcPr>
            <w:tcW w:w="880" w:type="dxa"/>
            <w:vAlign w:val="bottom"/>
          </w:tcPr>
          <w:p>
            <w:pPr>
              <w:jc w:val="right"/>
              <w:ind w:right="83"/>
              <w:spacing w:after="0"/>
              <w:rPr>
                <w:sz w:val="20"/>
                <w:szCs w:val="20"/>
                <w:color w:val="auto"/>
              </w:rPr>
            </w:pPr>
            <w:r>
              <w:rPr>
                <w:rFonts w:ascii="Arial" w:cs="Arial" w:eastAsia="Arial" w:hAnsi="Arial"/>
                <w:sz w:val="15"/>
                <w:szCs w:val="15"/>
                <w:b w:val="1"/>
                <w:bCs w:val="1"/>
                <w:color w:val="auto"/>
              </w:rPr>
              <w:t>10,377</w:t>
            </w: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39,445</w:t>
            </w:r>
          </w:p>
        </w:tc>
        <w:tc>
          <w:tcPr>
            <w:tcW w:w="24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99,066</w:t>
            </w:r>
          </w:p>
        </w:tc>
        <w:tc>
          <w:tcPr>
            <w:tcW w:w="200" w:type="dxa"/>
            <w:vAlign w:val="bottom"/>
          </w:tcPr>
          <w:p>
            <w:pPr>
              <w:spacing w:after="0"/>
              <w:rPr>
                <w:sz w:val="17"/>
                <w:szCs w:val="17"/>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10,204</w:t>
            </w: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88,862</w:t>
            </w:r>
          </w:p>
        </w:tc>
        <w:tc>
          <w:tcPr>
            <w:tcW w:w="0" w:type="dxa"/>
            <w:vAlign w:val="bottom"/>
          </w:tcPr>
          <w:p>
            <w:pPr>
              <w:spacing w:after="0"/>
              <w:rPr>
                <w:sz w:val="1"/>
                <w:szCs w:val="1"/>
                <w:color w:val="auto"/>
              </w:rPr>
            </w:pPr>
          </w:p>
        </w:tc>
      </w:tr>
      <w:tr>
        <w:trPr>
          <w:trHeight w:val="204"/>
        </w:trPr>
        <w:tc>
          <w:tcPr>
            <w:tcW w:w="4920" w:type="dxa"/>
            <w:vAlign w:val="bottom"/>
          </w:tcPr>
          <w:p>
            <w:pPr>
              <w:ind w:left="380"/>
              <w:spacing w:after="0"/>
              <w:rPr>
                <w:sz w:val="20"/>
                <w:szCs w:val="20"/>
                <w:color w:val="auto"/>
              </w:rPr>
            </w:pPr>
            <w:r>
              <w:rPr>
                <w:rFonts w:ascii="Arial" w:cs="Arial" w:eastAsia="Arial" w:hAnsi="Arial"/>
                <w:sz w:val="15"/>
                <w:szCs w:val="15"/>
                <w:color w:val="auto"/>
              </w:rPr>
              <w:t>Settlement gain related to retiree annuity pension purchase</w:t>
            </w:r>
          </w:p>
        </w:tc>
        <w:tc>
          <w:tcPr>
            <w:tcW w:w="1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b w:val="1"/>
                <w:bCs w:val="1"/>
                <w:color w:val="auto"/>
              </w:rPr>
              <w:t>(653,427)</w:t>
            </w:r>
          </w:p>
        </w:tc>
        <w:tc>
          <w:tcPr>
            <w:tcW w:w="20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b w:val="1"/>
                <w:bCs w:val="1"/>
                <w:color w:val="auto"/>
              </w:rPr>
              <w:t>(167,285)</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(486,142)</w:t>
            </w:r>
          </w:p>
        </w:tc>
        <w:tc>
          <w:tcPr>
            <w:tcW w:w="240" w:type="dxa"/>
            <w:vAlign w:val="bottom"/>
          </w:tcPr>
          <w:p>
            <w:pPr>
              <w:spacing w:after="0"/>
              <w:rPr>
                <w:sz w:val="17"/>
                <w:szCs w:val="17"/>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Charges related to non-operating Voluntary Retirement Incentive</w:t>
            </w:r>
          </w:p>
        </w:tc>
        <w:tc>
          <w:tcPr>
            <w:tcW w:w="180" w:type="dxa"/>
            <w:vAlign w:val="bottom"/>
          </w:tcPr>
          <w:p>
            <w:pPr>
              <w:spacing w:after="0"/>
              <w:rPr>
                <w:sz w:val="13"/>
                <w:szCs w:val="13"/>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20,998</w:t>
            </w:r>
          </w:p>
        </w:tc>
        <w:tc>
          <w:tcPr>
            <w:tcW w:w="200" w:type="dxa"/>
            <w:vAlign w:val="bottom"/>
          </w:tcPr>
          <w:p>
            <w:pPr>
              <w:spacing w:after="0"/>
              <w:rPr>
                <w:sz w:val="13"/>
                <w:szCs w:val="13"/>
                <w:color w:val="auto"/>
              </w:rPr>
            </w:pPr>
          </w:p>
        </w:tc>
        <w:tc>
          <w:tcPr>
            <w:tcW w:w="88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5,375</w:t>
            </w: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15,623</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500"/>
              <w:spacing w:after="0"/>
              <w:rPr>
                <w:sz w:val="20"/>
                <w:szCs w:val="20"/>
                <w:color w:val="auto"/>
              </w:rPr>
            </w:pPr>
            <w:r>
              <w:rPr>
                <w:rFonts w:ascii="Arial" w:cs="Arial" w:eastAsia="Arial" w:hAnsi="Arial"/>
                <w:sz w:val="15"/>
                <w:szCs w:val="15"/>
                <w:color w:val="auto"/>
              </w:rPr>
              <w:t>Program and Separation Incentive Programs</w:t>
            </w: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9,886</w:t>
            </w:r>
          </w:p>
        </w:tc>
        <w:tc>
          <w:tcPr>
            <w:tcW w:w="20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2,542</w:t>
            </w: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7,344</w:t>
            </w:r>
          </w:p>
        </w:tc>
        <w:tc>
          <w:tcPr>
            <w:tcW w:w="0" w:type="dxa"/>
            <w:vAlign w:val="bottom"/>
          </w:tcPr>
          <w:p>
            <w:pPr>
              <w:spacing w:after="0"/>
              <w:rPr>
                <w:sz w:val="1"/>
                <w:szCs w:val="1"/>
                <w:color w:val="auto"/>
              </w:rPr>
            </w:pPr>
          </w:p>
        </w:tc>
      </w:tr>
      <w:tr>
        <w:trPr>
          <w:trHeight w:val="204"/>
        </w:trPr>
        <w:tc>
          <w:tcPr>
            <w:tcW w:w="4920" w:type="dxa"/>
            <w:vAlign w:val="bottom"/>
          </w:tcPr>
          <w:p>
            <w:pPr>
              <w:ind w:left="380"/>
              <w:spacing w:after="0"/>
              <w:rPr>
                <w:sz w:val="20"/>
                <w:szCs w:val="20"/>
                <w:color w:val="auto"/>
              </w:rPr>
            </w:pPr>
            <w:r>
              <w:rPr>
                <w:rFonts w:ascii="Arial" w:cs="Arial" w:eastAsia="Arial" w:hAnsi="Arial"/>
                <w:sz w:val="15"/>
                <w:szCs w:val="15"/>
                <w:color w:val="auto"/>
              </w:rPr>
              <w:t>Net gains on marketable equity securities</w:t>
            </w:r>
          </w:p>
        </w:tc>
        <w:tc>
          <w:tcPr>
            <w:tcW w:w="1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b w:val="1"/>
                <w:bCs w:val="1"/>
                <w:color w:val="auto"/>
              </w:rPr>
              <w:t>(181,295)</w:t>
            </w:r>
          </w:p>
        </w:tc>
        <w:tc>
          <w:tcPr>
            <w:tcW w:w="20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b w:val="1"/>
                <w:bCs w:val="1"/>
                <w:color w:val="auto"/>
              </w:rPr>
              <w:t>(46,430)</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(134,865)</w:t>
            </w: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(138,067)</w:t>
            </w:r>
          </w:p>
        </w:tc>
        <w:tc>
          <w:tcPr>
            <w:tcW w:w="20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(35,351)</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(102,716)</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Net losses of affiliates whose operations are not managed by the</w:t>
            </w:r>
          </w:p>
        </w:tc>
        <w:tc>
          <w:tcPr>
            <w:tcW w:w="180" w:type="dxa"/>
            <w:vAlign w:val="bottom"/>
          </w:tcPr>
          <w:p>
            <w:pPr>
              <w:spacing w:after="0"/>
              <w:rPr>
                <w:sz w:val="13"/>
                <w:szCs w:val="13"/>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3,543</w:t>
            </w:r>
          </w:p>
        </w:tc>
        <w:tc>
          <w:tcPr>
            <w:tcW w:w="200" w:type="dxa"/>
            <w:vAlign w:val="bottom"/>
          </w:tcPr>
          <w:p>
            <w:pPr>
              <w:spacing w:after="0"/>
              <w:rPr>
                <w:sz w:val="13"/>
                <w:szCs w:val="13"/>
                <w:color w:val="auto"/>
              </w:rPr>
            </w:pPr>
          </w:p>
        </w:tc>
        <w:tc>
          <w:tcPr>
            <w:tcW w:w="88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907</w:t>
            </w: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2,636</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500"/>
              <w:spacing w:after="0"/>
              <w:rPr>
                <w:sz w:val="20"/>
                <w:szCs w:val="20"/>
                <w:color w:val="auto"/>
              </w:rPr>
            </w:pPr>
            <w:r>
              <w:rPr>
                <w:rFonts w:ascii="Arial" w:cs="Arial" w:eastAsia="Arial" w:hAnsi="Arial"/>
                <w:sz w:val="15"/>
                <w:szCs w:val="15"/>
                <w:color w:val="auto"/>
              </w:rPr>
              <w:t>Company</w:t>
            </w: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16,047</w:t>
            </w:r>
          </w:p>
        </w:tc>
        <w:tc>
          <w:tcPr>
            <w:tcW w:w="20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4,178</w:t>
            </w: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11,869</w:t>
            </w:r>
          </w:p>
        </w:tc>
        <w:tc>
          <w:tcPr>
            <w:tcW w:w="0" w:type="dxa"/>
            <w:vAlign w:val="bottom"/>
          </w:tcPr>
          <w:p>
            <w:pPr>
              <w:spacing w:after="0"/>
              <w:rPr>
                <w:sz w:val="1"/>
                <w:szCs w:val="1"/>
                <w:color w:val="auto"/>
              </w:rPr>
            </w:pPr>
          </w:p>
        </w:tc>
      </w:tr>
      <w:tr>
        <w:trPr>
          <w:trHeight w:val="204"/>
        </w:trPr>
        <w:tc>
          <w:tcPr>
            <w:tcW w:w="4920" w:type="dxa"/>
            <w:vAlign w:val="bottom"/>
          </w:tcPr>
          <w:p>
            <w:pPr>
              <w:ind w:left="380"/>
              <w:spacing w:after="0"/>
              <w:rPr>
                <w:sz w:val="20"/>
                <w:szCs w:val="20"/>
                <w:color w:val="auto"/>
              </w:rPr>
            </w:pPr>
            <w:r>
              <w:rPr>
                <w:rFonts w:ascii="Arial" w:cs="Arial" w:eastAsia="Arial" w:hAnsi="Arial"/>
                <w:sz w:val="15"/>
                <w:szCs w:val="15"/>
                <w:color w:val="auto"/>
              </w:rPr>
              <w:t>Gain on sale of certain businesses and websites</w:t>
            </w:r>
          </w:p>
        </w:tc>
        <w:tc>
          <w:tcPr>
            <w:tcW w:w="18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b w:val="1"/>
                <w:bCs w:val="1"/>
                <w:color w:val="auto"/>
              </w:rPr>
              <w:t>(7,246)</w:t>
            </w:r>
          </w:p>
        </w:tc>
        <w:tc>
          <w:tcPr>
            <w:tcW w:w="200" w:type="dxa"/>
            <w:vAlign w:val="bottom"/>
          </w:tcPr>
          <w:p>
            <w:pPr>
              <w:spacing w:after="0"/>
              <w:rPr>
                <w:sz w:val="17"/>
                <w:szCs w:val="17"/>
                <w:color w:val="auto"/>
              </w:rPr>
            </w:pPr>
          </w:p>
        </w:tc>
        <w:tc>
          <w:tcPr>
            <w:tcW w:w="880" w:type="dxa"/>
            <w:vAlign w:val="bottom"/>
          </w:tcPr>
          <w:p>
            <w:pPr>
              <w:jc w:val="right"/>
              <w:ind w:right="43"/>
              <w:spacing w:after="0"/>
              <w:rPr>
                <w:sz w:val="20"/>
                <w:szCs w:val="20"/>
                <w:color w:val="auto"/>
              </w:rPr>
            </w:pPr>
            <w:r>
              <w:rPr>
                <w:rFonts w:ascii="Arial" w:cs="Arial" w:eastAsia="Arial" w:hAnsi="Arial"/>
                <w:sz w:val="15"/>
                <w:szCs w:val="15"/>
                <w:b w:val="1"/>
                <w:bCs w:val="1"/>
                <w:color w:val="auto"/>
              </w:rPr>
              <w:t>(1,956)</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(5,290)</w:t>
            </w:r>
          </w:p>
        </w:tc>
        <w:tc>
          <w:tcPr>
            <w:tcW w:w="240" w:type="dxa"/>
            <w:vAlign w:val="bottom"/>
          </w:tcPr>
          <w:p>
            <w:pPr>
              <w:spacing w:after="0"/>
              <w:rPr>
                <w:sz w:val="17"/>
                <w:szCs w:val="17"/>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(10,033)</w:t>
            </w:r>
          </w:p>
        </w:tc>
        <w:tc>
          <w:tcPr>
            <w:tcW w:w="200" w:type="dxa"/>
            <w:vAlign w:val="bottom"/>
          </w:tcPr>
          <w:p>
            <w:pPr>
              <w:spacing w:after="0"/>
              <w:rPr>
                <w:sz w:val="17"/>
                <w:szCs w:val="17"/>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(2,641)</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(7,392)</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Non-operating loss (gain), net, from valuation adjustments, sales</w:t>
            </w:r>
          </w:p>
        </w:tc>
        <w:tc>
          <w:tcPr>
            <w:tcW w:w="180" w:type="dxa"/>
            <w:vAlign w:val="bottom"/>
          </w:tcPr>
          <w:p>
            <w:pPr>
              <w:spacing w:after="0"/>
              <w:rPr>
                <w:sz w:val="13"/>
                <w:szCs w:val="13"/>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16,698</w:t>
            </w:r>
          </w:p>
        </w:tc>
        <w:tc>
          <w:tcPr>
            <w:tcW w:w="200" w:type="dxa"/>
            <w:vAlign w:val="bottom"/>
          </w:tcPr>
          <w:p>
            <w:pPr>
              <w:spacing w:after="0"/>
              <w:rPr>
                <w:sz w:val="13"/>
                <w:szCs w:val="13"/>
                <w:color w:val="auto"/>
              </w:rPr>
            </w:pPr>
          </w:p>
        </w:tc>
        <w:tc>
          <w:tcPr>
            <w:tcW w:w="88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4,274</w:t>
            </w: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12,424</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500"/>
              <w:spacing w:after="0"/>
              <w:rPr>
                <w:sz w:val="20"/>
                <w:szCs w:val="20"/>
                <w:color w:val="auto"/>
              </w:rPr>
            </w:pPr>
            <w:r>
              <w:rPr>
                <w:rFonts w:ascii="Arial" w:cs="Arial" w:eastAsia="Arial" w:hAnsi="Arial"/>
                <w:sz w:val="15"/>
                <w:szCs w:val="15"/>
                <w:color w:val="auto"/>
              </w:rPr>
              <w:t>and impairments of cost and equity method investments</w:t>
            </w: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(3,435)</w:t>
            </w:r>
          </w:p>
        </w:tc>
        <w:tc>
          <w:tcPr>
            <w:tcW w:w="20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(896)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(2,539)</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Credit to interest expense resulting from gains realized related to</w:t>
            </w:r>
          </w:p>
        </w:tc>
        <w:tc>
          <w:tcPr>
            <w:tcW w:w="180" w:type="dxa"/>
            <w:vAlign w:val="bottom"/>
          </w:tcPr>
          <w:p>
            <w:pPr>
              <w:spacing w:after="0"/>
              <w:rPr>
                <w:sz w:val="13"/>
                <w:szCs w:val="13"/>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3"/>
                <w:szCs w:val="13"/>
                <w:color w:val="auto"/>
              </w:rPr>
            </w:pPr>
          </w:p>
        </w:tc>
        <w:tc>
          <w:tcPr>
            <w:tcW w:w="88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500"/>
              <w:spacing w:after="0"/>
              <w:rPr>
                <w:sz w:val="20"/>
                <w:szCs w:val="20"/>
                <w:color w:val="auto"/>
              </w:rPr>
            </w:pPr>
            <w:r>
              <w:rPr>
                <w:rFonts w:ascii="Arial" w:cs="Arial" w:eastAsia="Arial" w:hAnsi="Arial"/>
                <w:sz w:val="15"/>
                <w:szCs w:val="15"/>
                <w:color w:val="auto"/>
              </w:rPr>
              <w:t>the termination of interest rate swaps</w:t>
            </w: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color w:val="auto"/>
              </w:rPr>
              <w:t>(4,581)</w:t>
            </w:r>
          </w:p>
        </w:tc>
        <w:tc>
          <w:tcPr>
            <w:tcW w:w="20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(1,252)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(3,329)</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Interest expense related to the fair value adjustment of the</w:t>
            </w:r>
          </w:p>
        </w:tc>
        <w:tc>
          <w:tcPr>
            <w:tcW w:w="180" w:type="dxa"/>
            <w:vAlign w:val="bottom"/>
          </w:tcPr>
          <w:p>
            <w:pPr>
              <w:spacing w:after="0"/>
              <w:rPr>
                <w:sz w:val="13"/>
                <w:szCs w:val="13"/>
                <w:color w:val="auto"/>
              </w:rPr>
            </w:pPr>
          </w:p>
        </w:tc>
        <w:tc>
          <w:tcPr>
            <w:tcW w:w="92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119,295</w:t>
            </w:r>
          </w:p>
        </w:tc>
        <w:tc>
          <w:tcPr>
            <w:tcW w:w="200" w:type="dxa"/>
            <w:vAlign w:val="bottom"/>
          </w:tcPr>
          <w:p>
            <w:pPr>
              <w:spacing w:after="0"/>
              <w:rPr>
                <w:sz w:val="13"/>
                <w:szCs w:val="13"/>
                <w:color w:val="auto"/>
              </w:rPr>
            </w:pPr>
          </w:p>
        </w:tc>
        <w:tc>
          <w:tcPr>
            <w:tcW w:w="88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5,569</w:t>
            </w: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113,726</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00"/>
              <w:spacing w:after="0"/>
              <w:rPr>
                <w:sz w:val="20"/>
                <w:szCs w:val="20"/>
                <w:color w:val="auto"/>
              </w:rPr>
            </w:pPr>
            <w:r>
              <w:rPr>
                <w:rFonts w:ascii="Arial" w:cs="Arial" w:eastAsia="Arial" w:hAnsi="Arial"/>
                <w:sz w:val="15"/>
                <w:szCs w:val="15"/>
                <w:color w:val="auto"/>
              </w:rPr>
              <w:t>mandatorily redeemable noncontrolling interest</w:t>
            </w: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10,122</w:t>
            </w:r>
          </w:p>
        </w:tc>
        <w:tc>
          <w:tcPr>
            <w:tcW w:w="20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color w:val="auto"/>
              </w:rPr>
              <w:t>529</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9,593</w:t>
            </w:r>
          </w:p>
        </w:tc>
        <w:tc>
          <w:tcPr>
            <w:tcW w:w="0" w:type="dxa"/>
            <w:vAlign w:val="bottom"/>
          </w:tcPr>
          <w:p>
            <w:pPr>
              <w:spacing w:after="0"/>
              <w:rPr>
                <w:sz w:val="1"/>
                <w:szCs w:val="1"/>
                <w:color w:val="auto"/>
              </w:rPr>
            </w:pPr>
          </w:p>
        </w:tc>
      </w:tr>
      <w:tr>
        <w:trPr>
          <w:trHeight w:val="196"/>
        </w:trPr>
        <w:tc>
          <w:tcPr>
            <w:tcW w:w="492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282,191</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200,498</w:t>
            </w:r>
          </w:p>
        </w:tc>
        <w:tc>
          <w:tcPr>
            <w:tcW w:w="0" w:type="dxa"/>
            <w:vAlign w:val="bottom"/>
          </w:tcPr>
          <w:p>
            <w:pPr>
              <w:spacing w:after="0"/>
              <w:rPr>
                <w:sz w:val="1"/>
                <w:szCs w:val="1"/>
                <w:color w:val="auto"/>
              </w:rPr>
            </w:pPr>
          </w:p>
        </w:tc>
      </w:tr>
      <w:tr>
        <w:trPr>
          <w:trHeight w:val="277"/>
        </w:trPr>
        <w:tc>
          <w:tcPr>
            <w:tcW w:w="492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2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163.</w:t>
            </w:r>
            <w:r>
              <w:rPr>
                <w:rFonts w:ascii="Arial" w:cs="Arial" w:eastAsia="Arial" w:hAnsi="Arial"/>
                <w:sz w:val="15"/>
                <w:szCs w:val="15"/>
                <w:b w:val="1"/>
                <w:bCs w:val="1"/>
                <w:u w:val="single" w:color="auto"/>
                <w:color w:val="auto"/>
              </w:rPr>
              <w:t>40</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43.82</w:t>
            </w:r>
          </w:p>
        </w:tc>
        <w:tc>
          <w:tcPr>
            <w:tcW w:w="0" w:type="dxa"/>
            <w:vAlign w:val="bottom"/>
          </w:tcPr>
          <w:p>
            <w:pPr>
              <w:spacing w:after="0"/>
              <w:rPr>
                <w:sz w:val="1"/>
                <w:szCs w:val="1"/>
                <w:color w:val="auto"/>
              </w:rPr>
            </w:pPr>
          </w:p>
        </w:tc>
      </w:tr>
      <w:tr>
        <w:trPr>
          <w:trHeight w:val="190"/>
        </w:trPr>
        <w:tc>
          <w:tcPr>
            <w:tcW w:w="492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920" w:type="dxa"/>
            <w:vAlign w:val="bottom"/>
          </w:tcPr>
          <w:p>
            <w:pPr>
              <w:ind w:left="380"/>
              <w:spacing w:after="0" w:line="154" w:lineRule="exact"/>
              <w:rPr>
                <w:sz w:val="20"/>
                <w:szCs w:val="20"/>
                <w:color w:val="auto"/>
              </w:rPr>
            </w:pPr>
            <w:r>
              <w:rPr>
                <w:rFonts w:ascii="Arial" w:cs="Arial" w:eastAsia="Arial" w:hAnsi="Arial"/>
                <w:sz w:val="15"/>
                <w:szCs w:val="15"/>
                <w:color w:val="auto"/>
              </w:rPr>
              <w:t>Net credit related to fair value changes in contingent consideration</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500"/>
              <w:spacing w:after="0"/>
              <w:rPr>
                <w:sz w:val="20"/>
                <w:szCs w:val="20"/>
                <w:color w:val="auto"/>
              </w:rPr>
            </w:pPr>
            <w:r>
              <w:rPr>
                <w:rFonts w:ascii="Arial" w:cs="Arial" w:eastAsia="Arial" w:hAnsi="Arial"/>
                <w:sz w:val="15"/>
                <w:szCs w:val="15"/>
                <w:color w:val="auto"/>
              </w:rPr>
              <w:t>from prior acquisitions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(1.38)</w:t>
            </w:r>
          </w:p>
        </w:tc>
        <w:tc>
          <w:tcPr>
            <w:tcW w:w="0" w:type="dxa"/>
            <w:vAlign w:val="bottom"/>
          </w:tcPr>
          <w:p>
            <w:pPr>
              <w:spacing w:after="0"/>
              <w:rPr>
                <w:sz w:val="1"/>
                <w:szCs w:val="1"/>
                <w:color w:val="auto"/>
              </w:rPr>
            </w:pPr>
          </w:p>
        </w:tc>
      </w:tr>
      <w:tr>
        <w:trPr>
          <w:trHeight w:val="203"/>
        </w:trPr>
        <w:tc>
          <w:tcPr>
            <w:tcW w:w="4920" w:type="dxa"/>
            <w:vAlign w:val="bottom"/>
          </w:tcPr>
          <w:p>
            <w:pPr>
              <w:ind w:left="380"/>
              <w:spacing w:after="0"/>
              <w:rPr>
                <w:sz w:val="20"/>
                <w:szCs w:val="20"/>
                <w:color w:val="auto"/>
              </w:rPr>
            </w:pPr>
            <w:r>
              <w:rPr>
                <w:rFonts w:ascii="Arial" w:cs="Arial" w:eastAsia="Arial" w:hAnsi="Arial"/>
                <w:sz w:val="15"/>
                <w:szCs w:val="15"/>
                <w:color w:val="auto"/>
              </w:rPr>
              <w:t>Goodwill and other long-lived asset impairment charges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8.89</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18.97</w:t>
            </w:r>
          </w:p>
        </w:tc>
        <w:tc>
          <w:tcPr>
            <w:tcW w:w="0" w:type="dxa"/>
            <w:vAlign w:val="bottom"/>
          </w:tcPr>
          <w:p>
            <w:pPr>
              <w:spacing w:after="0"/>
              <w:rPr>
                <w:sz w:val="1"/>
                <w:szCs w:val="1"/>
                <w:color w:val="auto"/>
              </w:rPr>
            </w:pPr>
          </w:p>
        </w:tc>
      </w:tr>
      <w:tr>
        <w:trPr>
          <w:trHeight w:val="204"/>
        </w:trPr>
        <w:tc>
          <w:tcPr>
            <w:tcW w:w="4920" w:type="dxa"/>
            <w:vAlign w:val="bottom"/>
          </w:tcPr>
          <w:p>
            <w:pPr>
              <w:ind w:left="380"/>
              <w:spacing w:after="0"/>
              <w:rPr>
                <w:sz w:val="20"/>
                <w:szCs w:val="20"/>
                <w:color w:val="auto"/>
              </w:rPr>
            </w:pPr>
            <w:r>
              <w:rPr>
                <w:rFonts w:ascii="Arial" w:cs="Arial" w:eastAsia="Arial" w:hAnsi="Arial"/>
                <w:sz w:val="15"/>
                <w:szCs w:val="15"/>
                <w:color w:val="auto"/>
              </w:rPr>
              <w:t>Settlement gain related to retiree annuity pension purchase</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(109.62)</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Charges related to non-operating Voluntary Retirement Incentive</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3.52</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500"/>
              <w:spacing w:after="0"/>
              <w:rPr>
                <w:sz w:val="20"/>
                <w:szCs w:val="20"/>
                <w:color w:val="auto"/>
              </w:rPr>
            </w:pPr>
            <w:r>
              <w:rPr>
                <w:rFonts w:ascii="Arial" w:cs="Arial" w:eastAsia="Arial" w:hAnsi="Arial"/>
                <w:sz w:val="15"/>
                <w:szCs w:val="15"/>
                <w:color w:val="auto"/>
              </w:rPr>
              <w:t>Program and Separation Incentive Programs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1.57</w:t>
            </w:r>
          </w:p>
        </w:tc>
        <w:tc>
          <w:tcPr>
            <w:tcW w:w="0" w:type="dxa"/>
            <w:vAlign w:val="bottom"/>
          </w:tcPr>
          <w:p>
            <w:pPr>
              <w:spacing w:after="0"/>
              <w:rPr>
                <w:sz w:val="1"/>
                <w:szCs w:val="1"/>
                <w:color w:val="auto"/>
              </w:rPr>
            </w:pPr>
          </w:p>
        </w:tc>
      </w:tr>
      <w:tr>
        <w:trPr>
          <w:trHeight w:val="204"/>
        </w:trPr>
        <w:tc>
          <w:tcPr>
            <w:tcW w:w="4920" w:type="dxa"/>
            <w:vAlign w:val="bottom"/>
          </w:tcPr>
          <w:p>
            <w:pPr>
              <w:ind w:left="380"/>
              <w:spacing w:after="0"/>
              <w:rPr>
                <w:sz w:val="20"/>
                <w:szCs w:val="20"/>
                <w:color w:val="auto"/>
              </w:rPr>
            </w:pPr>
            <w:r>
              <w:rPr>
                <w:rFonts w:ascii="Arial" w:cs="Arial" w:eastAsia="Arial" w:hAnsi="Arial"/>
                <w:sz w:val="15"/>
                <w:szCs w:val="15"/>
                <w:color w:val="auto"/>
              </w:rPr>
              <w:t>Net gains on marketable equity securities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(30.41)</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(21.93)</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Net losses of affiliates whose operations are not managed by the</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0.59</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20" w:type="dxa"/>
            <w:vAlign w:val="bottom"/>
          </w:tcPr>
          <w:p>
            <w:pPr>
              <w:ind w:left="500"/>
              <w:spacing w:after="0"/>
              <w:rPr>
                <w:sz w:val="20"/>
                <w:szCs w:val="20"/>
                <w:color w:val="auto"/>
              </w:rPr>
            </w:pPr>
            <w:r>
              <w:rPr>
                <w:rFonts w:ascii="Arial" w:cs="Arial" w:eastAsia="Arial" w:hAnsi="Arial"/>
                <w:sz w:val="15"/>
                <w:szCs w:val="15"/>
                <w:color w:val="auto"/>
              </w:rPr>
              <w:t>Company</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04"/>
        </w:trPr>
        <w:tc>
          <w:tcPr>
            <w:tcW w:w="4920" w:type="dxa"/>
            <w:vAlign w:val="bottom"/>
          </w:tcPr>
          <w:p>
            <w:pPr>
              <w:ind w:left="380"/>
              <w:spacing w:after="0"/>
              <w:rPr>
                <w:sz w:val="20"/>
                <w:szCs w:val="20"/>
                <w:color w:val="auto"/>
              </w:rPr>
            </w:pPr>
            <w:r>
              <w:rPr>
                <w:rFonts w:ascii="Arial" w:cs="Arial" w:eastAsia="Arial" w:hAnsi="Arial"/>
                <w:sz w:val="15"/>
                <w:szCs w:val="15"/>
                <w:color w:val="auto"/>
              </w:rPr>
              <w:t>Gain on sale of certain businesses and websites</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(1.19)</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Non-operating loss (gain), net, from valuation adjustments, sales</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2.80</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500"/>
              <w:spacing w:after="0"/>
              <w:rPr>
                <w:sz w:val="20"/>
                <w:szCs w:val="20"/>
                <w:color w:val="auto"/>
              </w:rPr>
            </w:pPr>
            <w:r>
              <w:rPr>
                <w:rFonts w:ascii="Arial" w:cs="Arial" w:eastAsia="Arial" w:hAnsi="Arial"/>
                <w:sz w:val="15"/>
                <w:szCs w:val="15"/>
                <w:color w:val="auto"/>
              </w:rPr>
              <w:t>and impairments of cost and equity method investments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(0.54)</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Credit to interest expense resulting from gains realized related to</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920" w:type="dxa"/>
            <w:vAlign w:val="bottom"/>
          </w:tcPr>
          <w:p>
            <w:pPr>
              <w:ind w:left="500"/>
              <w:spacing w:after="0"/>
              <w:rPr>
                <w:sz w:val="20"/>
                <w:szCs w:val="20"/>
                <w:color w:val="auto"/>
              </w:rPr>
            </w:pPr>
            <w:r>
              <w:rPr>
                <w:rFonts w:ascii="Arial" w:cs="Arial" w:eastAsia="Arial" w:hAnsi="Arial"/>
                <w:sz w:val="15"/>
                <w:szCs w:val="15"/>
                <w:color w:val="auto"/>
              </w:rPr>
              <w:t>the termination of interest rate swaps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(0.72)</w:t>
            </w:r>
          </w:p>
        </w:tc>
        <w:tc>
          <w:tcPr>
            <w:tcW w:w="0" w:type="dxa"/>
            <w:vAlign w:val="bottom"/>
          </w:tcPr>
          <w:p>
            <w:pPr>
              <w:spacing w:after="0"/>
              <w:rPr>
                <w:sz w:val="1"/>
                <w:szCs w:val="1"/>
                <w:color w:val="auto"/>
              </w:rPr>
            </w:pPr>
          </w:p>
        </w:tc>
      </w:tr>
      <w:tr>
        <w:trPr>
          <w:trHeight w:val="152"/>
        </w:trPr>
        <w:tc>
          <w:tcPr>
            <w:tcW w:w="4920" w:type="dxa"/>
            <w:vAlign w:val="bottom"/>
          </w:tcPr>
          <w:p>
            <w:pPr>
              <w:ind w:left="380"/>
              <w:spacing w:after="0" w:line="153" w:lineRule="exact"/>
              <w:rPr>
                <w:sz w:val="20"/>
                <w:szCs w:val="20"/>
                <w:color w:val="auto"/>
              </w:rPr>
            </w:pPr>
            <w:r>
              <w:rPr>
                <w:rFonts w:ascii="Arial" w:cs="Arial" w:eastAsia="Arial" w:hAnsi="Arial"/>
                <w:sz w:val="15"/>
                <w:szCs w:val="15"/>
                <w:color w:val="auto"/>
              </w:rPr>
              <w:t>Interest expense related to the fair value adjustment of the</w:t>
            </w: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25.65</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500"/>
              <w:spacing w:after="0"/>
              <w:rPr>
                <w:sz w:val="20"/>
                <w:szCs w:val="20"/>
                <w:color w:val="auto"/>
              </w:rPr>
            </w:pPr>
            <w:r>
              <w:rPr>
                <w:rFonts w:ascii="Arial" w:cs="Arial" w:eastAsia="Arial" w:hAnsi="Arial"/>
                <w:sz w:val="15"/>
                <w:szCs w:val="15"/>
                <w:color w:val="auto"/>
              </w:rPr>
              <w:t>mandatorily redeemable noncontrolling interest</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2.05</w:t>
            </w:r>
          </w:p>
        </w:tc>
        <w:tc>
          <w:tcPr>
            <w:tcW w:w="0" w:type="dxa"/>
            <w:vAlign w:val="bottom"/>
          </w:tcPr>
          <w:p>
            <w:pPr>
              <w:spacing w:after="0"/>
              <w:rPr>
                <w:sz w:val="1"/>
                <w:szCs w:val="1"/>
                <w:color w:val="auto"/>
              </w:rPr>
            </w:pPr>
          </w:p>
        </w:tc>
      </w:tr>
      <w:tr>
        <w:trPr>
          <w:trHeight w:val="196"/>
        </w:trPr>
        <w:tc>
          <w:tcPr>
            <w:tcW w:w="492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63.63</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42.78</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 #</w:t>
      </w:r>
    </w:p>
    <w:sectPr>
      <w:pgSz w:w="11900" w:h="16838" w:orient="portrait"/>
      <w:cols w:equalWidth="0" w:num="1">
        <w:col w:w="11180"/>
      </w:cols>
      <w:pgMar w:left="360" w:top="9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2025-02-26T07:40:34Z</dcterms:created>
  <dcterms:modified xsi:type="dcterms:W3CDTF">2025-02-26T07:40:34Z</dcterms:modified>
</cp:coreProperties>
</file>