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200" w:lineRule="exact"/>
        <w:rPr>
          <w:sz w:val="24"/>
          <w:szCs w:val="24"/>
          <w:color w:val="auto"/>
        </w:rPr>
      </w:pPr>
    </w:p>
    <w:p>
      <w:pPr>
        <w:spacing w:after="0" w:line="304"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March 24, 2006</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3" w:lineRule="exact"/>
        <w:rPr>
          <w:sz w:val="24"/>
          <w:szCs w:val="24"/>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You are cordially invited to the Company's 2006 Annual Meeting of Stockholders, which will be held in the Community Meeting Room, The Washington Post Building, 1150 15th Street, N.W., Washington, D.C., 20071 on Thursday, May 11, 2006, at 8:00 o'clock in the morning.</w:t>
      </w:r>
    </w:p>
    <w:p>
      <w:pPr>
        <w:spacing w:after="0" w:line="162" w:lineRule="exact"/>
        <w:rPr>
          <w:sz w:val="24"/>
          <w:szCs w:val="24"/>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In addition to electing Directors for the ensuing year, at the meeting stockholders will act on the approval of several amendments to the Company's Incentive Compensation Plan, as more fully explained in the accompanying Proxy Statement. At the meeting there will be a report on the Company's activities.</w:t>
      </w:r>
    </w:p>
    <w:p>
      <w:pPr>
        <w:spacing w:after="0" w:line="162" w:lineRule="exact"/>
        <w:rPr>
          <w:sz w:val="24"/>
          <w:szCs w:val="24"/>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164" w:lineRule="exact"/>
        <w:rPr>
          <w:sz w:val="24"/>
          <w:szCs w:val="24"/>
          <w:color w:val="auto"/>
        </w:rPr>
      </w:pPr>
    </w:p>
    <w:p>
      <w:pPr>
        <w:ind w:left="422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4"/>
          <w:szCs w:val="24"/>
          <w:color w:val="auto"/>
        </w:rPr>
      </w:pPr>
    </w:p>
    <w:p>
      <w:pPr>
        <w:ind w:left="4220"/>
        <w:spacing w:after="0"/>
        <w:rPr>
          <w:sz w:val="20"/>
          <w:szCs w:val="20"/>
          <w:color w:val="auto"/>
        </w:rPr>
      </w:pPr>
      <w:r>
        <w:rPr>
          <w:rFonts w:ascii="Courier New" w:cs="Courier New" w:eastAsia="Courier New" w:hAnsi="Courier New"/>
          <w:sz w:val="14"/>
          <w:szCs w:val="14"/>
          <w:color w:val="auto"/>
        </w:rPr>
        <w:t>/s/ Donald E. Graham</w:t>
      </w:r>
    </w:p>
    <w:p>
      <w:pPr>
        <w:spacing w:after="0" w:line="173" w:lineRule="exact"/>
        <w:rPr>
          <w:sz w:val="24"/>
          <w:szCs w:val="24"/>
          <w:color w:val="auto"/>
        </w:rPr>
      </w:pPr>
    </w:p>
    <w:p>
      <w:pPr>
        <w:ind w:left="4220"/>
        <w:spacing w:after="0"/>
        <w:rPr>
          <w:sz w:val="20"/>
          <w:szCs w:val="20"/>
          <w:color w:val="auto"/>
        </w:rPr>
      </w:pPr>
      <w:r>
        <w:rPr>
          <w:rFonts w:ascii="Courier New" w:cs="Courier New" w:eastAsia="Courier New" w:hAnsi="Courier New"/>
          <w:sz w:val="14"/>
          <w:szCs w:val="14"/>
          <w:color w:val="auto"/>
        </w:rPr>
        <w:t>DONALD E. GRAHAM</w:t>
      </w:r>
    </w:p>
    <w:p>
      <w:pPr>
        <w:spacing w:after="0" w:line="7" w:lineRule="exact"/>
        <w:rPr>
          <w:sz w:val="24"/>
          <w:szCs w:val="24"/>
          <w:color w:val="auto"/>
        </w:rPr>
      </w:pPr>
    </w:p>
    <w:p>
      <w:pPr>
        <w:ind w:left="4220"/>
        <w:spacing w:after="0"/>
        <w:rPr>
          <w:sz w:val="20"/>
          <w:szCs w:val="20"/>
          <w:color w:val="auto"/>
        </w:rPr>
      </w:pPr>
      <w:r>
        <w:rPr>
          <w:rFonts w:ascii="Courier New" w:cs="Courier New" w:eastAsia="Courier New" w:hAnsi="Courier New"/>
          <w:sz w:val="14"/>
          <w:szCs w:val="14"/>
          <w:color w:val="auto"/>
        </w:rPr>
        <w:t>CHAIRMAN</w:t>
      </w:r>
    </w:p>
    <w:p>
      <w:pPr>
        <w:sectPr>
          <w:pgSz w:w="11900" w:h="16838" w:orient="portrait"/>
          <w:cols w:equalWidth="0" w:num="1">
            <w:col w:w="10239"/>
          </w:cols>
          <w:pgMar w:left="220" w:top="56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NOTICE OF ANNUAL MEETING OF STOCKHOLDERS/MAY 11, 2006</w:t>
      </w:r>
    </w:p>
    <w:p>
      <w:pPr>
        <w:spacing w:after="0" w:line="338" w:lineRule="exact"/>
        <w:rPr>
          <w:sz w:val="20"/>
          <w:szCs w:val="20"/>
          <w:color w:val="auto"/>
        </w:rPr>
      </w:pPr>
    </w:p>
    <w:p>
      <w:pPr>
        <w:jc w:val="both"/>
        <w:ind w:right="3519" w:firstLine="689"/>
        <w:spacing w:after="0" w:line="252"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Community Meeting Room, The Washington Post Building, 1150 15th Street, N.W., Washington, D.C., 20071 on Thursday, May 11, 2006, at 8:00 a.m., Eastern Daylight Saving Time, for the following purposes:</w:t>
      </w:r>
    </w:p>
    <w:p>
      <w:pPr>
        <w:spacing w:after="0" w:line="162" w:lineRule="exact"/>
        <w:rPr>
          <w:sz w:val="20"/>
          <w:szCs w:val="20"/>
          <w:color w:val="auto"/>
        </w:rPr>
      </w:pPr>
    </w:p>
    <w:p>
      <w:pPr>
        <w:ind w:left="1380" w:right="3339" w:hanging="683"/>
        <w:spacing w:after="0" w:line="255" w:lineRule="auto"/>
        <w:tabs>
          <w:tab w:leader="none" w:pos="13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59" w:lineRule="exact"/>
        <w:rPr>
          <w:rFonts w:ascii="Courier New" w:cs="Courier New" w:eastAsia="Courier New" w:hAnsi="Courier New"/>
          <w:sz w:val="14"/>
          <w:szCs w:val="14"/>
          <w:color w:val="auto"/>
        </w:rPr>
      </w:pPr>
    </w:p>
    <w:p>
      <w:pPr>
        <w:ind w:left="1380" w:right="3679" w:hanging="683"/>
        <w:spacing w:after="0" w:line="255" w:lineRule="auto"/>
        <w:tabs>
          <w:tab w:leader="none" w:pos="13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several amendments to the Company's Incentive Compensation Plan.</w:t>
      </w:r>
    </w:p>
    <w:p>
      <w:pPr>
        <w:spacing w:after="0" w:line="159" w:lineRule="exact"/>
        <w:rPr>
          <w:rFonts w:ascii="Courier New" w:cs="Courier New" w:eastAsia="Courier New" w:hAnsi="Courier New"/>
          <w:sz w:val="14"/>
          <w:szCs w:val="14"/>
          <w:color w:val="auto"/>
        </w:rPr>
      </w:pPr>
    </w:p>
    <w:p>
      <w:pPr>
        <w:ind w:left="1380" w:right="3419" w:hanging="683"/>
        <w:spacing w:after="0" w:line="255" w:lineRule="auto"/>
        <w:tabs>
          <w:tab w:leader="none" w:pos="13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ind w:right="3779" w:firstLine="689"/>
        <w:spacing w:after="0" w:line="252" w:lineRule="auto"/>
        <w:rPr>
          <w:sz w:val="20"/>
          <w:szCs w:val="20"/>
          <w:color w:val="auto"/>
        </w:rPr>
      </w:pPr>
      <w:r>
        <w:rPr>
          <w:rFonts w:ascii="Courier New" w:cs="Courier New" w:eastAsia="Courier New" w:hAnsi="Courier New"/>
          <w:sz w:val="14"/>
          <w:szCs w:val="14"/>
          <w:color w:val="auto"/>
        </w:rPr>
        <w:t>The Board of Directors has fixed the close of business on March 13, 2006, as the record date for the determination of stockholders entitled to notice of and to vote at the Annual Meeting.</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DIANA M. DANIELS,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March 24, 2006</w:t>
      </w:r>
    </w:p>
    <w:p>
      <w:pPr>
        <w:sectPr>
          <w:pgSz w:w="11900" w:h="16838" w:orient="portrait"/>
          <w:cols w:equalWidth="0" w:num="1">
            <w:col w:w="10239"/>
          </w:cols>
          <w:pgMar w:left="220" w:top="6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March 24, 2006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proxy statement contains information relating to the 2006 Annual Meeting of Shareholders of The Washington Post Company (the "Company") to be held at the Company's headquarters, 1150 15th Street, N.W., Washington, D.C. on Thursday, May 11, 2006 at 8:00 a.m., Eastern Daylight Saving time, or any adjournments thereof, for the purposes set forth in the accompanying Notice of the 2006 Annual Meeting of Shareholders. This proxy statement and the accompanying forms of proxy and voting instructions are being delivered to shareholders on or about March 24, 2006. The Board of Directors of the Company is making this proxy solicitation.</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QUESTIONS AND ANSWERS</w:t>
      </w:r>
    </w:p>
    <w:p>
      <w:pPr>
        <w:spacing w:after="0" w:line="173" w:lineRule="exact"/>
        <w:rPr>
          <w:sz w:val="20"/>
          <w:szCs w:val="20"/>
          <w:color w:val="auto"/>
        </w:rPr>
      </w:pPr>
    </w:p>
    <w:p>
      <w:pPr>
        <w:ind w:left="700" w:hanging="692"/>
        <w:spacing w:after="0"/>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AM I VOTING ON?</w:t>
      </w:r>
    </w:p>
    <w:p>
      <w:pPr>
        <w:spacing w:after="0" w:line="173" w:lineRule="exact"/>
        <w:rPr>
          <w:sz w:val="20"/>
          <w:szCs w:val="20"/>
          <w:color w:val="auto"/>
        </w:rPr>
      </w:pPr>
    </w:p>
    <w:p>
      <w:pPr>
        <w:ind w:right="3419" w:firstLine="8"/>
        <w:spacing w:after="0" w:line="251" w:lineRule="auto"/>
        <w:tabs>
          <w:tab w:leader="none" w:pos="68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voting on the election of Directors for a term of one year. A Board of nine Directors is to be elected, six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the event any nominee withdraws or for any reason is not able to serve as a director, Donald E. Graham, John B. Morse, Jr., Diana M. Daniels and Gerald M. Rosberg, acting as your proxies, will either vote for such other person as the Board of Directors may nominate or will not vote for anyone to replace such nominee.</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Mr. George J. Gillespie, III and Dr. Alice Rivlin will not be standing for reelection this year, having reached the mandatory retirement age for Directors who do not also hold Class A Stock or have dispositive power over at least fifteen (15) percent of Class B Common Stock of the Company (as adjusted, including the shares of Class B Stock issuable upon conversion of all shares of Class A Common Stock outstanding).</w:t>
      </w:r>
    </w:p>
    <w:p>
      <w:pPr>
        <w:spacing w:after="0" w:line="164"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In addition, you are voting on whether to approve certain amendments (as more fully described in this proxy statement) to the Company's Incentive Compensation Plan (a copy of which Plan has been filed with the Securities and Exchange Commission as Exhibit 10.1 to Form 8K filed January 23, 2006).</w:t>
      </w:r>
    </w:p>
    <w:p>
      <w:pPr>
        <w:spacing w:after="0" w:line="162" w:lineRule="exact"/>
        <w:rPr>
          <w:sz w:val="20"/>
          <w:szCs w:val="20"/>
          <w:color w:val="auto"/>
        </w:rPr>
      </w:pPr>
    </w:p>
    <w:p>
      <w:pPr>
        <w:ind w:left="700" w:hanging="692"/>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VOTING RECOMMENDATIONS OF THE BOARD?</w:t>
      </w:r>
    </w:p>
    <w:p>
      <w:pPr>
        <w:spacing w:after="0" w:line="173" w:lineRule="exact"/>
        <w:rPr>
          <w:sz w:val="20"/>
          <w:szCs w:val="20"/>
          <w:color w:val="auto"/>
        </w:rPr>
      </w:pPr>
    </w:p>
    <w:p>
      <w:pPr>
        <w:ind w:right="3339" w:firstLine="8"/>
        <w:spacing w:after="0" w:line="252" w:lineRule="auto"/>
        <w:tabs>
          <w:tab w:leader="none" w:pos="68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recommends voting for each of the nominated Directors listed on the proxy card. The Board knows of no reason which would cause any nominee to be unable to act or to refuse to accept nomination or election.</w:t>
      </w:r>
    </w:p>
    <w:p>
      <w:pPr>
        <w:spacing w:after="0" w:line="163"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The Board recommends voting for the approval of the amendments to the Company's Incentive Compensation Plan (as more fully described in this proxy statement).</w:t>
      </w:r>
    </w:p>
    <w:p>
      <w:pPr>
        <w:spacing w:after="0" w:line="163" w:lineRule="exact"/>
        <w:rPr>
          <w:sz w:val="20"/>
          <w:szCs w:val="20"/>
          <w:color w:val="auto"/>
        </w:rPr>
      </w:pPr>
    </w:p>
    <w:p>
      <w:pPr>
        <w:ind w:left="700" w:hanging="692"/>
        <w:spacing w:after="0"/>
        <w:tabs>
          <w:tab w:leader="none" w:pos="7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ANY OTHER MATTERS BE VOTED ON?</w:t>
      </w:r>
    </w:p>
    <w:p>
      <w:pPr>
        <w:spacing w:after="0" w:line="173" w:lineRule="exact"/>
        <w:rPr>
          <w:sz w:val="20"/>
          <w:szCs w:val="20"/>
          <w:color w:val="auto"/>
        </w:rPr>
      </w:pPr>
    </w:p>
    <w:p>
      <w:pPr>
        <w:ind w:right="3339" w:firstLine="8"/>
        <w:spacing w:after="0" w:line="251" w:lineRule="auto"/>
        <w:tabs>
          <w:tab w:leader="none" w:pos="68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not aware of any matters other than the election of directors and the approval of certain amendments to the Company's Incentive Compensation Plan that you will be asked to vote on at the Meeting. If any other matter is properly brought before the Meeting, Donald E. Graham, John B. Morse, Jr., Diana M. Daniels and Gerald M. Rosberg, acting as your proxies, will vote for you in their discretion.</w:t>
      </w:r>
    </w:p>
    <w:p>
      <w:pPr>
        <w:spacing w:after="0" w:line="164" w:lineRule="exact"/>
        <w:rPr>
          <w:sz w:val="20"/>
          <w:szCs w:val="20"/>
          <w:color w:val="auto"/>
        </w:rPr>
      </w:pPr>
    </w:p>
    <w:p>
      <w:pPr>
        <w:ind w:left="700" w:hanging="692"/>
        <w:spacing w:after="0"/>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DO I VOTE?</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There are four ways to vote: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left="1560" w:right="3599" w:hanging="179"/>
        <w:spacing w:after="0" w:line="250" w:lineRule="auto"/>
        <w:tabs>
          <w:tab w:leader="none" w:pos="1540" w:val="left"/>
        </w:tabs>
        <w:rPr>
          <w:sz w:val="20"/>
          <w:szCs w:val="20"/>
          <w:color w:val="auto"/>
        </w:rPr>
      </w:pPr>
      <w:r>
        <w:rPr>
          <w:rFonts w:ascii="Courier New" w:cs="Courier New" w:eastAsia="Courier New" w:hAnsi="Courier New"/>
          <w:sz w:val="14"/>
          <w:szCs w:val="14"/>
          <w:color w:val="auto"/>
        </w:rPr>
        <w:t>o</w:t>
        <w:tab/>
        <w:t>By internet at http://www.computershare.com/expressvote. We encourage you to vote this way.</w:t>
      </w: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 By toll-free telephone at 1-800-652-8683.</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 By completing and mailing your proxy card.</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 By written ballot at the Meeting.</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If you vote by internet or telephone, your vote must be received by 5 p.m., Eastern Daylight Saving time, of the day before the Meeting. Your shares will be voted as you indicate. If you do not indicate your voting preferences, Donald E. Graham, John B. Morse, Jr., Diana M. Daniels and Gerald M. Rosberg, as your proxies, will vote your shares in favor of the applicable nominated Directors and in favor of the approval of the amendments to the Company's Incentive Compensation Plan.</w:t>
      </w:r>
    </w:p>
    <w:p>
      <w:pPr>
        <w:spacing w:after="0" w:line="164" w:lineRule="exact"/>
        <w:rPr>
          <w:sz w:val="20"/>
          <w:szCs w:val="20"/>
          <w:color w:val="auto"/>
        </w:rPr>
      </w:pPr>
    </w:p>
    <w:p>
      <w:pPr>
        <w:ind w:left="700" w:hanging="692"/>
        <w:spacing w:after="0"/>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VOTE?</w:t>
      </w:r>
    </w:p>
    <w:p>
      <w:pPr>
        <w:spacing w:after="0" w:line="173" w:lineRule="exact"/>
        <w:rPr>
          <w:sz w:val="20"/>
          <w:szCs w:val="20"/>
          <w:color w:val="auto"/>
        </w:rPr>
      </w:pPr>
    </w:p>
    <w:p>
      <w:pPr>
        <w:ind w:right="3339" w:firstLine="8"/>
        <w:spacing w:after="0" w:line="251" w:lineRule="auto"/>
        <w:tabs>
          <w:tab w:leader="none" w:pos="68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can vote at the Meeting if you were a shareholder of record as of the close of business on March 13, 2006 (the "Record Date"). Each share of Class A and Class B Common Stock is entitled to one vote on all matters on which such class of stock is entitled to vote.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329" w:lineRule="exact"/>
        <w:rPr>
          <w:sz w:val="20"/>
          <w:szCs w:val="20"/>
          <w:color w:val="auto"/>
        </w:rPr>
      </w:pPr>
    </w:p>
    <w:p>
      <w:pPr>
        <w:ind w:left="700" w:hanging="692"/>
        <w:spacing w:after="0"/>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CHANGE MY VOTE?</w:t>
      </w:r>
    </w:p>
    <w:p>
      <w:pPr>
        <w:spacing w:after="0" w:line="173" w:lineRule="exact"/>
        <w:rPr>
          <w:sz w:val="20"/>
          <w:szCs w:val="20"/>
          <w:color w:val="auto"/>
        </w:rPr>
      </w:pPr>
    </w:p>
    <w:p>
      <w:pPr>
        <w:ind w:right="3519" w:firstLine="8"/>
        <w:spacing w:after="0" w:line="255" w:lineRule="auto"/>
        <w:tabs>
          <w:tab w:leader="none" w:pos="68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You can change your vote or revoke your proxy any time before the Meeting by:</w:t>
      </w:r>
    </w:p>
    <w:p>
      <w:pPr>
        <w:spacing w:after="0" w:line="16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 entering a new vote by internet or telephone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 returning a later dated proxy card</w:t>
      </w:r>
    </w:p>
    <w:p>
      <w:pPr>
        <w:spacing w:after="0" w:line="7" w:lineRule="exact"/>
        <w:rPr>
          <w:sz w:val="20"/>
          <w:szCs w:val="20"/>
          <w:color w:val="auto"/>
        </w:rPr>
      </w:pPr>
    </w:p>
    <w:p>
      <w:pPr>
        <w:ind w:left="1560" w:right="3339" w:hanging="179"/>
        <w:spacing w:after="0" w:line="255" w:lineRule="auto"/>
        <w:tabs>
          <w:tab w:leader="none" w:pos="1540" w:val="left"/>
        </w:tabs>
        <w:rPr>
          <w:sz w:val="20"/>
          <w:szCs w:val="20"/>
          <w:color w:val="auto"/>
        </w:rPr>
      </w:pPr>
      <w:r>
        <w:rPr>
          <w:rFonts w:ascii="Courier New" w:cs="Courier New" w:eastAsia="Courier New" w:hAnsi="Courier New"/>
          <w:sz w:val="14"/>
          <w:szCs w:val="14"/>
          <w:color w:val="auto"/>
        </w:rPr>
        <w:t>o</w:t>
        <w:tab/>
        <w:t>voting in person at the Meeting provided you first revoke your previously voted proxy.</w:t>
      </w:r>
    </w:p>
    <w:p>
      <w:pPr>
        <w:spacing w:after="0" w:line="160" w:lineRule="exact"/>
        <w:rPr>
          <w:sz w:val="20"/>
          <w:szCs w:val="20"/>
          <w:color w:val="auto"/>
        </w:rPr>
      </w:pPr>
    </w:p>
    <w:p>
      <w:pPr>
        <w:ind w:left="700" w:hanging="692"/>
        <w:spacing w:after="0"/>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VOTE IS REQUIRED TO APPROVE A PROPOSAL?</w:t>
      </w:r>
    </w:p>
    <w:p>
      <w:pPr>
        <w:spacing w:after="0" w:line="173" w:lineRule="exact"/>
        <w:rPr>
          <w:sz w:val="20"/>
          <w:szCs w:val="20"/>
          <w:color w:val="auto"/>
        </w:rPr>
      </w:pPr>
    </w:p>
    <w:p>
      <w:pPr>
        <w:ind w:right="3339" w:firstLine="8"/>
        <w:spacing w:after="0" w:line="251" w:lineRule="auto"/>
        <w:tabs>
          <w:tab w:leader="none" w:pos="68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will be elected by a plurality of the votes cast at the Meeting. This means that the six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Any shares not voted (whether by abstention, broker non-vote or otherwise) will have no impact on the vote, but these shares will be counted for purposes of determining whether a quorum is present.</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Approval of the amendments to the Company's Incentive Compensation Plan is subject to the favorable vote of a majority of the holders of Class A Common Stock outstanding, voting as a class, and a majority of the holders of Class B Common Stock outstanding, voting as a class. Each Class A Stock Proxy and each Class B Stock Proxy executed and returned by a shareholder will be voted for this proposal, unless otherwise indicated on such Proxy. Any shares not voted (whether by abstention, broker non-vote or otherwise) will have the effect of a negative vote.</w:t>
      </w:r>
    </w:p>
    <w:p>
      <w:pPr>
        <w:spacing w:after="0" w:line="164" w:lineRule="exact"/>
        <w:rPr>
          <w:sz w:val="20"/>
          <w:szCs w:val="20"/>
          <w:color w:val="auto"/>
        </w:rPr>
      </w:pPr>
    </w:p>
    <w:p>
      <w:pPr>
        <w:ind w:left="700" w:hanging="692"/>
        <w:spacing w:after="0"/>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WILL COUNT THE VOTE?</w:t>
      </w:r>
    </w:p>
    <w:p>
      <w:pPr>
        <w:spacing w:after="0" w:line="173" w:lineRule="exact"/>
        <w:rPr>
          <w:sz w:val="20"/>
          <w:szCs w:val="20"/>
          <w:color w:val="auto"/>
        </w:rPr>
      </w:pPr>
    </w:p>
    <w:p>
      <w:pPr>
        <w:jc w:val="both"/>
        <w:ind w:right="3599" w:firstLine="8"/>
        <w:spacing w:after="0" w:line="252" w:lineRule="auto"/>
        <w:tabs>
          <w:tab w:leader="none" w:pos="68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Computershare, the Company's transfer agent and registrar, will count the vote. One of its representatives will be included among the inspectors of votes.</w:t>
      </w:r>
    </w:p>
    <w:p>
      <w:pPr>
        <w:spacing w:after="0" w:line="163" w:lineRule="exact"/>
        <w:rPr>
          <w:sz w:val="20"/>
          <w:szCs w:val="20"/>
          <w:color w:val="auto"/>
        </w:rPr>
      </w:pPr>
    </w:p>
    <w:p>
      <w:pPr>
        <w:ind w:left="700" w:hanging="692"/>
        <w:spacing w:after="0"/>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CAN ATTEND THE ANNUAL MEETING?</w:t>
      </w:r>
    </w:p>
    <w:p>
      <w:pPr>
        <w:spacing w:after="0" w:line="173" w:lineRule="exact"/>
        <w:rPr>
          <w:sz w:val="20"/>
          <w:szCs w:val="20"/>
          <w:color w:val="auto"/>
        </w:rPr>
      </w:pPr>
    </w:p>
    <w:p>
      <w:pPr>
        <w:ind w:right="3779" w:firstLine="8"/>
        <w:spacing w:after="0" w:line="255" w:lineRule="auto"/>
        <w:tabs>
          <w:tab w:leader="none" w:pos="68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shareholders of record as of the close of business on March 13, 2006, can attend.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left="700" w:hanging="692"/>
        <w:spacing w:after="0"/>
        <w:tabs>
          <w:tab w:leader="none" w:pos="7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NEED TO DO TO ATTEND THE ANNUAL MEETING?</w:t>
      </w:r>
    </w:p>
    <w:p>
      <w:pPr>
        <w:spacing w:after="0" w:line="173" w:lineRule="exact"/>
        <w:rPr>
          <w:sz w:val="20"/>
          <w:szCs w:val="20"/>
          <w:color w:val="auto"/>
        </w:rPr>
      </w:pPr>
    </w:p>
    <w:p>
      <w:pPr>
        <w:ind w:left="700" w:hanging="692"/>
        <w:spacing w:after="0"/>
        <w:tabs>
          <w:tab w:leader="none" w:pos="7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attend the Meeting, please follow these instructions: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 If you vote by using the enclosed proxy card, check the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appropriate box on the card.</w:t>
      </w:r>
    </w:p>
    <w:p>
      <w:pPr>
        <w:spacing w:after="0" w:line="7" w:lineRule="exact"/>
        <w:rPr>
          <w:sz w:val="20"/>
          <w:szCs w:val="20"/>
          <w:color w:val="auto"/>
        </w:rPr>
      </w:pPr>
    </w:p>
    <w:p>
      <w:pPr>
        <w:ind w:left="1560" w:right="3419" w:hanging="179"/>
        <w:spacing w:after="0" w:line="250" w:lineRule="auto"/>
        <w:tabs>
          <w:tab w:leader="none" w:pos="1540" w:val="left"/>
        </w:tabs>
        <w:rPr>
          <w:sz w:val="20"/>
          <w:szCs w:val="20"/>
          <w:color w:val="auto"/>
        </w:rPr>
      </w:pPr>
      <w:r>
        <w:rPr>
          <w:rFonts w:ascii="Courier New" w:cs="Courier New" w:eastAsia="Courier New" w:hAnsi="Courier New"/>
          <w:sz w:val="14"/>
          <w:szCs w:val="14"/>
          <w:color w:val="auto"/>
        </w:rPr>
        <w:t>o</w:t>
        <w:tab/>
        <w:t>If you vote by internet or telephone, follow the instructions provided for attendance.</w:t>
      </w:r>
    </w:p>
    <w:p>
      <w:pPr>
        <w:spacing w:after="0" w:line="1" w:lineRule="exact"/>
        <w:rPr>
          <w:sz w:val="20"/>
          <w:szCs w:val="20"/>
          <w:color w:val="auto"/>
        </w:rPr>
      </w:pPr>
    </w:p>
    <w:p>
      <w:pPr>
        <w:ind w:left="1560" w:right="3339" w:hanging="179"/>
        <w:spacing w:after="0" w:line="255" w:lineRule="auto"/>
        <w:tabs>
          <w:tab w:leader="none" w:pos="1540" w:val="left"/>
        </w:tabs>
        <w:rPr>
          <w:sz w:val="20"/>
          <w:szCs w:val="20"/>
          <w:color w:val="auto"/>
        </w:rPr>
      </w:pPr>
      <w:r>
        <w:rPr>
          <w:rFonts w:ascii="Courier New" w:cs="Courier New" w:eastAsia="Courier New" w:hAnsi="Courier New"/>
          <w:sz w:val="14"/>
          <w:szCs w:val="14"/>
          <w:color w:val="auto"/>
        </w:rPr>
        <w:t>o</w:t>
        <w:tab/>
        <w:t>If a broker or other nominee holds your shares, bring proof of your ownership with you to the meeting.</w:t>
      </w:r>
    </w:p>
    <w:p>
      <w:pPr>
        <w:spacing w:after="0" w:line="160" w:lineRule="exact"/>
        <w:rPr>
          <w:sz w:val="20"/>
          <w:szCs w:val="20"/>
          <w:color w:val="auto"/>
        </w:rPr>
      </w:pPr>
    </w:p>
    <w:p>
      <w:pPr>
        <w:ind w:left="700" w:right="3419"/>
        <w:spacing w:after="0" w:line="255" w:lineRule="auto"/>
        <w:rPr>
          <w:sz w:val="20"/>
          <w:szCs w:val="20"/>
          <w:color w:val="auto"/>
        </w:rPr>
      </w:pPr>
      <w:r>
        <w:rPr>
          <w:rFonts w:ascii="Courier New" w:cs="Courier New" w:eastAsia="Courier New" w:hAnsi="Courier New"/>
          <w:sz w:val="14"/>
          <w:szCs w:val="14"/>
          <w:color w:val="auto"/>
        </w:rPr>
        <w:t>Seating at the Meeting will be on a first-come, first-serve basis, upon arrival at the Meeting.</w:t>
      </w:r>
    </w:p>
    <w:p>
      <w:pPr>
        <w:spacing w:after="0" w:line="160" w:lineRule="exact"/>
        <w:rPr>
          <w:sz w:val="20"/>
          <w:szCs w:val="20"/>
          <w:color w:val="auto"/>
        </w:rPr>
      </w:pPr>
    </w:p>
    <w:p>
      <w:pPr>
        <w:ind w:left="700" w:hanging="692"/>
        <w:spacing w:after="0"/>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BRING A GUEST?</w:t>
      </w:r>
    </w:p>
    <w:p>
      <w:pPr>
        <w:spacing w:after="0" w:line="173" w:lineRule="exact"/>
        <w:rPr>
          <w:sz w:val="20"/>
          <w:szCs w:val="20"/>
          <w:color w:val="auto"/>
        </w:rPr>
      </w:pPr>
    </w:p>
    <w:p>
      <w:pPr>
        <w:ind w:left="700" w:hanging="692"/>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The Meeting is for shareholders only.</w:t>
      </w:r>
    </w:p>
    <w:p>
      <w:pPr>
        <w:spacing w:after="0" w:line="173" w:lineRule="exact"/>
        <w:rPr>
          <w:sz w:val="20"/>
          <w:szCs w:val="20"/>
          <w:color w:val="auto"/>
        </w:rPr>
      </w:pPr>
    </w:p>
    <w:p>
      <w:pPr>
        <w:ind w:left="700" w:hanging="692"/>
        <w:spacing w:after="0"/>
        <w:tabs>
          <w:tab w:leader="none" w:pos="7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QUORUM REQUIREMENT OF THE MEETING?</w:t>
      </w:r>
    </w:p>
    <w:p>
      <w:pPr>
        <w:spacing w:after="0" w:line="173" w:lineRule="exact"/>
        <w:rPr>
          <w:sz w:val="20"/>
          <w:szCs w:val="20"/>
          <w:color w:val="auto"/>
        </w:rPr>
      </w:pPr>
    </w:p>
    <w:p>
      <w:pPr>
        <w:ind w:right="3519" w:firstLine="8"/>
        <w:spacing w:after="0" w:line="251" w:lineRule="auto"/>
        <w:tabs>
          <w:tab w:leader="none" w:pos="68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outstanding shares on March 13, 2006, constitutes a quorum for voting at the Annual Meeting. If you vote, your shares will be part of the quorum. Abstentions and broker non-votes will be counted in determining the quorum, but neither will be counted as votes cast for purpose of electing directors. Abstentions and broker-non votes will have the effect of a negative vote in the case of the approval of the amendments to the Company's Incentive Compensation Plan. On March 13, 2006, there were 1,722,250 shares of Class A Common Stock and 7,879,981 shares of Class B Common Stock outstanding and entitled to vote.</w:t>
      </w:r>
    </w:p>
    <w:p>
      <w:pPr>
        <w:spacing w:after="0" w:line="164" w:lineRule="exact"/>
        <w:rPr>
          <w:sz w:val="20"/>
          <w:szCs w:val="20"/>
          <w:color w:val="auto"/>
        </w:rPr>
      </w:pPr>
    </w:p>
    <w:p>
      <w:pPr>
        <w:ind w:left="700" w:hanging="692"/>
        <w:spacing w:after="0"/>
        <w:tabs>
          <w:tab w:leader="none" w:pos="7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IS SOLICITING PROXIES?</w:t>
      </w:r>
    </w:p>
    <w:p>
      <w:pPr>
        <w:spacing w:after="0" w:line="173" w:lineRule="exact"/>
        <w:rPr>
          <w:sz w:val="20"/>
          <w:szCs w:val="20"/>
          <w:color w:val="auto"/>
        </w:rPr>
      </w:pPr>
    </w:p>
    <w:p>
      <w:pPr>
        <w:ind w:right="3339" w:firstLine="8"/>
        <w:spacing w:after="0" w:line="251" w:lineRule="auto"/>
        <w:tabs>
          <w:tab w:leader="none" w:pos="68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Solicitation of proxies will be made by the Company's management through the mail, in person or by facsimile or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reimburse them for their expenses in so doing.</w:t>
      </w:r>
    </w:p>
    <w:p>
      <w:pPr>
        <w:spacing w:after="0" w:line="164" w:lineRule="exact"/>
        <w:rPr>
          <w:sz w:val="20"/>
          <w:szCs w:val="20"/>
          <w:color w:val="auto"/>
        </w:rPr>
      </w:pPr>
    </w:p>
    <w:p>
      <w:pPr>
        <w:ind w:left="700" w:hanging="692"/>
        <w:spacing w:after="0"/>
        <w:tabs>
          <w:tab w:leader="none" w:pos="7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ARE THE SHAREHOLDER PROPOSALS DUE FOR THE 2007 ANNUAL MEETING?</w:t>
      </w:r>
    </w:p>
    <w:p>
      <w:pPr>
        <w:spacing w:after="0" w:line="173" w:lineRule="exact"/>
        <w:rPr>
          <w:sz w:val="20"/>
          <w:szCs w:val="20"/>
          <w:color w:val="auto"/>
        </w:rPr>
      </w:pPr>
    </w:p>
    <w:p>
      <w:pPr>
        <w:ind w:right="3339" w:firstLine="8"/>
        <w:spacing w:after="0" w:line="252" w:lineRule="auto"/>
        <w:tabs>
          <w:tab w:leader="none" w:pos="68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proposals submitted by shareholders entitled to vote on such matters, meeting the requirements of the Securities and Exchange Commission's proxy rules, must be in writing, received by November 26, 2006, and addressed to the Secretary of the Company, 1150 15th Street, N.W., Washington, DC 20071.</w:t>
      </w:r>
    </w:p>
    <w:p>
      <w:pPr>
        <w:spacing w:after="0" w:line="16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on equity-compensation plans and any material revisions to the terms of such plans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64" w:lineRule="exact"/>
        <w:rPr>
          <w:sz w:val="20"/>
          <w:szCs w:val="20"/>
          <w:color w:val="auto"/>
        </w:rPr>
      </w:pPr>
    </w:p>
    <w:p>
      <w:pPr>
        <w:ind w:left="700" w:hanging="692"/>
        <w:spacing w:after="0"/>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OTHER INFORMATION ABOUT THE WASHINGTON POST COMPANY IS AVAILABLE?</w:t>
      </w:r>
    </w:p>
    <w:p>
      <w:pPr>
        <w:spacing w:after="0" w:line="173" w:lineRule="exact"/>
        <w:rPr>
          <w:sz w:val="20"/>
          <w:szCs w:val="20"/>
          <w:color w:val="auto"/>
        </w:rPr>
      </w:pPr>
    </w:p>
    <w:p>
      <w:pPr>
        <w:ind w:left="700" w:hanging="692"/>
        <w:spacing w:after="0"/>
        <w:tabs>
          <w:tab w:leader="none" w:pos="7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information is available:</w:t>
      </w:r>
    </w:p>
    <w:p>
      <w:pPr>
        <w:spacing w:after="0" w:line="173" w:lineRule="exact"/>
        <w:rPr>
          <w:sz w:val="20"/>
          <w:szCs w:val="20"/>
          <w:color w:val="auto"/>
        </w:rPr>
      </w:pPr>
    </w:p>
    <w:p>
      <w:pPr>
        <w:ind w:left="1560" w:right="3339" w:hanging="179"/>
        <w:spacing w:after="0" w:line="251" w:lineRule="auto"/>
        <w:tabs>
          <w:tab w:leader="none" w:pos="1540" w:val="left"/>
        </w:tabs>
        <w:rPr>
          <w:sz w:val="20"/>
          <w:szCs w:val="20"/>
          <w:color w:val="auto"/>
        </w:rPr>
      </w:pPr>
      <w:r>
        <w:rPr>
          <w:rFonts w:ascii="Courier New" w:cs="Courier New" w:eastAsia="Courier New" w:hAnsi="Courier New"/>
          <w:sz w:val="14"/>
          <w:szCs w:val="14"/>
          <w:color w:val="auto"/>
        </w:rPr>
        <w:t>o</w:t>
        <w:tab/>
        <w:t>The Company maintains on its internet website, www.washpostco.com, copies of the Annual Report on Form 10-K, the Annual Report to Shareholders, the Company's Corporate Governance Guidelines and the Code of Business Conduct adopted by the Company and other information about the Company.</w:t>
      </w:r>
    </w:p>
    <w:p>
      <w:pPr>
        <w:spacing w:after="0" w:line="165" w:lineRule="exact"/>
        <w:rPr>
          <w:sz w:val="20"/>
          <w:szCs w:val="20"/>
          <w:color w:val="auto"/>
        </w:rPr>
      </w:pPr>
    </w:p>
    <w:p>
      <w:pPr>
        <w:ind w:left="1560" w:right="3339" w:hanging="179"/>
        <w:spacing w:after="0" w:line="251" w:lineRule="auto"/>
        <w:tabs>
          <w:tab w:leader="none" w:pos="1540" w:val="left"/>
        </w:tabs>
        <w:rPr>
          <w:sz w:val="20"/>
          <w:szCs w:val="20"/>
          <w:color w:val="auto"/>
        </w:rPr>
      </w:pPr>
      <w:r>
        <w:rPr>
          <w:rFonts w:ascii="Courier New" w:cs="Courier New" w:eastAsia="Courier New" w:hAnsi="Courier New"/>
          <w:sz w:val="14"/>
          <w:szCs w:val="14"/>
          <w:color w:val="auto"/>
        </w:rPr>
        <w:t>o</w:t>
        <w:tab/>
        <w:t>In addition, printed copies of the Company's Corporate Governance Guidelines, the Code of Business Conduct adopted by the Company and the Annual Report on Form 10-K, which will be furnished without charge (except exhibits) to any stockholder upon written request addressed to the Treasurer of the Company at 1150 15th Street, N.W., Washington, DC 20071.</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left="692" w:right="4119" w:hanging="692"/>
        <w:spacing w:after="0" w:line="255" w:lineRule="auto"/>
        <w:tabs>
          <w:tab w:leader="none" w:pos="69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RECEIVE MATERIALS RELATING TO ANNUAL SHAREHOLDER MEETINGS ELECTRONICALLY?</w:t>
      </w:r>
    </w:p>
    <w:p>
      <w:pPr>
        <w:spacing w:after="0" w:line="160" w:lineRule="exact"/>
        <w:rPr>
          <w:sz w:val="20"/>
          <w:szCs w:val="20"/>
          <w:color w:val="auto"/>
        </w:rPr>
      </w:pPr>
    </w:p>
    <w:p>
      <w:pPr>
        <w:ind w:left="-8" w:right="3419" w:firstLine="8"/>
        <w:spacing w:after="0" w:line="251" w:lineRule="auto"/>
        <w:tabs>
          <w:tab w:leader="none" w:pos="68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your bank or broker for instructions on how to consent to electronic distribution.</w:t>
      </w:r>
    </w:p>
    <w:p>
      <w:pPr>
        <w:spacing w:after="0" w:line="329" w:lineRule="exact"/>
        <w:rPr>
          <w:sz w:val="20"/>
          <w:szCs w:val="20"/>
          <w:color w:val="auto"/>
        </w:rPr>
      </w:pPr>
    </w:p>
    <w:p>
      <w:pPr>
        <w:jc w:val="center"/>
        <w:ind w:right="3248"/>
        <w:spacing w:after="0"/>
        <w:rPr>
          <w:sz w:val="20"/>
          <w:szCs w:val="20"/>
          <w:color w:val="auto"/>
        </w:rPr>
      </w:pPr>
      <w:r>
        <w:rPr>
          <w:rFonts w:ascii="Courier New" w:cs="Courier New" w:eastAsia="Courier New" w:hAnsi="Courier New"/>
          <w:sz w:val="14"/>
          <w:szCs w:val="14"/>
          <w:color w:val="auto"/>
        </w:rPr>
        <w:t>PROPOSAL 1: ELECTION OF DIRECTORS</w:t>
      </w:r>
    </w:p>
    <w:p>
      <w:pPr>
        <w:spacing w:after="0" w:line="173"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3" w:lineRule="exact"/>
        <w:rPr>
          <w:sz w:val="20"/>
          <w:szCs w:val="20"/>
          <w:color w:val="auto"/>
        </w:rPr>
      </w:pPr>
    </w:p>
    <w:p>
      <w:pPr>
        <w:ind w:left="692"/>
        <w:spacing w:after="0"/>
        <w:rPr>
          <w:sz w:val="20"/>
          <w:szCs w:val="20"/>
          <w:color w:val="auto"/>
        </w:rPr>
      </w:pPr>
      <w:r>
        <w:rPr>
          <w:rFonts w:ascii="Courier New" w:cs="Courier New" w:eastAsia="Courier New" w:hAnsi="Courier New"/>
          <w:sz w:val="14"/>
          <w:szCs w:val="14"/>
          <w:color w:val="auto"/>
        </w:rPr>
        <w:t>WARREN E. BUFFETT</w:t>
      </w:r>
    </w:p>
    <w:p>
      <w:pPr>
        <w:spacing w:after="0" w:line="173" w:lineRule="exact"/>
        <w:rPr>
          <w:sz w:val="20"/>
          <w:szCs w:val="20"/>
          <w:color w:val="auto"/>
        </w:rPr>
      </w:pPr>
    </w:p>
    <w:p>
      <w:pPr>
        <w:ind w:left="1372" w:right="3339"/>
        <w:spacing w:after="0" w:line="251" w:lineRule="auto"/>
        <w:rPr>
          <w:sz w:val="20"/>
          <w:szCs w:val="20"/>
          <w:color w:val="auto"/>
        </w:rPr>
      </w:pPr>
      <w:r>
        <w:rPr>
          <w:rFonts w:ascii="Courier New" w:cs="Courier New" w:eastAsia="Courier New" w:hAnsi="Courier New"/>
          <w:sz w:val="14"/>
          <w:szCs w:val="14"/>
          <w:color w:val="auto"/>
        </w:rPr>
        <w:t>Mr. Buffett, age 75, has for more than thirty-five years been Chairman of the Board and Chief Executive Officer of Berkshire Hathaway Inc. (a diversified holding company). He was elected a Director of the Company in May 1996. Mr. Buffett is a member of the Executive Committee of the Board and serves as Chairman of the Finance Committee and as lead director of the Board. Mr. Buffett also served as a Director of the Company between 1974 and 1986. He is a director of Berkshire Hathaway Inc. and he has served and will continue to serve until April 2006 as a director of The Coca-Cola Company and is a member of its Audit, Executive and Finance Committees. Mr. Buffett is also a Life Trustee of Grinnell College and The Urban Institute.</w:t>
      </w:r>
    </w:p>
    <w:p>
      <w:pPr>
        <w:spacing w:after="0" w:line="163" w:lineRule="exact"/>
        <w:rPr>
          <w:sz w:val="20"/>
          <w:szCs w:val="20"/>
          <w:color w:val="auto"/>
        </w:rPr>
      </w:pPr>
    </w:p>
    <w:p>
      <w:pPr>
        <w:ind w:left="692"/>
        <w:spacing w:after="0"/>
        <w:rPr>
          <w:sz w:val="20"/>
          <w:szCs w:val="20"/>
          <w:color w:val="auto"/>
        </w:rPr>
      </w:pPr>
      <w:r>
        <w:rPr>
          <w:rFonts w:ascii="Courier New" w:cs="Courier New" w:eastAsia="Courier New" w:hAnsi="Courier New"/>
          <w:sz w:val="14"/>
          <w:szCs w:val="14"/>
          <w:color w:val="auto"/>
        </w:rPr>
        <w:t>BARRY DILLER</w:t>
      </w:r>
    </w:p>
    <w:p>
      <w:pPr>
        <w:spacing w:after="0" w:line="173" w:lineRule="exact"/>
        <w:rPr>
          <w:sz w:val="20"/>
          <w:szCs w:val="20"/>
          <w:color w:val="auto"/>
        </w:rPr>
      </w:pPr>
    </w:p>
    <w:p>
      <w:pPr>
        <w:ind w:left="1372" w:right="3339"/>
        <w:spacing w:after="0" w:line="250" w:lineRule="auto"/>
        <w:rPr>
          <w:sz w:val="20"/>
          <w:szCs w:val="20"/>
          <w:color w:val="auto"/>
        </w:rPr>
      </w:pPr>
      <w:r>
        <w:rPr>
          <w:rFonts w:ascii="Courier New" w:cs="Courier New" w:eastAsia="Courier New" w:hAnsi="Courier New"/>
          <w:sz w:val="14"/>
          <w:szCs w:val="14"/>
          <w:color w:val="auto"/>
        </w:rPr>
        <w:t>Mr. Diller, age 64, has been Chairman of the Board and Chief Executive Officer of IAC/InterActiveCorp, formerly USA Interactive (an information, entertainment and direct selling company), since August 1995, and Chairman and Senior Executive of Expedia, Inc., since August 2005. He was elected a Director of the Company in September 2000 and is a member of the Finance and Compensation Committees of the Board. Since December 1992, beginning with QVC, Mr. Diller has served as chief executive for a number of predecessor companies engaged in media and interactivity prior to the formation of InterActiveCorp. From October 1984 to April 1992, Mr. Diller served as Chairman and Chief Executive Officer of Fox, Inc. and was responsible for the creation of Fox Broadcasting Company, in addition to Fox's motion picture operations. Prior to joining Fox, Inc., he served for ten years as Chairman of the Board of Directors of Paramount Pictures Corporation. Before joining Paramount, Mr. Diller served as Vice President of Prime Time Television for ABC Entertainment. Mr. Diller is a director of The CocaCola Company and he serves on the boards of Conservation International and Channel 13/WNET. He also is a member of the Board of Trustees of New York University and serves on the boards of a number of other educational and not-for-profit organizations.</w:t>
      </w:r>
    </w:p>
    <w:p>
      <w:pPr>
        <w:spacing w:after="0" w:line="175" w:lineRule="exact"/>
        <w:rPr>
          <w:sz w:val="20"/>
          <w:szCs w:val="20"/>
          <w:color w:val="auto"/>
        </w:rPr>
      </w:pPr>
    </w:p>
    <w:p>
      <w:pPr>
        <w:ind w:left="692"/>
        <w:spacing w:after="0"/>
        <w:rPr>
          <w:sz w:val="20"/>
          <w:szCs w:val="20"/>
          <w:color w:val="auto"/>
        </w:rPr>
      </w:pPr>
      <w:r>
        <w:rPr>
          <w:rFonts w:ascii="Courier New" w:cs="Courier New" w:eastAsia="Courier New" w:hAnsi="Courier New"/>
          <w:sz w:val="14"/>
          <w:szCs w:val="14"/>
          <w:color w:val="auto"/>
        </w:rPr>
        <w:t>MELINDA F. GATES</w:t>
      </w:r>
    </w:p>
    <w:p>
      <w:pPr>
        <w:spacing w:after="0" w:line="173" w:lineRule="exact"/>
        <w:rPr>
          <w:sz w:val="20"/>
          <w:szCs w:val="20"/>
          <w:color w:val="auto"/>
        </w:rPr>
      </w:pPr>
    </w:p>
    <w:p>
      <w:pPr>
        <w:ind w:left="1372" w:right="3339"/>
        <w:spacing w:after="0" w:line="251" w:lineRule="auto"/>
        <w:rPr>
          <w:sz w:val="20"/>
          <w:szCs w:val="20"/>
          <w:color w:val="auto"/>
        </w:rPr>
      </w:pPr>
      <w:r>
        <w:rPr>
          <w:rFonts w:ascii="Courier New" w:cs="Courier New" w:eastAsia="Courier New" w:hAnsi="Courier New"/>
          <w:sz w:val="14"/>
          <w:szCs w:val="14"/>
          <w:color w:val="auto"/>
        </w:rPr>
        <w:t>Melinda F. Gates, age 41, is Co-chairman of the Bill &amp; Melinda Gates Foundation. She was elected a Director of the Company in September 2004. After serving in a number of different positions since joining Microsoft Corporation in 1987, Mrs. Gates retired from her position as Microsoft's General Manager of Information Products in 1996. Following her retirement, she has directed her activities toward the non-profit world, having served as a member of the Board of Trustees of Duke University and co-chair of the Washington State Governor's Commission on Early Learning. She also serves as a director of drugstore.com, inc.</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DONALD E. GRAHAM</w:t>
      </w:r>
    </w:p>
    <w:p>
      <w:pPr>
        <w:spacing w:after="0" w:line="173" w:lineRule="exact"/>
        <w:rPr>
          <w:sz w:val="20"/>
          <w:szCs w:val="20"/>
          <w:color w:val="auto"/>
        </w:rPr>
      </w:pPr>
    </w:p>
    <w:p>
      <w:pPr>
        <w:ind w:left="680" w:right="3339"/>
        <w:spacing w:after="0" w:line="250" w:lineRule="auto"/>
        <w:rPr>
          <w:sz w:val="20"/>
          <w:szCs w:val="20"/>
          <w:color w:val="auto"/>
        </w:rPr>
      </w:pPr>
      <w:r>
        <w:rPr>
          <w:rFonts w:ascii="Courier New" w:cs="Courier New" w:eastAsia="Courier New" w:hAnsi="Courier New"/>
          <w:sz w:val="14"/>
          <w:szCs w:val="14"/>
          <w:color w:val="auto"/>
        </w:rPr>
        <w:t>Mr. Graham, age 60,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22.8% of the outstanding Class A Stock of the Company and his right to control the vote, as a trustee of certain family trusts, of an additional 30.98% of such stock, Mr. Graham effectively votes a total of 53.78% of the Class A shares. Mr. Graham is a trustee of the Federal City Council and the Philip L. Graham Fund, and he serves as President and a director of DC College Access Program and as a director of The Summit Fund of Washington.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w:t>
      </w:r>
    </w:p>
    <w:p>
      <w:pPr>
        <w:spacing w:after="0" w:line="173" w:lineRule="exact"/>
        <w:rPr>
          <w:sz w:val="20"/>
          <w:szCs w:val="20"/>
          <w:color w:val="auto"/>
        </w:rPr>
      </w:pPr>
    </w:p>
    <w:p>
      <w:pPr>
        <w:ind w:left="680" w:right="3339"/>
        <w:spacing w:after="0" w:line="251" w:lineRule="auto"/>
        <w:rPr>
          <w:sz w:val="20"/>
          <w:szCs w:val="20"/>
          <w:color w:val="auto"/>
        </w:rPr>
      </w:pPr>
      <w:r>
        <w:rPr>
          <w:rFonts w:ascii="Courier New" w:cs="Courier New" w:eastAsia="Courier New" w:hAnsi="Courier New"/>
          <w:sz w:val="14"/>
          <w:szCs w:val="14"/>
          <w:color w:val="auto"/>
        </w:rPr>
        <w:t>Mr. Simmons, age 71, has been retired since June 1991; prior to his retirement he had been President and Chief Operating Officer of the Company for nearly ten years. Since September 1981, he has been a Director of the Company. Mr. Simmons is a member of the Finance Committee and he serves as Chairman of the Audit Committee of the Board. Until May 1996, Mr. Simmons was also a member of the Compensation Committee of the Board. From 1989 to 1996, Mr. Simmons served as President of International Herald Tribune, S.A., a French publishing company then owned jointly by the Company and The New York Times Company. He is a member of the Advisory Counsel of the Public Company Accounting Oversight Board.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WILSON</w:t>
      </w:r>
    </w:p>
    <w:p>
      <w:pPr>
        <w:spacing w:after="0" w:line="173" w:lineRule="exact"/>
        <w:rPr>
          <w:sz w:val="20"/>
          <w:szCs w:val="20"/>
          <w:color w:val="auto"/>
        </w:rPr>
      </w:pPr>
    </w:p>
    <w:p>
      <w:pPr>
        <w:ind w:left="680" w:right="3339"/>
        <w:spacing w:after="0" w:line="251" w:lineRule="auto"/>
        <w:rPr>
          <w:sz w:val="20"/>
          <w:szCs w:val="20"/>
          <w:color w:val="auto"/>
        </w:rPr>
      </w:pPr>
      <w:r>
        <w:rPr>
          <w:rFonts w:ascii="Courier New" w:cs="Courier New" w:eastAsia="Courier New" w:hAnsi="Courier New"/>
          <w:sz w:val="14"/>
          <w:szCs w:val="14"/>
          <w:color w:val="auto"/>
        </w:rPr>
        <w:t>Mr. Wilson, age 68, has for more than twenty-four years been President and Chief Executive Officer of Newspapers of New England, Inc., President and Director of Newspapers of New Hampshire, Inc. and Newspapers of Massachusetts, Inc., and President of the Concord Monitor, which is published in Concord, N.H. He was elected a Director of the Company in September 1985 and serves as Chairman of the Compensation Committee of the Board and since October 2005 as a member of the Audit Committee. Mr. Wilson is also a director of the Board of Trustees of The Newspaper Foundation.</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CHRISTOPHER C. DAVIS</w:t>
      </w:r>
    </w:p>
    <w:p>
      <w:pPr>
        <w:spacing w:after="0" w:line="173" w:lineRule="exact"/>
        <w:rPr>
          <w:sz w:val="20"/>
          <w:szCs w:val="20"/>
          <w:color w:val="auto"/>
        </w:rPr>
      </w:pPr>
    </w:p>
    <w:p>
      <w:pPr>
        <w:ind w:left="680" w:right="3339"/>
        <w:spacing w:after="0" w:line="251" w:lineRule="auto"/>
        <w:rPr>
          <w:sz w:val="20"/>
          <w:szCs w:val="20"/>
          <w:color w:val="auto"/>
        </w:rPr>
      </w:pPr>
      <w:r>
        <w:rPr>
          <w:rFonts w:ascii="Courier New" w:cs="Courier New" w:eastAsia="Courier New" w:hAnsi="Courier New"/>
          <w:sz w:val="14"/>
          <w:szCs w:val="14"/>
          <w:color w:val="auto"/>
        </w:rPr>
        <w:t>Mr. Davis, age 40, is Chairman of Davis Selected Advisers, L.P., an investment counseling firm overseeing approximately $70 billion in client assets. He became a Director of the Company in January 2006 and is a member of the Audit Committee of the Board. Mr. Davis is also a director and officer of a number of mutual funds advised by Davis Selected Advisers, L.P., or other entities controlled by Davis Selected Advisers, L.P. Mr. Davis also serves as a trustee of the American Museum of National History, Scenic Hudson Land Trust and a number of other not-for-profit organizations.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L. DOTSON JR.</w:t>
      </w:r>
    </w:p>
    <w:p>
      <w:pPr>
        <w:spacing w:after="0" w:line="173" w:lineRule="exact"/>
        <w:rPr>
          <w:sz w:val="20"/>
          <w:szCs w:val="20"/>
          <w:color w:val="auto"/>
        </w:rPr>
      </w:pPr>
    </w:p>
    <w:p>
      <w:pPr>
        <w:ind w:left="680" w:right="3339"/>
        <w:spacing w:after="0" w:line="250" w:lineRule="auto"/>
        <w:rPr>
          <w:sz w:val="20"/>
          <w:szCs w:val="20"/>
          <w:color w:val="auto"/>
        </w:rPr>
      </w:pPr>
      <w:r>
        <w:rPr>
          <w:rFonts w:ascii="Courier New" w:cs="Courier New" w:eastAsia="Courier New" w:hAnsi="Courier New"/>
          <w:sz w:val="14"/>
          <w:szCs w:val="14"/>
          <w:color w:val="auto"/>
        </w:rPr>
        <w:t>Mr. Dotson, age 69, has been retired since June 2001; prior to his retirement he had been President and Publisher of the Akron Beacon Journal. He became a Director of the Company in July 2001 and is a member of the Compensation Committee of the Board. Mr. Dotson is a member of the Board of Directors of the Maynard Institute for Journalism Education, and a member of the John S.</w:t>
      </w:r>
    </w:p>
    <w:p>
      <w:pPr>
        <w:spacing w:after="0" w:line="3" w:lineRule="exact"/>
        <w:rPr>
          <w:sz w:val="20"/>
          <w:szCs w:val="20"/>
          <w:color w:val="auto"/>
        </w:rPr>
      </w:pPr>
    </w:p>
    <w:p>
      <w:pPr>
        <w:jc w:val="both"/>
        <w:ind w:left="680" w:right="3419" w:firstLine="6"/>
        <w:spacing w:after="0" w:line="252" w:lineRule="auto"/>
        <w:tabs>
          <w:tab w:leader="none" w:pos="85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James L. Knight Foundation Journalism Advisory Committee, the Board of Visitors of the University of North Carolina School of Journalism and Mass Communications and the Board of Visitors of the John S. Knight Fellowships at Stanford University.</w:t>
      </w:r>
    </w:p>
    <w:p>
      <w:pPr>
        <w:spacing w:after="0" w:line="162"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539"/>
          </w:cols>
          <w:pgMar w:left="920" w:top="616" w:right="1440" w:bottom="1440" w:gutter="0" w:footer="0" w:header="0"/>
        </w:sectPr>
      </w:pPr>
    </w:p>
    <w:bookmarkStart w:id="7" w:name="page8"/>
    <w:bookmarkEnd w:id="7"/>
    <w:p>
      <w:pPr>
        <w:ind w:left="700"/>
        <w:spacing w:after="0"/>
        <w:rPr>
          <w:sz w:val="20"/>
          <w:szCs w:val="20"/>
          <w:color w:val="auto"/>
        </w:rPr>
      </w:pPr>
      <w:r>
        <w:rPr>
          <w:rFonts w:ascii="Courier New" w:cs="Courier New" w:eastAsia="Courier New" w:hAnsi="Courier New"/>
          <w:sz w:val="14"/>
          <w:szCs w:val="14"/>
          <w:color w:val="auto"/>
        </w:rPr>
        <w:t>RONALD L. OLSON</w:t>
      </w:r>
    </w:p>
    <w:p>
      <w:pPr>
        <w:spacing w:after="0" w:line="173" w:lineRule="exact"/>
        <w:rPr>
          <w:sz w:val="20"/>
          <w:szCs w:val="20"/>
          <w:color w:val="auto"/>
        </w:rPr>
      </w:pPr>
    </w:p>
    <w:p>
      <w:pPr>
        <w:ind w:left="1380" w:right="3339"/>
        <w:spacing w:after="0" w:line="251" w:lineRule="auto"/>
        <w:rPr>
          <w:sz w:val="20"/>
          <w:szCs w:val="20"/>
          <w:color w:val="auto"/>
        </w:rPr>
      </w:pPr>
      <w:r>
        <w:rPr>
          <w:rFonts w:ascii="Courier New" w:cs="Courier New" w:eastAsia="Courier New" w:hAnsi="Courier New"/>
          <w:sz w:val="14"/>
          <w:szCs w:val="14"/>
          <w:color w:val="auto"/>
        </w:rPr>
        <w:t>Mr. Olson, age 64, has since 1970 been a partner in the law firm of Munger, Tolles &amp; Olson LLP. He became a Director of the Company in September 2003 and was until October 2005 a member of the Audit Committee of the Board. Mr. Olson is also a director of Berkshire Hathaway Inc., Edison International, Southern California Edison, Western Asset Trusts, and City National Corporation. He serves on the board of the California Institute of Technology, the RAND Corporation and a number of other not-for-profit organizations.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3" w:lineRule="exact"/>
        <w:rPr>
          <w:sz w:val="20"/>
          <w:szCs w:val="20"/>
          <w:color w:val="auto"/>
        </w:rPr>
      </w:pPr>
    </w:p>
    <w:p>
      <w:pPr>
        <w:ind w:right="3859" w:firstLine="689"/>
        <w:spacing w:after="0" w:line="255"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w:t>
      </w:r>
    </w:p>
    <w:p>
      <w:pPr>
        <w:spacing w:after="0" w:line="160" w:lineRule="exact"/>
        <w:rPr>
          <w:sz w:val="20"/>
          <w:szCs w:val="20"/>
          <w:color w:val="auto"/>
        </w:rPr>
      </w:pPr>
    </w:p>
    <w:p>
      <w:pPr>
        <w:ind w:right="3779" w:firstLine="689"/>
        <w:spacing w:after="0" w:line="251" w:lineRule="auto"/>
        <w:rPr>
          <w:sz w:val="20"/>
          <w:szCs w:val="20"/>
          <w:color w:val="auto"/>
        </w:rPr>
      </w:pPr>
      <w:r>
        <w:rPr>
          <w:rFonts w:ascii="Courier New" w:cs="Courier New" w:eastAsia="Courier New" w:hAnsi="Courier New"/>
          <w:sz w:val="14"/>
          <w:szCs w:val="14"/>
          <w:color w:val="auto"/>
        </w:rPr>
        <w:t>Given the ownership structure of the Company and its status as a "controlled company" (see page 10),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auditors, (v) the performance of the Company's internal audit function, (vi) the outside auditors' annual audit of the Company's financial statements and (vii) preparing any report required by the rules and regulations of the Securities and Exchange Commission.</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Christopher C. Davis, Alice M. Rivlin, George W. Wilson and Richard D. Simmons (chairman) serve on the Audit Committee. In September, Ronald L. Olson resigned from the Audit Committee following the engagement of Munger, Tolles &amp; Olson LLP by Kaplan, Inc. to represent it in a litigation matter. The Board of Directors has determined that all members of the Audit Committee are non-employee, "financially literate", "independent" directors within the meaning of the New York Stock Exchange listing standards, and all members of the Audit Committee are "independent" as that term is used in Item 7(d)(3)(iv) of Schedule 14A of the Securities Exchange Act of 1934. None of the members of the Audit Committee has, other than in their capacity as a Committee or Board member, accepted any consulting, advisory or other compensatory fee (other than pension or other forms of deferred compensation for prior service which is not contingent in any way on continued service) from the Company or its affiliates and none of the members of the Audit Committee has a material relationship with the Company.</w:t>
      </w:r>
    </w:p>
    <w:p>
      <w:pPr>
        <w:spacing w:after="0" w:line="32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Board has determined that Richard D. Simmons has the requisite background and experience to be and is designated an "audit committee financial expert" within the meaning of Item 401(h) of Regulation S-K. In addition, the Board has determined that all the members of the Audit Committee are well-grounded in financial matters and are familiar with generally accepted accounting principles. All the members of the Audit Committee have a general understanding of internal controls and procedures for financial reporting, as well as an understanding of audit committee functions. To the extent there are matters that come before the Audit Committee that involve accounting issues, the members of the Audit Committee consult with and rely on experts for their expertise.</w:t>
      </w:r>
    </w:p>
    <w:p>
      <w:pPr>
        <w:spacing w:after="0" w:line="32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Audit Committee held eight meetings in 2005.</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COMPENSATION COMMITTEE</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functions of the Compensation Committee include (i) reviewing the compensation for the Company's chief executive officer, (ii) consulting with the chief executive officer with respect to the compensation of the Company's other executives (including specifically approving all salaries of $250,000 or more, per year for employees of Kaplan, Inc. and $200,000 or more per year for employers of all of the business units (including Corporate), all incentive compensation awards and all other bonuses (other than sales bonuses) of $40,000 or more, and also awards of stock options), (iii) overseeing the administration of and determining awards under the Company's compensation plans and (iv) preparing any report on executive compensation required by the rules and regulations of the Securities and Exchange Commission.</w:t>
      </w:r>
    </w:p>
    <w:p>
      <w:pPr>
        <w:spacing w:after="0" w:line="16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Barry Diller, John L. Dotson Jr. and George W. Wilson (chairman) serve on the Compensation Committee. All members of the Compensation Committee are nonemployee, "independent" directors within the meaning of the listing requirements of the New York Stock Exchange.</w:t>
      </w: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Compensation Committee held five meetings in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COMMITTEE</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Barry Diller, George J. Gillespie III, Donald E. Graham, Richard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Simmons and Warren E. Buffett (chairman) serve on the Finance Committee.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Finance Committee held one meeting in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63" w:lineRule="exact"/>
        <w:rPr>
          <w:sz w:val="20"/>
          <w:szCs w:val="20"/>
          <w:color w:val="auto"/>
        </w:rPr>
      </w:pPr>
    </w:p>
    <w:p>
      <w:pPr>
        <w:ind w:right="3339" w:firstLine="689"/>
        <w:spacing w:after="0" w:line="255" w:lineRule="auto"/>
        <w:rPr>
          <w:sz w:val="20"/>
          <w:szCs w:val="20"/>
          <w:color w:val="auto"/>
        </w:rPr>
      </w:pPr>
      <w:r>
        <w:rPr>
          <w:rFonts w:ascii="Courier New" w:cs="Courier New" w:eastAsia="Courier New" w:hAnsi="Courier New"/>
          <w:sz w:val="14"/>
          <w:szCs w:val="14"/>
          <w:color w:val="auto"/>
        </w:rPr>
        <w:t>Warren E. Buffett and Donald E. Graham (chairman) serve on the Executive Committee.</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Executive Committee held four meetings in 2005.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 ATTENDANCE</w:t>
      </w:r>
    </w:p>
    <w:p>
      <w:pPr>
        <w:spacing w:after="0" w:line="173"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The Board held a total of six meetings in 2005. Each director attended at least 75% of the meetings of the Board and the committees of the Board on which the director served, with the exception of Christopher C. Davis, who was appointed to the Board in January 2006.</w:t>
      </w:r>
    </w:p>
    <w:p>
      <w:pPr>
        <w:spacing w:after="0" w:line="162"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The Board does not have a policy of requiring directors to attend annual meetings of shareholders and leaves it entirely at the discretion of each director as to whether he or she will attend the meeting. Four directors attended the 2005 annual meeting of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Annual Payments. During 2005, non-employee directors received: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 $60,000 as a retainer, and</w:t>
      </w:r>
    </w:p>
    <w:p>
      <w:pPr>
        <w:spacing w:after="0" w:line="7" w:lineRule="exact"/>
        <w:rPr>
          <w:sz w:val="20"/>
          <w:szCs w:val="20"/>
          <w:color w:val="auto"/>
        </w:rPr>
      </w:pPr>
    </w:p>
    <w:p>
      <w:pPr>
        <w:ind w:left="700" w:right="4119"/>
        <w:spacing w:after="0" w:line="255" w:lineRule="auto"/>
        <w:rPr>
          <w:sz w:val="20"/>
          <w:szCs w:val="20"/>
          <w:color w:val="auto"/>
        </w:rPr>
      </w:pPr>
      <w:r>
        <w:rPr>
          <w:rFonts w:ascii="Courier New" w:cs="Courier New" w:eastAsia="Courier New" w:hAnsi="Courier New"/>
          <w:sz w:val="14"/>
          <w:szCs w:val="14"/>
          <w:color w:val="auto"/>
        </w:rPr>
        <w:t>o reimbursement of out-of-pocket expenses for the meetings they attended.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ind w:left="700"/>
        <w:spacing w:after="0"/>
        <w:rPr>
          <w:sz w:val="20"/>
          <w:szCs w:val="20"/>
          <w:color w:val="auto"/>
        </w:rPr>
      </w:pPr>
      <w:r>
        <w:rPr>
          <w:rFonts w:ascii="Courier New" w:cs="Courier New" w:eastAsia="Courier New" w:hAnsi="Courier New"/>
          <w:sz w:val="14"/>
          <w:szCs w:val="14"/>
          <w:color w:val="auto"/>
        </w:rPr>
        <w:t>Commencing on January 1, 2006, nonemployee directors receive: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 $70,000 as a retainer,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 reimbursement of out-of-pocket expenses for the meetings they attend.</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The non-employee chairmen of Board committees each receive an additional $5,000. Members of the Audit Committee also receive an additional $10,000 annually for their service on that committee. Employee directors receive no additional compensation for serving on the Board.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has in place a voluntary fee deferral plan for directors of the Company. The plan provides an opportunity for participants to elect to defer the receipt of all or a portion of the fees received for service as a director. 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"CONTROLLED COMPANY"</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descendants of Katharine Graham (including the Company's chief executive officer and Chairman of the Board) and trusts for the benefit of those descendants own all the shares of Class A Common Stock, which have the right to vote for 70% of the Board of Directors, and thus the Company is a "controlled company" for purposes of Section 303(A) of the New York Stock Exchange Listed Company Manual. As a "controlled company," the Company is exempted from the requirement that it have a nominating/corporate governance committee. Notwithstanding its being a "controlled company", the Board has determined that Warren E. Buffett, Christopher C. Davis, Barry Diller, John L. Dotson Jr., Melinda F. Gates, Ronald L. Olson, Alice M. Rivlin, Richard D. Simmons and George W. Wilson, who together constitute a majority of the board, are "independent" as outlined in Section 303A.02 of the New York Stock Exchange Listed Company Manual.</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 OF THE NON-MANAGEMENT DIRECTORS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listing requirements of the New York Stock Exchange call for the non-management directors of the Company to meet regularly in executive session without management. The Board has appointed Mr. Warren E. Buffett as lead director and to preside at the executive sessions. The non-management directors met once in November 2005 and expect to meet in executive session in 2006 as appropriate.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COMMUNICATING WITH DIRECTORS</w:t>
      </w:r>
    </w:p>
    <w:p>
      <w:pPr>
        <w:spacing w:after="0" w:line="17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Interested parties may communicate concerns to the lead director or the other directors of the Company through Global Compliance Services, the Company's third-party managed hotline (1-866-687-8972) or online at https://www.compliancehelpline.com/WashPostCo.jsp.</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ind w:left="960"/>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2006,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are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PRINCIPAL HOLDERS OF STOCK</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SHARES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2140" w:val="left"/>
        </w:tabs>
        <w:rPr>
          <w:sz w:val="20"/>
          <w:szCs w:val="20"/>
          <w:color w:val="auto"/>
        </w:rPr>
      </w:pPr>
      <w:r>
        <w:rPr>
          <w:rFonts w:ascii="Courier New" w:cs="Courier New" w:eastAsia="Courier New" w:hAnsi="Courier New"/>
          <w:sz w:val="14"/>
          <w:szCs w:val="14"/>
          <w:color w:val="auto"/>
        </w:rPr>
        <w:t>CLASS A STOCK</w:t>
      </w:r>
      <w:r>
        <w:rPr>
          <w:sz w:val="20"/>
          <w:szCs w:val="20"/>
          <w:color w:val="auto"/>
        </w:rPr>
        <w:tab/>
      </w:r>
      <w:r>
        <w:rPr>
          <w:rFonts w:ascii="Courier New" w:cs="Courier New" w:eastAsia="Courier New" w:hAnsi="Courier New"/>
          <w:sz w:val="14"/>
          <w:szCs w:val="14"/>
          <w:color w:val="auto"/>
        </w:rPr>
        <w:t>CLASS B STOCK*</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E. Graham (a)(i).....................................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1,562,609 (90.7%)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3,493,134 (36.4%)</w:t>
      </w:r>
    </w:p>
    <w:p>
      <w:pPr>
        <w:spacing w:after="0" w:line="7" w:lineRule="exact"/>
        <w:rPr>
          <w:sz w:val="20"/>
          <w:szCs w:val="20"/>
          <w:color w:val="auto"/>
        </w:rPr>
      </w:pPr>
    </w:p>
    <w:p>
      <w:pPr>
        <w:sectPr>
          <w:pgSz w:w="11900" w:h="16838" w:orient="portrait"/>
          <w:cols w:equalWidth="0" w:num="3">
            <w:col w:w="5180" w:space="260"/>
            <w:col w:w="1460" w:space="520"/>
            <w:col w:w="281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1150 15th Street, N.W.</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Washington, D.C.</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W. Graham (b)(i)....................................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299,849 (17.4%)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180" w:space="420"/>
            <w:col w:w="2380" w:space="720"/>
            <w:col w:w="153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11661 San Vincente Blvd., Suite 401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Los Angeles, California</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M. Graham (c)(i)....................................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324,670 (18.9%)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5180" w:space="420"/>
            <w:col w:w="2380" w:space="720"/>
            <w:col w:w="153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18 E. 78th Street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York, N.Y.</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Elizabeth G. Weymouth (d)(i)................................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585,200 (34.0%)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588,591 (6.2%)</w:t>
      </w:r>
    </w:p>
    <w:p>
      <w:pPr>
        <w:spacing w:after="0" w:line="7" w:lineRule="exact"/>
        <w:rPr>
          <w:sz w:val="20"/>
          <w:szCs w:val="20"/>
          <w:color w:val="auto"/>
        </w:rPr>
      </w:pPr>
    </w:p>
    <w:p>
      <w:pPr>
        <w:sectPr>
          <w:pgSz w:w="11900" w:h="16838" w:orient="portrait"/>
          <w:cols w:equalWidth="0" w:num="3">
            <w:col w:w="5180" w:space="420"/>
            <w:col w:w="1360" w:space="720"/>
            <w:col w:w="255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251 West 57th Street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York, N.Y.</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J. Gillespie, III (e)(i).............................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612,990 (35.6%)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977,327 (10.2%)</w:t>
      </w:r>
    </w:p>
    <w:p>
      <w:pPr>
        <w:spacing w:after="0" w:line="7" w:lineRule="exact"/>
        <w:rPr>
          <w:sz w:val="20"/>
          <w:szCs w:val="20"/>
          <w:color w:val="auto"/>
        </w:rPr>
      </w:pPr>
    </w:p>
    <w:p>
      <w:pPr>
        <w:sectPr>
          <w:pgSz w:w="11900" w:h="16838" w:orient="portrait"/>
          <w:cols w:equalWidth="0" w:num="3">
            <w:col w:w="5180" w:space="420"/>
            <w:col w:w="1360" w:space="720"/>
            <w:col w:w="255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825 Eighth Avenue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York, N.Y</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L. Mosley (f)(i).....................................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585,591 (34.2%)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591,566 (6.0%)</w:t>
      </w:r>
    </w:p>
    <w:p>
      <w:pPr>
        <w:spacing w:after="0" w:line="7" w:lineRule="exact"/>
        <w:rPr>
          <w:sz w:val="20"/>
          <w:szCs w:val="20"/>
          <w:color w:val="auto"/>
        </w:rPr>
      </w:pPr>
    </w:p>
    <w:p>
      <w:pPr>
        <w:sectPr>
          <w:pgSz w:w="11900" w:h="16838" w:orient="portrait"/>
          <w:cols w:equalWidth="0" w:num="3">
            <w:col w:w="5180" w:space="420"/>
            <w:col w:w="1440" w:space="720"/>
            <w:col w:w="247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825 Eighth Avenue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York, N.Y</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Berkshire Hathaway Inc.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1,727,765 (18.0%)</w:t>
      </w:r>
    </w:p>
    <w:p>
      <w:pPr>
        <w:spacing w:after="0" w:line="7" w:lineRule="exact"/>
        <w:rPr>
          <w:sz w:val="20"/>
          <w:szCs w:val="20"/>
          <w:color w:val="auto"/>
        </w:rPr>
      </w:pPr>
    </w:p>
    <w:p>
      <w:pPr>
        <w:sectPr>
          <w:pgSz w:w="11900" w:h="16838" w:orient="portrait"/>
          <w:cols w:equalWidth="0" w:num="3">
            <w:col w:w="5920" w:space="720"/>
            <w:col w:w="180" w:space="680"/>
            <w:col w:w="273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1440 Kiewit Plaza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Omaha, Nebraska</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Franklin Mutual Advisers, LLC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552,623 (5.8%)</w:t>
      </w:r>
    </w:p>
    <w:p>
      <w:pPr>
        <w:spacing w:after="0" w:line="7" w:lineRule="exact"/>
        <w:rPr>
          <w:sz w:val="20"/>
          <w:szCs w:val="20"/>
          <w:color w:val="auto"/>
        </w:rPr>
      </w:pPr>
    </w:p>
    <w:p>
      <w:pPr>
        <w:sectPr>
          <w:pgSz w:w="11900" w:h="16838" w:orient="portrait"/>
          <w:cols w:equalWidth="0" w:num="3">
            <w:col w:w="5920" w:space="720"/>
            <w:col w:w="400" w:space="720"/>
            <w:col w:w="247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51 John F. Kennedy Parkway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Short Hills, NJ</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right="3419" w:hanging="692"/>
        <w:spacing w:after="0" w:line="252" w:lineRule="auto"/>
        <w:tabs>
          <w:tab w:leader="none" w:pos="7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set forth in this table relating to percentage ownership of Class B Stock include 1,722,250 shares of Class B Stock issuable upon conversion of shares of Class A Stock beneficially owned.</w:t>
      </w:r>
    </w:p>
    <w:p>
      <w:pPr>
        <w:spacing w:after="0" w:line="16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Less than five percent.</w:t>
      </w:r>
    </w:p>
    <w:p>
      <w:pPr>
        <w:spacing w:after="0" w:line="17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11" w:name="page12"/>
    <w:bookmarkEnd w:id="11"/>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ind w:left="700" w:right="3419" w:hanging="692"/>
        <w:spacing w:after="0" w:line="250"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Mr. Donald Graham has voting and investment power with respect to shares of Class A Stock as follows: sole voting power, 392,695</w:t>
      </w:r>
    </w:p>
    <w:p>
      <w:pPr>
        <w:spacing w:after="0" w:line="1" w:lineRule="exact"/>
        <w:rPr>
          <w:rFonts w:ascii="Courier New" w:cs="Courier New" w:eastAsia="Courier New" w:hAnsi="Courier New"/>
          <w:sz w:val="14"/>
          <w:szCs w:val="14"/>
          <w:color w:val="auto"/>
        </w:rPr>
      </w:pPr>
    </w:p>
    <w:p>
      <w:pPr>
        <w:ind w:left="70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(22.8%) shares, sole investment power, 392,695 (22.8%) shares, shared voting power, 1,162,714 (67.5%) shares, and shared investment power, 1,162,714 (67.5%) shares. The holdings of Class A Stock recorded for Mr. Graham include 7,200 shares held by Mr. Graham's wife, in which he disclaims beneficial ownership. Mr. Graham also has voting and investment power with respect to shares of Class B Stock as follows: sole voting power, 1,811,211 (18.9%) shares, sole investment power</w:t>
      </w:r>
    </w:p>
    <w:p>
      <w:pPr>
        <w:spacing w:after="0" w:line="3" w:lineRule="exact"/>
        <w:rPr>
          <w:rFonts w:ascii="Courier New" w:cs="Courier New" w:eastAsia="Courier New" w:hAnsi="Courier New"/>
          <w:sz w:val="14"/>
          <w:szCs w:val="14"/>
          <w:color w:val="auto"/>
        </w:rPr>
      </w:pPr>
    </w:p>
    <w:p>
      <w:pPr>
        <w:ind w:left="70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83,446 (&lt;1%) shares, shared voting power 84,314 (&lt;1%) shares, and shared investment power, 84,314 (&lt;1%) shares. The holdings of Class B Stock recorded for Mr. Graham include 35,000 shares of Class B Stock held by Mr. Graham's wife, in which he disclaims beneficial ownership and 1,526,609 (16.0%) shares issuable upon conversion of shares of Class A Stock deemed to be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162" w:lineRule="exact"/>
        <w:rPr>
          <w:rFonts w:ascii="Courier New" w:cs="Courier New" w:eastAsia="Courier New" w:hAnsi="Courier New"/>
          <w:sz w:val="14"/>
          <w:szCs w:val="14"/>
          <w:color w:val="auto"/>
        </w:rPr>
      </w:pPr>
    </w:p>
    <w:p>
      <w:pPr>
        <w:ind w:left="700" w:right="3339" w:hanging="692"/>
        <w:spacing w:after="0" w:line="250"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Mr. William Graham has voting and investment power with respect to shares of Class A Stock as follows: shared voting power, 107,849</w:t>
      </w:r>
    </w:p>
    <w:p>
      <w:pPr>
        <w:spacing w:after="0" w:line="1" w:lineRule="exact"/>
        <w:rPr>
          <w:rFonts w:ascii="Courier New" w:cs="Courier New" w:eastAsia="Courier New" w:hAnsi="Courier New"/>
          <w:sz w:val="14"/>
          <w:szCs w:val="14"/>
          <w:color w:val="auto"/>
        </w:rPr>
      </w:pPr>
    </w:p>
    <w:p>
      <w:pPr>
        <w:ind w:left="70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(6.3%) shares, and shared investment power, 107,849 (6.3%) shares. In addition, Mr. William Graham, as the beneficiary of trusts even though he has no voting or investment power with respect thereto, is deemed to be the beneficial owner of 192,000 (11.2%) shares of Class A Stock. The holdings of Class B Stock recorded for Mr. William Graham, including shares issuable upon conversion of shares of Class A Stock deemed to be beneficially owned by Mr. Graham, are less than five percent.</w:t>
      </w:r>
    </w:p>
    <w:p>
      <w:pPr>
        <w:spacing w:after="0" w:line="164" w:lineRule="exact"/>
        <w:rPr>
          <w:rFonts w:ascii="Courier New" w:cs="Courier New" w:eastAsia="Courier New" w:hAnsi="Courier New"/>
          <w:sz w:val="14"/>
          <w:szCs w:val="14"/>
          <w:color w:val="auto"/>
        </w:rPr>
      </w:pPr>
    </w:p>
    <w:p>
      <w:pPr>
        <w:ind w:left="700" w:right="3339" w:hanging="692"/>
        <w:spacing w:after="0" w:line="251"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Mr. Stephen Graham has voting and investment power with respect to shares of Class A Stock as follows: sole voting power, 46,915 (2.7%), sole investment power 46,915 (2.7%), shared voting power, 119,755 (7%) shares, and shared investment power, 119,755 (7%) shares. In addition, Mr. Stephen Graham, as the beneficiary of trusts even though he has no voting or investment power with respect thereto, is deemed to be the beneficial owner of 158,000 (9.2%) shares of Class A Stock. The holdings of Class B Stock recorded for Mr. Stephen Graham, including shares issuable upon conversion of shares of Class A Stock deemed to be beneficially owned by Mr. Graham, are less than five percent.</w:t>
      </w:r>
    </w:p>
    <w:p>
      <w:pPr>
        <w:spacing w:after="0" w:line="163" w:lineRule="exact"/>
        <w:rPr>
          <w:rFonts w:ascii="Courier New" w:cs="Courier New" w:eastAsia="Courier New" w:hAnsi="Courier New"/>
          <w:sz w:val="14"/>
          <w:szCs w:val="14"/>
          <w:color w:val="auto"/>
        </w:rPr>
      </w:pPr>
    </w:p>
    <w:p>
      <w:pPr>
        <w:ind w:left="700" w:right="3519" w:hanging="692"/>
        <w:spacing w:after="0" w:line="250"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Mrs. Weymouth has voting and investment power with respect to shares of Class A Stock as follows: sole voting power, 76,834 (4.5%) shares, sole investment power, 76,834 (4.5%) shares, shared voting power, 425,366 (24.7%) shares, and shared investment power, 425,366</w:t>
      </w:r>
    </w:p>
    <w:p>
      <w:pPr>
        <w:spacing w:after="0" w:line="2" w:lineRule="exact"/>
        <w:rPr>
          <w:rFonts w:ascii="Courier New" w:cs="Courier New" w:eastAsia="Courier New" w:hAnsi="Courier New"/>
          <w:sz w:val="14"/>
          <w:szCs w:val="14"/>
          <w:color w:val="auto"/>
        </w:rPr>
      </w:pPr>
    </w:p>
    <w:p>
      <w:pPr>
        <w:ind w:left="70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(24.7%) shares. In addition Mrs. Weymouth, as the beneficiary of a trust even though she has no voting or investment power with respect thereto, is deemed the beneficial owner of 83,000 (4.8%) shares of Class A Stock. Mrs. Weymouth also has voting and investment power with respect to shares of Class B Stock as follows: sole voting power, 5,000 (&lt;1%) shares, and sole investment power, 5,000 (&lt;1%) shares. The holdings of Class B Stock recorded for Mrs. Weymouth include 585,200 (6.1%) shares issuable upon conversion of shares of Class A Stock deemed to beneficially owned by her.</w:t>
      </w:r>
    </w:p>
    <w:p>
      <w:pPr>
        <w:spacing w:after="0" w:line="163" w:lineRule="exact"/>
        <w:rPr>
          <w:rFonts w:ascii="Courier New" w:cs="Courier New" w:eastAsia="Courier New" w:hAnsi="Courier New"/>
          <w:sz w:val="14"/>
          <w:szCs w:val="14"/>
          <w:color w:val="auto"/>
        </w:rPr>
      </w:pPr>
    </w:p>
    <w:p>
      <w:pPr>
        <w:ind w:left="700" w:right="3339" w:hanging="692"/>
        <w:spacing w:after="0" w:line="251"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Mr. Gillespie, as trustee of various trusts, has voting and investment power with respect to shares of Class A Stock as follows: shared voting power, 612,990 (35.6%) shares, and shared investment power, 612,990 (35.6%) shares. In addition, Mr. Gillespie has voting and investment power with respect to shares of Class B Stock as follows: sole voting power, 4,000 (&lt;1%) shares, sole investment power, 4,000 (&lt;1%) shares, shared voting power, 360,337 (3.8%) shares and shared investment power, 360,337 (3.8%) shares. The holdings of Class B Stock recorded for Mr. Gillespie include 612,990 (6.4%) shares issuable upon conversion of shares of Class A Stock deemed to be beneficially owned by Mr. Gillespie, as trustee of various trusts.</w:t>
      </w:r>
    </w:p>
    <w:p>
      <w:pPr>
        <w:spacing w:after="0" w:line="162" w:lineRule="exact"/>
        <w:rPr>
          <w:rFonts w:ascii="Courier New" w:cs="Courier New" w:eastAsia="Courier New" w:hAnsi="Courier New"/>
          <w:sz w:val="14"/>
          <w:szCs w:val="14"/>
          <w:color w:val="auto"/>
        </w:rPr>
      </w:pPr>
    </w:p>
    <w:p>
      <w:pPr>
        <w:ind w:left="700" w:right="3339" w:hanging="692"/>
        <w:spacing w:after="0" w:line="251"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Mr. Mosley, as trustee of various trusts, has voting and investment power with respect to shares of Class A Stock as follows: shared voting power, 588,591 (34.2%) shares, and shared investment power, 588,591 (34.2%) shares. The holdings of Class B Stock recorded for Mr. Mosley include 588,591 (6.1%) shares issuable upon conversion of shares of Class A Stock deemed to be beneficially owned by Mr. Mosley, as trustee of various trusts.</w:t>
      </w:r>
    </w:p>
    <w:p>
      <w:pPr>
        <w:spacing w:after="0" w:line="163" w:lineRule="exact"/>
        <w:rPr>
          <w:rFonts w:ascii="Courier New" w:cs="Courier New" w:eastAsia="Courier New" w:hAnsi="Courier New"/>
          <w:sz w:val="14"/>
          <w:szCs w:val="14"/>
          <w:color w:val="auto"/>
        </w:rPr>
      </w:pPr>
    </w:p>
    <w:p>
      <w:pPr>
        <w:ind w:left="700" w:right="3339" w:hanging="692"/>
        <w:spacing w:after="0" w:line="251" w:lineRule="auto"/>
        <w:tabs>
          <w:tab w:leader="none" w:pos="7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Berkshire Hathaway Inc. ("Berkshire") is the beneficial owner of 1,727,765 (18.0%) shares of Class B Stock. The ownership of these shares is through several subsidiaries of Berkshire. Mr. Warren Buffett is Chairman of the Board of Berkshire. Mr. Buffett and the estate of Susan Buffett (of which Mr. Buffett is the executor) own approximately 32.3%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w:t>
      </w:r>
    </w:p>
    <w:p>
      <w:pPr>
        <w:sectPr>
          <w:pgSz w:w="11900" w:h="16887" w:orient="portrait"/>
          <w:cols w:equalWidth="0" w:num="1">
            <w:col w:w="10239"/>
          </w:cols>
          <w:pgMar w:left="220" w:top="616" w:right="1440" w:bottom="0" w:gutter="0" w:footer="0" w:header="0"/>
        </w:sectPr>
      </w:pPr>
    </w:p>
    <w:bookmarkStart w:id="12" w:name="page13"/>
    <w:bookmarkEnd w:id="12"/>
    <w:p>
      <w:pPr>
        <w:ind w:left="692" w:right="3339"/>
        <w:spacing w:after="0" w:line="252" w:lineRule="auto"/>
        <w:rPr>
          <w:sz w:val="20"/>
          <w:szCs w:val="20"/>
          <w:color w:val="auto"/>
        </w:rPr>
      </w:pPr>
      <w:r>
        <w:rPr>
          <w:rFonts w:ascii="Courier New" w:cs="Courier New" w:eastAsia="Courier New" w:hAnsi="Courier New"/>
          <w:sz w:val="14"/>
          <w:szCs w:val="14"/>
          <w:color w:val="auto"/>
        </w:rPr>
        <w:t>on September 13, 1985, and on May 15, 1996 (which has a termination date (which may be extended) of February 24, 2007), Mr. Buffett, Berkshire and such subsidiaries have granted Mr. Donald Graham a proxy to vote such shares in his discretion.</w:t>
      </w:r>
    </w:p>
    <w:p>
      <w:pPr>
        <w:spacing w:after="0" w:line="162" w:lineRule="exact"/>
        <w:rPr>
          <w:sz w:val="20"/>
          <w:szCs w:val="20"/>
          <w:color w:val="auto"/>
        </w:rPr>
      </w:pPr>
    </w:p>
    <w:p>
      <w:pPr>
        <w:ind w:left="692" w:right="3419" w:hanging="692"/>
        <w:spacing w:after="0" w:line="251" w:lineRule="auto"/>
        <w:tabs>
          <w:tab w:leader="none" w:pos="6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based on the Schedule 13G filed by Franklin Mutual Advisers, LLC on February 7, 2006, Franklin Mutual Advisers, LLC ("Franklin"), was deemed to be the beneficial owner of 552,623 (5.8%) shares of Class B Stock. Shares held in such name are believed to be held for the accounts of a number of beneficial owners. Franklin has sole voting and investment power over 552,623 (5.8%) shares of Class B Stock.</w:t>
      </w:r>
    </w:p>
    <w:p>
      <w:pPr>
        <w:spacing w:after="0" w:line="164" w:lineRule="exact"/>
        <w:rPr>
          <w:rFonts w:ascii="Courier New" w:cs="Courier New" w:eastAsia="Courier New" w:hAnsi="Courier New"/>
          <w:sz w:val="14"/>
          <w:szCs w:val="14"/>
          <w:color w:val="auto"/>
        </w:rPr>
      </w:pPr>
    </w:p>
    <w:p>
      <w:pPr>
        <w:ind w:left="692" w:right="3339" w:hanging="692"/>
        <w:spacing w:after="0" w:line="250" w:lineRule="auto"/>
        <w:tabs>
          <w:tab w:leader="none" w:pos="6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2006, and available to the Company, Mr. Donald Graham, Mrs. Weymouth, and Mr. Gillespie share voting and investment power over 425,366 (24.7%) shares of Class A Stock; Mr. Gillespie and Mr. William Graham share voting and investment power over 18,000 (1.1%) shares of Class A Stock; Mr. Gillespie, Mr. William Graham and Mr. Donald Graham share voting and investment power over 36,452 (2.1%) shares of Class A Stock; Mr. Gillespie, Mr. Stephen Graham and Mr. Donald Graham share voting and investment power over 41,366 (2.4%) shares of Class A Stock; Mr. Donald Graham and Mr. Gillespie share voting and investment power over 91,806 (5.3%) shares of Class A Stock; Mr. Donald Graham and Mr. Daniel L. Mosley share voting and investment power over 453,830 (26.4%) shares of Class A Stock; Mr. Donald Graham, Mr. Mosley and Mr. William Graham share voting and investment power over 53,397 (3.1%) shares of Class A Stock; Mr. Donald Graham, Mr. Mosley and Mr. Stephen Graham share voting and investment power over 60,497 (3.5%) shares of Class A Stock; Mr. Stephen Graham and Mr. Mosley share voting and investment power over 17,892 (1%) shares of Class A Stock; Mr. Donald Graham and Mr. Gillespie share voting and investment power over 30,000 (&lt;1%) shares of Class B Stock; Mr. Donald Graham and Mr. Mosley share voting and investment power over 2,975 (&lt;1%) shares of Class B Stock; Mr. Donald Graham, Mr. William Graham and Mr. Gillespie share voting and investment power over 5,000 (&lt;1%) shares of Class B Stock; Mr. Donald Graham shares voting and investment power over 46,339 (&lt;1%) shares of Class B Stock held by the Philip L. Graham Trust; Mr. Gillespie shares voting power and investment power over 321,857</w:t>
      </w:r>
    </w:p>
    <w:p>
      <w:pPr>
        <w:spacing w:after="0" w:line="10" w:lineRule="exact"/>
        <w:rPr>
          <w:rFonts w:ascii="Courier New" w:cs="Courier New" w:eastAsia="Courier New" w:hAnsi="Courier New"/>
          <w:sz w:val="14"/>
          <w:szCs w:val="14"/>
          <w:color w:val="auto"/>
        </w:rPr>
      </w:pPr>
    </w:p>
    <w:p>
      <w:pPr>
        <w:ind w:left="69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(3.4%) of Class B Stock held by various trusts for the benefit of other descendants of Eugene Meyer.</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1"/>
          </w:cols>
          <w:pgMar w:left="228" w:top="141" w:right="1440" w:bottom="1440" w:gutter="0" w:footer="0" w:header="0"/>
        </w:sectPr>
      </w:pPr>
    </w:p>
    <w:bookmarkStart w:id="13" w:name="page14"/>
    <w:bookmarkEnd w:id="13"/>
    <w:p>
      <w:pPr>
        <w:ind w:right="3339" w:firstLine="689"/>
        <w:spacing w:after="0" w:line="251"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2006,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2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HOLDINGS OF DIRECTORS AND OFFICERS***</w:t>
            </w:r>
          </w:p>
        </w:tc>
        <w:tc>
          <w:tcPr>
            <w:tcW w:w="2100" w:type="dxa"/>
            <w:vAlign w:val="bottom"/>
          </w:tcPr>
          <w:p>
            <w:pPr>
              <w:spacing w:after="0"/>
              <w:rPr>
                <w:sz w:val="14"/>
                <w:szCs w:val="14"/>
                <w:color w:val="auto"/>
              </w:rPr>
            </w:pPr>
          </w:p>
        </w:tc>
      </w:tr>
      <w:tr>
        <w:trPr>
          <w:trHeight w:val="497"/>
        </w:trPr>
        <w:tc>
          <w:tcPr>
            <w:tcW w:w="3360" w:type="dxa"/>
            <w:vAlign w:val="bottom"/>
          </w:tcPr>
          <w:p>
            <w:pPr>
              <w:spacing w:after="0"/>
              <w:rPr>
                <w:sz w:val="24"/>
                <w:szCs w:val="24"/>
                <w:color w:val="auto"/>
              </w:rPr>
            </w:pPr>
          </w:p>
        </w:tc>
        <w:tc>
          <w:tcPr>
            <w:tcW w:w="6380" w:type="dxa"/>
            <w:vAlign w:val="bottom"/>
            <w:gridSpan w:val="2"/>
          </w:tcPr>
          <w:p>
            <w:pPr>
              <w:jc w:val="right"/>
              <w:ind w:right="1568"/>
              <w:spacing w:after="0"/>
              <w:rPr>
                <w:sz w:val="20"/>
                <w:szCs w:val="20"/>
                <w:color w:val="auto"/>
              </w:rPr>
            </w:pPr>
            <w:r>
              <w:rPr>
                <w:rFonts w:ascii="Courier New" w:cs="Courier New" w:eastAsia="Courier New" w:hAnsi="Courier New"/>
                <w:sz w:val="14"/>
                <w:szCs w:val="14"/>
                <w:color w:val="auto"/>
              </w:rPr>
              <w:t>SHARES (%)</w:t>
            </w:r>
          </w:p>
        </w:tc>
      </w:tr>
      <w:tr>
        <w:trPr>
          <w:trHeight w:val="166"/>
        </w:trPr>
        <w:tc>
          <w:tcPr>
            <w:tcW w:w="3360" w:type="dxa"/>
            <w:vAlign w:val="bottom"/>
          </w:tcPr>
          <w:p>
            <w:pPr>
              <w:spacing w:after="0"/>
              <w:rPr>
                <w:sz w:val="14"/>
                <w:szCs w:val="14"/>
                <w:color w:val="auto"/>
              </w:rPr>
            </w:pPr>
          </w:p>
        </w:tc>
        <w:tc>
          <w:tcPr>
            <w:tcW w:w="6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2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CLASS A</w:t>
            </w:r>
          </w:p>
        </w:tc>
        <w:tc>
          <w:tcPr>
            <w:tcW w:w="2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CLASS B (a)</w:t>
            </w:r>
          </w:p>
        </w:tc>
      </w:tr>
      <w:tr>
        <w:trPr>
          <w:trHeight w:val="166"/>
        </w:trPr>
        <w:tc>
          <w:tcPr>
            <w:tcW w:w="3360" w:type="dxa"/>
            <w:vAlign w:val="bottom"/>
          </w:tcPr>
          <w:p>
            <w:pPr>
              <w:spacing w:after="0"/>
              <w:rPr>
                <w:sz w:val="14"/>
                <w:szCs w:val="14"/>
                <w:color w:val="auto"/>
              </w:rPr>
            </w:pPr>
          </w:p>
        </w:tc>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Warren E. Buffett**** ...................................</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1,727,765(18.0%)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Christopher C. Davis.....................................</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Barry Diller.............................................</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John L. Dotson Jr. ......................................</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Melinda F. Gates ........................................</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George J. Gillespie, III**...............................</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612,990(35.6%)</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977,327(10.2%)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Donald E. Graham**.......................................</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1,562,609(88.6%)</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3,493,134(36.4%)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Ronald L. Olson..........................................</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Alice M. Rivlin..........................................</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Richard D. Simmons.......................................</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3"/>
                <w:szCs w:val="13"/>
                <w:color w:val="auto"/>
                <w:w w:val="75"/>
              </w:rPr>
              <w:t>George W. Wilson(b)......................................</w:t>
            </w:r>
          </w:p>
        </w:tc>
        <w:tc>
          <w:tcPr>
            <w:tcW w:w="4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6"/>
        </w:trPr>
        <w:tc>
          <w:tcPr>
            <w:tcW w:w="7640" w:type="dxa"/>
            <w:vAlign w:val="bottom"/>
            <w:gridSpan w:val="2"/>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10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3"/>
                <w:szCs w:val="13"/>
                <w:color w:val="auto"/>
                <w:w w:val="72"/>
              </w:rPr>
              <w:t>eliminating duplications.............................</w:t>
            </w:r>
          </w:p>
        </w:tc>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1,580,609(91.2%)</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3,884,724 (40.5%)(c)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hanging="692"/>
        <w:spacing w:after="0"/>
        <w:tabs>
          <w:tab w:leader="none" w:pos="70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3" w:lineRule="exact"/>
        <w:rPr>
          <w:sz w:val="20"/>
          <w:szCs w:val="20"/>
          <w:color w:val="auto"/>
        </w:rPr>
      </w:pPr>
    </w:p>
    <w:p>
      <w:pPr>
        <w:ind w:left="700" w:hanging="692"/>
        <w:spacing w:after="0"/>
        <w:tabs>
          <w:tab w:leader="none" w:pos="7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Table of "Principal Holders of Stock" on page 11.</w:t>
      </w:r>
    </w:p>
    <w:p>
      <w:pPr>
        <w:spacing w:after="0" w:line="172" w:lineRule="exact"/>
        <w:rPr>
          <w:rFonts w:ascii="Courier New" w:cs="Courier New" w:eastAsia="Courier New" w:hAnsi="Courier New"/>
          <w:sz w:val="14"/>
          <w:szCs w:val="14"/>
          <w:color w:val="auto"/>
        </w:rPr>
      </w:pPr>
    </w:p>
    <w:p>
      <w:pPr>
        <w:ind w:left="700" w:right="3339" w:hanging="692"/>
        <w:spacing w:after="0" w:line="255" w:lineRule="auto"/>
        <w:tabs>
          <w:tab w:leader="none" w:pos="7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59" w:lineRule="exact"/>
        <w:rPr>
          <w:rFonts w:ascii="Courier New" w:cs="Courier New" w:eastAsia="Courier New" w:hAnsi="Courier New"/>
          <w:sz w:val="14"/>
          <w:szCs w:val="14"/>
          <w:color w:val="auto"/>
        </w:rPr>
      </w:pPr>
    </w:p>
    <w:p>
      <w:pPr>
        <w:ind w:left="700" w:right="3339" w:hanging="692"/>
        <w:spacing w:after="0" w:line="255" w:lineRule="auto"/>
        <w:tabs>
          <w:tab w:leader="none" w:pos="7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voting securities which may be beneficially owned by Mr. Buffett, see footnote (g) on page 12.</w:t>
      </w:r>
    </w:p>
    <w:p>
      <w:pPr>
        <w:spacing w:after="0" w:line="160" w:lineRule="exact"/>
        <w:rPr>
          <w:sz w:val="20"/>
          <w:szCs w:val="20"/>
          <w:color w:val="auto"/>
        </w:rPr>
      </w:pPr>
    </w:p>
    <w:p>
      <w:pPr>
        <w:ind w:left="700" w:right="3519" w:hanging="692"/>
        <w:spacing w:after="0" w:line="255" w:lineRule="auto"/>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1,722,250 shares of Class B Stock issuable upon conversion of shares of Class A Stock beneficially owned.</w:t>
      </w:r>
    </w:p>
    <w:p>
      <w:pPr>
        <w:spacing w:after="0" w:line="159" w:lineRule="exact"/>
        <w:rPr>
          <w:rFonts w:ascii="Courier New" w:cs="Courier New" w:eastAsia="Courier New" w:hAnsi="Courier New"/>
          <w:sz w:val="14"/>
          <w:szCs w:val="14"/>
          <w:color w:val="auto"/>
        </w:rPr>
      </w:pPr>
    </w:p>
    <w:p>
      <w:pPr>
        <w:ind w:left="700" w:right="3339" w:hanging="692"/>
        <w:spacing w:after="0" w:line="255" w:lineRule="auto"/>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105 shares of Class B Stock owned by Mr. Wilson's wife in which he disclaims beneficial ownership.</w:t>
      </w:r>
    </w:p>
    <w:p>
      <w:pPr>
        <w:spacing w:after="0" w:line="159" w:lineRule="exact"/>
        <w:rPr>
          <w:rFonts w:ascii="Courier New" w:cs="Courier New" w:eastAsia="Courier New" w:hAnsi="Courier New"/>
          <w:sz w:val="14"/>
          <w:szCs w:val="14"/>
          <w:color w:val="auto"/>
        </w:rPr>
      </w:pPr>
    </w:p>
    <w:p>
      <w:pPr>
        <w:ind w:left="700" w:right="3339" w:hanging="692"/>
        <w:spacing w:after="0" w:line="251" w:lineRule="auto"/>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1,580,609 shares of Class B Stock issuable upon conversion of shares of Class A Stock "beneficially owned" by Directors and executive officers and 10,000 shares of Class B Stock which Directors and executive officers have the right to purchase on or before April 1, 2006, pursuant to stock options; it does not include 87,734 shares of Class B Stock held as of February 1, 2006, by the trustee of various savings plans maintained by the Company and its business units over which the trustee has voting and investment powers.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4"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January 1, 2006, all applicable Section 16(a) filing requirements were complied with.</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4"/>
          <w:szCs w:val="14"/>
          <w:color w:val="auto"/>
        </w:rPr>
        <w:t>PROPOSAL 2: APPROVAL OF CERTAIN AMENDMENTS TO THE COMPANY'S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INCENTIVE COMPENSATION PLAN</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The Company's Board of Directors believes it is in the best interests of the Company (a) to provide incentives to key employees to increase the profitability of the Company and its subsidiaries, (b) to strengthen the ability of the Company and its subsidiaries to attract, motivate and retain persons of merit and competence upon which, in large measure, it depends and (c) to provide the Compensation Committee with considerable flexibility in designing incentive compensation plans in that regard. The Board of Directors, acting on the recommendation of the Compensation Committee of the Board, has approved certain amendments that would provide the Compensation Committee with greater flexibility in designing compensation plans for key employees of the Company and its subsidiaries and reapproved the requirement that the Compensation Committee establish performance goals based on financial measures for certain awards under the Company's Incentive Compensation Plan within 90 days of the commencement of services to which such awards relate or prior to the beginning of an award cycle. The Board expressly conditioned the effectiveness of such amendments to the Incentive Compensation Plan on the approval by the holders of a majority of Class A Common Stock outstanding, voting as a class, and a majority of the holders of Class B Common Stock outstanding, voting as a class and has unanimously voted to submit and recommend such action to the stockholders of the Company for adoption.</w:t>
      </w:r>
    </w:p>
    <w:p>
      <w:pPr>
        <w:spacing w:after="0" w:line="34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Long-Term Incentive Compensation Plan, the predecessor Plan to the Incentive Compensation Plan, was originally approved by the holders of Class A Common Stock in December 1981. In 2001, the Annual Incentive Compensation Plan, originally approved by the holders of Class A Common Stock in February 1974, was combined with the Long-Term Incentive Compensation Plan to create one Incentive Compensation Plan.</w:t>
      </w:r>
    </w:p>
    <w:p>
      <w:pPr>
        <w:spacing w:after="0" w:line="164"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The purpose of the Incentive Compensation Plan was, and is to provide, greater incentives to those employees who have been or will be responsible for its future growth, profitability and continued success and to strengthen the ability of the Company and its subsidiaries to attract, motivate and retain such employees. There are at present approximately 229 employees who are participants under the Incentive Compensation Plan and receive annual bonus awards, hold restricted stock grants and/ or hold grants of performance units (a number of whom in the case of restricted stock and performance units grants have received more than one grant). Awards are granted at the discretion of the Compensation Committee of the Board of Directors consisting of not less than three members of the Board, each of who shall be a "disinterested" person within the meaning of Rule 16b-3 of the Securities Exchange Act of 1934, as amended. Members of the Compensation Committee are appointed by the Board of Directors of the Company, serve at the pleasure of the Board and are ineligible to receive awards of any kind. The Committee shall have complete authority to establish rules and regulations for the administration of the Incentive Compensation Plan. The current members of the Compensation Committee are Barry Diller, John L. Dotson Jr. and George W. Wilson.</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The proposed amendments to the Incentive Compensation Plan being recommended by the Board of Directors for approval by the shareholders include:</w:t>
      </w:r>
    </w:p>
    <w:p>
      <w:pPr>
        <w:spacing w:after="0" w:line="1" w:lineRule="exact"/>
        <w:rPr>
          <w:sz w:val="20"/>
          <w:szCs w:val="20"/>
          <w:color w:val="auto"/>
        </w:rPr>
      </w:pPr>
    </w:p>
    <w:p>
      <w:pPr>
        <w:ind w:right="3419" w:firstLine="8"/>
        <w:spacing w:after="0" w:line="250" w:lineRule="auto"/>
        <w:tabs>
          <w:tab w:leader="none" w:pos="34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giving authority to the Compensation Committee to grant special annual incentive awards outside of the annual bonus program to certain individuals who have made or have the potential to make extraordinary contributions to the growth and profitability of the Company ("Special Annual Incentive Awards"),</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the cap on the aggregate value of annual awards (including the payout value of Special Annual Incentive Awards) payable to any participant, and</w:t>
      </w:r>
    </w:p>
    <w:p>
      <w:pPr>
        <w:ind w:right="3339" w:firstLine="8"/>
        <w:spacing w:after="0" w:line="251" w:lineRule="auto"/>
        <w:tabs>
          <w:tab w:leader="none" w:pos="51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giving authority to the Compensation Committee to grant special long-term incentive awards not based on an Award Cycle (as defined below) to certain individuals who have made or have the potential to make extraordinary contributions to the growth and profitability of the Company ("Special Long-Term Incentive Awards"), and to establish a cap on the payout value of Special Long-Term Incentive Awards payable to any participant at the end of the applicable vesting period.</w:t>
      </w:r>
    </w:p>
    <w:p>
      <w:pPr>
        <w:spacing w:after="0" w:line="16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The Compensation Committee is empowered under the current Incentive Compensation Plan to establish Award Cycles, which shall not be less than three nor more than four years.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5" w:name="page16"/>
    <w:bookmarkEnd w:id="15"/>
    <w:p>
      <w:pPr>
        <w:ind w:right="3419" w:firstLine="689"/>
        <w:spacing w:after="0" w:line="251" w:lineRule="auto"/>
        <w:rPr>
          <w:sz w:val="20"/>
          <w:szCs w:val="20"/>
          <w:color w:val="auto"/>
        </w:rPr>
      </w:pPr>
      <w:r>
        <w:rPr>
          <w:rFonts w:ascii="Courier New" w:cs="Courier New" w:eastAsia="Courier New" w:hAnsi="Courier New"/>
          <w:sz w:val="14"/>
          <w:szCs w:val="14"/>
          <w:color w:val="auto"/>
        </w:rPr>
        <w:t>The full text of the Company's Incentive Compensation Plan as it is proposed to be amended is attached to this Proxy Statement as Exhibit A. The proposed amendments needing shareholder approval are paragraphs 5(f), 6, 8(c), 10(a), 10(b) and 13; the language to be added is underlined and the language to be deleted is lined through.</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FINANCIAL GOALS AND DEDUCTIBILITY</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Under the Omnibus Budget Reconciliation Act of 1993 (the "Act") and the regulations issued thereunder by the Internal Revenue Service, a publicly held company, such as the Company, must satisfy certain conditions in order to retain its federal income tax deduction for compensation in excess of $1 million per year paid after January 1, 1994, to its chief executive officer and the four other officers employed by such corporation at the end of the year whose compensation is required to be disclosed in its annual proxy statement relating to the election of directors.</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Incentive Compensation Plan currently provides (i) a description of what the performance-related goals are based on, (ii) a limitation on the discretion to award cash bonuses at the end of an award cycle to individuals (other than officers of the Company) whose outstanding performance merited special recognition, subject to the limitation that the aggregate amount of such bonuses could not exceed 10% of the aggregate payout value of all Performance Units awarded for that award cycle, (iii) a limitation on the amount of an annual incentive award to a participant to an amount not to exceed in value 200% of such participant's base earnings, (iv) a limitation on the number of shares of Restricted Stock that can be awarded to any employee during an Award Cycle and (v) a limitation on the maximum amount of none-quity based long-term incentive compensation that could be paid to any employee during a specified period under the Plan.</w:t>
      </w:r>
    </w:p>
    <w:p>
      <w:pPr>
        <w:spacing w:after="0" w:line="16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Specifically, the Incentive Compensation Plan provides for annual incentive compensation awards based on the Company's and its business units' short-term, i.e., annual, financial performance compared to a performance goal established prior to the beginning of the year in which the award is earned. The payout upon the achievement of such performance goal is equal to a percentage of base salary based on the level of attainment of such performance goal. Awards for any year may not exceed 10% of that year's Incentive Profit, which is calculated as follows: (a) there is first calculated an amount equal to 12% of Stockholders' Equity (as defined in the Incentive Compensation Plan), such amount being called the Basic Return on Equity; and (b) the Basic Return on Equity is then subtracted from the Company's Consolidated Profit before Income Taxes (as defined in the Incentive Compensation Plan), the remainder being called Incentive Profit. For 2005, the maximum amount that could have been awarded under the Incentive Compensation Plan was $21,799,028; the amount actually awarded was $6,899,000.</w:t>
      </w:r>
    </w:p>
    <w:p>
      <w:pPr>
        <w:spacing w:after="0" w:line="328"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determining the terms and conditions of the annual incentive compensation awards in the case of "executive officers", the Compensation Committee establishes formulae with targeted bonuses and a range bonus payouts based on achievement of certain performance criteria related to the following: operating income, cash flow, shareholder return, earnings per share, return on assets, return on equity, operating margins, cost control, measures of economic value added (EVA) and/or quantitative revenue, growth or profitability measurements, with the amounts payable upon the achievement or such performance goals subject to overall cap referred to above.</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At the end of 2004, the Compensation Committee approved a range of incentive payouts for 2005 keyed to performance against specified goals related to budgeted operating income, cash flow or earnings per share, which vary by business unit. All awards made under the Incentive Compensation Plan for 2005 were paid in cash in March 2006. Mr. Graham has waived participation in the annual incentive awards in the past and did so again with respect to 2005.</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6" w:name="page17"/>
    <w:bookmarkEnd w:id="16"/>
    <w:p>
      <w:pPr>
        <w:ind w:right="3419" w:firstLine="689"/>
        <w:spacing w:after="0" w:line="252" w:lineRule="auto"/>
        <w:rPr>
          <w:sz w:val="20"/>
          <w:szCs w:val="20"/>
          <w:color w:val="auto"/>
        </w:rPr>
      </w:pPr>
      <w:r>
        <w:rPr>
          <w:rFonts w:ascii="Courier New" w:cs="Courier New" w:eastAsia="Courier New" w:hAnsi="Courier New"/>
          <w:sz w:val="14"/>
          <w:szCs w:val="14"/>
          <w:color w:val="auto"/>
        </w:rPr>
        <w:t>The following table shows for each of the persons named in the table on page 20 under the heading "Executive Compensation," for all current executive officers as a group and for all employees other than executive officers the amount of the annual incentive compensation awards paid out for 2005 performance.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180" w:type="dxa"/>
            <w:vAlign w:val="bottom"/>
          </w:tcPr>
          <w:p>
            <w:pPr>
              <w:ind w:left="2360"/>
              <w:spacing w:after="0"/>
              <w:rPr>
                <w:sz w:val="20"/>
                <w:szCs w:val="20"/>
                <w:color w:val="auto"/>
              </w:rPr>
            </w:pPr>
            <w:r>
              <w:rPr>
                <w:rFonts w:ascii="Courier New" w:cs="Courier New" w:eastAsia="Courier New" w:hAnsi="Courier New"/>
                <w:sz w:val="14"/>
                <w:szCs w:val="14"/>
                <w:color w:val="auto"/>
              </w:rPr>
              <w:t>ANNUAL AWARDS</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56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Name of individual or group</w:t>
            </w:r>
          </w:p>
        </w:tc>
        <w:tc>
          <w:tcPr>
            <w:tcW w:w="1540" w:type="dxa"/>
            <w:vAlign w:val="bottom"/>
            <w:gridSpan w:val="2"/>
          </w:tcPr>
          <w:p>
            <w:pPr>
              <w:ind w:left="680"/>
              <w:spacing w:after="0"/>
              <w:rPr>
                <w:sz w:val="20"/>
                <w:szCs w:val="20"/>
                <w:color w:val="auto"/>
              </w:rPr>
            </w:pPr>
            <w:r>
              <w:rPr>
                <w:rFonts w:ascii="Courier New" w:cs="Courier New" w:eastAsia="Courier New" w:hAnsi="Courier New"/>
                <w:sz w:val="14"/>
                <w:szCs w:val="14"/>
                <w:color w:val="auto"/>
                <w:w w:val="99"/>
              </w:rPr>
              <w:t>2005 Bonus</w:t>
            </w:r>
          </w:p>
        </w:tc>
      </w:tr>
      <w:tr>
        <w:trPr>
          <w:trHeight w:val="166"/>
        </w:trPr>
        <w:tc>
          <w:tcPr>
            <w:tcW w:w="560" w:type="dxa"/>
            <w:vAlign w:val="bottom"/>
          </w:tcPr>
          <w:p>
            <w:pPr>
              <w:spacing w:after="0"/>
              <w:rPr>
                <w:sz w:val="14"/>
                <w:szCs w:val="1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Donald</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E. Graham</w:t>
            </w:r>
          </w:p>
        </w:tc>
        <w:tc>
          <w:tcPr>
            <w:tcW w:w="760" w:type="dxa"/>
            <w:vAlign w:val="bottom"/>
          </w:tcPr>
          <w:p>
            <w:pPr>
              <w:spacing w:after="0"/>
              <w:rPr>
                <w:sz w:val="24"/>
                <w:szCs w:val="2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Chairman and Chief Executive Officer</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John B. Morse, Jr.</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323,125</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President and Chief Financial Officer</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Gerald</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M. Rosberg</w:t>
            </w: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178,600</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Ann L.</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McDaniel</w:t>
            </w: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169,200</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Diana M. Daniels</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162,150</w:t>
            </w: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Executive Group (including those named above)</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833,075</w:t>
            </w: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NonExecutive Director Group</w:t>
            </w:r>
          </w:p>
        </w:tc>
        <w:tc>
          <w:tcPr>
            <w:tcW w:w="760" w:type="dxa"/>
            <w:vAlign w:val="bottom"/>
          </w:tcPr>
          <w:p>
            <w:pPr>
              <w:spacing w:after="0"/>
              <w:rPr>
                <w:sz w:val="24"/>
                <w:szCs w:val="2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NonExecutive Officer</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7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Employee Group</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6,065,925</w:t>
            </w:r>
          </w:p>
        </w:tc>
      </w:tr>
    </w:tbl>
    <w:p>
      <w:pPr>
        <w:spacing w:after="0" w:line="33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To balance the annual awards, which are intended to reward short-term financial performance, the Incentive Compensation Plan currently also provides incentives for improved financial performance over periods of Award Cycles. The Plan authorizes the Compensation Committee to make awards for each cycle in the form of Performance Units, Restricted Stock or both.</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Incentive Compensation Plan does not specify or limit the number of employees covered by the Plan, except by requiring that they be senior executives or key employees of the Company or its subsidiaries in a position to make substantial contributions to the growth and success of the Company's businesses. The Company has limited the award of Performance Units to the most senior executives of the Company and its subsidiaries; a group consisting at present of approximately 28 individuals. Shares of Restricted Stock have typically been awarded to a broader group, which currently consists of approximately 229 senior executives and key employees. The maximum number of Performance Units and shares of Restricted Stock that may be awarded to any participant in the Incentive Compensation Plan is determined with reference to an individual's scope of responsibilities and level of Plan participation.</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PERFORMANCE UNITS.</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Each Performance Unit has a nominal value of $100. For each Award Cycle, the Compensation Committee may award to a participant a number of Performance Units, determined with reference to an individual's scope of responsibilities and level of Plan participation. Except as noted below under "Forfeitures", at or after the end of the Award Cycle the participant will receive for each Performance Unit awarded for such cycle an amount ranging from the maximum payout value to zero, depending on the extent to which the performance criteria established by the Committee at the time the Performance Unit was awarded have been met. The performance-based goals are to be based on operating income, cash flow, shareholder return, earnings per share, return on assets, return on equity, operating margins, cost control, measures of economic value added and/or quantitative revenue, growth or profitability measurements, which may be in respect of the Company as a whole or any business unit thereof, over the period of the Award Cycle. The current maximum payout value may not exceed $200 per Performance Unit and the payment of an award of Performance Units to any participant at the end of an Award Cycle may not exceed $4 million.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7" w:name="page18"/>
    <w:bookmarkEnd w:id="17"/>
    <w:p>
      <w:pPr>
        <w:ind w:right="3419" w:firstLine="689"/>
        <w:spacing w:after="0" w:line="251" w:lineRule="auto"/>
        <w:rPr>
          <w:sz w:val="20"/>
          <w:szCs w:val="20"/>
          <w:color w:val="auto"/>
        </w:rPr>
      </w:pPr>
      <w:r>
        <w:rPr>
          <w:rFonts w:ascii="Courier New" w:cs="Courier New" w:eastAsia="Courier New" w:hAnsi="Courier New"/>
          <w:sz w:val="14"/>
          <w:szCs w:val="14"/>
          <w:color w:val="auto"/>
        </w:rPr>
        <w:t>The following table shows for each of the persons named in the table on page 20 under the heading "Executive Compensation," for all current executive officers as a group and for all employees (other than executive officers) the number of Performance Units granted for the 2003-2006 award cycle and the 2005-2008 award cycle.</w:t>
      </w:r>
    </w:p>
    <w:p>
      <w:pPr>
        <w:spacing w:after="0" w:line="200" w:lineRule="exact"/>
        <w:rPr>
          <w:sz w:val="20"/>
          <w:szCs w:val="20"/>
          <w:color w:val="auto"/>
        </w:rPr>
      </w:pPr>
    </w:p>
    <w:p>
      <w:pPr>
        <w:spacing w:after="0" w:line="29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6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LONG-TERM INCENTIVE COMPENSATION - PERFORMANCE UNITS</w:t>
            </w:r>
          </w:p>
        </w:tc>
      </w:tr>
      <w:tr>
        <w:trPr>
          <w:trHeight w:val="497"/>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Name of individual</w:t>
            </w: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Number of Performance Units</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or group</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2003-2006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2005-2008</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Donald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Graham</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8,281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w:t>
            </w:r>
          </w:p>
        </w:tc>
      </w:tr>
      <w:tr>
        <w:trPr>
          <w:trHeight w:val="166"/>
        </w:trPr>
        <w:tc>
          <w:tcPr>
            <w:tcW w:w="38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Chairman and Chief Executive Officer</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John B. Morse, Jr.</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4,417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38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President and Chief Financial Officer</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Gerald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M. Rosberg</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Ann L.</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McDaniel</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Diana M. Daniels</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Executive Group (including the above)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21,200</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NonExecutive Director Group</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NonExecutive Officer Employee Group</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89,330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89,048</w:t>
            </w:r>
          </w:p>
        </w:tc>
      </w:tr>
    </w:tbl>
    <w:p>
      <w:pPr>
        <w:spacing w:after="0" w:line="335" w:lineRule="exact"/>
        <w:rPr>
          <w:sz w:val="20"/>
          <w:szCs w:val="20"/>
          <w:color w:val="auto"/>
        </w:rPr>
      </w:pPr>
    </w:p>
    <w:p>
      <w:pPr>
        <w:ind w:right="3859" w:firstLine="689"/>
        <w:spacing w:after="0" w:line="252" w:lineRule="auto"/>
        <w:rPr>
          <w:sz w:val="20"/>
          <w:szCs w:val="20"/>
          <w:color w:val="auto"/>
        </w:rPr>
      </w:pPr>
      <w:r>
        <w:rPr>
          <w:rFonts w:ascii="Courier New" w:cs="Courier New" w:eastAsia="Courier New" w:hAnsi="Courier New"/>
          <w:sz w:val="14"/>
          <w:szCs w:val="14"/>
          <w:color w:val="auto"/>
        </w:rPr>
        <w:t>The payout opportunities for the 2003-2006 and the 2005-2008 Award Cycles for Performance Units will be based on the achievement of various financial and operating goals of certain of the major operating divisions.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Pursuant to the current Incentive Compensation Plan, 425,000 shares of Class B Stock have been reserved for Restricted Stock awards to individuals selected by the Committee in its discretion upon the recommendation of management, with the maximum number of shares that may be awarded to any individual in an Award Cycle not to exceed 10,000 shares. Although the shares are issued to the recipient when the award is made and he or she is entitled to vote and receive dividends on the shares, they may not be sold or otherwise transferred until after the Award Cycle ends except as noted below under "Forfeitures". As of January 1, 2006, there were 157,925 shares of Class B Stock reserved for future Restricted Stock awards.</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December 2004, the named executives and other key employees were granted Restricted Stock for the 2005-2008 Award Cycle, based on plan levels similar to those used for determining the number of shares of Restricted Stock in prior years. Mr. Graham declined to be considered for an award of Restricted Stock for the 2005-2008 Award Cycle. The number of shares of Restricted Stock awarded is determined by an individual's scope of responsibilities and relative level of Plan participation.</w:t>
      </w:r>
    </w:p>
    <w:p>
      <w:pPr>
        <w:spacing w:after="0" w:line="164"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following table shows for each of the persons name in the table on page 20 under the heading "Executive Compensation," for all current executive officers as a group and for all employees (other than executive officers) (i) the number of shares of Restricted Stock awarded for the 2003-2006 Award Cycle and (ii) the number of shares of Restricted Stock awarded for the 2005-2008 Award Cycle.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8" w:name="page19"/>
    <w:bookmarkEnd w:id="18"/>
    <w:tbl>
      <w:tblPr>
        <w:tblLayout w:type="fixed"/>
        <w:tblInd w:w="7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616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LONG-TERM INCENTIVE COMPENSATION PLAN - RESTRICTED STOCK</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Name of individual</w:t>
            </w: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Number of Performance Units</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or group</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2003-2006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2005-2008</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Donald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E. Graham</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Chairman and Chief Executive Officer</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John B. Morse, Jr.</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8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President and Chief Financial Officer</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Gerald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M. Rosberg</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Ann L.</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McDaniel</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Diana M. Daniels</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Vice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Executive Group (including the above)</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Non-Executive Director Group</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Non-Executive Officer Employee Group</w:t>
            </w:r>
          </w:p>
        </w:tc>
        <w:tc>
          <w:tcPr>
            <w:tcW w:w="16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12,615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12,465</w:t>
            </w:r>
          </w:p>
        </w:tc>
      </w:tr>
    </w:tbl>
    <w:p>
      <w:pPr>
        <w:spacing w:after="0" w:line="33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On January 4, 2005, the restriction terminated on the shares of Restricted Stock awarded for the 2001-2004 Award Cycle. On that date, the individuals identified in the table on page 20 and the groups described below received unrestricted title to shares having the following fair market values: Mr. Graham, $286,923; Mr. Morse, $167,372; Mr. Rosberg, $119,551; Ms. McDaniel, $119,551; Ms. Daniels, $119,551; Executive Group (including the foregoing), $812,948; NonExecutive Director Group, $0; and NonExecutive Officer Employee Group, $10,826,561.</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FORFEITURES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As a general rule, the transfer restriction on Restricted Stock will not terminate until the end of the Award Cycle for which the shares are awarded, and if a participant's employment terminates before the end of that cycle his or her shares of Restricted Stock will then automatically revert to the Company and he or she will not receive the value of any Performance Units awarded for that cycle. However, the Compensation Committee may, in its sole discretion, approve the vesting of a percentage of the number of shares of Restricted Stock or Performance Units originally awarded provided that the percentage determined may not exceed the percentage calculated by dividing (i) the number of full months elapsed from the effective date of the award to the date of termination (less the period of full months that a participant was on one or more unpaid leaves of absence where the leave is greater than 90 days during the period by (ii) the number of full months from the effective date of the award to the applicable vesting date for such award.</w:t>
      </w:r>
    </w:p>
    <w:p>
      <w:pPr>
        <w:spacing w:after="0" w:line="162"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To the extent the Company does not achieve a pre-established total return of equity over the cycle, the transfer restriction on Restricted Stock awarded to executive officers of the Company will not terminate with respect to some or all of the shares at the end of the Award Cycle for which the shares are awarded and those shares of Restricted Stock will then automatically revert to the Company.</w:t>
      </w:r>
    </w:p>
    <w:p>
      <w:pPr>
        <w:spacing w:after="0" w:line="32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TAXES; ACCOUNTING TREATMENT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For tax purposes, the amount of incentive compensation represented by a Restricted Stock award is the market value of the shares when the transfer restriction terminates (at which time such market value is taxable as compensation to the recipient and is deductible by the Company), and the amount of incentive compensation represented by a Performance Unit award is the cash value (if any) of the award when determined and paid (at which time such cash value is taxable to the recipient as compensation and is deductible by the Company). Because these values usually cannot be determined until after the end of the Award Cycle (or upon the earlier termination of employment of a recipient of Restricted Stock who is entitled may be or permitted to retain some of such stock), and because the awards themselves are subject to full or partial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48" w:right="1440" w:bottom="1440" w:gutter="0" w:footer="0" w:header="0"/>
        </w:sectPr>
      </w:pPr>
    </w:p>
    <w:bookmarkStart w:id="19" w:name="page20"/>
    <w:bookmarkEnd w:id="19"/>
    <w:p>
      <w:pPr>
        <w:ind w:right="3339"/>
        <w:spacing w:after="0" w:line="251" w:lineRule="auto"/>
        <w:rPr>
          <w:sz w:val="20"/>
          <w:szCs w:val="20"/>
          <w:color w:val="auto"/>
        </w:rPr>
      </w:pPr>
      <w:r>
        <w:rPr>
          <w:rFonts w:ascii="Courier New" w:cs="Courier New" w:eastAsia="Courier New" w:hAnsi="Courier New"/>
          <w:sz w:val="14"/>
          <w:szCs w:val="14"/>
          <w:color w:val="auto"/>
        </w:rPr>
        <w:t>forfeiture as indicated above, it is not possible to determine the value of any award at the time it is made. For accounting purposes, however, during each Award Cycle (i) with respect to Performance Units,the Company charges to each year's earnings a pro-rated portion of the estimated ultimate value of the awards made for such cycle and (ii) with respect to Restricted Stock, the awards are valued at fair value at the grant date and amortized over the relevant vesting period.</w:t>
      </w:r>
    </w:p>
    <w:p>
      <w:pPr>
        <w:spacing w:after="0" w:line="33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SPECIAL ANNUAL INCENTIVE AWARDS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Under the proposed amendments, the Compensation Committee would have the ability to grant Special Annual Incentive Awards for a coming fiscal year to certain individuals, the payout value of which will be based on written goals established at the time of the grant relating to one or more of the following factors; operating income, cash flow, earnings per share, return on assets, return on equity, operating margins, economic value added (EVA), cash flow margins, shareholder return, cost control and/or quantitative revenue, growth or profitability measurements, which may be in respect of the Company as a whole or of any business unit thereof. The payout value of any Special Annual Incentive Award granted with respect to a fiscal year would not be included in the current limitations set out in the Incentive Compensation Plan on the aggregate of Annual Awards otherwise payable for such fiscal year.</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SPECIAL LONG-TERM INCENTIVE AWARDS</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Under the proposed amendments, the Compensation Committee would have the ability to grant Special Long-Term Incentive Awards not based on an Award Cycle with the vesting dates for such awards being not less than one year nor more than six years from the date of the award to which it relates. In addition, under the proposed amendments, the Committee can provide for a single Special Long-Term Incentive Award that there be more than one vesting date, with a portion of the full award to vest on each specified vesting date. Not later than the beginning of the applicable vesting period of a Special Long-Term Incentive Award, the Committee shall establish a method for determining the earned value of a Special Long-Term Incentive Award, which will be based on written goals relating to one or more of the following factors; operating income, cash flow, earnings per share, return on assets, return on equity, operating margins, economic value added (EVA), cash flow margins, shareholder return, cost control and/or quantitative revenue, growth or profitability measurements, which may be in respect of the Company as a whole or of any business unit thereof.</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CAP ON AMOUNTS PAYABLE FOR ANNUAL AND SPECIAL ANNUAL INCENTIVE AWARDS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Under the current Incentive Compensation Plan, the aggregate value of the Annual Awards payable to any participant with respect to any fiscal year would not exceed in value the lesser of 200% of a participant's base earnings in the fiscal year to which such awards apply or $5 million. Under the proposed amendments, the aggregate value of the Annual Awards (including the payout value of any Special Annual Incentive Awards) payable to any participant with respect to any fiscal year would not exceed in value the greater of 200% of a participant's base earnings in the fiscal year to which such awards apply or $5 million, or in the case of a participant who is the president or chief executive office of one of the Company's business units (not including the President or Chief Executive of the Company), the greater of 200% of such participant's base earnings or $5 million or 1% of such business unit's revenue for the fiscal year with respect to which the award is to be paid.</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CAP ON AMOUNTS PAYABLE FOR LONG-TERM AND SPECIAL LONG-TERM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AWARDS</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Under the current Incentive Compensation Plan, the payout value of a Performance Unit at the end of an Award Cycle may not exceed $200 and the payment of an award of Performance Units to any participant at the end of an Award Cycle shall be the lesser of $4 million or the amount determined by multiplying the payout value times the number of Performance Units granted to such participant. Under the proposed amendments, the payment of an award of Performance Units shall be the lesser of $5 million or the amount determined by multiplying the payout value times the number of Performance Units and the payment of a Special Long-Term Incentive Award to any participant at the end of the vesting period for such award would not exceed $5 million and the aggregate value of Performance Units and any Special Long-Term Incentive Award payable to any participant (other than a participant who is the President or Chief Executive Officer of one of the Company's business units (but not including the President or Chief Executive Officer of the Company)) with respect to any fiscal year would not exceed $10 million. In the case of any participant who is the President or Chief Executive Officer of one of the Company's business units (not including the President or Chief Executive Officer of the Company) the aggregate value of Performance Units and any Special Long-Term Incentive Award payable to such participant with respect to any fiscal year would not exceed the greater of $10 million or 1% of such business unit's revenue for the fiscal year with respect of which the award is to be paid.</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0" w:name="page21"/>
    <w:bookmarkEnd w:id="20"/>
    <w:p>
      <w:pPr>
        <w:ind w:left="700"/>
        <w:spacing w:after="0"/>
        <w:rPr>
          <w:sz w:val="20"/>
          <w:szCs w:val="20"/>
          <w:color w:val="auto"/>
        </w:rPr>
      </w:pPr>
      <w:r>
        <w:rPr>
          <w:rFonts w:ascii="Courier New" w:cs="Courier New" w:eastAsia="Courier New" w:hAnsi="Courier New"/>
          <w:sz w:val="14"/>
          <w:szCs w:val="14"/>
          <w:color w:val="auto"/>
        </w:rPr>
        <w:t>AMENDMENT OF THE INCENTIVE COMPENSATION PLAN</w:t>
      </w:r>
    </w:p>
    <w:p>
      <w:pPr>
        <w:spacing w:after="0" w:line="173" w:lineRule="exact"/>
        <w:rPr>
          <w:sz w:val="20"/>
          <w:szCs w:val="20"/>
          <w:color w:val="auto"/>
        </w:rPr>
      </w:pPr>
    </w:p>
    <w:p>
      <w:pPr>
        <w:ind w:right="4480" w:firstLine="689"/>
        <w:spacing w:after="0" w:line="250" w:lineRule="auto"/>
        <w:rPr>
          <w:sz w:val="20"/>
          <w:szCs w:val="20"/>
          <w:color w:val="auto"/>
        </w:rPr>
      </w:pPr>
      <w:r>
        <w:rPr>
          <w:rFonts w:ascii="Courier New" w:cs="Courier New" w:eastAsia="Courier New" w:hAnsi="Courier New"/>
          <w:sz w:val="14"/>
          <w:szCs w:val="14"/>
          <w:color w:val="auto"/>
        </w:rPr>
        <w:t>The Incentive Compensation Plan may be amended by the Board of Directors of the Company. However, approval of stockholders entitled to vote thereon must be obtained for any amendment which increases (a) the maximum number of shares of restricted stock that may be awarded under the Incentive Compensation Plan,</w:t>
      </w:r>
    </w:p>
    <w:p>
      <w:pPr>
        <w:spacing w:after="0" w:line="2" w:lineRule="exact"/>
        <w:rPr>
          <w:sz w:val="20"/>
          <w:szCs w:val="20"/>
          <w:color w:val="auto"/>
        </w:rPr>
      </w:pPr>
    </w:p>
    <w:p>
      <w:pPr>
        <w:ind w:right="4480" w:firstLine="8"/>
        <w:spacing w:after="0" w:line="251" w:lineRule="auto"/>
        <w:tabs>
          <w:tab w:leader="none" w:pos="3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of restricted stock or performance units that may be awarded to a participant, (c) the maximum payout value of a performance unit or a Special Long-Term Incentive Award. In addition, the approval of Class B Common Stock shareholders is required for any modifications for which approval is required by applicable law or exchange listing requirements.</w:t>
      </w:r>
    </w:p>
    <w:p>
      <w:pPr>
        <w:spacing w:after="0" w:line="165" w:lineRule="exact"/>
        <w:rPr>
          <w:sz w:val="20"/>
          <w:szCs w:val="20"/>
          <w:color w:val="auto"/>
        </w:rPr>
      </w:pPr>
    </w:p>
    <w:p>
      <w:pPr>
        <w:ind w:right="4480" w:firstLine="689"/>
        <w:spacing w:after="0" w:line="251" w:lineRule="auto"/>
        <w:rPr>
          <w:sz w:val="20"/>
          <w:szCs w:val="20"/>
          <w:color w:val="auto"/>
        </w:rPr>
      </w:pPr>
      <w:r>
        <w:rPr>
          <w:rFonts w:ascii="Courier New" w:cs="Courier New" w:eastAsia="Courier New" w:hAnsi="Courier New"/>
          <w:sz w:val="14"/>
          <w:szCs w:val="14"/>
          <w:color w:val="auto"/>
        </w:rPr>
        <w:t>Approval of the proposal is subject to the favorable vote of a majority of the holders of Class A Common Stock outstanding, voting as a class, and a majority of the holders of Class B Common Stock outstanding, voting as a class. Each Class A Stock Proxy and each Class B Stock Proxy executed and returned by a shareholder will be voted for Proposal 2, unless otherwise indicated on such Proxy. Any shares not voted (whether by abstention, broker non-votes or otherwise) have the effect of a negative vote.</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BOARD OF DIRECTORS RECOMMENDS A VOTE "FOR" PROPOSAL 2.</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4740" w:firstLine="689"/>
        <w:spacing w:after="0" w:line="252" w:lineRule="auto"/>
        <w:rPr>
          <w:sz w:val="20"/>
          <w:szCs w:val="20"/>
          <w:color w:val="auto"/>
        </w:rPr>
      </w:pPr>
      <w:r>
        <w:rPr>
          <w:rFonts w:ascii="Courier New" w:cs="Courier New" w:eastAsia="Courier New" w:hAnsi="Courier New"/>
          <w:sz w:val="14"/>
          <w:szCs w:val="14"/>
          <w:color w:val="auto"/>
        </w:rPr>
        <w:t>The following table shows the compensation paid by the Company during 2003, 2004 and 2005 to each of the chief executive officer and the four most highly compensated executive officers of the Company.</w:t>
      </w:r>
    </w:p>
    <w:p>
      <w:pPr>
        <w:spacing w:after="0" w:line="200" w:lineRule="exact"/>
        <w:rPr>
          <w:sz w:val="20"/>
          <w:szCs w:val="20"/>
          <w:color w:val="auto"/>
        </w:rPr>
      </w:pPr>
    </w:p>
    <w:p>
      <w:pPr>
        <w:spacing w:after="0" w:line="29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gridSpan w:val="3"/>
          </w:tcPr>
          <w:p>
            <w:pPr>
              <w:jc w:val="center"/>
              <w:ind w:left="88"/>
              <w:spacing w:after="0"/>
              <w:rPr>
                <w:sz w:val="20"/>
                <w:szCs w:val="20"/>
                <w:color w:val="auto"/>
              </w:rPr>
            </w:pPr>
            <w:r>
              <w:rPr>
                <w:rFonts w:ascii="Courier New" w:cs="Courier New" w:eastAsia="Courier New" w:hAnsi="Courier New"/>
                <w:sz w:val="14"/>
                <w:szCs w:val="14"/>
                <w:color w:val="auto"/>
              </w:rPr>
              <w:t>ANNUAL COMPENSATION</w:t>
            </w:r>
          </w:p>
        </w:tc>
        <w:tc>
          <w:tcPr>
            <w:tcW w:w="382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LONG-TERM COMPENSATION</w:t>
            </w: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9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980" w:type="dxa"/>
            <w:vAlign w:val="bottom"/>
          </w:tcPr>
          <w:p>
            <w:pPr>
              <w:spacing w:after="0"/>
              <w:rPr>
                <w:sz w:val="14"/>
                <w:szCs w:val="14"/>
                <w:color w:val="auto"/>
              </w:rPr>
            </w:pP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PAYOUTS</w:t>
            </w: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ANNUAL</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RESTRICTED</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SECURITIES</w:t>
            </w:r>
          </w:p>
        </w:tc>
        <w:tc>
          <w:tcPr>
            <w:tcW w:w="14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COMPEN-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UNDERLYING</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LTIP</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COMPEN-</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YEAR</w:t>
            </w:r>
          </w:p>
        </w:tc>
        <w:tc>
          <w:tcPr>
            <w:tcW w:w="3100" w:type="dxa"/>
            <w:vAlign w:val="bottom"/>
            <w:gridSpan w:val="3"/>
          </w:tcPr>
          <w:p>
            <w:pPr>
              <w:jc w:val="center"/>
              <w:ind w:left="88"/>
              <w:spacing w:after="0"/>
              <w:rPr>
                <w:sz w:val="20"/>
                <w:szCs w:val="20"/>
                <w:color w:val="auto"/>
              </w:rPr>
            </w:pPr>
            <w:r>
              <w:rPr>
                <w:rFonts w:ascii="Courier New" w:cs="Courier New" w:eastAsia="Courier New" w:hAnsi="Courier New"/>
                <w:sz w:val="14"/>
                <w:szCs w:val="14"/>
                <w:color w:val="auto"/>
              </w:rPr>
              <w:t>SALARY($)  BONUS($)(1)  SATION($)</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AWARDS($)(2)</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OPTIONS(#)</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PAYOUTS($)(1)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SATION($)(3)</w:t>
            </w:r>
          </w:p>
        </w:tc>
      </w:tr>
      <w:tr>
        <w:trPr>
          <w:trHeight w:val="166"/>
        </w:trPr>
        <w:tc>
          <w:tcPr>
            <w:tcW w:w="24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2005</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$11,316</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10,918</w:t>
            </w:r>
          </w:p>
        </w:tc>
      </w:tr>
      <w:tr>
        <w:trPr>
          <w:trHeight w:val="166"/>
        </w:trPr>
        <w:tc>
          <w:tcPr>
            <w:tcW w:w="24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2003</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$216,113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10,658</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2005</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$323,215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196,604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44,602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Vice President and Chief</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360,750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30,902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Financial Officer</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2003</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327,555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144,075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335,400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24,922</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Gerald M. Rosberg.........</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2005</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178,600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147,453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207,792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18,978</w:t>
            </w:r>
          </w:p>
        </w:tc>
      </w:tr>
      <w:tr>
        <w:trPr>
          <w:trHeight w:val="166"/>
        </w:trPr>
        <w:tc>
          <w:tcPr>
            <w:tcW w:w="24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2003</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197,989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90,047</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212,850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16,638</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Ann L. McDaniel...........</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2005</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169,200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147,453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40,705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187,590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36,252</w:t>
            </w:r>
          </w:p>
        </w:tc>
      </w:tr>
      <w:tr>
        <w:trPr>
          <w:trHeight w:val="166"/>
        </w:trPr>
        <w:tc>
          <w:tcPr>
            <w:tcW w:w="24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2003</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174,696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108,056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96,750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15,881</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Diana M. Daniels..........</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2005</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162,150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122,878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22,842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193,362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22,322</w:t>
            </w:r>
          </w:p>
        </w:tc>
      </w:tr>
      <w:tr>
        <w:trPr>
          <w:trHeight w:val="166"/>
        </w:trPr>
        <w:tc>
          <w:tcPr>
            <w:tcW w:w="24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2003</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325,000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189,254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90,047</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193,500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16,840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hanging="692"/>
        <w:spacing w:after="0"/>
        <w:tabs>
          <w:tab w:leader="none" w:pos="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be in the form of cash or deferred cash.</w:t>
      </w:r>
    </w:p>
    <w:p>
      <w:pPr>
        <w:spacing w:after="0" w:line="172" w:lineRule="exact"/>
        <w:rPr>
          <w:rFonts w:ascii="Courier New" w:cs="Courier New" w:eastAsia="Courier New" w:hAnsi="Courier New"/>
          <w:sz w:val="14"/>
          <w:szCs w:val="14"/>
          <w:color w:val="auto"/>
        </w:rPr>
      </w:pPr>
    </w:p>
    <w:p>
      <w:pPr>
        <w:ind w:left="700" w:right="4480" w:hanging="692"/>
        <w:spacing w:after="0" w:line="251" w:lineRule="auto"/>
        <w:tabs>
          <w:tab w:leader="none" w:pos="7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this column represent the dollar value of the restricted stock awarded to the named executive in the relevant fiscal year, based on the value as of the effective date of the award. The Compensation Committee of the Board of Directors approved grants of restricted stock for the 2005-2008 Award Cycle, effective January 3, 2005, to various key employees of the Company, including the chief executive officer and the other named executives as follows: Mr. Morse--200 shares; Mr. Rosberg--150 shares; Ms. McDaniel--150 shares; and Ms. Daniels--125 shares. Mr. Graham declined to receive a restricted stock award for the 2005-2008 Award Cycle. As of the end of fiscal 2005, the chief executive officer and the other named executives had the following aggregate restricted stock holdings: Mr. Graham-300 shares, $233,250; Mr. Morse-400 shares, $311,000; Mr. Rosberg--275 shares, $213,813; Ms. McDaniel-300 shares, $233,250; and Ms. Daniels--250 shares, $194,375. Dividends are paid on restricted stock and are the same as dividends on non-restricted stock.</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380"/>
          </w:cols>
          <w:pgMar w:left="220" w:top="616" w:right="29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ind w:left="700" w:right="4480" w:hanging="692"/>
        <w:spacing w:after="0" w:line="250"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2005 as follows: Mr. Graham-$10,920 in Company contributions to 401(k) plan; Mr. Morse-$10,920 in Company contributions to 401(k) plan and $17,680 in Company credits to SERP account; Mr. Rosberg-$10,920 in Company contributions to 401(k) plan and $8,840 in Company credits to SERP account; Ms. Daniels-$10,920 in Company contributions to 401(k) and $7,020 in Company credits to SERP account; and Ms. McDaniel-$10,920 in Company contributions to 401(k) plan and $7,800 in Company credits to SERP account. In addition, Mr. Graham had $396 of life insurance imputed income, Mr. Morse had $4,902 of life insurance imputed income, Mr. Rosberg had $258 of life insurance imputed income, Ms. Daniels had $4,902 of life insurance imputed income and Ms. McDaniel had $2,622 of life insurance imputed income, which, in each case, is included under "all other compensation." Mr. Morse had $11,100 of financial services planning and Ms. McDaniel had $19,363 of financial services planning, in each case provided by the Company and which is included under "all other compensation."</w:t>
      </w:r>
    </w:p>
    <w:p>
      <w:pPr>
        <w:spacing w:after="0" w:line="200" w:lineRule="exact"/>
        <w:rPr>
          <w:sz w:val="20"/>
          <w:szCs w:val="20"/>
          <w:color w:val="auto"/>
        </w:rPr>
      </w:pPr>
    </w:p>
    <w:p>
      <w:pPr>
        <w:spacing w:after="0" w:line="305"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AND FY-END OPTION VALUES</w:t>
      </w:r>
    </w:p>
    <w:p>
      <w:pPr>
        <w:spacing w:after="0" w:line="173"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7" w:lineRule="exact"/>
        <w:rPr>
          <w:rFonts w:ascii="Courier New" w:cs="Courier New" w:eastAsia="Courier New" w:hAnsi="Courier New"/>
          <w:sz w:val="14"/>
          <w:szCs w:val="14"/>
          <w:color w:val="auto"/>
        </w:rPr>
      </w:pPr>
    </w:p>
    <w:p>
      <w:pPr>
        <w:ind w:left="9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VALUE OF</w:t>
      </w:r>
    </w:p>
    <w:p>
      <w:pPr>
        <w:spacing w:after="0" w:line="7" w:lineRule="exact"/>
        <w:rPr>
          <w:sz w:val="20"/>
          <w:szCs w:val="20"/>
          <w:color w:val="auto"/>
        </w:rPr>
      </w:pPr>
    </w:p>
    <w:tbl>
      <w:tblPr>
        <w:tblLayout w:type="fixed"/>
        <w:tblInd w:w="7760" w:type="dxa"/>
        <w:tblCellMar>
          <w:top w:w="0" w:type="dxa"/>
          <w:left w:w="0" w:type="dxa"/>
          <w:bottom w:w="0" w:type="dxa"/>
          <w:right w:w="0" w:type="dxa"/>
        </w:tblCellMar>
      </w:tblPr>
      <w:tr>
        <w:trPr>
          <w:trHeight w:val="162"/>
        </w:trPr>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NUMBER OF</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UNEXERCISED</w:t>
            </w:r>
          </w:p>
        </w:tc>
      </w:tr>
      <w:tr>
        <w:trPr>
          <w:trHeight w:val="166"/>
        </w:trPr>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UNEXERCISED</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OPTIONS AT</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OPTIONS AT</w:t>
            </w:r>
          </w:p>
        </w:tc>
      </w:tr>
      <w:tr>
        <w:trPr>
          <w:trHeight w:val="166"/>
        </w:trPr>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FISCAL YEAR-END</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w w:val="99"/>
              </w:rPr>
              <w:t>FISCAL YEAR-END</w:t>
            </w:r>
          </w:p>
        </w:tc>
      </w:tr>
      <w:tr>
        <w:trPr>
          <w:trHeight w:val="166"/>
        </w:trPr>
        <w:tc>
          <w:tcPr>
            <w:tcW w:w="14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ACQUIRED ON</w:t>
            </w: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EXERCISABLE/</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EXERCISABLE/</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EXERCISE (#)</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REALIZED($)</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UNEXERCISABLE</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UNEXERCISABLE</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31"/>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Donald E. Graham ........................</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John B. Morse, Jr........................</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$633,000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2,250/750</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$494,750/$0</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Gerald M. Rosberg........................</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6,000/0</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$1,544,312/$0</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Diana M. Daniels.........................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$234,500/$0</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Ann L. McDaniel..........................</w:t>
            </w:r>
          </w:p>
        </w:tc>
        <w:tc>
          <w:tcPr>
            <w:tcW w:w="186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1,250/1,250</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$130,145/$0</w:t>
            </w:r>
          </w:p>
        </w:tc>
      </w:tr>
    </w:tbl>
    <w:p>
      <w:pPr>
        <w:spacing w:after="0" w:line="200" w:lineRule="exact"/>
        <w:rPr>
          <w:sz w:val="20"/>
          <w:szCs w:val="20"/>
          <w:color w:val="auto"/>
        </w:rPr>
      </w:pPr>
    </w:p>
    <w:p>
      <w:pPr>
        <w:spacing w:after="0" w:line="3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EQUITY COMPENSATION PLAN INFORMATION 1</w:t>
      </w:r>
    </w:p>
    <w:p>
      <w:pPr>
        <w:sectPr>
          <w:pgSz w:w="11900" w:h="16838" w:orient="portrait"/>
          <w:cols w:equalWidth="0" w:num="1">
            <w:col w:w="11380"/>
          </w:cols>
          <w:pgMar w:left="220" w:top="616" w:right="299"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CATEGORY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NUMBER OF SECURITIES TO BE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ISSUED UPON EXERCISE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OPTIONS, WARRANTS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AND RIGHTS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WEIGHTED-AVERAGE EXERCISE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OF OUTSTANDING OPTIONS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WARRANTS AND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SECURITIES REMAINING</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AVAILABLE FOR FUTURE ISSUANCE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UNDER EQUITY COMPENSATION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PLANS (EXCLUDING SECURITIES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REFLECTED IN COLUMN (A))</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(c)</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3020" w:space="0"/>
            <w:col w:w="2680" w:space="160"/>
            <w:col w:w="2680" w:space="0"/>
            <w:col w:w="2840"/>
          </w:cols>
          <w:pgMar w:left="220" w:top="616" w:right="299"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Equity compensation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plans approved by</w:t>
      </w:r>
    </w:p>
    <w:p>
      <w:pPr>
        <w:sectPr>
          <w:pgSz w:w="11900" w:h="16838"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security holders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113,325</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Courier New" w:cs="Courier New" w:eastAsia="Courier New" w:hAnsi="Courier New"/>
          <w:sz w:val="14"/>
          <w:szCs w:val="14"/>
          <w:color w:val="auto"/>
        </w:rPr>
        <w:t>$572.36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295,000</w:t>
      </w:r>
    </w:p>
    <w:p>
      <w:pPr>
        <w:spacing w:after="0" w:line="173" w:lineRule="exact"/>
        <w:rPr>
          <w:sz w:val="20"/>
          <w:szCs w:val="20"/>
          <w:color w:val="auto"/>
        </w:rPr>
      </w:pPr>
    </w:p>
    <w:p>
      <w:pPr>
        <w:sectPr>
          <w:pgSz w:w="11900" w:h="16838" w:orient="portrait"/>
          <w:cols w:equalWidth="0" w:num="4">
            <w:col w:w="3340" w:space="720"/>
            <w:col w:w="2040" w:space="720"/>
            <w:col w:w="2120" w:space="720"/>
            <w:col w:w="1720"/>
          </w:cols>
          <w:pgMar w:left="220" w:top="616" w:right="299"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Equity compensation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plans not approved by</w:t>
      </w:r>
    </w:p>
    <w:p>
      <w:pPr>
        <w:sectPr>
          <w:pgSz w:w="11900" w:h="16838" w:orient="portrait"/>
          <w:cols w:equalWidth="0" w:num="1">
            <w:col w:w="11380"/>
          </w:cols>
          <w:pgMar w:left="220" w:top="616" w:right="299" w:bottom="0" w:gutter="0" w:footer="0" w:header="0"/>
          <w:type w:val="continuous"/>
        </w:sectPr>
      </w:pPr>
    </w:p>
    <w:p>
      <w:pPr>
        <w:spacing w:after="0" w:line="7" w:lineRule="exact"/>
        <w:rPr>
          <w:sz w:val="20"/>
          <w:szCs w:val="20"/>
          <w:color w:val="auto"/>
        </w:rPr>
      </w:pPr>
    </w:p>
    <w:p>
      <w:pPr>
        <w:jc w:val="right"/>
        <w:ind w:right="580"/>
        <w:spacing w:after="0"/>
        <w:rPr>
          <w:sz w:val="20"/>
          <w:szCs w:val="20"/>
          <w:color w:val="auto"/>
        </w:rPr>
      </w:pPr>
      <w:r>
        <w:rPr>
          <w:rFonts w:ascii="Courier New" w:cs="Courier New" w:eastAsia="Courier New" w:hAnsi="Courier New"/>
          <w:sz w:val="14"/>
          <w:szCs w:val="14"/>
          <w:color w:val="auto"/>
        </w:rPr>
        <w:t>security holders ..........</w:t>
      </w:r>
    </w:p>
    <w:p>
      <w:pPr>
        <w:spacing w:after="0" w:line="7" w:lineRule="exact"/>
        <w:rPr>
          <w:sz w:val="20"/>
          <w:szCs w:val="20"/>
          <w:color w:val="auto"/>
        </w:rPr>
      </w:pPr>
    </w:p>
    <w:p>
      <w:pPr>
        <w:jc w:val="right"/>
        <w:ind w:right="580"/>
        <w:spacing w:after="0"/>
        <w:rPr>
          <w:sz w:val="20"/>
          <w:szCs w:val="20"/>
          <w:color w:val="auto"/>
        </w:rPr>
      </w:pPr>
      <w:r>
        <w:rPr>
          <w:rFonts w:ascii="Courier New" w:cs="Courier New" w:eastAsia="Courier New" w:hAnsi="Courier New"/>
          <w:sz w:val="14"/>
          <w:szCs w:val="14"/>
          <w:color w:val="auto"/>
        </w:rPr>
        <w:t>Total ...........</w:t>
      </w:r>
    </w:p>
    <w:p>
      <w:pPr>
        <w:spacing w:after="0" w:line="20" w:lineRule="exact"/>
        <w:rPr>
          <w:sz w:val="20"/>
          <w:szCs w:val="20"/>
          <w:color w:val="auto"/>
        </w:rPr>
      </w:pPr>
      <w:r>
        <w:rPr>
          <w:sz w:val="20"/>
          <w:szCs w:val="20"/>
          <w:color w:val="auto"/>
        </w:rPr>
        <w:br w:type="column"/>
      </w:r>
    </w:p>
    <w:p>
      <w:pPr>
        <w:jc w:val="right"/>
        <w:ind w:right="1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440"/>
        <w:spacing w:after="0"/>
        <w:rPr>
          <w:sz w:val="20"/>
          <w:szCs w:val="20"/>
          <w:color w:val="auto"/>
        </w:rPr>
      </w:pPr>
      <w:r>
        <w:rPr>
          <w:rFonts w:ascii="Courier New" w:cs="Courier New" w:eastAsia="Courier New" w:hAnsi="Courier New"/>
          <w:sz w:val="14"/>
          <w:szCs w:val="14"/>
          <w:color w:val="auto"/>
        </w:rPr>
        <w:t>113,325</w:t>
      </w:r>
    </w:p>
    <w:p>
      <w:pPr>
        <w:spacing w:after="0" w:line="20" w:lineRule="exact"/>
        <w:rPr>
          <w:sz w:val="20"/>
          <w:szCs w:val="20"/>
          <w:color w:val="auto"/>
        </w:rPr>
      </w:pPr>
      <w:r>
        <w:rPr>
          <w:sz w:val="20"/>
          <w:szCs w:val="20"/>
          <w:color w:val="auto"/>
        </w:rPr>
        <w:br w:type="column"/>
      </w:r>
    </w:p>
    <w:p>
      <w:pPr>
        <w:jc w:val="right"/>
        <w:ind w:right="1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4"/>
          <w:szCs w:val="14"/>
          <w:color w:val="auto"/>
        </w:rPr>
        <w:t>$572.36</w:t>
      </w:r>
    </w:p>
    <w:p>
      <w:pPr>
        <w:spacing w:after="0" w:line="20" w:lineRule="exact"/>
        <w:rPr>
          <w:sz w:val="20"/>
          <w:szCs w:val="20"/>
          <w:color w:val="auto"/>
        </w:rPr>
      </w:pPr>
      <w:r>
        <w:rPr>
          <w:sz w:val="20"/>
          <w:szCs w:val="20"/>
          <w:color w:val="auto"/>
        </w:rPr>
        <w:br w:type="column"/>
      </w:r>
    </w:p>
    <w:p>
      <w:pPr>
        <w:jc w:val="right"/>
        <w:ind w:righ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120"/>
        <w:spacing w:after="0"/>
        <w:rPr>
          <w:sz w:val="20"/>
          <w:szCs w:val="20"/>
          <w:color w:val="auto"/>
        </w:rPr>
      </w:pPr>
      <w:r>
        <w:rPr>
          <w:rFonts w:ascii="Courier New" w:cs="Courier New" w:eastAsia="Courier New" w:hAnsi="Courier New"/>
          <w:sz w:val="14"/>
          <w:szCs w:val="14"/>
          <w:color w:val="auto"/>
        </w:rPr>
        <w:t>295,000</w:t>
      </w:r>
    </w:p>
    <w:p>
      <w:pPr>
        <w:spacing w:after="0" w:line="200" w:lineRule="exact"/>
        <w:rPr>
          <w:sz w:val="20"/>
          <w:szCs w:val="20"/>
          <w:color w:val="auto"/>
        </w:rPr>
      </w:pPr>
    </w:p>
    <w:p>
      <w:pPr>
        <w:sectPr>
          <w:pgSz w:w="11900" w:h="16838" w:orient="portrait"/>
          <w:cols w:equalWidth="0" w:num="4">
            <w:col w:w="3340" w:space="720"/>
            <w:col w:w="2040" w:space="720"/>
            <w:col w:w="2120" w:space="720"/>
            <w:col w:w="1720"/>
          </w:cols>
          <w:pgMar w:left="220" w:top="616" w:right="299" w:bottom="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right="4480" w:hanging="692"/>
        <w:spacing w:after="0" w:line="251" w:lineRule="auto"/>
        <w:tabs>
          <w:tab w:leader="none" w:pos="7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does not include information relating to restricted stock grants awarded under The Washington Post Company Incentive Compensation Plan, which plan was approved by the Class A Shareholders of the Company. As of the end of the fiscal year 2005, there were 13,515 shares of restricted stock outstanding under the 2003-2006 Award Cycle and 13,090 shares of restricted stock outstanding under the 2005-2008 Award Cycle that had been awarded to employees of the Company and its subsidiaries (including those executives named in the summary compensation table on page 20). On January 4, 2005, the restrictions lapsed on 13,291 shares of restricted stock previously awarded in the 2001-2004 Award Cycle. As of February 1, 2006, there were a total of 26,530 shares of restricted stock outstanding under The Washington Post Company Incentive Compensation Plan. There are 157,925 shares of restricted stock available for further issuance under that Plan.</w:t>
      </w:r>
    </w:p>
    <w:p>
      <w:pPr>
        <w:spacing w:after="0" w:line="162" w:lineRule="exact"/>
        <w:rPr>
          <w:rFonts w:ascii="Courier New" w:cs="Courier New" w:eastAsia="Courier New" w:hAnsi="Courier New"/>
          <w:sz w:val="14"/>
          <w:szCs w:val="14"/>
          <w:color w:val="auto"/>
        </w:rPr>
      </w:pPr>
    </w:p>
    <w:p>
      <w:pPr>
        <w:ind w:left="700" w:right="448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Company has from time to time awarded special discretionary grants of restricted stock to employees of the Company and its subsidiaries. On February 1, 2006, there were a total of 5,500 shares of restricted stock outstanding under special discretionary grants approved by the Compensation Committee of the Board of Directors, none of which were granted to those executives named in the summary compensation table on page 20.</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1380"/>
          </w:cols>
          <w:pgMar w:left="220" w:top="616" w:right="299" w:bottom="0" w:gutter="0" w:footer="0" w:header="0"/>
          <w:type w:val="continuous"/>
        </w:sectPr>
      </w:pPr>
    </w:p>
    <w:bookmarkStart w:id="22" w:name="page23"/>
    <w:bookmarkEnd w:id="22"/>
    <w:p>
      <w:pPr>
        <w:ind w:left="2760"/>
        <w:spacing w:after="0"/>
        <w:rPr>
          <w:sz w:val="20"/>
          <w:szCs w:val="20"/>
          <w:color w:val="auto"/>
        </w:rPr>
      </w:pPr>
      <w:r>
        <w:rPr>
          <w:rFonts w:ascii="Courier New" w:cs="Courier New" w:eastAsia="Courier New" w:hAnsi="Courier New"/>
          <w:sz w:val="14"/>
          <w:szCs w:val="14"/>
          <w:color w:val="auto"/>
        </w:rPr>
        <w:t>RETIREMENT PLANS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BASIC PLAN. Most employees of the Company, including the executives named in the summary compensation table, are eligible to participate (subject to minimum service requirements) in the Company's defined benefit retirement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33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SUPPLEMENTAL EXECUTIVE RETIREMENT PLAN. All amounts over $175,000 (effective January 1, 2006) that would otherwise be payable under a basic defined benefit retirement plan are currently subject to reduction because of the annual pension limitation imposed by the Internal Revenue Code of 1986, as amended,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Internal Revenue Code of 1986, as amended ($220,000 per year effective January 1, 2006).</w:t>
      </w:r>
    </w:p>
    <w:p>
      <w:pPr>
        <w:spacing w:after="0" w:line="16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named in the summary compensation table)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said executive officers)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summary compensation table (except that Mr. Graham, who has elected not to participate in savings plan features of the SERP, will be covered only by the retirement plan features of the SERP described above).</w:t>
      </w:r>
    </w:p>
    <w:p>
      <w:pPr>
        <w:spacing w:after="0" w:line="34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As of December 31, 2005, Mr. Graham had 32 years of service under the Company plan, Mr. Morse had 17 years of service under the Company plan, Mr. Rosberg had 10 years of service under the Company plan, Ms. Daniels had 28 years of service under the Company plan and Ms. McDaniel had 22 years of service under the Company plan.</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executive officers named in the summary compensation table):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3" w:name="page24"/>
    <w:bookmarkEnd w:id="23"/>
    <w:p>
      <w:pPr>
        <w:ind w:left="2680"/>
        <w:spacing w:after="0"/>
        <w:rPr>
          <w:sz w:val="20"/>
          <w:szCs w:val="20"/>
          <w:color w:val="auto"/>
        </w:rPr>
      </w:pPr>
      <w:r>
        <w:rPr>
          <w:rFonts w:ascii="Courier New" w:cs="Courier New" w:eastAsia="Courier New" w:hAnsi="Courier New"/>
          <w:sz w:val="14"/>
          <w:szCs w:val="14"/>
          <w:color w:val="auto"/>
        </w:rPr>
        <w:t>PENSION PLAN TABLES</w:t>
      </w:r>
    </w:p>
    <w:p>
      <w:pPr>
        <w:spacing w:after="0" w:line="200" w:lineRule="exact"/>
        <w:rPr>
          <w:sz w:val="20"/>
          <w:szCs w:val="20"/>
          <w:color w:val="auto"/>
        </w:rPr>
      </w:pPr>
    </w:p>
    <w:p>
      <w:pPr>
        <w:spacing w:after="0" w:line="30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ESTIMATED MAXIMUM ANNUAL PENSION</w:t>
      </w:r>
    </w:p>
    <w:p>
      <w:pPr>
        <w:spacing w:after="0" w:line="7" w:lineRule="exact"/>
        <w:rPr>
          <w:sz w:val="20"/>
          <w:szCs w:val="20"/>
          <w:color w:val="auto"/>
        </w:rPr>
      </w:pPr>
    </w:p>
    <w:p>
      <w:pPr>
        <w:ind w:left="780"/>
        <w:spacing w:after="0"/>
        <w:tabs>
          <w:tab w:leader="none" w:pos="3780" w:val="left"/>
        </w:tabs>
        <w:rPr>
          <w:sz w:val="20"/>
          <w:szCs w:val="20"/>
          <w:color w:val="auto"/>
        </w:rPr>
      </w:pPr>
      <w:r>
        <w:rPr>
          <w:rFonts w:ascii="Courier New" w:cs="Courier New" w:eastAsia="Courier New" w:hAnsi="Courier New"/>
          <w:sz w:val="14"/>
          <w:szCs w:val="14"/>
          <w:color w:val="auto"/>
        </w:rPr>
        <w:t>COVERED</w:t>
      </w:r>
      <w:r>
        <w:rPr>
          <w:sz w:val="20"/>
          <w:szCs w:val="20"/>
          <w:color w:val="auto"/>
        </w:rPr>
        <w:tab/>
      </w:r>
      <w:r>
        <w:rPr>
          <w:rFonts w:ascii="Courier New" w:cs="Courier New" w:eastAsia="Courier New" w:hAnsi="Courier New"/>
          <w:sz w:val="14"/>
          <w:szCs w:val="14"/>
          <w:color w:val="auto"/>
        </w:rPr>
        <w:t>(COMPUTED AS STRAIGHT LIFE ANNUITY)</w:t>
      </w:r>
    </w:p>
    <w:p>
      <w:pPr>
        <w:spacing w:after="0" w:line="7" w:lineRule="exact"/>
        <w:rPr>
          <w:sz w:val="20"/>
          <w:szCs w:val="20"/>
          <w:color w:val="auto"/>
        </w:rPr>
      </w:pPr>
    </w:p>
    <w:p>
      <w:pPr>
        <w:ind w:left="780"/>
        <w:spacing w:after="0"/>
        <w:tabs>
          <w:tab w:leader="none" w:pos="3180" w:val="left"/>
        </w:tabs>
        <w:rPr>
          <w:sz w:val="20"/>
          <w:szCs w:val="20"/>
          <w:color w:val="auto"/>
        </w:rPr>
      </w:pP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FOR REPRESENTATIVE YEARS OF CREDITED SERVICE(A)</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PLAN(B)(C)</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$81,750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$136,250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$163,500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$163,500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108,000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216,000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80,750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121,125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201,875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242,250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242,250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134,250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223,750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268,500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268,500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98,250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147,375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245,625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294,750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294,750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160,500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321,000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115,750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173,625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289,375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347,250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347,250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124,500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186,750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311,250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373,500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373,500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133,250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199,875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333,125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399,750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213,000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426,000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150,750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226,125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301,500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376,875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452,250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452,250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right="3339" w:hanging="692"/>
        <w:spacing w:after="0" w:line="251"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2006 the deduction would be as follows for the indicated number of years of credited service: 10 years, $2,921; 15 years, $4,382; 20 years, $5,843; 25 years, $7,303; 30 and 35 years, $8,764.</w:t>
      </w:r>
    </w:p>
    <w:p>
      <w:pPr>
        <w:spacing w:after="0" w:line="164" w:lineRule="exact"/>
        <w:rPr>
          <w:rFonts w:ascii="Courier New" w:cs="Courier New" w:eastAsia="Courier New" w:hAnsi="Courier New"/>
          <w:sz w:val="14"/>
          <w:szCs w:val="14"/>
          <w:color w:val="auto"/>
        </w:rPr>
      </w:pPr>
    </w:p>
    <w:p>
      <w:pPr>
        <w:ind w:left="700" w:right="3519" w:hanging="692"/>
        <w:spacing w:after="0" w:line="255"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1991.</w:t>
      </w:r>
    </w:p>
    <w:p>
      <w:pPr>
        <w:spacing w:after="0" w:line="159" w:lineRule="exact"/>
        <w:rPr>
          <w:rFonts w:ascii="Courier New" w:cs="Courier New" w:eastAsia="Courier New" w:hAnsi="Courier New"/>
          <w:sz w:val="14"/>
          <w:szCs w:val="14"/>
          <w:color w:val="auto"/>
        </w:rPr>
      </w:pPr>
    </w:p>
    <w:p>
      <w:pPr>
        <w:ind w:left="700" w:right="3419" w:hanging="692"/>
        <w:spacing w:after="0" w:line="251" w:lineRule="auto"/>
        <w:tabs>
          <w:tab w:leader="none" w:pos="7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does not include estimated annual pension calculations for individuals who, commencing in 2003, meet the "Rule of 90" (i.e., the participant's age when added to his or her years of service adds to 90) and thus became eligible to receive an actuarially unreduced pension upon retirement before age 65.</w:t>
      </w:r>
    </w:p>
    <w:p>
      <w:pPr>
        <w:spacing w:after="0" w:line="16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Company seeks to offer compensation that will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62"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division-by-division basis and, thus, are not necessarily identical to the Standard &amp; Poor's Publishing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companies included in the indices selected for comparison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4" w:name="page25"/>
    <w:bookmarkEnd w:id="24"/>
    <w:p>
      <w:pPr>
        <w:ind w:right="3339"/>
        <w:spacing w:after="0" w:line="251" w:lineRule="auto"/>
        <w:rPr>
          <w:sz w:val="20"/>
          <w:szCs w:val="20"/>
          <w:color w:val="auto"/>
        </w:rPr>
      </w:pPr>
      <w:r>
        <w:rPr>
          <w:rFonts w:ascii="Courier New" w:cs="Courier New" w:eastAsia="Courier New" w:hAnsi="Courier New"/>
          <w:sz w:val="14"/>
          <w:szCs w:val="14"/>
          <w:color w:val="auto"/>
        </w:rPr>
        <w:t>purposes in the Performance Graph consist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165"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145 most highly compensated corporate and divisional executives, including the chief executive officer and the other executives named in the summary compensation table. In reviewing the individual performance of the named executives, the Compensation Committee takes into account the views of Mr. Graham.</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Base salaries for executive officers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and for-profit education companies, as applicable.</w:t>
      </w:r>
    </w:p>
    <w:p>
      <w:pPr>
        <w:spacing w:after="0" w:line="165"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or forprofit education companies, as applicable.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With respect to the base salary paid to Mr. Graham in 2005, the Compensation Committee took into account a comparison of base salaries of chief executive officers of peer companies, the Company's results in 2004 and the performance of the Company. The Compensation Committee also took into account Mr. Graham's service to the Company and his performance since 1979 when he became publisher of The Washington Post. The Compensation Committee noted that Mr. Graham's base salary is significantly below the median of base salaries paid to chief executive officers of peer companies. However, because of Mr. Graham's continued request, for personal reasons, to forego a base salary increase, Mr. Graham's base salary in 2005 remained at $400,000, the level established in 1991 upon his promotion to President and Chief Executive Officer. The Compensation Committee does not give significance to the below market salary of Mr. Graham when reviewing and establishing base salary levels for other executives.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Company has an incentive compensation plan made up of two components--annual and long-term under which awards are made primarily to key management and professional employees, including the Company's executive officers, who have made or are in a position to make significant contributions to the profitability of the Company and enhance shareholder value. The plan is administered by the Compensation Committee.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ANNUAL COMPONENT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annual component of the Incentive Compensation Plan provides for annual incentive compensation awards based on the Company's and its business units' short-term, i.e., annual, financial performance. At the end of 2004, the Compensation Committee approved a range of incentive payouts for 2005 keyed to performance against specified goals related to budgeted operating income, cash flow or earnings per share, which vary by business unit. Mr. Graham waived participation in the annual component of the Incentive Compensation Plan with respect to 2005. Annual incentive compensation awards were paid to the executive officers named in the summary compensation table on page 20 in March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COMPONENT</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To balance the annual component of the Incentive Compensation Plan, which is intended to reward short-term financial performance, the long-term component provides incentives for improved financial performance over periods of Award Cycles (which beginning in 1983 have consisted, and are expected to continue to consist, of four-year periods starting at two-year intervals).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UNITS.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January 2005, the Compensation Committee of the Board of Directors approved grants of Performance Units for the 2005-2008 Award Cycle to various key employees of the Company, including the chief executive officer and the named executives. Pursuant to these grants, the chief executive officer and the named executives received the following: Donald E. Graham, 7,500 Performance Units; John B. Morse, Jr., 5,000 Performance Units; Gerald M. Rosberg, 3,500 Performance Units; Diana M. Daniels, 1,700 Performance Units; and Ann L. McDaniel, 3,500 Performance Units. Each Performance Unit has a nominal value of $100. The number of Units awarded was determined with reference to an individual's scope of responsibilities and level of Plan participation. The payout opportunities for the 2005-2008 Award Cycle for Performance Units granted to these individuals will be based on the achievement of financial and operating goals of certain of the major operating divisions.</w:t>
      </w:r>
    </w:p>
    <w:p>
      <w:pPr>
        <w:spacing w:after="0" w:line="16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In December 2002, the Compensation Committee of the Board of Directors approved grants of Performance Units for the 2003-2006 Award Cycle to various key employees of the Company, including the chief executive officer and the named executives. Pursuant to these grants, the chief executive officer and the named executives received the following: Donald E. Graham, 7,500 Performance Units; John B. Morse, Jr., 4,000 Performance Units; Gerald M. Rosberg, 2,500 Performance Units; Diana M. Daniels, 1,700 Performance Units; and Ann L. McDaniel, 2,500 Performance Units. In January 2005, the Compensation Committee approved grants of additional shares of Performance Units for the 2003-2006 Award Cycle to various key employees of the Company, including the chief executive officer and the named executives. Pursuant to the additional grants, the chief executive officer and the named executives received the following additional Performance Units: Donald E. Graham, 781 Performance Units; John B. Morse, Jr., 417 Performance Units; Gerald M. Rosberg, 260 Performance Units; Diana M. Daniels, 177 Performance Units; and Ann L. McDaniel, 260 Performance Units. Each Performance Unit has a nominal value of $100. The number of Units awarded was determined with reference to an individual's scope of responsibilities and level of Plan participation. The payout opportunities for the 2003-2006 Award Cycle for Performance Units granted to these individuals will be based on the achievement of financial and operating goals of certain of the major operating divisions.</w:t>
      </w:r>
    </w:p>
    <w:p>
      <w:pPr>
        <w:spacing w:after="0" w:line="340"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December 2000, executive officers of the Company, including the chief executive officer and the named executives, were granted Performance Units for the 2001-2004 Award Cycle. Pursuant to these grants, the chief executive officer and the named executives received the following: Donald E. Graham, 7,500 Performance Units; John B. Morse, Jr., 2,800 Performance Units; Gerald M. Rosberg, 2,000 Performance Units; Diana M. Daniels, 1,600 Performance Units; and Ann L. McDaniel, 1,500 Performance Units. As in the past, each Performance Unit has a nominal value of $100. The number of Units awarded is determined with reference to an individual's scope of responsibilities and level of Plan participation. The payout opportunities for the 2001-2004 Award Cycle for Performance Units granted to these individuals was based on the achievement of financial and operating goals of certain of the major operating divisions. For the 2001-2004 Award Cycle, Mr. Graham received $400,000 in payout of his 7,500 Performance Units.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December 2004, the named executives and other key employees were granted new Restricted Stock, effective January 3, 2005, for the 2005-2008 Award Cycle, based on plan levels similar to those used for determining the number of shares of Restricted Stock in prior years. The number of shares of Restricted Stock awarded is determined by an individual's scope of responsibilities and relative level of Plan participation. Mr. Graham declined to be considered for an award of Restricted Stock for the 2005-2008 Award Cycle. Awards to the named executives are referenced in the footnote to the column headed "Restricted Stock Awards" in the Summary Compensation Table shown on page 20.</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December 2002, the named executives and other key employees were granted new Restricted Stock for the 2003-2006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20.</w:t>
      </w:r>
    </w:p>
    <w:p>
      <w:pPr>
        <w:spacing w:after="0" w:line="329"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On January 4, 2005, the restrictions terminated on shares of Restricted Stock awarded to Mr. Graham and the other named executives for the 2001-2004 Award Cycle. Mr. Graham received unrestricted title to 300 shares having a fair market value of $286,923 on January 4, 2005.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INCENTIVES.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No special incentive plans are currently in place for any of the named executives.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50 key employees who fall within that category and have been awarded stock options.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328" w:lineRule="exact"/>
        <w:rPr>
          <w:sz w:val="20"/>
          <w:szCs w:val="20"/>
          <w:color w:val="auto"/>
        </w:rPr>
      </w:pPr>
    </w:p>
    <w:p>
      <w:pPr>
        <w:jc w:val="both"/>
        <w:ind w:right="3339" w:firstLine="689"/>
        <w:spacing w:after="0" w:line="252"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63" w:lineRule="exact"/>
        <w:rPr>
          <w:sz w:val="20"/>
          <w:szCs w:val="20"/>
          <w:color w:val="auto"/>
        </w:rPr>
      </w:pPr>
    </w:p>
    <w:p>
      <w:pPr>
        <w:ind w:right="3859" w:firstLine="689"/>
        <w:spacing w:after="0" w:line="255" w:lineRule="auto"/>
        <w:rPr>
          <w:sz w:val="20"/>
          <w:szCs w:val="20"/>
          <w:color w:val="auto"/>
        </w:rPr>
      </w:pPr>
      <w:r>
        <w:rPr>
          <w:rFonts w:ascii="Courier New" w:cs="Courier New" w:eastAsia="Courier New" w:hAnsi="Courier New"/>
          <w:sz w:val="14"/>
          <w:szCs w:val="14"/>
          <w:color w:val="auto"/>
        </w:rPr>
        <w:t>No stock option awards were granted to any of the executives whose compensation is detailed in this proxy statement during 2005.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named executives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7" w:name="page28"/>
    <w:bookmarkEnd w:id="27"/>
    <w:p>
      <w:pPr>
        <w:ind w:right="3339" w:firstLine="689"/>
        <w:spacing w:after="0" w:line="250"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because of tax law limitations. In 2005 no amount was accrued for the benefit of Mr. Graham with respect to an employer credit under the Company's SERP inasmuch as Mr. Graham waived his right for 2005 to maintain a separate unfunded savings plan account under the SERP. The amount accrued to the named executives are shown in the footnote to the column headed "All Other Compensation" in the Summary Compensation Table shown on page 20. The estimated annual pension amounts set forth in the table on page 23 show the maximum benefits payable to Mr. Graham and the named executives upon retirement at age 65, to the extent they participate in the basic retirement plan and the supplemental executive retirement plan. The benefits payable to Mr. Graham and the named executives under the SERP are determined with reference to compensation including annual bonuses under the Incentive Compensation Plan.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Company has in place a voluntary deferred compensation plan for senior executives. The plan provides an opportunity for participants to elect to defer the receipt of all or a portion of cash awards under the annual and/or long-term components of the Incentive Compensation Plan. Elections to defer must be filed in advance of earning such awards.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the requirements of Section 162(m) resulting in compensation payments that are not deductible by the Company, if such programs are otherwise in the best interests of the Company.</w:t>
      </w:r>
    </w:p>
    <w:p>
      <w:pPr>
        <w:spacing w:after="0" w:line="16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George W. Wilson, Chairman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Barry Diller</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John L. Dotson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Barry Diller, John L. Dotson Jr. and George W. Wilson served as members of the Compensation Committee in 2005.</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One of the standing committees of the Board of Directors of the Company is the Audit Committee. Currently there are four non-employee members of the Board on the Audit Committee -- Christopher C. Davis (who was appointed to serve on the Audit Committee in January 2006), Alice M. Rivlin, George W. Wilson (who was appointed to serve on the Audit Committee in September 2005) and Richard D. Simmons, who serves as chairman of the Audit Committee. Until September 2005, Ronald L. Olson also served on the Audit Committee. The Audit Committee operates under a mandate from the Board of Directors, which has determined that each Committee member is "independent" under the listing standards of the New York Stock Exchange and Item 7 of Rule 14a-101 of the Security Exchange Act of 1934.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and pension or other forms of deferred compensation (not contingent in any way on continued service), (iii) is an executive officer of a company that makes payments to or receives payments from the Company in an amount which exceeds the greater of $1 million or 2% of such other company's consolidated gross revenues within the past three years or (iv) has a material relationship with the Company.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8" w:name="page29"/>
    <w:bookmarkEnd w:id="28"/>
    <w:p>
      <w:pPr>
        <w:ind w:right="3419" w:firstLine="689"/>
        <w:spacing w:after="0" w:line="250" w:lineRule="auto"/>
        <w:rPr>
          <w:sz w:val="20"/>
          <w:szCs w:val="20"/>
          <w:color w:val="auto"/>
        </w:rPr>
      </w:pPr>
      <w:r>
        <w:rPr>
          <w:rFonts w:ascii="Courier New" w:cs="Courier New" w:eastAsia="Courier New" w:hAnsi="Courier New"/>
          <w:sz w:val="14"/>
          <w:szCs w:val="14"/>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auditors, PricewaterhouseCoopers LLP, are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auditors. The Audit Committee has relied in undertaking its monitoring and review responsibilities, without independent verification, on management's representation that the financial statements have been prepared with integrity and objectivity and in conformity with generally accepted accounting principles in the United States of America and on the representations of PricewaterhouseCoopers LLP included in their report on the Company's financial statements.</w:t>
      </w:r>
    </w:p>
    <w:p>
      <w:pPr>
        <w:spacing w:after="0" w:line="172"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Audit Committee has reviewed and discussed the audited fiscal year 2005 financial statements with the Company's management. In addition, the Audit Committee has discussed with PricewaterhouseCoopers LLP the matters required to be discussed by Statement on Accounting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auditors their independence from the Company and its management. The Audit Committee has also considered whether PricewaterhouseCoopers LLP's provision of non-audit services to the Company is compatible with the independence of such firm.</w:t>
      </w:r>
    </w:p>
    <w:p>
      <w:pPr>
        <w:spacing w:after="0" w:line="163"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The Audit Committee also continued to pay close attention to, and devoted considerable time on, reviewing and understanding the certification process on internal controls mandated under Section 404 of the Sarbanes/Oxley Act of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PRE-APPROVAL POLICY</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In 2005, the Audit Committee again reviewed and reauthorized its policies and procedures with regard to the pre-approval of audit and non-audit services performed by the independent auditor in order to assure that the provision of such services do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328"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63"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64" w:lineRule="exact"/>
        <w:rPr>
          <w:sz w:val="20"/>
          <w:szCs w:val="20"/>
          <w:color w:val="auto"/>
        </w:rPr>
      </w:pPr>
    </w:p>
    <w:p>
      <w:pPr>
        <w:ind w:right="3679" w:firstLine="689"/>
        <w:spacing w:after="0" w:line="253" w:lineRule="auto"/>
        <w:rPr>
          <w:sz w:val="20"/>
          <w:szCs w:val="20"/>
          <w:color w:val="auto"/>
        </w:rPr>
      </w:pPr>
      <w:r>
        <w:rPr>
          <w:rFonts w:ascii="Courier New" w:cs="Courier New" w:eastAsia="Courier New" w:hAnsi="Courier New"/>
          <w:sz w:val="14"/>
          <w:szCs w:val="14"/>
          <w:color w:val="auto"/>
        </w:rPr>
        <w:t>The Audit Committee may grant pre-approval to those permissible non-audit services classified as "All Other" services that it believes are routine and recurring services, and would not impair the independence of the auditor.</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9" w:name="page30"/>
    <w:bookmarkEnd w:id="29"/>
    <w:p>
      <w:pPr>
        <w:ind w:right="3419"/>
        <w:spacing w:after="0" w:line="252" w:lineRule="auto"/>
        <w:rPr>
          <w:sz w:val="20"/>
          <w:szCs w:val="20"/>
          <w:color w:val="auto"/>
        </w:rPr>
      </w:pPr>
      <w:r>
        <w:rPr>
          <w:rFonts w:ascii="Courier New" w:cs="Courier New" w:eastAsia="Courier New" w:hAnsi="Courier New"/>
          <w:sz w:val="14"/>
          <w:szCs w:val="14"/>
          <w:color w:val="auto"/>
        </w:rPr>
        <w:t>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62"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Requests or applications to provide services that require specific approval by the Audit Committee will be submitted to the Audit Committee by the Chief Financial Officer or Controller (or other designated officer), and must include a statement from that individual as to whether, in his or her view, the request or application is consistent with the SEC's rules on auditor independence.</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 managed telephone hotline.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the annual audit, statutory audits and review of financial statements included in the Company's Form 10Qs, including reimbursable expenses, were $2,802,000 in 2005 and $3,800,000 in 2004, which fees were reviewed and approved by the Audit Committee.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AUDIT-RELATED FEES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assurance and related services reasonably related to the performance of the audit or review of financial statements and not included under "Audit Fees" above, including reimbursable expenses, were $413,000 in 2005 and $200,000 in 2004, which fees were reviewed and approved by the Audit Committee. These fees were primarily for financial due diligence and transaction analysis, audits of employee retirement and savings plans, and other audit-related reports.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FEES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tax compliance, tax advice and tax planning, including reimbursable expenses, were $879,000 in 2005 and $801,000 in 2004, which fees were reviewed and approved by the Audit Committee. These fees were primarily for tax due diligence and transaction analysis, expatriate tax services, and Federal, multi-state and foreign tax consulting.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fees paid to PricewaterhouseCoopers LLP for all other products and services provided by PricewaterhouseCoopers LLP, specifically software tools, were $3,800 in 2005 and $1,500 in 2004. There were no fees paid to PricewaterhouseCoopers LLP for financial information systems design or implementation in either 2005 or 2004.</w:t>
      </w:r>
    </w:p>
    <w:p>
      <w:pPr>
        <w:spacing w:after="0" w:line="165"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January 1, 2006, for filing with the Securities and Exchange Commission.</w:t>
      </w:r>
    </w:p>
    <w:p>
      <w:pPr>
        <w:spacing w:after="0" w:line="165"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Richard D. Simmons, Chairman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Christopher C. Davis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George W. Wilson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Alice M. Rivlin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0" w:name="page31"/>
    <w:bookmarkEnd w:id="30"/>
    <w:p>
      <w:pPr>
        <w:ind w:left="276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the Standard &amp; Poor's Publishing Index. The Standard &amp; Poor's 500 Stock Index is comprised of 500 U.S. companies in the industrial, transportation, utilities and financial industries, weighted by market capitalization. The Standard &amp; Poor's Publishing Index is comprised of Dow Jones &amp; Company, Inc., Gannett Co., Inc., Knight-Ridder, Inc., The McGrawHill Companies, Meredith Corporation, The New York Times Company, and Tribune Company, weighted by market capitalization.</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graph reflects the investment of $100 on December 31, 2000, in the Company's Class B Common Stock, the Standard &amp; Poor's 500 Stock Index and the Standard &amp; Poor's Publishing Index. For purposes of this graph, it has been assumed that dividends were reinvested on the date paid in the case of the Company and on a quarterly basis in the case of the Standard &amp; Poor's 500 Index and the Standard &amp; Poor's Publishing Index.</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CUMULATIVE TOTAL SHAREHOLDER RETURN FOR</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FIVE-YEAR PERIOD ENDING DECEMBER 31,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6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31 ...</w:t>
            </w:r>
          </w:p>
        </w:tc>
        <w:tc>
          <w:tcPr>
            <w:tcW w:w="160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2000</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2002</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Washington Post</w:t>
            </w:r>
          </w:p>
        </w:tc>
        <w:tc>
          <w:tcPr>
            <w:tcW w:w="16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100.00</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86.77</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121.91</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131.78</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164.99</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129.52</w:t>
            </w:r>
          </w:p>
        </w:tc>
      </w:tr>
      <w:tr>
        <w:trPr>
          <w:trHeight w:val="166"/>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S&amp;P 500 Index</w:t>
            </w:r>
          </w:p>
        </w:tc>
        <w:tc>
          <w:tcPr>
            <w:tcW w:w="16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100.00</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88.11</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68.64</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88.33</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97.94</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102.75</w:t>
            </w:r>
          </w:p>
        </w:tc>
      </w:tr>
      <w:tr>
        <w:trPr>
          <w:trHeight w:val="166"/>
        </w:trPr>
        <w:tc>
          <w:tcPr>
            <w:tcW w:w="39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2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S&amp;P Publishing</w:t>
            </w:r>
          </w:p>
        </w:tc>
        <w:tc>
          <w:tcPr>
            <w:tcW w:w="160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100.00</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103.49</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110.26</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131.00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127.22</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111.01</w:t>
            </w:r>
          </w:p>
        </w:tc>
      </w:tr>
    </w:tbl>
    <w:p>
      <w:pPr>
        <w:spacing w:after="0" w:line="4"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Effective September 2005, the Company renewed for one year a contract with Mrs. Elizabeth Weymouth, the daughter of the late Mrs. Katharine Graham and the sister of Mr. Donald E. Graham, under which she contributes articles to The Washington Post newspaper and is to be compensated at the rate of $25,000 annually. In addition, Mrs. Weymouth is employed full-time as a Senior Editor at Newsweek magazine and she received $177,314 in compensation in 2005.</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Effective January 1, 2005, Katharine Weymouth, the granddaughter of the late Mrs. Katharine Graham, the daughter of Mrs. Elizabeth Weymouth and the niece of Mr. Donald Graham, was appointed Vice President-Advertising of The Washington Post newspaper. In 2005, Ms. Weymouth was paid $195,000 in base salary and she received a bonus of $170,559 based on the achievement of preestablished performance goals. She has been awarded 75 shares of restricted stock from the 2003-2006 Award Cycle and 100 shares of restricted stock and 1,000 Performance Units from the 2005-2008 Award Cycle.</w:t>
      </w:r>
    </w:p>
    <w:p>
      <w:pPr>
        <w:spacing w:after="0" w:line="32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PricewaterhouseCoopers LLP as the Company's independent accountants to audit and report on its financial statements for the fiscal year 2006.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2005 and his firm's relationship with the Company, and will be available to respond to appropriate questions from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2" w:name="page33"/>
    <w:bookmarkEnd w:id="32"/>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INCENTIVE COMPENSATION PLAN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As Amended and Restated</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through May 11, 2006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PURPOSES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ADMINISTRATION OF THE PLAN</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inconsistent with the provisions of the Plan, for the administration of its business and the implementation of the Plan.</w:t>
      </w:r>
    </w:p>
    <w:p>
      <w:pPr>
        <w:spacing w:after="0" w:line="164" w:lineRule="exact"/>
        <w:rPr>
          <w:sz w:val="20"/>
          <w:szCs w:val="20"/>
          <w:color w:val="auto"/>
        </w:rPr>
      </w:pPr>
    </w:p>
    <w:p>
      <w:pPr>
        <w:ind w:left="260" w:hanging="252"/>
        <w:spacing w:after="0"/>
        <w:tabs>
          <w:tab w:leader="none" w:pos="2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w:t>
      </w:r>
    </w:p>
    <w:p>
      <w:pPr>
        <w:spacing w:after="0" w:line="172" w:lineRule="exact"/>
        <w:rPr>
          <w:rFonts w:ascii="Courier New" w:cs="Courier New" w:eastAsia="Courier New" w:hAnsi="Courier New"/>
          <w:sz w:val="14"/>
          <w:szCs w:val="14"/>
          <w:color w:val="auto"/>
        </w:rPr>
      </w:pPr>
    </w:p>
    <w:p>
      <w:pPr>
        <w:ind w:right="3519" w:firstLine="697"/>
        <w:spacing w:after="0" w:line="251" w:lineRule="auto"/>
        <w:tabs>
          <w:tab w:leader="none" w:pos="103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pacing w:after="0" w:line="164" w:lineRule="exact"/>
        <w:rPr>
          <w:rFonts w:ascii="Courier New" w:cs="Courier New" w:eastAsia="Courier New" w:hAnsi="Courier New"/>
          <w:sz w:val="14"/>
          <w:szCs w:val="14"/>
          <w:color w:val="auto"/>
        </w:rPr>
      </w:pPr>
    </w:p>
    <w:p>
      <w:pPr>
        <w:ind w:right="3419" w:firstLine="697"/>
        <w:spacing w:after="0" w:line="252" w:lineRule="auto"/>
        <w:tabs>
          <w:tab w:leader="none" w:pos="103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as such, shall not participate in the Plan, but the fact that an employee is also a Director of the Company or a subsidiary shall not prevent his or her participation.</w:t>
      </w:r>
    </w:p>
    <w:p>
      <w:pPr>
        <w:spacing w:after="0" w:line="162" w:lineRule="exact"/>
        <w:rPr>
          <w:rFonts w:ascii="Courier New" w:cs="Courier New" w:eastAsia="Courier New" w:hAnsi="Courier New"/>
          <w:sz w:val="14"/>
          <w:szCs w:val="14"/>
          <w:color w:val="auto"/>
        </w:rPr>
      </w:pPr>
    </w:p>
    <w:p>
      <w:pPr>
        <w:ind w:right="3599" w:firstLine="697"/>
        <w:spacing w:after="0" w:line="255" w:lineRule="auto"/>
        <w:tabs>
          <w:tab w:leader="none" w:pos="103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the Plan, the term "Company" shall mean The Washington Post Company and any subsidiary thereof.</w:t>
      </w:r>
    </w:p>
    <w:p>
      <w:pPr>
        <w:spacing w:after="0" w:line="159" w:lineRule="exact"/>
        <w:rPr>
          <w:rFonts w:ascii="Courier New" w:cs="Courier New" w:eastAsia="Courier New" w:hAnsi="Courier New"/>
          <w:sz w:val="14"/>
          <w:szCs w:val="14"/>
          <w:color w:val="auto"/>
        </w:rPr>
      </w:pPr>
    </w:p>
    <w:p>
      <w:pPr>
        <w:ind w:right="3419" w:firstLine="697"/>
        <w:spacing w:after="0" w:line="252" w:lineRule="auto"/>
        <w:tabs>
          <w:tab w:leader="none" w:pos="103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not be deemed to preclude the making of any award pursuant to any other compensation, incentive, bonus or stock option plan which may be in effect from time to time.</w:t>
      </w:r>
    </w:p>
    <w:p>
      <w:pPr>
        <w:spacing w:after="0" w:line="16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PLAN</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163" w:lineRule="exact"/>
        <w:rPr>
          <w:sz w:val="20"/>
          <w:szCs w:val="20"/>
          <w:color w:val="auto"/>
        </w:rPr>
      </w:pPr>
    </w:p>
    <w:p>
      <w:pPr>
        <w:ind w:left="260" w:hanging="252"/>
        <w:spacing w:after="0"/>
        <w:tabs>
          <w:tab w:leader="none" w:pos="2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INCENTIVE AWARDS</w:t>
      </w:r>
    </w:p>
    <w:p>
      <w:pPr>
        <w:spacing w:after="0" w:line="338" w:lineRule="exact"/>
        <w:rPr>
          <w:rFonts w:ascii="Courier New" w:cs="Courier New" w:eastAsia="Courier New" w:hAnsi="Courier New"/>
          <w:sz w:val="14"/>
          <w:szCs w:val="14"/>
          <w:color w:val="auto"/>
        </w:rPr>
      </w:pPr>
    </w:p>
    <w:p>
      <w:pPr>
        <w:ind w:right="3339" w:firstLine="697"/>
        <w:spacing w:after="0" w:line="252" w:lineRule="auto"/>
        <w:tabs>
          <w:tab w:leader="none" w:pos="1034"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fiscal year and except as set forth in paragraph 5(f) below, the Committee may make annual incentive awards in an aggregate amount not to exceed the Maximum Incentive Credit (as hereinafter defined) for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3" w:name="page34"/>
    <w:bookmarkEnd w:id="33"/>
    <w:p>
      <w:pPr>
        <w:ind w:right="3599"/>
        <w:spacing w:after="0" w:line="255" w:lineRule="auto"/>
        <w:rPr>
          <w:sz w:val="20"/>
          <w:szCs w:val="20"/>
          <w:color w:val="auto"/>
        </w:rPr>
      </w:pPr>
      <w:r>
        <w:rPr>
          <w:rFonts w:ascii="Courier New" w:cs="Courier New" w:eastAsia="Courier New" w:hAnsi="Courier New"/>
          <w:sz w:val="14"/>
          <w:szCs w:val="14"/>
          <w:color w:val="auto"/>
        </w:rPr>
        <w:t>such year. All annual incentive awards granted under the Plan are hereinafter collectively referred to as "Annual Awards".</w:t>
      </w:r>
    </w:p>
    <w:p>
      <w:pPr>
        <w:spacing w:after="0" w:line="160" w:lineRule="exact"/>
        <w:rPr>
          <w:sz w:val="20"/>
          <w:szCs w:val="20"/>
          <w:color w:val="auto"/>
        </w:rPr>
      </w:pPr>
    </w:p>
    <w:p>
      <w:pPr>
        <w:ind w:right="3339" w:firstLine="697"/>
        <w:spacing w:after="0" w:line="250" w:lineRule="auto"/>
        <w:tabs>
          <w:tab w:leader="none" w:pos="103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"Maximum Incentive Credit", as used herein, shall mean for any year an amount determined as follows: (i) there shall first be calculated an amount equal to twelve (12) percent of Stockholders' Equity (hereinafter called the "Basic Return on Equity"); (ii) there shall then be deducted from Consolidated Profit Before Income Taxes an amount equal to the Basic Return on Equity, the excess (if any) being hereinafter called "Incentive Profit"; (iii) the Maximum Incentive Credit shall be ten (10) percent of Incentive Profit. The term "Consolidated Profit Before Income Taxes", as used herein, shall mean for any year the sum of (i) the profit before income taxes (exclusive of special credits and charges and extraordinary items) included in the Consolidated Statement of Income of the Company for such year and (ii) the amount of incentive compensation provided for in computing such profit before income taxes. The term "Shareholders' Equity", as 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 for any change during the year arising from any increase or decrease in outstanding capital stock.</w:t>
      </w:r>
    </w:p>
    <w:p>
      <w:pPr>
        <w:spacing w:after="0" w:line="173"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last month of each fiscal year, the Vice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162" w:lineRule="exact"/>
        <w:rPr>
          <w:sz w:val="20"/>
          <w:szCs w:val="20"/>
          <w:color w:val="auto"/>
        </w:rPr>
      </w:pPr>
    </w:p>
    <w:p>
      <w:pPr>
        <w:jc w:val="both"/>
        <w:ind w:right="3779" w:firstLine="697"/>
        <w:spacing w:after="0" w:line="252" w:lineRule="auto"/>
        <w:tabs>
          <w:tab w:leader="none" w:pos="103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close of each fiscal year, the Company's independent public accountants shall calculate and certify to the Committee the Maximum Incentive Credit for such fiscal year.</w:t>
      </w:r>
    </w:p>
    <w:p>
      <w:pPr>
        <w:spacing w:after="0" w:line="162" w:lineRule="exact"/>
        <w:rPr>
          <w:rFonts w:ascii="Courier New" w:cs="Courier New" w:eastAsia="Courier New" w:hAnsi="Courier New"/>
          <w:sz w:val="14"/>
          <w:szCs w:val="14"/>
          <w:color w:val="auto"/>
        </w:rPr>
      </w:pPr>
    </w:p>
    <w:p>
      <w:pPr>
        <w:ind w:right="3339" w:firstLine="697"/>
        <w:spacing w:after="0" w:line="251" w:lineRule="auto"/>
        <w:tabs>
          <w:tab w:leader="none" w:pos="103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determined and reported by the Company's independent auditors as the Maximum Incentive Credit for any fiscal year shall be final, conclusive and binding upon all parties, including the Company, its stockholders and employees, notwithstanding any subsequent special item or surplus charge or credit that may be considered applicable in whole or in part to such fiscal year; provided that if the amount actually awarded for any fiscal year should later be determined by a court of competent jurisdiction to have exceeded the Maximum Incentive Credit for such fiscal year, the Maximum Incentive Credit for the fiscal year next succeeding such determination shall be reduced by the amount of such excess. Any such excess shall thus be corrected exclusively by adjustments of the amounts subsequently available for awards and not by recourse to the Company, the Board of Directors, the Committee, any participant or any other person.</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right="3339" w:firstLine="697"/>
        <w:spacing w:after="0" w:line="250" w:lineRule="auto"/>
        <w:tabs>
          <w:tab w:leader="none" w:pos="103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prior to the commencement of each fiscal year the Committee may, in the case of certain individuals who have made or have the potential to make extraordinary contributions to the growth and profitability of the Company, grant special annual incentive awards for such coming fiscal year ("Special Annual Incentive Awards"), the payout value of which will be based entirely on goals established in writing by the Committee at the time of grant relating to one or more of the following factors: operating income, cash flow, earnings per share, return on assets, return on equity, operating margins, economic value added (EVA), cash flow margins, shareholder return, cost control and/or other quantitative revenue, growth or profitability measurements, which may be in respect of the Company as a whole, or of any business unit thereof. The payout value of any Special Annual Incentive Awards granted with respect to a fiscal year shall not be included in calculating the limit on the aggregate amount of Annual Awards otherwise payable for such fiscal year provided for in paragraph 5(a) above.</w:t>
      </w:r>
    </w:p>
    <w:p>
      <w:pPr>
        <w:spacing w:after="0" w:line="17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ANNUAL AWARDS</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Committee shall, consistent with all applicable provisions of the Plan, determine the participants to receive Annual Awards for each fiscal year, the amount and the form of each such award, and the other terms and conditions applicable thereto. The aggregate value of the Annual Awards (including the payout value of any Special Annual Incentive Award) payable to any participant with respect to any fiscal year shall not exceed in value the greater of 200% of a participant's base earnings in the fiscal year to which such awards apply or $5 million or, in the case of a participant who is the president or chief executive officer of one of the Company's business units (not including the President or Chief Executive Officer of the Company), the greater of 200% of such participant's base earnings or $5 million or 1% of such business unit's revenue for the fiscal year with respect of which the award is to be paid.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4" w:name="page35"/>
    <w:bookmarkEnd w:id="34"/>
    <w:p>
      <w:pPr>
        <w:ind w:right="3419" w:firstLine="689"/>
        <w:spacing w:after="0" w:line="251" w:lineRule="auto"/>
        <w:rPr>
          <w:sz w:val="20"/>
          <w:szCs w:val="20"/>
          <w:color w:val="auto"/>
        </w:rPr>
      </w:pPr>
      <w:r>
        <w:rPr>
          <w:rFonts w:ascii="Courier New" w:cs="Courier New" w:eastAsia="Courier New" w:hAnsi="Courier New"/>
          <w:sz w:val="14"/>
          <w:szCs w:val="14"/>
          <w:color w:val="auto"/>
        </w:rPr>
        <w:t>In determining the terms and conditions of the Annual Award, the Committee shall, in the case of each participant who is an "executive officer" of the Company (for purposes of Item 402 of Regulation S-K under the Securities Exchange Act of 1934), establish in writing, not later than 90 days after the commencement of the fiscal year, performance goals relating to one or more of the following: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which will have to be achieved if such executive officer is to receive payment for an Annual Award.</w:t>
      </w:r>
    </w:p>
    <w:p>
      <w:pPr>
        <w:spacing w:after="0" w:line="163" w:lineRule="exact"/>
        <w:rPr>
          <w:sz w:val="20"/>
          <w:szCs w:val="20"/>
          <w:color w:val="auto"/>
        </w:rPr>
      </w:pPr>
    </w:p>
    <w:p>
      <w:pPr>
        <w:ind w:left="260" w:hanging="252"/>
        <w:spacing w:after="0"/>
        <w:tabs>
          <w:tab w:leader="none" w:pos="2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PAYMENT OF ANNUAL AWARDS AND TIME OF PAYMENT</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Annual Awards shall be made in cash.</w:t>
      </w:r>
    </w:p>
    <w:p>
      <w:pPr>
        <w:spacing w:after="0" w:line="338" w:lineRule="exact"/>
        <w:rPr>
          <w:rFonts w:ascii="Courier New" w:cs="Courier New" w:eastAsia="Courier New" w:hAnsi="Courier New"/>
          <w:sz w:val="14"/>
          <w:szCs w:val="14"/>
          <w:color w:val="auto"/>
        </w:rPr>
      </w:pPr>
    </w:p>
    <w:p>
      <w:pPr>
        <w:ind w:right="3779" w:firstLine="697"/>
        <w:spacing w:after="0" w:line="252" w:lineRule="auto"/>
        <w:tabs>
          <w:tab w:leader="none" w:pos="103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Annual Awards shall be paid in a lump sum as promptly as practicable in the calendar year that begins closest to the last day of the fiscal year to which the award relates, except as otherwise provided herein below.</w:t>
      </w:r>
    </w:p>
    <w:p>
      <w:pPr>
        <w:spacing w:after="0" w:line="162" w:lineRule="exact"/>
        <w:rPr>
          <w:rFonts w:ascii="Courier New" w:cs="Courier New" w:eastAsia="Courier New" w:hAnsi="Courier New"/>
          <w:sz w:val="14"/>
          <w:szCs w:val="14"/>
          <w:color w:val="auto"/>
        </w:rPr>
      </w:pPr>
    </w:p>
    <w:p>
      <w:pPr>
        <w:ind w:right="3419" w:firstLine="697"/>
        <w:spacing w:after="0" w:line="252" w:lineRule="auto"/>
        <w:tabs>
          <w:tab w:leader="none" w:pos="103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sole discretion, establish terms and conditions under which a participant may elect to defer the payment of an award in whole or in part pursuant to the terms of The Washington Post Company Deferred Compensation Plan (the "Deferred Compensation Plan").</w:t>
      </w:r>
    </w:p>
    <w:p>
      <w:pPr>
        <w:spacing w:after="0" w:line="327"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INCENTIVE AWARD CYCLES; AWARDS</w:t>
      </w:r>
    </w:p>
    <w:p>
      <w:pPr>
        <w:spacing w:after="0" w:line="172" w:lineRule="exact"/>
        <w:rPr>
          <w:rFonts w:ascii="Courier New" w:cs="Courier New" w:eastAsia="Courier New" w:hAnsi="Courier New"/>
          <w:sz w:val="14"/>
          <w:szCs w:val="14"/>
          <w:color w:val="auto"/>
        </w:rPr>
      </w:pPr>
    </w:p>
    <w:p>
      <w:pPr>
        <w:ind w:right="3339" w:firstLine="697"/>
        <w:spacing w:after="0" w:line="251" w:lineRule="auto"/>
        <w:tabs>
          <w:tab w:leader="none" w:pos="103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 Committee; provided, however, an Award Cycle shall (i) commence on the first day of a fiscal year of the Company, (ii) consist of not less than three nor more than four fiscal years of the Company, and (iii) at least two such fiscal years shall elapse between the beginning of consecutive Award Cycles.</w:t>
      </w:r>
    </w:p>
    <w:p>
      <w:pPr>
        <w:spacing w:after="0" w:line="163"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Award Cycle, the Committee shall</w:t>
      </w:r>
    </w:p>
    <w:p>
      <w:pPr>
        <w:spacing w:after="0" w:line="172" w:lineRule="exact"/>
        <w:rPr>
          <w:rFonts w:ascii="Courier New" w:cs="Courier New" w:eastAsia="Courier New" w:hAnsi="Courier New"/>
          <w:sz w:val="14"/>
          <w:szCs w:val="14"/>
          <w:color w:val="auto"/>
        </w:rPr>
      </w:pPr>
    </w:p>
    <w:p>
      <w:pPr>
        <w:jc w:val="both"/>
        <w:ind w:left="2080" w:right="3419" w:hanging="694"/>
        <w:spacing w:after="0" w:line="252" w:lineRule="auto"/>
        <w:tabs>
          <w:tab w:leader="none" w:pos="208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 subject to paragraph 10(a), the participants who are to receive awards of Performance Units for such Award Cycle and the number of Performance Units awarded to each such participant, and</w:t>
      </w:r>
    </w:p>
    <w:p>
      <w:pPr>
        <w:spacing w:after="0" w:line="162" w:lineRule="exact"/>
        <w:rPr>
          <w:rFonts w:ascii="Courier New" w:cs="Courier New" w:eastAsia="Courier New" w:hAnsi="Courier New"/>
          <w:sz w:val="14"/>
          <w:szCs w:val="14"/>
          <w:color w:val="auto"/>
        </w:rPr>
      </w:pPr>
    </w:p>
    <w:p>
      <w:pPr>
        <w:ind w:left="2080" w:right="3419" w:hanging="694"/>
        <w:spacing w:after="0" w:line="252" w:lineRule="auto"/>
        <w:tabs>
          <w:tab w:leader="none" w:pos="2080"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subject to paragraph 10(b), the method for determining at the end of such Award Cycle the value of a Performance Unit awarded at the beginning of such Award Cycle.</w:t>
      </w:r>
    </w:p>
    <w:p>
      <w:pPr>
        <w:spacing w:after="0" w:line="327" w:lineRule="exact"/>
        <w:rPr>
          <w:rFonts w:ascii="Courier New" w:cs="Courier New" w:eastAsia="Courier New" w:hAnsi="Courier New"/>
          <w:sz w:val="14"/>
          <w:szCs w:val="14"/>
          <w:color w:val="auto"/>
        </w:rPr>
      </w:pPr>
    </w:p>
    <w:p>
      <w:pPr>
        <w:ind w:right="3339" w:firstLine="697"/>
        <w:spacing w:after="0" w:line="251" w:lineRule="auto"/>
        <w:tabs>
          <w:tab w:leader="none" w:pos="103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from time to time the Committee may deem it desirable to grant long-term incentive awardsnot based on an Award Cycle established under paragraph 8(a) and the Committee shall have the discretion to (A) designate the participants who are to receive such awards and (B) establish such terms and conditions applicable to such long-term incentive awards ("Special Long-Term Incentive Award").</w:t>
      </w:r>
    </w:p>
    <w:p>
      <w:pPr>
        <w:spacing w:after="0" w:line="32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w:t>
      </w:r>
    </w:p>
    <w:p>
      <w:pPr>
        <w:spacing w:after="0" w:line="172" w:lineRule="exact"/>
        <w:rPr>
          <w:rFonts w:ascii="Courier New" w:cs="Courier New" w:eastAsia="Courier New" w:hAnsi="Courier New"/>
          <w:sz w:val="14"/>
          <w:szCs w:val="14"/>
          <w:color w:val="auto"/>
        </w:rPr>
      </w:pPr>
    </w:p>
    <w:p>
      <w:pPr>
        <w:ind w:right="3339" w:firstLine="697"/>
        <w:spacing w:after="0" w:line="251" w:lineRule="auto"/>
        <w:tabs>
          <w:tab w:leader="none" w:pos="103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 be less than one year nor more than six years from the date of the award of Restricted Stock to which it relates. If the Committee so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5" w:name="page36"/>
    <w:bookmarkEnd w:id="35"/>
    <w:p>
      <w:pPr>
        <w:ind w:right="3419"/>
        <w:spacing w:after="0" w:line="251" w:lineRule="auto"/>
        <w:rPr>
          <w:sz w:val="20"/>
          <w:szCs w:val="20"/>
          <w:color w:val="auto"/>
        </w:rPr>
      </w:pPr>
      <w:r>
        <w:rPr>
          <w:rFonts w:ascii="Courier New" w:cs="Courier New" w:eastAsia="Courier New" w:hAnsi="Courier New"/>
          <w:sz w:val="14"/>
          <w:szCs w:val="14"/>
          <w:color w:val="auto"/>
        </w:rPr>
        <w:t>determines, a single award of Restricted Stock can provide for more than one Vesting Date with a portion of the full award to vest on each specified Vesting Date. To each participant designated to receive an award of Restricted Stock, there shall be (1) issued (subject to subparagraph (b) below) a stock certificate, registered in the name of such participant, or (2) a book entry made in the name of such participant, in each case representing such number of shares of Restricted Stock awarded to such participant; provided, however, that at any time, not more than 10,000 shares of Restricted Stock may be awarded to any participant under all outstanding awards of Restricted Stock.</w:t>
      </w:r>
    </w:p>
    <w:p>
      <w:pPr>
        <w:spacing w:after="0" w:line="164" w:lineRule="exact"/>
        <w:rPr>
          <w:sz w:val="20"/>
          <w:szCs w:val="20"/>
          <w:color w:val="auto"/>
        </w:rPr>
      </w:pPr>
    </w:p>
    <w:p>
      <w:pPr>
        <w:ind w:right="3339" w:firstLine="697"/>
        <w:spacing w:after="0" w:line="251" w:lineRule="auto"/>
        <w:tabs>
          <w:tab w:leader="none" w:pos="1034"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effective date 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w:t>
      </w:r>
    </w:p>
    <w:p>
      <w:pPr>
        <w:spacing w:after="0" w:line="164" w:lineRule="exact"/>
        <w:rPr>
          <w:sz w:val="20"/>
          <w:szCs w:val="20"/>
          <w:color w:val="auto"/>
        </w:rPr>
      </w:pPr>
    </w:p>
    <w:p>
      <w:pPr>
        <w:ind w:right="3419" w:firstLine="697"/>
        <w:spacing w:after="0" w:line="251" w:lineRule="auto"/>
        <w:tabs>
          <w:tab w:leader="none" w:pos="103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to be issued in the name of the participant and delivered to the Secretary of the Company in custody forsuch participant or the book entry referred to in subparagraph (a) above to be made in the name of the participant on the books of the Company. 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 in the participant's name.</w:t>
      </w:r>
    </w:p>
    <w:p>
      <w:pPr>
        <w:spacing w:after="0" w:line="164" w:lineRule="exact"/>
        <w:rPr>
          <w:sz w:val="20"/>
          <w:szCs w:val="20"/>
          <w:color w:val="auto"/>
        </w:rPr>
      </w:pPr>
    </w:p>
    <w:p>
      <w:pPr>
        <w:jc w:val="both"/>
        <w:ind w:right="3419" w:firstLine="697"/>
        <w:spacing w:after="0" w:line="252" w:lineRule="auto"/>
        <w:tabs>
          <w:tab w:leader="none" w:pos="103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Restricted Stock Agreement accompanying an award of Restricted Stock shall contain the following provisions, as applicable, together with such other provisions as the Committee shall determine:</w:t>
      </w:r>
    </w:p>
    <w:p>
      <w:pPr>
        <w:spacing w:after="0" w:line="162" w:lineRule="exact"/>
        <w:rPr>
          <w:rFonts w:ascii="Courier New" w:cs="Courier New" w:eastAsia="Courier New" w:hAnsi="Courier New"/>
          <w:sz w:val="14"/>
          <w:szCs w:val="14"/>
          <w:color w:val="auto"/>
        </w:rPr>
      </w:pPr>
    </w:p>
    <w:p>
      <w:pPr>
        <w:ind w:left="2080" w:right="3339" w:hanging="694"/>
        <w:spacing w:after="0" w:line="251" w:lineRule="auto"/>
        <w:tabs>
          <w:tab w:leader="none" w:pos="208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hereinafter provided, none of the shares of Restricted Stock subject thereto may be sold, transferred, assigned, pledged or otherwise disposed of before the Vesting Date(s) established in the applicable Restricted Stock Agreement.</w:t>
      </w:r>
    </w:p>
    <w:p>
      <w:pPr>
        <w:spacing w:after="0" w:line="164" w:lineRule="exact"/>
        <w:rPr>
          <w:rFonts w:ascii="Courier New" w:cs="Courier New" w:eastAsia="Courier New" w:hAnsi="Courier New"/>
          <w:sz w:val="14"/>
          <w:szCs w:val="14"/>
          <w:color w:val="auto"/>
        </w:rPr>
      </w:pPr>
    </w:p>
    <w:p>
      <w:pPr>
        <w:ind w:left="2080" w:right="3339" w:hanging="694"/>
        <w:spacing w:after="0" w:line="250" w:lineRule="auto"/>
        <w:tabs>
          <w:tab w:leader="none" w:pos="208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below, if the participant is continuously employed by the Company until the occurrence of an applicable Vesting Date, the restriction set forth in subparagraph (c)(i) above shall terminate on such Vesting Date as to all the shares of Restricted Stock associated with that Vesting Date. In the event that the participant takes one or more unpaid leave(s) of absence where the leave is greater than ninety (90) days in duration at any time before an award of Restricted Stock has vested, the Vesting Date or Dates for such grant shall be extended by a period equal to the aggregate number of days that the participant was out on such leave(s) of absence (the "Extended Vesting Date(s)") and the restrictions set forth in subparagraph (c)(i) above shall then terminate on such Extended Vesting Date or Dates.</w:t>
      </w:r>
    </w:p>
    <w:p>
      <w:pPr>
        <w:spacing w:after="0" w:line="172" w:lineRule="exact"/>
        <w:rPr>
          <w:rFonts w:ascii="Courier New" w:cs="Courier New" w:eastAsia="Courier New" w:hAnsi="Courier New"/>
          <w:sz w:val="14"/>
          <w:szCs w:val="14"/>
          <w:color w:val="auto"/>
        </w:rPr>
      </w:pPr>
    </w:p>
    <w:p>
      <w:pPr>
        <w:ind w:left="2080"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of the foregoing, in the case of a participant who is an "executive officer" of the Company at the time of the award, the Committee shall, prior to the effective date of Restricted Stock Award, establish in writing a formula based on one or more of the following: cash flow, operating income, earnings per share, economic value added (EVA), return on assets, total return on equity of the Company, operating margins, cash flow margins, shareholder return, cost control and/or quantitative revenue, growth or profitability measurements over the period of time it takes for the Restricted Stock Award to vest fully, which will have to be achieved if the restriction set forth in subparagraph (c)(i) above is to terminate as provided in this subparagraph (c)(ii).</w:t>
      </w:r>
    </w:p>
    <w:p>
      <w:pPr>
        <w:spacing w:after="0" w:line="337" w:lineRule="exact"/>
        <w:rPr>
          <w:rFonts w:ascii="Courier New" w:cs="Courier New" w:eastAsia="Courier New" w:hAnsi="Courier New"/>
          <w:sz w:val="14"/>
          <w:szCs w:val="14"/>
          <w:color w:val="auto"/>
        </w:rPr>
      </w:pPr>
    </w:p>
    <w:p>
      <w:pPr>
        <w:ind w:left="2080" w:right="3419" w:hanging="694"/>
        <w:spacing w:after="0" w:line="251" w:lineRule="auto"/>
        <w:tabs>
          <w:tab w:leader="none" w:pos="208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employment by the Company terminates for any reason (whether voluntary or involuntary and including death or disability) before the Vesting Date or Extended Vesting Date, as the case may be, the ownership of all shares of Restricted Stock shall revert to the Company, unless termination occurs two or more years from the effective date of the award and the Committee, in its sole discretion, approves the vesting of a percentage of the number of shares of Restricted Stock originally awarded (rounded to the nearest whole share), if any, provided,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6" w:name="page37"/>
    <w:bookmarkEnd w:id="36"/>
    <w:p>
      <w:pPr>
        <w:ind w:left="2072"/>
        <w:spacing w:after="0"/>
        <w:rPr>
          <w:sz w:val="20"/>
          <w:szCs w:val="20"/>
          <w:color w:val="auto"/>
        </w:rPr>
      </w:pPr>
      <w:r>
        <w:rPr>
          <w:rFonts w:ascii="Courier New" w:cs="Courier New" w:eastAsia="Courier New" w:hAnsi="Courier New"/>
          <w:sz w:val="14"/>
          <w:szCs w:val="14"/>
          <w:color w:val="auto"/>
        </w:rPr>
        <w:t>however, that the percentage determined by the Committee</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may not exceed the percentage calculated by dividing (i)</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the number of full months elapsed from the effective</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date of the award to the date of such termination (less</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the period of full months that a participant was on one</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or more unpaid leaves of absence where the leave is</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greater than ninety (90) days during such period by (ii)</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the number of full months from such effective date to</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the Vesting Date for such award (such percentage being</w:t>
      </w:r>
    </w:p>
    <w:p>
      <w:pPr>
        <w:spacing w:after="0" w:line="7" w:lineRule="exact"/>
        <w:rPr>
          <w:sz w:val="20"/>
          <w:szCs w:val="20"/>
          <w:color w:val="auto"/>
        </w:rPr>
      </w:pPr>
    </w:p>
    <w:p>
      <w:pPr>
        <w:ind w:left="2072"/>
        <w:spacing w:after="0"/>
        <w:rPr>
          <w:sz w:val="20"/>
          <w:szCs w:val="20"/>
          <w:color w:val="auto"/>
        </w:rPr>
      </w:pPr>
      <w:r>
        <w:rPr>
          <w:rFonts w:ascii="Courier New" w:cs="Courier New" w:eastAsia="Courier New" w:hAnsi="Courier New"/>
          <w:sz w:val="14"/>
          <w:szCs w:val="14"/>
          <w:color w:val="auto"/>
        </w:rPr>
        <w:t>hereinafter called the Pro-Rated Percentage).</w:t>
      </w:r>
    </w:p>
    <w:p>
      <w:pPr>
        <w:spacing w:after="0" w:line="338" w:lineRule="exact"/>
        <w:rPr>
          <w:sz w:val="20"/>
          <w:szCs w:val="20"/>
          <w:color w:val="auto"/>
        </w:rPr>
      </w:pPr>
    </w:p>
    <w:p>
      <w:pPr>
        <w:ind w:left="2072" w:right="3339" w:hanging="694"/>
        <w:spacing w:after="0" w:line="250" w:lineRule="auto"/>
        <w:tabs>
          <w:tab w:leader="none" w:pos="2072"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restriction set forth in subparagraph (c)(i) above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the participant's award in the form of cash in lieu of shares, based on the fair market value (the mean between the high and low price per share on the New York Stock Exchange) of such shares on the date the restrictions set forth in subparagraph (c)(i) above shall terminate; and the Company will deduct the amount of all withholding taxes payable on the compensation represented by such shares from the cash value of the shares to be paid to the participant.</w:t>
      </w:r>
    </w:p>
    <w:p>
      <w:pPr>
        <w:spacing w:after="0" w:line="174" w:lineRule="exact"/>
        <w:rPr>
          <w:rFonts w:ascii="Courier New" w:cs="Courier New" w:eastAsia="Courier New" w:hAnsi="Courier New"/>
          <w:sz w:val="14"/>
          <w:szCs w:val="14"/>
          <w:color w:val="auto"/>
        </w:rPr>
      </w:pPr>
    </w:p>
    <w:p>
      <w:pPr>
        <w:ind w:left="2072" w:right="3419" w:hanging="694"/>
        <w:spacing w:after="0" w:line="251" w:lineRule="auto"/>
        <w:tabs>
          <w:tab w:leader="none" w:pos="2072"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long as shares of Restricted Stock remain registered in the name of a participant, such participant shall be entitled to all the attributes of ownership of such shares (subject to the restriction on transfer referred to above), including the right to vote such shares and to receive all dividends declared and paid on such shares.</w:t>
      </w:r>
    </w:p>
    <w:p>
      <w:pPr>
        <w:spacing w:after="0" w:line="164" w:lineRule="exact"/>
        <w:rPr>
          <w:rFonts w:ascii="Courier New" w:cs="Courier New" w:eastAsia="Courier New" w:hAnsi="Courier New"/>
          <w:sz w:val="14"/>
          <w:szCs w:val="14"/>
          <w:color w:val="auto"/>
        </w:rPr>
      </w:pPr>
    </w:p>
    <w:p>
      <w:pPr>
        <w:ind w:left="-8" w:right="3339" w:firstLine="697"/>
        <w:spacing w:after="0" w:line="252" w:lineRule="auto"/>
        <w:tabs>
          <w:tab w:leader="none" w:pos="102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Common Stock issued to recipients of Restricted Stock awards shall be issued from previously issued and outstanding shares held in the Treasury of the Company.</w:t>
      </w:r>
    </w:p>
    <w:p>
      <w:pPr>
        <w:spacing w:after="0" w:line="162" w:lineRule="exact"/>
        <w:rPr>
          <w:rFonts w:ascii="Courier New" w:cs="Courier New" w:eastAsia="Courier New" w:hAnsi="Courier New"/>
          <w:sz w:val="14"/>
          <w:szCs w:val="14"/>
          <w:color w:val="auto"/>
        </w:rPr>
      </w:pPr>
    </w:p>
    <w:p>
      <w:pPr>
        <w:ind w:left="-8" w:right="3419" w:firstLine="697"/>
        <w:spacing w:after="0" w:line="251" w:lineRule="auto"/>
        <w:tabs>
          <w:tab w:leader="none" w:pos="1025"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of Common Stock that may be awarded as Restricted Stock under the Plan shall not exceed 425,000 shares; provided, however, that effective November 1, 1991, shares which revert to the Company in accordance with paragraph 9(c)(iii) shall be deemed to have been awarded as Restricted Stock for purposes of determining the number of shares of Restricted Stock remaining available to be awarded hereunder.</w:t>
      </w:r>
    </w:p>
    <w:p>
      <w:pPr>
        <w:spacing w:after="0" w:line="329"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UNITS AND SPECIAL LONG-TERM INCENTIVE AWARDS</w:t>
      </w:r>
    </w:p>
    <w:p>
      <w:pPr>
        <w:spacing w:after="0" w:line="172" w:lineRule="exact"/>
        <w:rPr>
          <w:rFonts w:ascii="Courier New" w:cs="Courier New" w:eastAsia="Courier New" w:hAnsi="Courier New"/>
          <w:sz w:val="14"/>
          <w:szCs w:val="14"/>
          <w:color w:val="auto"/>
        </w:rPr>
      </w:pPr>
    </w:p>
    <w:p>
      <w:pPr>
        <w:ind w:left="-8" w:right="3339" w:firstLine="697"/>
        <w:spacing w:after="0" w:line="250" w:lineRule="auto"/>
        <w:tabs>
          <w:tab w:leader="none" w:pos="1025"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the Plan, the Committee shall from time to time designate the participants who are to receive awards of Performance Units and Special Long-Term Incentive Awards, the number of Performance Units or other terms and conditions as may be applicable, and the date on which the participant shall be entitled to payment under a Special Long-Term Incentive Award (such being hereinafter called the "Incentive Vesting Date"). In no case may the Incentive Vesting Date designated by the Committee be less than one year nor more than six years from the date of the award of the Special Long-Term Incentive Award to which it relates. If the Committee so determines, a single award of a Special Long-Term Incentive Award can provide for more than one Vesting Date with a portion of the full award to vest on each specified Vesting Date. To each participant designated to receive an award of Performance Units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338" w:lineRule="exact"/>
        <w:rPr>
          <w:rFonts w:ascii="Courier New" w:cs="Courier New" w:eastAsia="Courier New" w:hAnsi="Courier New"/>
          <w:sz w:val="14"/>
          <w:szCs w:val="14"/>
          <w:color w:val="auto"/>
        </w:rPr>
      </w:pPr>
    </w:p>
    <w:p>
      <w:pPr>
        <w:ind w:left="-8" w:right="3419" w:firstLine="697"/>
        <w:spacing w:after="0" w:line="251" w:lineRule="auto"/>
        <w:tabs>
          <w:tab w:leader="none" w:pos="1025"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ninety (90) days after the beginning of each Award Cycle or the beginning of the applicable vesting period of a Special Long-Term Incentive Award, the Committee shall establish in writing a method for determining the earned value of (A) a Performance Unit at the end of such Award Cycle (hereinafter called the Payout Value) or (B) the Special Long-Term Incentive Award, in either case based on performance goals over the period of the Award Cycle or the vesting period in the case of a Special Long-Term Incentive Award related to one or more of the</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1"/>
          </w:cols>
          <w:pgMar w:left="228" w:top="782" w:right="1440" w:bottom="1440" w:gutter="0" w:footer="0" w:header="0"/>
        </w:sectPr>
      </w:pPr>
    </w:p>
    <w:bookmarkStart w:id="37" w:name="page38"/>
    <w:bookmarkEnd w:id="37"/>
    <w:p>
      <w:pPr>
        <w:ind w:right="3339"/>
        <w:spacing w:after="0" w:line="250" w:lineRule="auto"/>
        <w:rPr>
          <w:sz w:val="20"/>
          <w:szCs w:val="20"/>
          <w:color w:val="auto"/>
        </w:rPr>
      </w:pPr>
      <w:r>
        <w:rPr>
          <w:rFonts w:ascii="Courier New" w:cs="Courier New" w:eastAsia="Courier New" w:hAnsi="Courier New"/>
          <w:sz w:val="14"/>
          <w:szCs w:val="14"/>
          <w:color w:val="auto"/>
        </w:rPr>
        <w:t>following: operating income, cash flow, shareholder return, earnings per share, return on assets, return on equity, operating margins, cost control, customer satisfaction, cash flow margins, economic value added (EVA) and/or other quantitative revenue, growth or profitability measurements, which may be in respect of the Company, as a whole, or any business unit thereof; provided, however, that such method shall provide that (i) no Payout Value may exceed $200 and the payment of an award of Performance Units to any participant at the end of an Award Cycle shall be the lesser of $5 million or the amount determined by multiplying the Payout Value times the number of Performance Units granted to such participant, (ii) the payment of a Special Long-Term Incentive Award to any participant at the end of the vesting period for such award shall not exceed $5 million and (iii) the aggregate value of the Performance Units and any Special Long-Term Incentive Award payable to any participant with respect to any fiscal year shall not exceed $10 million. Notwithstanding the foregoing, in the case of a participant who is the president or chief executive officer of one of the Company's business units (not including the President or Chief Executive Officer of the Company), the aggregate value of the Performance Units and any Special Long-Term Incentive Award payable to such participant with respect to any fiscal year shall not exceed in value the greater of $10 million or 1% of such business unit's revenue for the fiscal year with respect of which the award is to be paid.</w:t>
      </w:r>
    </w:p>
    <w:p>
      <w:pPr>
        <w:spacing w:after="0" w:line="340" w:lineRule="exact"/>
        <w:rPr>
          <w:sz w:val="20"/>
          <w:szCs w:val="20"/>
          <w:color w:val="auto"/>
        </w:rPr>
      </w:pPr>
    </w:p>
    <w:p>
      <w:pPr>
        <w:ind w:right="3339" w:firstLine="697"/>
        <w:spacing w:after="0" w:line="251" w:lineRule="auto"/>
        <w:tabs>
          <w:tab w:leader="none" w:pos="1034"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participant's employment by the Company terminates for any reason (whether voluntary or involuntary and including death or disability) before the end of an Award Cycle for which the participant was granted Performance Units or before Incentive Vesting Date, the participant shall be entitled to such percentage of the Payout Value of said Performance Units or the payment due under said Special Long-Term Incentive Award, if any, as shall be determined after the end of such Award Cycle or the Incentive Vesting Date, in accordance with the following provisions:</w:t>
      </w:r>
    </w:p>
    <w:p>
      <w:pPr>
        <w:spacing w:after="0" w:line="329" w:lineRule="exact"/>
        <w:rPr>
          <w:rFonts w:ascii="Courier New" w:cs="Courier New" w:eastAsia="Courier New" w:hAnsi="Courier New"/>
          <w:sz w:val="14"/>
          <w:szCs w:val="14"/>
          <w:color w:val="auto"/>
        </w:rPr>
      </w:pPr>
    </w:p>
    <w:p>
      <w:pPr>
        <w:ind w:left="2080" w:right="3419" w:hanging="694"/>
        <w:spacing w:after="0" w:line="252" w:lineRule="auto"/>
        <w:tabs>
          <w:tab w:leader="none" w:pos="2080"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occurs two or more years after the effective date of the award, such percentage, if any (but not greater than the Pro-Rated Percentage), as the Committee may, in its sole discretion, determine; and</w:t>
      </w:r>
    </w:p>
    <w:p>
      <w:pPr>
        <w:spacing w:after="0" w:line="327" w:lineRule="exact"/>
        <w:rPr>
          <w:rFonts w:ascii="Courier New" w:cs="Courier New" w:eastAsia="Courier New" w:hAnsi="Courier New"/>
          <w:sz w:val="14"/>
          <w:szCs w:val="14"/>
          <w:color w:val="auto"/>
        </w:rPr>
      </w:pPr>
    </w:p>
    <w:p>
      <w:pPr>
        <w:ind w:left="2080" w:right="3339" w:hanging="694"/>
        <w:spacing w:after="0" w:line="252" w:lineRule="auto"/>
        <w:tabs>
          <w:tab w:leader="none" w:pos="2080"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termination occurs within two years from the effective date of the award, no percentage of the Payout Value or payment under a Special Long-Term Incentive Award shall be paid.</w:t>
      </w:r>
    </w:p>
    <w:p>
      <w:pPr>
        <w:spacing w:after="0" w:line="162" w:lineRule="exact"/>
        <w:rPr>
          <w:rFonts w:ascii="Courier New" w:cs="Courier New" w:eastAsia="Courier New" w:hAnsi="Courier New"/>
          <w:sz w:val="14"/>
          <w:szCs w:val="14"/>
          <w:color w:val="auto"/>
        </w:rPr>
      </w:pPr>
    </w:p>
    <w:p>
      <w:pPr>
        <w:ind w:right="3339" w:firstLine="697"/>
        <w:spacing w:after="0" w:line="250" w:lineRule="auto"/>
        <w:tabs>
          <w:tab w:leader="none" w:pos="1034"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after (i) the end of each Award Cycle and in the calendar year that begins closest to the last day of the Award Cycle or</w:t>
      </w:r>
    </w:p>
    <w:p>
      <w:pPr>
        <w:ind w:right="3419" w:firstLine="8"/>
        <w:spacing w:after="0" w:line="251" w:lineRule="auto"/>
        <w:tabs>
          <w:tab w:leader="none" w:pos="43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Incentive Vesting Date, but no later than 75 days after the end of the calendar year of the Incentive Vesting Date, the Payout Value of a Performance Unit awarded at the beginning of such Award Cycle or the payment due under the Special Long-Term Incentive Award, as the case may be, shall be calculated and paid (unless otherwise deferred as provided herein) in cash to the recipients awarded such awards after deduction of all Federal, state and local withholding taxes payable on the compensation represented thereby. In addition, the Committee may, in its sole discretion, establish terms and conditions under which a participant may elect to defer the payment of the Payout Value of a Performance Unit or the payment of the Special Long-Term Incentive Award in whole or in part pursuant to the terms of the Deferred Compensation Plan.</w:t>
      </w:r>
    </w:p>
    <w:p>
      <w:pPr>
        <w:spacing w:after="0" w:line="163" w:lineRule="exact"/>
        <w:rPr>
          <w:rFonts w:ascii="Courier New" w:cs="Courier New" w:eastAsia="Courier New" w:hAnsi="Courier New"/>
          <w:sz w:val="14"/>
          <w:szCs w:val="14"/>
          <w:color w:val="auto"/>
        </w:rPr>
      </w:pPr>
    </w:p>
    <w:p>
      <w:pPr>
        <w:ind w:right="3339" w:firstLine="697"/>
        <w:spacing w:after="0" w:line="250" w:lineRule="auto"/>
        <w:tabs>
          <w:tab w:leader="none" w:pos="1034"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paragraphs 10(c) and 10(d), and notwithstanding any contrary terms thereof, in the event a participant takes one or more unpaid leave(s) of absence where the leave is greater than ninety (90) days in duration at any time during an Award Cycle or during the vesting period of a Special Long-Term Incentive Award, the payment of the Payout Value of the Performance Units or Special Long-Term Incentive Award payable to that participant shall be determined as if the duration of the Award Cycle or applicable the vesting period were extended by a period equal to the number of days that the participant was out on such leave(s) of absence and by not giving the participant credit for the period of employment during the Award Cycle or vesting period when the participant was on such leave of absence. Thus, for example, if a participant was away from work on a leave of absence for one year during a four-year Award Cycle, the percentage of the Payout Value of the Performance Units payable to that participant would be 100% only if the participant had at least one year of active employment after the end of the Award Cycle, and if such additional period of active employment was not completed, the Committee, in its exercise of discretion to determine a Pro-Rated Percentage under paragraph 10(c)(i), would make that determination in a manner consistent with paragraph 9(c)(iii)(A). In any such case, the Payout Value of the Performance Units or</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82" w:right="1440" w:bottom="1440" w:gutter="0" w:footer="0" w:header="0"/>
        </w:sectPr>
      </w:pPr>
    </w:p>
    <w:bookmarkStart w:id="38" w:name="page39"/>
    <w:bookmarkEnd w:id="38"/>
    <w:p>
      <w:pPr>
        <w:ind w:right="3339"/>
        <w:spacing w:after="0" w:line="251" w:lineRule="auto"/>
        <w:rPr>
          <w:sz w:val="20"/>
          <w:szCs w:val="20"/>
          <w:color w:val="auto"/>
        </w:rPr>
      </w:pPr>
      <w:r>
        <w:rPr>
          <w:rFonts w:ascii="Courier New" w:cs="Courier New" w:eastAsia="Courier New" w:hAnsi="Courier New"/>
          <w:sz w:val="14"/>
          <w:szCs w:val="14"/>
          <w:color w:val="auto"/>
        </w:rPr>
        <w:t>the payment of the Special Long-Term Incentive Award payable to the participant shall be paid as soon as practicable after the participant becomes entitled to payment by completing the additional period of active employment or by reason of the Committee's exercise of discretion under paragraph 10(c)(i), but no later than seventy-five (75) days after the end of the calendar year in which the participant attains such vested payment right.</w:t>
      </w:r>
    </w:p>
    <w:p>
      <w:pPr>
        <w:spacing w:after="0" w:line="330" w:lineRule="exact"/>
        <w:rPr>
          <w:sz w:val="20"/>
          <w:szCs w:val="20"/>
          <w:color w:val="auto"/>
        </w:rPr>
      </w:pPr>
    </w:p>
    <w:p>
      <w:pPr>
        <w:ind w:right="3339" w:firstLine="697"/>
        <w:spacing w:after="0" w:line="251" w:lineRule="auto"/>
        <w:tabs>
          <w:tab w:leader="none" w:pos="861"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 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vested and payable with respect to such Award Cycle.</w:t>
      </w:r>
    </w:p>
    <w:p>
      <w:pPr>
        <w:spacing w:after="0" w:line="32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expenses of administering this Plan shall be borne by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ADJUSTMENTS IN CLASS B COMMON STOCK</w:t>
      </w:r>
    </w:p>
    <w:p>
      <w:pPr>
        <w:spacing w:after="0" w:line="173" w:lineRule="exact"/>
        <w:rPr>
          <w:sz w:val="20"/>
          <w:szCs w:val="20"/>
          <w:color w:val="auto"/>
        </w:rPr>
      </w:pPr>
    </w:p>
    <w:p>
      <w:pPr>
        <w:ind w:right="3679" w:firstLine="689"/>
        <w:spacing w:after="0" w:line="251" w:lineRule="auto"/>
        <w:rPr>
          <w:sz w:val="20"/>
          <w:szCs w:val="20"/>
          <w:color w:val="auto"/>
        </w:rPr>
      </w:pPr>
      <w:r>
        <w:rPr>
          <w:rFonts w:ascii="Courier New" w:cs="Courier New" w:eastAsia="Courier New" w:hAnsi="Courier New"/>
          <w:sz w:val="14"/>
          <w:szCs w:val="14"/>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Amendment</w:t>
      </w:r>
    </w:p>
    <w:p>
      <w:pPr>
        <w:spacing w:after="0" w:line="33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Board of Directors of the Company shall have complete power and authority to amend, suspend or discontinue this Plan; provided, however, that the Board of Directors shall not, without the approval of the holders of a majority of the voting stock of the Company entitled to vote thereon, (A) increase either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 (iv) the percentage ceiling on the aggregate amount of bonuses which may be awarded pursuant to paragraph 10(f) or (B) make any amendment which would permit the incentive provision of any year provided in paragraph 5 hereof to exceed the limitations set forth in said paragraph.</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782" w:right="1440" w:bottom="1440" w:gutter="0" w:footer="0" w:header="0"/>
        </w:sectPr>
      </w:pPr>
    </w:p>
    <w:bookmarkStart w:id="39" w:name="page40"/>
    <w:bookmarkEnd w:id="39"/>
    <w:p>
      <w:pPr>
        <w:ind w:left="1880"/>
        <w:spacing w:after="0"/>
        <w:rPr>
          <w:sz w:val="20"/>
          <w:szCs w:val="20"/>
          <w:color w:val="auto"/>
        </w:rPr>
      </w:pPr>
      <w:r>
        <w:rPr>
          <w:rFonts w:ascii="Courier New" w:cs="Courier New" w:eastAsia="Courier New" w:hAnsi="Courier New"/>
          <w:sz w:val="14"/>
          <w:szCs w:val="14"/>
          <w:color w:val="auto"/>
        </w:rPr>
        <w:t>NOTICE OF</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ANNUAL MEETING</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WASHINGTON POST COMPANY</w:t>
      </w:r>
    </w:p>
    <w:p>
      <w:pPr>
        <w:sectPr>
          <w:pgSz w:w="11900" w:h="16838" w:orient="portrait"/>
          <w:cols w:equalWidth="0" w:num="1">
            <w:col w:w="9019"/>
          </w:cols>
          <w:pgMar w:left="1440" w:top="111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 ] Mark this box with an X if you have made</w:t>
      </w:r>
    </w:p>
    <w:p>
      <w:pPr>
        <w:spacing w:after="0" w:line="7" w:lineRule="exact"/>
        <w:rPr>
          <w:sz w:val="20"/>
          <w:szCs w:val="20"/>
          <w:color w:val="auto"/>
        </w:rPr>
      </w:pPr>
    </w:p>
    <w:p>
      <w:pPr>
        <w:ind w:left="7240"/>
        <w:spacing w:after="0"/>
        <w:rPr>
          <w:sz w:val="20"/>
          <w:szCs w:val="20"/>
          <w:color w:val="auto"/>
        </w:rPr>
      </w:pPr>
      <w:r>
        <w:rPr>
          <w:rFonts w:ascii="Courier New" w:cs="Courier New" w:eastAsia="Courier New" w:hAnsi="Courier New"/>
          <w:sz w:val="14"/>
          <w:szCs w:val="14"/>
          <w:color w:val="auto"/>
        </w:rPr>
        <w:t>changes to your name or address details above.</w:t>
      </w:r>
    </w:p>
    <w:p>
      <w:pPr>
        <w:spacing w:after="0" w:line="173"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 PROXY CARD - CLASS B COMMON</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240" w:val="left"/>
          <w:tab w:leader="none" w:pos="4460" w:val="left"/>
        </w:tabs>
        <w:rPr>
          <w:sz w:val="20"/>
          <w:szCs w:val="20"/>
          <w:color w:val="auto"/>
        </w:rPr>
      </w:pPr>
      <w:r>
        <w:rPr>
          <w:rFonts w:ascii="Courier New" w:cs="Courier New" w:eastAsia="Courier New" w:hAnsi="Courier New"/>
          <w:sz w:val="14"/>
          <w:szCs w:val="14"/>
          <w:color w:val="auto"/>
        </w:rPr>
        <w:t>A</w:t>
        <w:tab/>
        <w:t>ELECTION OF DIRECTORS</w:t>
      </w:r>
      <w:r>
        <w:rPr>
          <w:sz w:val="20"/>
          <w:szCs w:val="20"/>
          <w:color w:val="auto"/>
        </w:rPr>
        <w:tab/>
      </w:r>
      <w:r>
        <w:rPr>
          <w:rFonts w:ascii="Courier New" w:cs="Courier New" w:eastAsia="Courier New" w:hAnsi="Courier New"/>
          <w:sz w:val="14"/>
          <w:szCs w:val="14"/>
          <w:color w:val="auto"/>
        </w:rPr>
        <w:t>PLEASE REFER TO THE REVERSE SIDE FOR TELEPHONE AND INTERNET VOTING INSTRUCTIONS.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The Board of Directors recommends a vote FOR the listed nominees.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For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Withhold</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01</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 Christopher C. Davis</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r>
      <w:tr>
        <w:trPr>
          <w:trHeight w:val="331"/>
        </w:trPr>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For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Withhold</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02</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 John L. Dotson Jr.</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r>
      <w:tr>
        <w:trPr>
          <w:trHeight w:val="331"/>
        </w:trPr>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For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Withhold</w:t>
            </w:r>
          </w:p>
        </w:tc>
      </w:tr>
      <w:tr>
        <w:trPr>
          <w:trHeight w:val="166"/>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03</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-Ronald L. Olson</w:t>
            </w:r>
          </w:p>
        </w:tc>
        <w:tc>
          <w:tcPr>
            <w:tcW w:w="780" w:type="dxa"/>
            <w:vAlign w:val="bottom"/>
          </w:tcPr>
          <w:p>
            <w:pPr>
              <w:ind w:left="400"/>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r>
    </w:tbl>
    <w:p>
      <w:pPr>
        <w:spacing w:after="0" w:line="200" w:lineRule="exact"/>
        <w:rPr>
          <w:sz w:val="20"/>
          <w:szCs w:val="20"/>
          <w:color w:val="auto"/>
        </w:rPr>
      </w:pPr>
    </w:p>
    <w:p>
      <w:pPr>
        <w:spacing w:after="0" w:line="301" w:lineRule="exact"/>
        <w:rPr>
          <w:sz w:val="20"/>
          <w:szCs w:val="20"/>
          <w:color w:val="auto"/>
        </w:rPr>
      </w:pPr>
    </w:p>
    <w:p>
      <w:pPr>
        <w:ind w:left="260" w:hanging="252"/>
        <w:spacing w:after="0"/>
        <w:tabs>
          <w:tab w:leader="none" w:pos="2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the following proposals.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4880" w:type="dxa"/>
            <w:vAlign w:val="bottom"/>
          </w:tcPr>
          <w:p>
            <w:pPr>
              <w:jc w:val="center"/>
              <w:ind w:right="4008"/>
              <w:spacing w:after="0"/>
              <w:rPr>
                <w:sz w:val="20"/>
                <w:szCs w:val="20"/>
                <w:color w:val="auto"/>
              </w:rPr>
            </w:pPr>
            <w:r>
              <w:rPr>
                <w:rFonts w:ascii="Courier New" w:cs="Courier New" w:eastAsia="Courier New" w:hAnsi="Courier New"/>
                <w:sz w:val="14"/>
                <w:szCs w:val="14"/>
                <w:color w:val="auto"/>
              </w:rPr>
              <w:t>Abstain</w:t>
            </w:r>
          </w:p>
        </w:tc>
        <w:tc>
          <w:tcPr>
            <w:tcW w:w="46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2. To approve certain amendments to the Company's</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4880" w:type="dxa"/>
            <w:vAlign w:val="bottom"/>
          </w:tcPr>
          <w:p>
            <w:pPr>
              <w:jc w:val="center"/>
              <w:ind w:right="4028"/>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Incentive Compensation Plan.</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80" w:type="dxa"/>
            <w:vAlign w:val="bottom"/>
          </w:tcPr>
          <w:p>
            <w:pPr>
              <w:ind w:left="1300"/>
              <w:spacing w:after="0"/>
              <w:rPr>
                <w:sz w:val="20"/>
                <w:szCs w:val="20"/>
                <w:color w:val="auto"/>
              </w:rPr>
            </w:pPr>
            <w:r>
              <w:rPr>
                <w:rFonts w:ascii="Courier New" w:cs="Courier New" w:eastAsia="Courier New" w:hAnsi="Courier New"/>
                <w:sz w:val="14"/>
                <w:szCs w:val="14"/>
                <w:color w:val="auto"/>
              </w:rPr>
              <w:t>Mark this box with an X if you plan to</w:t>
            </w:r>
          </w:p>
        </w:tc>
        <w:tc>
          <w:tcPr>
            <w:tcW w:w="46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80" w:type="dxa"/>
            <w:vAlign w:val="bottom"/>
          </w:tcPr>
          <w:p>
            <w:pPr>
              <w:ind w:left="1300"/>
              <w:spacing w:after="0"/>
              <w:rPr>
                <w:sz w:val="20"/>
                <w:szCs w:val="20"/>
                <w:color w:val="auto"/>
              </w:rPr>
            </w:pPr>
            <w:r>
              <w:rPr>
                <w:rFonts w:ascii="Courier New" w:cs="Courier New" w:eastAsia="Courier New" w:hAnsi="Courier New"/>
                <w:sz w:val="14"/>
                <w:szCs w:val="14"/>
                <w:color w:val="auto"/>
              </w:rPr>
              <w:t>attend the Annual Meeting.</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436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For</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4880" w:type="dxa"/>
            <w:vAlign w:val="bottom"/>
          </w:tcPr>
          <w:p>
            <w:pPr>
              <w:jc w:val="center"/>
              <w:ind w:right="4008"/>
              <w:spacing w:after="0"/>
              <w:rPr>
                <w:sz w:val="20"/>
                <w:szCs w:val="20"/>
                <w:color w:val="auto"/>
              </w:rPr>
            </w:pPr>
            <w:r>
              <w:rPr>
                <w:rFonts w:ascii="Courier New" w:cs="Courier New" w:eastAsia="Courier New" w:hAnsi="Courier New"/>
                <w:sz w:val="14"/>
                <w:szCs w:val="14"/>
                <w:color w:val="auto"/>
              </w:rPr>
              <w:t>Abstain</w:t>
            </w:r>
          </w:p>
        </w:tc>
        <w:tc>
          <w:tcPr>
            <w:tcW w:w="460" w:type="dxa"/>
            <w:vAlign w:val="bottom"/>
          </w:tcPr>
          <w:p>
            <w:pPr>
              <w:spacing w:after="0"/>
              <w:rPr>
                <w:sz w:val="24"/>
                <w:szCs w:val="2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3. To transact such other business as may</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5"/>
              </w:rPr>
              <w:t>[ ]</w:t>
            </w:r>
          </w:p>
        </w:tc>
        <w:tc>
          <w:tcPr>
            <w:tcW w:w="4880" w:type="dxa"/>
            <w:vAlign w:val="bottom"/>
          </w:tcPr>
          <w:p>
            <w:pPr>
              <w:jc w:val="center"/>
              <w:ind w:right="4028"/>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properly come before said meeting or any</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80" w:type="dxa"/>
            <w:vAlign w:val="bottom"/>
          </w:tcPr>
          <w:p>
            <w:pPr>
              <w:ind w:left="1300"/>
              <w:spacing w:after="0"/>
              <w:rPr>
                <w:sz w:val="20"/>
                <w:szCs w:val="20"/>
                <w:color w:val="auto"/>
              </w:rPr>
            </w:pPr>
            <w:r>
              <w:rPr>
                <w:rFonts w:ascii="Courier New" w:cs="Courier New" w:eastAsia="Courier New" w:hAnsi="Courier New"/>
                <w:sz w:val="14"/>
                <w:szCs w:val="14"/>
                <w:color w:val="auto"/>
              </w:rPr>
              <w:t>Mark this box with an X if any comments</w:t>
            </w:r>
          </w:p>
        </w:tc>
        <w:tc>
          <w:tcPr>
            <w:tcW w:w="46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adjournment thereof.</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80" w:type="dxa"/>
            <w:vAlign w:val="bottom"/>
          </w:tcPr>
          <w:p>
            <w:pPr>
              <w:ind w:left="1300"/>
              <w:spacing w:after="0"/>
              <w:rPr>
                <w:sz w:val="20"/>
                <w:szCs w:val="20"/>
                <w:color w:val="auto"/>
              </w:rPr>
            </w:pPr>
            <w:r>
              <w:rPr>
                <w:rFonts w:ascii="Courier New" w:cs="Courier New" w:eastAsia="Courier New" w:hAnsi="Courier New"/>
                <w:sz w:val="14"/>
                <w:szCs w:val="14"/>
                <w:color w:val="auto"/>
              </w:rPr>
              <w:t>have been noted below.</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bl>
    <w:p>
      <w:pPr>
        <w:spacing w:after="0" w:line="17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Comments:</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(Please be sure to mark the box above if you have any comments.)</w:t>
      </w:r>
    </w:p>
    <w:p>
      <w:pPr>
        <w:spacing w:after="0" w:line="338" w:lineRule="exact"/>
        <w:rPr>
          <w:sz w:val="20"/>
          <w:szCs w:val="20"/>
          <w:color w:val="auto"/>
        </w:rPr>
      </w:pPr>
    </w:p>
    <w:p>
      <w:pPr>
        <w:ind w:left="260" w:hanging="252"/>
        <w:spacing w:after="0"/>
        <w:tabs>
          <w:tab w:leader="none" w:pos="2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SIGNATURES - SIGN HERE - THIS SECTION MUST BE COMPLETED FOR YOUR INSTRUCTIONS TO BE EXECUTED.</w:t>
      </w:r>
    </w:p>
    <w:p>
      <w:pPr>
        <w:spacing w:after="0" w:line="173" w:lineRule="exact"/>
        <w:rPr>
          <w:sz w:val="20"/>
          <w:szCs w:val="20"/>
          <w:color w:val="auto"/>
        </w:rPr>
      </w:pPr>
    </w:p>
    <w:p>
      <w:pPr>
        <w:ind w:right="160"/>
        <w:spacing w:after="0" w:line="252" w:lineRule="auto"/>
        <w:rPr>
          <w:sz w:val="20"/>
          <w:szCs w:val="20"/>
          <w:color w:val="auto"/>
        </w:rPr>
      </w:pPr>
      <w:r>
        <w:rPr>
          <w:rFonts w:ascii="Courier New" w:cs="Courier New" w:eastAsia="Courier New" w:hAnsi="Courier New"/>
          <w:sz w:val="14"/>
          <w:szCs w:val="14"/>
          <w:color w:val="auto"/>
        </w:rPr>
        <w:t>NOTE: Please sign exactly as name appears hereon. Joint owners should each sign. When signing as attorney, executor, administrator, trustee or guardian, please give full title as such. If the signer is a corporation, please sign in full corporate name by duly authorized officer.</w:t>
      </w:r>
    </w:p>
    <w:p>
      <w:pPr>
        <w:sectPr>
          <w:pgSz w:w="11900" w:h="16838" w:orient="portrait"/>
          <w:cols w:equalWidth="0" w:num="1">
            <w:col w:w="11540"/>
          </w:cols>
          <w:pgMar w:left="220" w:top="947" w:right="139"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1 - Please keep signature within the box</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2 - Please keep signature within the box</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(mm/dd/yyyy)</w:t>
      </w:r>
    </w:p>
    <w:p>
      <w:pPr>
        <w:spacing w:after="0" w:line="173" w:lineRule="exact"/>
        <w:rPr>
          <w:sz w:val="20"/>
          <w:szCs w:val="20"/>
          <w:color w:val="auto"/>
        </w:rPr>
      </w:pPr>
    </w:p>
    <w:p>
      <w:pPr>
        <w:sectPr>
          <w:pgSz w:w="11900" w:h="16838" w:orient="portrait"/>
          <w:cols w:equalWidth="0" w:num="3">
            <w:col w:w="4320" w:space="600"/>
            <w:col w:w="4300" w:space="520"/>
            <w:col w:w="180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4480" w:space="620"/>
            <w:col w:w="4300" w:space="520"/>
            <w:col w:w="1620"/>
          </w:cols>
          <w:pgMar w:left="220" w:top="947" w:right="139" w:bottom="1440" w:gutter="0" w:footer="0" w:header="0"/>
          <w:type w:val="continuous"/>
        </w:sectPr>
      </w:pPr>
    </w:p>
    <w:bookmarkStart w:id="41" w:name="page42"/>
    <w:bookmarkEnd w:id="41"/>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OF STOCKHOLDERS - MAY 11,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SOLICITED ON BEHALF OF THE BOARD OF DIRECTORS</w:t>
      </w:r>
    </w:p>
    <w:p>
      <w:pPr>
        <w:spacing w:after="0" w:line="173"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The undersigned hereby appoints Donald E. Graham, John B. Morse, Jr., Diana M. Daniels and Gerald M. Rosberg,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11, 2006, and at any adjournments thereof, on all matters coming before said meeting.</w:t>
      </w:r>
    </w:p>
    <w:p>
      <w:pPr>
        <w:spacing w:after="0" w:line="165" w:lineRule="exact"/>
        <w:rPr>
          <w:sz w:val="20"/>
          <w:szCs w:val="20"/>
          <w:color w:val="auto"/>
        </w:rPr>
      </w:pPr>
    </w:p>
    <w:p>
      <w:pPr>
        <w:ind w:right="240"/>
        <w:spacing w:after="0" w:line="252"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VOTE, DATE AND SIGN THIS PROXY ON THE OTHER SIDE AND RETURN PROMPTLY IN THE ENCLOSED ENVELOPE.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voted on reverse side.)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 CHANGE YOUR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VOTE</w:t>
            </w:r>
          </w:p>
        </w:tc>
        <w:tc>
          <w:tcPr>
            <w:tcW w:w="1980" w:type="dxa"/>
            <w:vAlign w:val="bottom"/>
          </w:tcPr>
          <w:p>
            <w:pPr>
              <w:spacing w:after="0"/>
              <w:rPr>
                <w:sz w:val="14"/>
                <w:szCs w:val="14"/>
                <w:color w:val="auto"/>
              </w:rPr>
            </w:pPr>
          </w:p>
        </w:tc>
        <w:tc>
          <w:tcPr>
            <w:tcW w:w="684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Any subsequent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vote by any</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means will change your</w:t>
            </w:r>
          </w:p>
        </w:tc>
        <w:tc>
          <w:tcPr>
            <w:tcW w:w="6840" w:type="dxa"/>
            <w:vAlign w:val="bottom"/>
          </w:tcPr>
          <w:p>
            <w:pPr>
              <w:ind w:left="40"/>
              <w:spacing w:after="0"/>
              <w:rPr>
                <w:sz w:val="20"/>
                <w:szCs w:val="20"/>
                <w:color w:val="auto"/>
              </w:rPr>
            </w:pPr>
            <w:r>
              <w:rPr>
                <w:rFonts w:ascii="Courier New" w:cs="Courier New" w:eastAsia="Courier New" w:hAnsi="Courier New"/>
                <w:sz w:val="14"/>
                <w:szCs w:val="14"/>
                <w:color w:val="auto"/>
              </w:rPr>
              <w:t>prior vote. For example, if you voted by telephone, a subsequent Internet vote</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will change your vote. The</w:t>
            </w:r>
          </w:p>
        </w:tc>
        <w:tc>
          <w:tcPr>
            <w:tcW w:w="8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last vote received before 5:00 p.m. eastern daylight time on May 10, 2006 will be the one counted. You</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may also revoke your proxy</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by voting in person at</w:t>
            </w:r>
          </w:p>
        </w:tc>
        <w:tc>
          <w:tcPr>
            <w:tcW w:w="6840" w:type="dxa"/>
            <w:vAlign w:val="bottom"/>
          </w:tcPr>
          <w:p>
            <w:pPr>
              <w:ind w:left="40"/>
              <w:spacing w:after="0"/>
              <w:rPr>
                <w:sz w:val="20"/>
                <w:szCs w:val="20"/>
                <w:color w:val="auto"/>
              </w:rPr>
            </w:pPr>
            <w:r>
              <w:rPr>
                <w:rFonts w:ascii="Courier New" w:cs="Courier New" w:eastAsia="Courier New" w:hAnsi="Courier New"/>
                <w:sz w:val="14"/>
                <w:szCs w:val="14"/>
                <w:color w:val="auto"/>
              </w:rPr>
              <w:t>the annual meeting.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AND INTERNET VOTING INSTRUCTIONS</w:t>
      </w:r>
    </w:p>
    <w:p>
      <w:pPr>
        <w:spacing w:after="0" w:line="7"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YOU CAN VOTE BY TELEPHONE OR INTERNET!</w:t>
        <w:tab/>
        <w:t>AVAILABLE 24 HOURS A DAY 7 DAYS A WEEK!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Instead of mailing your proxy, you may choose one of the two voting methods outlined below to vote your proxy.</w:t>
      </w:r>
    </w:p>
    <w:p>
      <w:pPr>
        <w:sectPr>
          <w:pgSz w:w="11900" w:h="16838" w:orient="portrait"/>
          <w:cols w:equalWidth="0" w:num="1">
            <w:col w:w="11540"/>
          </w:cols>
          <w:pgMar w:left="220" w:top="1113" w:right="1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USING THE TELEPHONE (WITHIN U.S. AND CANADA)</w:t>
      </w:r>
    </w:p>
    <w:p>
      <w:pPr>
        <w:spacing w:after="0" w:line="173" w:lineRule="exact"/>
        <w:rPr>
          <w:sz w:val="20"/>
          <w:szCs w:val="20"/>
          <w:color w:val="auto"/>
        </w:rPr>
      </w:pPr>
    </w:p>
    <w:p>
      <w:pPr>
        <w:jc w:val="both"/>
        <w:ind w:left="180" w:right="400" w:hanging="179"/>
        <w:spacing w:after="0" w:line="252" w:lineRule="auto"/>
        <w:tabs>
          <w:tab w:leader="none" w:pos="160" w:val="left"/>
        </w:tabs>
        <w:rPr>
          <w:sz w:val="20"/>
          <w:szCs w:val="20"/>
          <w:color w:val="auto"/>
        </w:rPr>
      </w:pPr>
      <w:r>
        <w:rPr>
          <w:rFonts w:ascii="Courier New" w:cs="Courier New" w:eastAsia="Courier New" w:hAnsi="Courier New"/>
          <w:sz w:val="14"/>
          <w:szCs w:val="14"/>
          <w:color w:val="auto"/>
        </w:rPr>
        <w:t>o</w:t>
        <w:tab/>
        <w:t>Call toll free 1-800-652-VOTE (8683) in the United States or Canada any time on a touch tone telephone. There is NO CHARGE to you for the call.</w:t>
      </w:r>
    </w:p>
    <w:p>
      <w:pPr>
        <w:spacing w:after="0" w:line="163" w:lineRule="exact"/>
        <w:rPr>
          <w:sz w:val="20"/>
          <w:szCs w:val="20"/>
          <w:color w:val="auto"/>
        </w:rPr>
      </w:pPr>
    </w:p>
    <w:p>
      <w:pPr>
        <w:ind w:left="180" w:right="580" w:hanging="179"/>
        <w:spacing w:after="0" w:line="255" w:lineRule="auto"/>
        <w:tabs>
          <w:tab w:leader="none" w:pos="160" w:val="left"/>
        </w:tabs>
        <w:rPr>
          <w:sz w:val="20"/>
          <w:szCs w:val="20"/>
          <w:color w:val="auto"/>
        </w:rPr>
      </w:pPr>
      <w:r>
        <w:rPr>
          <w:rFonts w:ascii="Courier New" w:cs="Courier New" w:eastAsia="Courier New" w:hAnsi="Courier New"/>
          <w:sz w:val="14"/>
          <w:szCs w:val="14"/>
          <w:color w:val="auto"/>
        </w:rPr>
        <w:t>o</w:t>
        <w:tab/>
        <w:t>Follow the simple instructions provided by the recorded message.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USING THE INTERNET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Go to the following web site: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WWW.COMPUTERSHARE.COM/EXPRESSVOTE</w:t>
      </w:r>
    </w:p>
    <w:p>
      <w:pPr>
        <w:spacing w:after="0" w:line="173" w:lineRule="exact"/>
        <w:rPr>
          <w:sz w:val="20"/>
          <w:szCs w:val="20"/>
          <w:color w:val="auto"/>
        </w:rPr>
      </w:pPr>
    </w:p>
    <w:p>
      <w:pPr>
        <w:ind w:left="160" w:right="420" w:hanging="159"/>
        <w:spacing w:after="0" w:line="255" w:lineRule="auto"/>
        <w:tabs>
          <w:tab w:leader="none" w:pos="140" w:val="left"/>
        </w:tabs>
        <w:rPr>
          <w:sz w:val="20"/>
          <w:szCs w:val="20"/>
          <w:color w:val="auto"/>
        </w:rPr>
      </w:pPr>
      <w:r>
        <w:rPr>
          <w:rFonts w:ascii="Courier New" w:cs="Courier New" w:eastAsia="Courier New" w:hAnsi="Courier New"/>
          <w:sz w:val="14"/>
          <w:szCs w:val="14"/>
          <w:color w:val="auto"/>
        </w:rPr>
        <w:t>o</w:t>
        <w:tab/>
        <w:t>Enter the information requested on your computer screen and follow the simple instructions.</w:t>
      </w:r>
    </w:p>
    <w:p>
      <w:pPr>
        <w:spacing w:after="0" w:line="365" w:lineRule="exact"/>
        <w:rPr>
          <w:sz w:val="20"/>
          <w:szCs w:val="20"/>
          <w:color w:val="auto"/>
        </w:rPr>
      </w:pPr>
    </w:p>
    <w:p>
      <w:pPr>
        <w:sectPr>
          <w:pgSz w:w="11900" w:h="16838" w:orient="portrait"/>
          <w:cols w:equalWidth="0" w:num="2">
            <w:col w:w="5500" w:space="720"/>
            <w:col w:w="5320"/>
          </w:cols>
          <w:pgMar w:left="220" w:top="1113" w:right="13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VOTE BY TELEPHONE OR THE INTERNET, PLEASE DO NOT MAIL BACK THIS PROXY CARD.</w:t>
      </w:r>
    </w:p>
    <w:p>
      <w:pPr>
        <w:spacing w:after="0" w:line="7" w:lineRule="exact"/>
        <w:rPr>
          <w:sz w:val="20"/>
          <w:szCs w:val="20"/>
          <w:color w:val="auto"/>
        </w:rPr>
      </w:pPr>
    </w:p>
    <w:p>
      <w:pPr>
        <w:ind w:right="1460"/>
        <w:spacing w:after="0" w:line="255" w:lineRule="auto"/>
        <w:rPr>
          <w:sz w:val="20"/>
          <w:szCs w:val="20"/>
          <w:color w:val="auto"/>
        </w:rPr>
      </w:pPr>
      <w:r>
        <w:rPr>
          <w:rFonts w:ascii="Courier New" w:cs="Courier New" w:eastAsia="Courier New" w:hAnsi="Courier New"/>
          <w:sz w:val="14"/>
          <w:szCs w:val="14"/>
          <w:color w:val="auto"/>
        </w:rPr>
        <w:t>PROXIES SUBMITTED BY TELEPHONE OR THE INTERNET MUST BE RECEIVED BY 5:00 P.M., EASTERN DAYLIGHT TIME, ON MAY 10, 2006. THANK YOU FOR VOTING</w:t>
      </w:r>
    </w:p>
    <w:sectPr>
      <w:pgSz w:w="11900" w:h="16838" w:orient="portrait"/>
      <w:cols w:equalWidth="0" w:num="1">
        <w:col w:w="11540"/>
      </w:cols>
      <w:pgMar w:left="220" w:top="111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1:"/>
      <w:numFmt w:val="upperLetter"/>
      <w:start w:val="17"/>
    </w:lvl>
  </w:abstractNum>
  <w:abstractNum w:abstractNumId="2">
    <w:nsid w:val="440BADFC"/>
    <w:multiLevelType w:val="hybridMultilevel"/>
    <w:lvl w:ilvl="0">
      <w:lvlJc w:val="left"/>
      <w:lvlText w:val="%1:"/>
      <w:numFmt w:val="upperLetter"/>
      <w:start w:val="1"/>
    </w:lvl>
  </w:abstractNum>
  <w:abstractNum w:abstractNumId="3">
    <w:nsid w:val="5072367"/>
    <w:multiLevelType w:val="hybridMultilevel"/>
    <w:lvl w:ilvl="0">
      <w:lvlJc w:val="left"/>
      <w:lvlText w:val="%1:"/>
      <w:numFmt w:val="upperLetter"/>
      <w:start w:val="17"/>
    </w:lvl>
  </w:abstractNum>
  <w:abstractNum w:abstractNumId="4">
    <w:nsid w:val="3804823E"/>
    <w:multiLevelType w:val="hybridMultilevel"/>
    <w:lvl w:ilvl="0">
      <w:lvlJc w:val="left"/>
      <w:lvlText w:val="%1:"/>
      <w:numFmt w:val="upperLetter"/>
      <w:start w:val="1"/>
    </w:lvl>
  </w:abstractNum>
  <w:abstractNum w:abstractNumId="5">
    <w:nsid w:val="77465F01"/>
    <w:multiLevelType w:val="hybridMultilevel"/>
    <w:lvl w:ilvl="0">
      <w:lvlJc w:val="left"/>
      <w:lvlText w:val="%1:"/>
      <w:numFmt w:val="upperLetter"/>
      <w:start w:val="17"/>
    </w:lvl>
  </w:abstractNum>
  <w:abstractNum w:abstractNumId="6">
    <w:nsid w:val="7724C67E"/>
    <w:multiLevelType w:val="hybridMultilevel"/>
    <w:lvl w:ilvl="0">
      <w:lvlJc w:val="left"/>
      <w:lvlText w:val="%1:"/>
      <w:numFmt w:val="upperLetter"/>
      <w:start w:val="1"/>
    </w:lvl>
  </w:abstractNum>
  <w:abstractNum w:abstractNumId="7">
    <w:nsid w:val="5C482A97"/>
    <w:multiLevelType w:val="hybridMultilevel"/>
    <w:lvl w:ilvl="0">
      <w:lvlJc w:val="left"/>
      <w:lvlText w:val="%1:"/>
      <w:numFmt w:val="upperLetter"/>
      <w:start w:val="17"/>
    </w:lvl>
  </w:abstractNum>
  <w:abstractNum w:abstractNumId="8">
    <w:nsid w:val="2463B9EA"/>
    <w:multiLevelType w:val="hybridMultilevel"/>
    <w:lvl w:ilvl="0">
      <w:lvlJc w:val="left"/>
      <w:lvlText w:val="%1:"/>
      <w:numFmt w:val="upperLetter"/>
      <w:start w:val="17"/>
    </w:lvl>
  </w:abstractNum>
  <w:abstractNum w:abstractNumId="9">
    <w:nsid w:val="5E884ADC"/>
    <w:multiLevelType w:val="hybridMultilevel"/>
    <w:lvl w:ilvl="0">
      <w:lvlJc w:val="left"/>
      <w:lvlText w:val="%1:"/>
      <w:numFmt w:val="upperLetter"/>
      <w:start w:val="1"/>
    </w:lvl>
  </w:abstractNum>
  <w:abstractNum w:abstractNumId="10">
    <w:nsid w:val="51EAD36B"/>
    <w:multiLevelType w:val="hybridMultilevel"/>
    <w:lvl w:ilvl="0">
      <w:lvlJc w:val="left"/>
      <w:lvlText w:val="%1:"/>
      <w:numFmt w:val="upperLetter"/>
      <w:start w:val="17"/>
    </w:lvl>
  </w:abstractNum>
  <w:abstractNum w:abstractNumId="11">
    <w:nsid w:val="2D517796"/>
    <w:multiLevelType w:val="hybridMultilevel"/>
    <w:lvl w:ilvl="0">
      <w:lvlJc w:val="left"/>
      <w:lvlText w:val="%1:"/>
      <w:numFmt w:val="upperLetter"/>
      <w:start w:val="1"/>
    </w:lvl>
  </w:abstractNum>
  <w:abstractNum w:abstractNumId="12">
    <w:nsid w:val="580BD78F"/>
    <w:multiLevelType w:val="hybridMultilevel"/>
    <w:lvl w:ilvl="0">
      <w:lvlJc w:val="left"/>
      <w:lvlText w:val="%1:"/>
      <w:numFmt w:val="upperLetter"/>
      <w:start w:val="17"/>
    </w:lvl>
  </w:abstractNum>
  <w:abstractNum w:abstractNumId="13">
    <w:nsid w:val="153EA438"/>
    <w:multiLevelType w:val="hybridMultilevel"/>
    <w:lvl w:ilvl="0">
      <w:lvlJc w:val="left"/>
      <w:lvlText w:val="%1:"/>
      <w:numFmt w:val="upperLetter"/>
      <w:start w:val="1"/>
    </w:lvl>
  </w:abstractNum>
  <w:abstractNum w:abstractNumId="14">
    <w:nsid w:val="3855585C"/>
    <w:multiLevelType w:val="hybridMultilevel"/>
    <w:lvl w:ilvl="0">
      <w:lvlJc w:val="left"/>
      <w:lvlText w:val="%1:"/>
      <w:numFmt w:val="upperLetter"/>
      <w:start w:val="17"/>
    </w:lvl>
  </w:abstractNum>
  <w:abstractNum w:abstractNumId="15">
    <w:nsid w:val="70A64E2A"/>
    <w:multiLevelType w:val="hybridMultilevel"/>
    <w:lvl w:ilvl="0">
      <w:lvlJc w:val="left"/>
      <w:lvlText w:val="%1:"/>
      <w:numFmt w:val="upperLetter"/>
      <w:start w:val="1"/>
    </w:lvl>
  </w:abstractNum>
  <w:abstractNum w:abstractNumId="16">
    <w:nsid w:val="6A2342EC"/>
    <w:multiLevelType w:val="hybridMultilevel"/>
    <w:lvl w:ilvl="0">
      <w:lvlJc w:val="left"/>
      <w:lvlText w:val="%1:"/>
      <w:numFmt w:val="upperLetter"/>
      <w:start w:val="17"/>
    </w:lvl>
  </w:abstractNum>
  <w:abstractNum w:abstractNumId="17">
    <w:nsid w:val="2A487CB0"/>
    <w:multiLevelType w:val="hybridMultilevel"/>
    <w:lvl w:ilvl="0">
      <w:lvlJc w:val="left"/>
      <w:lvlText w:val="%1:"/>
      <w:numFmt w:val="upperLetter"/>
      <w:start w:val="1"/>
    </w:lvl>
  </w:abstractNum>
  <w:abstractNum w:abstractNumId="18">
    <w:nsid w:val="1D4ED43B"/>
    <w:multiLevelType w:val="hybridMultilevel"/>
    <w:lvl w:ilvl="0">
      <w:lvlJc w:val="left"/>
      <w:lvlText w:val="%1:"/>
      <w:numFmt w:val="upperLetter"/>
      <w:start w:val="17"/>
    </w:lvl>
  </w:abstractNum>
  <w:abstractNum w:abstractNumId="19">
    <w:nsid w:val="725A06FB"/>
    <w:multiLevelType w:val="hybridMultilevel"/>
    <w:lvl w:ilvl="0">
      <w:lvlJc w:val="left"/>
      <w:lvlText w:val="%1:"/>
      <w:numFmt w:val="upperLetter"/>
      <w:start w:val="1"/>
    </w:lvl>
  </w:abstractNum>
  <w:abstractNum w:abstractNumId="20">
    <w:nsid w:val="2CD89A32"/>
    <w:multiLevelType w:val="hybridMultilevel"/>
    <w:lvl w:ilvl="0">
      <w:lvlJc w:val="left"/>
      <w:lvlText w:val="%1:"/>
      <w:numFmt w:val="upperLetter"/>
      <w:start w:val="17"/>
    </w:lvl>
  </w:abstractNum>
  <w:abstractNum w:abstractNumId="21">
    <w:nsid w:val="57E4CCAF"/>
    <w:multiLevelType w:val="hybridMultilevel"/>
    <w:lvl w:ilvl="0">
      <w:lvlJc w:val="left"/>
      <w:lvlText w:val="%1:"/>
      <w:numFmt w:val="upperLetter"/>
      <w:start w:val="1"/>
    </w:lvl>
  </w:abstractNum>
  <w:abstractNum w:abstractNumId="22">
    <w:nsid w:val="7A6D8D3C"/>
    <w:multiLevelType w:val="hybridMultilevel"/>
    <w:lvl w:ilvl="0">
      <w:lvlJc w:val="left"/>
      <w:lvlText w:val="%1:"/>
      <w:numFmt w:val="upperLetter"/>
      <w:start w:val="17"/>
    </w:lvl>
  </w:abstractNum>
  <w:abstractNum w:abstractNumId="23">
    <w:nsid w:val="4B588F54"/>
    <w:multiLevelType w:val="hybridMultilevel"/>
    <w:lvl w:ilvl="0">
      <w:lvlJc w:val="left"/>
      <w:lvlText w:val="%1:"/>
      <w:numFmt w:val="upperLetter"/>
      <w:start w:val="1"/>
    </w:lvl>
  </w:abstractNum>
  <w:abstractNum w:abstractNumId="24">
    <w:nsid w:val="542289EC"/>
    <w:multiLevelType w:val="hybridMultilevel"/>
    <w:lvl w:ilvl="0">
      <w:lvlJc w:val="left"/>
      <w:lvlText w:val="%1:"/>
      <w:numFmt w:val="upperLetter"/>
      <w:start w:val="17"/>
    </w:lvl>
  </w:abstractNum>
  <w:abstractNum w:abstractNumId="25">
    <w:nsid w:val="6DE91B18"/>
    <w:multiLevelType w:val="hybridMultilevel"/>
    <w:lvl w:ilvl="0">
      <w:lvlJc w:val="left"/>
      <w:lvlText w:val="%1:"/>
      <w:numFmt w:val="upperLetter"/>
      <w:start w:val="1"/>
    </w:lvl>
  </w:abstractNum>
  <w:abstractNum w:abstractNumId="26">
    <w:nsid w:val="38437FDB"/>
    <w:multiLevelType w:val="hybridMultilevel"/>
    <w:lvl w:ilvl="0">
      <w:lvlJc w:val="left"/>
      <w:lvlText w:val="%1:"/>
      <w:numFmt w:val="upperLetter"/>
      <w:start w:val="17"/>
    </w:lvl>
  </w:abstractNum>
  <w:abstractNum w:abstractNumId="27">
    <w:nsid w:val="7644A45C"/>
    <w:multiLevelType w:val="hybridMultilevel"/>
    <w:lvl w:ilvl="0">
      <w:lvlJc w:val="left"/>
      <w:lvlText w:val="%1:"/>
      <w:numFmt w:val="upperLetter"/>
      <w:start w:val="1"/>
    </w:lvl>
  </w:abstractNum>
  <w:abstractNum w:abstractNumId="28">
    <w:nsid w:val="32FFF902"/>
    <w:multiLevelType w:val="hybridMultilevel"/>
    <w:lvl w:ilvl="0">
      <w:lvlJc w:val="left"/>
      <w:lvlText w:val="%1:"/>
      <w:numFmt w:val="upperLetter"/>
      <w:start w:val="17"/>
    </w:lvl>
  </w:abstractNum>
  <w:abstractNum w:abstractNumId="29">
    <w:nsid w:val="684A481A"/>
    <w:multiLevelType w:val="hybridMultilevel"/>
    <w:lvl w:ilvl="0">
      <w:lvlJc w:val="left"/>
      <w:lvlText w:val="%1:"/>
      <w:numFmt w:val="upperLetter"/>
      <w:start w:val="1"/>
    </w:lvl>
  </w:abstractNum>
  <w:abstractNum w:abstractNumId="30">
    <w:nsid w:val="579478FE"/>
    <w:multiLevelType w:val="hybridMultilevel"/>
    <w:lvl w:ilvl="0">
      <w:lvlJc w:val="left"/>
      <w:lvlText w:val="%1:"/>
      <w:numFmt w:val="upperLetter"/>
      <w:start w:val="17"/>
    </w:lvl>
  </w:abstractNum>
  <w:abstractNum w:abstractNumId="31">
    <w:nsid w:val="749ABB43"/>
    <w:multiLevelType w:val="hybridMultilevel"/>
    <w:lvl w:ilvl="0">
      <w:lvlJc w:val="left"/>
      <w:lvlText w:val="%1:"/>
      <w:numFmt w:val="upperLetter"/>
      <w:start w:val="1"/>
    </w:lvl>
  </w:abstractNum>
  <w:abstractNum w:abstractNumId="32">
    <w:nsid w:val="3DC240FB"/>
    <w:multiLevelType w:val="hybridMultilevel"/>
    <w:lvl w:ilvl="0">
      <w:lvlJc w:val="left"/>
      <w:lvlText w:val="&amp;"/>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8"/>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Roman"/>
      <w:start w:val="1"/>
    </w:lvl>
  </w:abstractNum>
  <w:abstractNum w:abstractNumId="42">
    <w:nsid w:val="649BB77C"/>
    <w:multiLevelType w:val="hybridMultilevel"/>
    <w:lvl w:ilvl="0">
      <w:lvlJc w:val="left"/>
      <w:lvlText w:val="(%1)"/>
      <w:numFmt w:val="lowerLetter"/>
      <w:start w:val="2"/>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3"/>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bullet"/>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1."/>
      <w:numFmt w:val="decimal"/>
      <w:start w:val="3"/>
    </w:lvl>
    <w:lvl w:ilvl="1">
      <w:lvlJc w:val="left"/>
      <w:lvlText w:val="(%2)"/>
      <w:numFmt w:val="lowerLetter"/>
      <w:start w:val="1"/>
    </w:lvl>
  </w:abstractNum>
  <w:abstractNum w:abstractNumId="50">
    <w:nsid w:val="15B5AF5C"/>
    <w:multiLevelType w:val="hybridMultilevel"/>
    <w:lvl w:ilvl="0">
      <w:lvlJc w:val="left"/>
      <w:lvlText w:val="%1."/>
      <w:numFmt w:val="decimal"/>
      <w:start w:val="5"/>
    </w:lvl>
    <w:lvl w:ilvl="1">
      <w:lvlJc w:val="left"/>
      <w:lvlText w:val="(%2)"/>
      <w:numFmt w:val="lowerLetter"/>
      <w:start w:val="1"/>
    </w:lvl>
  </w:abstractNum>
  <w:abstractNum w:abstractNumId="51">
    <w:nsid w:val="741226BB"/>
    <w:multiLevelType w:val="hybridMultilevel"/>
    <w:lvl w:ilvl="0">
      <w:lvlJc w:val="left"/>
      <w:lvlText w:val="(%1)"/>
      <w:numFmt w:val="lowerLetter"/>
      <w:start w:val="2"/>
    </w:lvl>
  </w:abstractNum>
  <w:abstractNum w:abstractNumId="52">
    <w:nsid w:val="D34B6A8"/>
    <w:multiLevelType w:val="hybridMultilevel"/>
    <w:lvl w:ilvl="0">
      <w:lvlJc w:val="left"/>
      <w:lvlText w:val="%1"/>
      <w:numFmt w:val="decimal"/>
      <w:start w:val="1"/>
    </w:lvl>
    <w:lvl w:ilvl="1">
      <w:lvlJc w:val="left"/>
      <w:lvlText w:val="(%2)"/>
      <w:numFmt w:val="lowerLetter"/>
      <w:start w:val="4"/>
    </w:lvl>
  </w:abstractNum>
  <w:abstractNum w:abstractNumId="53">
    <w:nsid w:val="10233C99"/>
    <w:multiLevelType w:val="hybridMultilevel"/>
    <w:lvl w:ilvl="0">
      <w:lvlJc w:val="left"/>
      <w:lvlText w:val="%1."/>
      <w:numFmt w:val="decimal"/>
      <w:start w:val="6"/>
    </w:lvl>
    <w:lvl w:ilvl="1">
      <w:lvlJc w:val="left"/>
      <w:lvlText w:val="%2"/>
      <w:numFmt w:val="lowerLetter"/>
      <w:start w:val="1"/>
    </w:lvl>
  </w:abstractNum>
  <w:abstractNum w:abstractNumId="54">
    <w:nsid w:val="3F6AB60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3"/>
    </w:lvl>
    <w:lvl w:ilvl="1">
      <w:lvlJc w:val="left"/>
      <w:lvlText w:val="(%2)"/>
      <w:numFmt w:val="lowerRoman"/>
      <w:start w:val="1"/>
    </w:lvl>
  </w:abstractNum>
  <w:abstractNum w:abstractNumId="58">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9">
    <w:nsid w:val="310C50B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0">
    <w:nsid w:val="5FF87E0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1">
    <w:nsid w:val="2F305DE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2">
    <w:nsid w:val="25A70BF7"/>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63">
    <w:nsid w:val="1DBABF00"/>
    <w:multiLevelType w:val="hybridMultilevel"/>
    <w:lvl w:ilvl="0">
      <w:lvlJc w:val="left"/>
      <w:lvlText w:val="%1."/>
      <w:numFmt w:val="decimal"/>
      <w:start w:val="10"/>
    </w:lvl>
    <w:lvl w:ilvl="1">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B"/>
      <w:numFmt w:val="bullet"/>
      <w:start w:val="1"/>
    </w:lvl>
  </w:abstractNum>
  <w:abstractNum w:abstractNumId="66">
    <w:nsid w:val="1381823A"/>
    <w:multiLevelType w:val="hybridMultilevel"/>
    <w:lvl w:ilvl="0">
      <w:lvlJc w:val="left"/>
      <w:lvlText w:val="C"/>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2019-12-13T08:07:40Z</dcterms:created>
  <dcterms:modified xsi:type="dcterms:W3CDTF">2019-12-13T08:07:40Z</dcterms:modified>
</cp:coreProperties>
</file>