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3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412750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120650</wp:posOffset>
            </wp:positionV>
            <wp:extent cx="219964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99640" cy="34290"/>
                    </a:xfrm>
                    <a:prstGeom prst="rect">
                      <a:avLst/>
                    </a:prstGeom>
                    <a:noFill/>
                  </pic:spPr>
                </pic:pic>
              </a:graphicData>
            </a:graphic>
          </wp:anchor>
        </w:drawing>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FORM 10-K</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ANNUAL REPORT PURSUANT TO SECTION 13 OR 15(d) OF THE SECURITIES EXCHANGE ACT OF 1934</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FOR THE FISCAL YEAR ENDED DECEMBER 28, 2003</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Commission file number 1-6714</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The Washington Post Company</w:t>
      </w:r>
    </w:p>
    <w:p>
      <w:pPr>
        <w:spacing w:after="0" w:line="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0"/>
          <w:szCs w:val="20"/>
          <w:color w:val="auto"/>
        </w:rPr>
      </w:pPr>
    </w:p>
    <w:p>
      <w:pPr>
        <w:spacing w:after="0" w:line="248" w:lineRule="exact"/>
        <w:rPr>
          <w:sz w:val="20"/>
          <w:szCs w:val="20"/>
          <w:color w:val="auto"/>
        </w:rPr>
      </w:pPr>
    </w:p>
    <w:tbl>
      <w:tblPr>
        <w:tblLayout w:type="fixed"/>
        <w:tblInd w:w="1920" w:type="dxa"/>
        <w:tblCellMar>
          <w:top w:w="0" w:type="dxa"/>
          <w:left w:w="0" w:type="dxa"/>
          <w:bottom w:w="0" w:type="dxa"/>
          <w:right w:w="0" w:type="dxa"/>
        </w:tblCellMar>
      </w:tblPr>
      <w:tr>
        <w:trPr>
          <w:trHeight w:val="222"/>
        </w:trPr>
        <w:tc>
          <w:tcPr>
            <w:tcW w:w="4040" w:type="dxa"/>
            <w:vAlign w:val="bottom"/>
          </w:tcPr>
          <w:p>
            <w:pPr>
              <w:jc w:val="center"/>
              <w:ind w:right="732"/>
              <w:spacing w:after="0"/>
              <w:rPr>
                <w:sz w:val="20"/>
                <w:szCs w:val="20"/>
                <w:color w:val="auto"/>
              </w:rPr>
            </w:pPr>
            <w:r>
              <w:rPr>
                <w:rFonts w:ascii="Arial" w:cs="Arial" w:eastAsia="Arial" w:hAnsi="Arial"/>
                <w:sz w:val="18"/>
                <w:szCs w:val="18"/>
                <w:b w:val="1"/>
                <w:bCs w:val="1"/>
                <w:color w:val="auto"/>
                <w:w w:val="88"/>
              </w:rPr>
              <w:t>Delaware</w:t>
            </w:r>
          </w:p>
        </w:tc>
        <w:tc>
          <w:tcPr>
            <w:tcW w:w="3360" w:type="dxa"/>
            <w:vAlign w:val="bottom"/>
          </w:tcPr>
          <w:p>
            <w:pPr>
              <w:jc w:val="right"/>
              <w:ind w:right="772"/>
              <w:spacing w:after="0"/>
              <w:rPr>
                <w:sz w:val="20"/>
                <w:szCs w:val="20"/>
                <w:color w:val="auto"/>
              </w:rPr>
            </w:pPr>
            <w:r>
              <w:rPr>
                <w:rFonts w:ascii="Arial" w:cs="Arial" w:eastAsia="Arial" w:hAnsi="Arial"/>
                <w:sz w:val="18"/>
                <w:szCs w:val="18"/>
                <w:b w:val="1"/>
                <w:bCs w:val="1"/>
                <w:color w:val="auto"/>
              </w:rPr>
              <w:t>53-0182885</w:t>
            </w:r>
          </w:p>
        </w:tc>
      </w:tr>
      <w:tr>
        <w:trPr>
          <w:trHeight w:val="216"/>
        </w:trPr>
        <w:tc>
          <w:tcPr>
            <w:tcW w:w="4040" w:type="dxa"/>
            <w:vAlign w:val="bottom"/>
          </w:tcPr>
          <w:p>
            <w:pPr>
              <w:jc w:val="center"/>
              <w:ind w:right="732"/>
              <w:spacing w:after="0"/>
              <w:rPr>
                <w:sz w:val="20"/>
                <w:szCs w:val="20"/>
                <w:color w:val="auto"/>
              </w:rPr>
            </w:pPr>
            <w:r>
              <w:rPr>
                <w:rFonts w:ascii="Arial" w:cs="Arial" w:eastAsia="Arial" w:hAnsi="Arial"/>
                <w:sz w:val="18"/>
                <w:szCs w:val="18"/>
                <w:color w:val="auto"/>
                <w:w w:val="90"/>
              </w:rPr>
              <w:t>(State or other jurisdiction of incorporation or</w:t>
            </w:r>
          </w:p>
        </w:tc>
        <w:tc>
          <w:tcPr>
            <w:tcW w:w="3360" w:type="dxa"/>
            <w:vAlign w:val="bottom"/>
          </w:tcPr>
          <w:p>
            <w:pPr>
              <w:jc w:val="center"/>
              <w:ind w:left="712"/>
              <w:spacing w:after="0"/>
              <w:rPr>
                <w:sz w:val="20"/>
                <w:szCs w:val="20"/>
                <w:color w:val="auto"/>
              </w:rPr>
            </w:pPr>
            <w:r>
              <w:rPr>
                <w:rFonts w:ascii="Arial" w:cs="Arial" w:eastAsia="Arial" w:hAnsi="Arial"/>
                <w:sz w:val="18"/>
                <w:szCs w:val="18"/>
                <w:color w:val="auto"/>
                <w:w w:val="92"/>
              </w:rPr>
              <w:t>(I.R.S. Employer Identification No.)</w:t>
            </w:r>
          </w:p>
        </w:tc>
      </w:tr>
      <w:tr>
        <w:trPr>
          <w:trHeight w:val="222"/>
        </w:trPr>
        <w:tc>
          <w:tcPr>
            <w:tcW w:w="4040" w:type="dxa"/>
            <w:vAlign w:val="bottom"/>
          </w:tcPr>
          <w:p>
            <w:pPr>
              <w:jc w:val="center"/>
              <w:ind w:right="732"/>
              <w:spacing w:after="0"/>
              <w:rPr>
                <w:sz w:val="20"/>
                <w:szCs w:val="20"/>
                <w:color w:val="auto"/>
              </w:rPr>
            </w:pPr>
            <w:r>
              <w:rPr>
                <w:rFonts w:ascii="Arial" w:cs="Arial" w:eastAsia="Arial" w:hAnsi="Arial"/>
                <w:sz w:val="18"/>
                <w:szCs w:val="18"/>
                <w:color w:val="auto"/>
                <w:w w:val="90"/>
              </w:rPr>
              <w:t>organization)</w:t>
            </w:r>
          </w:p>
        </w:tc>
        <w:tc>
          <w:tcPr>
            <w:tcW w:w="3360" w:type="dxa"/>
            <w:vAlign w:val="bottom"/>
          </w:tcPr>
          <w:p>
            <w:pPr>
              <w:spacing w:after="0"/>
              <w:rPr>
                <w:sz w:val="19"/>
                <w:szCs w:val="19"/>
                <w:color w:val="auto"/>
              </w:rPr>
            </w:pPr>
          </w:p>
        </w:tc>
      </w:tr>
      <w:tr>
        <w:trPr>
          <w:trHeight w:val="426"/>
        </w:trPr>
        <w:tc>
          <w:tcPr>
            <w:tcW w:w="4040" w:type="dxa"/>
            <w:vAlign w:val="bottom"/>
          </w:tcPr>
          <w:p>
            <w:pPr>
              <w:jc w:val="center"/>
              <w:ind w:right="752"/>
              <w:spacing w:after="0"/>
              <w:rPr>
                <w:sz w:val="20"/>
                <w:szCs w:val="20"/>
                <w:color w:val="auto"/>
              </w:rPr>
            </w:pPr>
            <w:r>
              <w:rPr>
                <w:rFonts w:ascii="Arial" w:cs="Arial" w:eastAsia="Arial" w:hAnsi="Arial"/>
                <w:sz w:val="18"/>
                <w:szCs w:val="18"/>
                <w:b w:val="1"/>
                <w:bCs w:val="1"/>
                <w:color w:val="auto"/>
                <w:w w:val="88"/>
              </w:rPr>
              <w:t>1150 15th St., N.W., Washington, D.C.</w:t>
            </w:r>
          </w:p>
        </w:tc>
        <w:tc>
          <w:tcPr>
            <w:tcW w:w="3360" w:type="dxa"/>
            <w:vAlign w:val="bottom"/>
          </w:tcPr>
          <w:p>
            <w:pPr>
              <w:jc w:val="right"/>
              <w:ind w:right="972"/>
              <w:spacing w:after="0"/>
              <w:rPr>
                <w:sz w:val="20"/>
                <w:szCs w:val="20"/>
                <w:color w:val="auto"/>
              </w:rPr>
            </w:pPr>
            <w:r>
              <w:rPr>
                <w:rFonts w:ascii="Arial" w:cs="Arial" w:eastAsia="Arial" w:hAnsi="Arial"/>
                <w:sz w:val="18"/>
                <w:szCs w:val="18"/>
                <w:b w:val="1"/>
                <w:bCs w:val="1"/>
                <w:color w:val="auto"/>
              </w:rPr>
              <w:t>20071</w:t>
            </w:r>
          </w:p>
        </w:tc>
      </w:tr>
      <w:tr>
        <w:trPr>
          <w:trHeight w:val="222"/>
        </w:trPr>
        <w:tc>
          <w:tcPr>
            <w:tcW w:w="4040" w:type="dxa"/>
            <w:vAlign w:val="bottom"/>
          </w:tcPr>
          <w:p>
            <w:pPr>
              <w:jc w:val="center"/>
              <w:ind w:right="732"/>
              <w:spacing w:after="0"/>
              <w:rPr>
                <w:sz w:val="20"/>
                <w:szCs w:val="20"/>
                <w:color w:val="auto"/>
              </w:rPr>
            </w:pPr>
            <w:r>
              <w:rPr>
                <w:rFonts w:ascii="Arial" w:cs="Arial" w:eastAsia="Arial" w:hAnsi="Arial"/>
                <w:sz w:val="18"/>
                <w:szCs w:val="18"/>
                <w:color w:val="auto"/>
                <w:w w:val="90"/>
              </w:rPr>
              <w:t>(Address of principal executive offices)</w:t>
            </w:r>
          </w:p>
        </w:tc>
        <w:tc>
          <w:tcPr>
            <w:tcW w:w="3360" w:type="dxa"/>
            <w:vAlign w:val="bottom"/>
          </w:tcPr>
          <w:p>
            <w:pPr>
              <w:jc w:val="center"/>
              <w:ind w:left="732"/>
              <w:spacing w:after="0"/>
              <w:rPr>
                <w:sz w:val="20"/>
                <w:szCs w:val="20"/>
                <w:color w:val="auto"/>
              </w:rPr>
            </w:pPr>
            <w:r>
              <w:rPr>
                <w:rFonts w:ascii="Arial" w:cs="Arial" w:eastAsia="Arial" w:hAnsi="Arial"/>
                <w:sz w:val="18"/>
                <w:szCs w:val="18"/>
                <w:color w:val="auto"/>
                <w:w w:val="91"/>
              </w:rPr>
              <w:t>(Zip Code)</w:t>
            </w:r>
          </w:p>
        </w:tc>
      </w:tr>
    </w:tbl>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 (202) 334-6000</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0" w:lineRule="exact"/>
        <w:rPr>
          <w:sz w:val="20"/>
          <w:szCs w:val="20"/>
          <w:color w:val="auto"/>
        </w:rPr>
      </w:pPr>
    </w:p>
    <w:p>
      <w:pPr>
        <w:spacing w:after="0" w:line="274"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Name of each exchange</w:t>
            </w:r>
          </w:p>
        </w:tc>
      </w:tr>
      <w:tr>
        <w:trPr>
          <w:trHeight w:val="222"/>
        </w:trPr>
        <w:tc>
          <w:tcPr>
            <w:tcW w:w="540" w:type="dxa"/>
            <w:vAlign w:val="bottom"/>
          </w:tcPr>
          <w:p>
            <w:pPr>
              <w:spacing w:after="0"/>
              <w:rPr>
                <w:sz w:val="19"/>
                <w:szCs w:val="19"/>
                <w:color w:val="auto"/>
              </w:rPr>
            </w:pPr>
          </w:p>
        </w:tc>
        <w:tc>
          <w:tcPr>
            <w:tcW w:w="3320" w:type="dxa"/>
            <w:vAlign w:val="bottom"/>
            <w:gridSpan w:val="2"/>
          </w:tcPr>
          <w:p>
            <w:pPr>
              <w:jc w:val="center"/>
              <w:ind w:right="1780"/>
              <w:spacing w:after="0"/>
              <w:rPr>
                <w:sz w:val="20"/>
                <w:szCs w:val="20"/>
                <w:color w:val="auto"/>
              </w:rPr>
            </w:pPr>
            <w:r>
              <w:rPr>
                <w:rFonts w:ascii="Arial" w:cs="Arial" w:eastAsia="Arial" w:hAnsi="Arial"/>
                <w:sz w:val="18"/>
                <w:szCs w:val="18"/>
                <w:color w:val="auto"/>
                <w:w w:val="87"/>
              </w:rPr>
              <w:t>Title of each class</w:t>
            </w:r>
          </w:p>
        </w:tc>
        <w:tc>
          <w:tcPr>
            <w:tcW w:w="1420" w:type="dxa"/>
            <w:vAlign w:val="bottom"/>
          </w:tcPr>
          <w:p>
            <w:pPr>
              <w:spacing w:after="0"/>
              <w:rPr>
                <w:sz w:val="19"/>
                <w:szCs w:val="19"/>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on which registered</w:t>
            </w:r>
          </w:p>
        </w:tc>
      </w:tr>
      <w:tr>
        <w:trPr>
          <w:trHeight w:val="110"/>
        </w:trPr>
        <w:tc>
          <w:tcPr>
            <w:tcW w:w="540" w:type="dxa"/>
            <w:vAlign w:val="bottom"/>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17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140" w:type="dxa"/>
            <w:vAlign w:val="bottom"/>
          </w:tcPr>
          <w:p>
            <w:pPr>
              <w:spacing w:after="0"/>
              <w:rPr>
                <w:sz w:val="9"/>
                <w:szCs w:val="9"/>
                <w:color w:val="auto"/>
              </w:rPr>
            </w:pPr>
          </w:p>
        </w:tc>
      </w:tr>
      <w:tr>
        <w:trPr>
          <w:trHeight w:val="317"/>
        </w:trPr>
        <w:tc>
          <w:tcPr>
            <w:tcW w:w="3860" w:type="dxa"/>
            <w:vAlign w:val="bottom"/>
            <w:gridSpan w:val="3"/>
          </w:tcPr>
          <w:p>
            <w:pPr>
              <w:jc w:val="center"/>
              <w:ind w:right="1260"/>
              <w:spacing w:after="0"/>
              <w:rPr>
                <w:sz w:val="20"/>
                <w:szCs w:val="20"/>
                <w:color w:val="auto"/>
              </w:rPr>
            </w:pPr>
            <w:r>
              <w:rPr>
                <w:rFonts w:ascii="Arial" w:cs="Arial" w:eastAsia="Arial" w:hAnsi="Arial"/>
                <w:sz w:val="18"/>
                <w:szCs w:val="18"/>
                <w:b w:val="1"/>
                <w:bCs w:val="1"/>
                <w:color w:val="auto"/>
                <w:w w:val="88"/>
              </w:rPr>
              <w:t>Class B Common Stock, Par Value</w:t>
            </w:r>
          </w:p>
        </w:tc>
        <w:tc>
          <w:tcPr>
            <w:tcW w:w="3260" w:type="dxa"/>
            <w:vAlign w:val="bottom"/>
            <w:gridSpan w:val="3"/>
          </w:tcPr>
          <w:p>
            <w:pPr>
              <w:jc w:val="center"/>
              <w:ind w:left="1192"/>
              <w:spacing w:after="0"/>
              <w:rPr>
                <w:sz w:val="20"/>
                <w:szCs w:val="20"/>
                <w:color w:val="auto"/>
              </w:rPr>
            </w:pPr>
            <w:r>
              <w:rPr>
                <w:rFonts w:ascii="Arial" w:cs="Arial" w:eastAsia="Arial" w:hAnsi="Arial"/>
                <w:sz w:val="18"/>
                <w:szCs w:val="18"/>
                <w:b w:val="1"/>
                <w:bCs w:val="1"/>
                <w:color w:val="auto"/>
                <w:w w:val="87"/>
              </w:rPr>
              <w:t>New York Stock Exchange</w:t>
            </w:r>
          </w:p>
        </w:tc>
      </w:tr>
      <w:tr>
        <w:trPr>
          <w:trHeight w:val="228"/>
        </w:trPr>
        <w:tc>
          <w:tcPr>
            <w:tcW w:w="540" w:type="dxa"/>
            <w:vAlign w:val="bottom"/>
          </w:tcPr>
          <w:p>
            <w:pPr>
              <w:spacing w:after="0"/>
              <w:rPr>
                <w:sz w:val="19"/>
                <w:szCs w:val="19"/>
                <w:color w:val="auto"/>
              </w:rPr>
            </w:pPr>
          </w:p>
        </w:tc>
        <w:tc>
          <w:tcPr>
            <w:tcW w:w="3320" w:type="dxa"/>
            <w:vAlign w:val="bottom"/>
            <w:gridSpan w:val="2"/>
          </w:tcPr>
          <w:p>
            <w:pPr>
              <w:jc w:val="center"/>
              <w:ind w:right="1780"/>
              <w:spacing w:after="0"/>
              <w:rPr>
                <w:sz w:val="20"/>
                <w:szCs w:val="20"/>
                <w:color w:val="auto"/>
              </w:rPr>
            </w:pPr>
            <w:r>
              <w:rPr>
                <w:rFonts w:ascii="Arial" w:cs="Arial" w:eastAsia="Arial" w:hAnsi="Arial"/>
                <w:sz w:val="18"/>
                <w:szCs w:val="18"/>
                <w:b w:val="1"/>
                <w:bCs w:val="1"/>
                <w:color w:val="auto"/>
                <w:w w:val="87"/>
              </w:rPr>
              <w:t>$1.00 Per Share</w:t>
            </w:r>
          </w:p>
        </w:tc>
        <w:tc>
          <w:tcPr>
            <w:tcW w:w="14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2565400</wp:posOffset>
            </wp:positionH>
            <wp:positionV relativeFrom="paragraph">
              <wp:posOffset>-370840</wp:posOffset>
            </wp:positionV>
            <wp:extent cx="3429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5678170</wp:posOffset>
            </wp:positionH>
            <wp:positionV relativeFrom="paragraph">
              <wp:posOffset>-370840</wp:posOffset>
            </wp:positionV>
            <wp:extent cx="3429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90" w:lineRule="exact"/>
        <w:rPr>
          <w:sz w:val="20"/>
          <w:szCs w:val="20"/>
          <w:color w:val="auto"/>
        </w:rPr>
      </w:pPr>
    </w:p>
    <w:p>
      <w:pPr>
        <w:jc w:val="both"/>
        <w:ind w:right="4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(the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6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an accelerated filer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Aggregate market value of the Company’s common stock held by non-affiliates on June 29, 2003, based on the closing price for the Company’s Class B Common Stock on the New York Stock Exchange on such date: approximately $3,984,000,000.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Shares of common stock outstanding at February 27, 2004:</w:t>
      </w:r>
    </w:p>
    <w:p>
      <w:pPr>
        <w:spacing w:after="0" w:line="225"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Class A Common Stock – 1,722,250 shares</w:t>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Class B Common Stock – 7,832,774 shares</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Documents partially incorporated by reference:</w:t>
      </w:r>
    </w:p>
    <w:p>
      <w:pPr>
        <w:spacing w:after="0" w:line="231" w:lineRule="exact"/>
        <w:rPr>
          <w:sz w:val="20"/>
          <w:szCs w:val="20"/>
          <w:color w:val="auto"/>
        </w:rPr>
      </w:pPr>
    </w:p>
    <w:p>
      <w:pPr>
        <w:jc w:val="both"/>
        <w:ind w:left="2720" w:right="2680" w:hanging="12"/>
        <w:spacing w:after="0" w:line="332" w:lineRule="auto"/>
        <w:rPr>
          <w:sz w:val="20"/>
          <w:szCs w:val="20"/>
          <w:color w:val="auto"/>
        </w:rPr>
      </w:pPr>
      <w:r>
        <w:rPr>
          <w:rFonts w:ascii="Arial" w:cs="Arial" w:eastAsia="Arial" w:hAnsi="Arial"/>
          <w:sz w:val="16"/>
          <w:szCs w:val="16"/>
          <w:color w:val="auto"/>
        </w:rPr>
        <w:t>Definitive Proxy Statement for the Company’s 2004 Annual Meeting of Stockholders (incorporated in Part III to the extent provided in Items 10, 11, 12, 13 and 14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168910</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340360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24"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17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360" w:type="dxa"/>
            <w:vAlign w:val="bottom"/>
          </w:tcPr>
          <w:p>
            <w:pPr>
              <w:jc w:val="center"/>
              <w:ind w:right="472"/>
              <w:spacing w:after="0"/>
              <w:rPr>
                <w:sz w:val="20"/>
                <w:szCs w:val="20"/>
                <w:color w:val="auto"/>
              </w:rPr>
            </w:pPr>
            <w:r>
              <w:rPr>
                <w:rFonts w:ascii="Arial" w:cs="Arial" w:eastAsia="Arial" w:hAnsi="Arial"/>
                <w:sz w:val="18"/>
                <w:szCs w:val="18"/>
                <w:b w:val="1"/>
                <w:bCs w:val="1"/>
                <w:color w:val="auto"/>
                <w:w w:val="96"/>
              </w:rPr>
              <w:t>THE WASHINGTON POST COMPANY 2003 FORM 10-K</w:t>
            </w: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648"/>
        </w:trPr>
        <w:tc>
          <w:tcPr>
            <w:tcW w:w="1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360" w:type="dxa"/>
            <w:vAlign w:val="bottom"/>
          </w:tcPr>
          <w:p>
            <w:pPr>
              <w:ind w:left="2820"/>
              <w:spacing w:after="0"/>
              <w:rPr>
                <w:sz w:val="20"/>
                <w:szCs w:val="20"/>
                <w:color w:val="auto"/>
              </w:rPr>
            </w:pPr>
            <w:r>
              <w:rPr>
                <w:rFonts w:ascii="Arial" w:cs="Arial" w:eastAsia="Arial" w:hAnsi="Arial"/>
                <w:sz w:val="18"/>
                <w:szCs w:val="18"/>
                <w:color w:val="auto"/>
              </w:rPr>
              <w:t>PART I</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97"/>
              </w:rPr>
              <w:t>Page</w:t>
            </w:r>
          </w:p>
        </w:tc>
        <w:tc>
          <w:tcPr>
            <w:tcW w:w="1720" w:type="dxa"/>
            <w:vAlign w:val="bottom"/>
          </w:tcPr>
          <w:p>
            <w:pPr>
              <w:spacing w:after="0"/>
              <w:rPr>
                <w:sz w:val="24"/>
                <w:szCs w:val="24"/>
                <w:color w:val="auto"/>
              </w:rPr>
            </w:pPr>
          </w:p>
        </w:tc>
      </w:tr>
      <w:tr>
        <w:trPr>
          <w:trHeight w:val="110"/>
        </w:trPr>
        <w:tc>
          <w:tcPr>
            <w:tcW w:w="2820" w:type="dxa"/>
            <w:vAlign w:val="bottom"/>
            <w:gridSpan w:val="2"/>
          </w:tcPr>
          <w:p>
            <w:pPr>
              <w:spacing w:after="0"/>
              <w:rPr>
                <w:sz w:val="9"/>
                <w:szCs w:val="9"/>
                <w:color w:val="auto"/>
              </w:rPr>
            </w:pPr>
          </w:p>
        </w:tc>
        <w:tc>
          <w:tcPr>
            <w:tcW w:w="636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720" w:type="dxa"/>
            <w:vAlign w:val="bottom"/>
          </w:tcPr>
          <w:p>
            <w:pPr>
              <w:spacing w:after="0"/>
              <w:rPr>
                <w:sz w:val="9"/>
                <w:szCs w:val="9"/>
                <w:color w:val="auto"/>
              </w:rPr>
            </w:pPr>
          </w:p>
        </w:tc>
      </w:tr>
      <w:tr>
        <w:trPr>
          <w:trHeight w:val="317"/>
        </w:trPr>
        <w:tc>
          <w:tcPr>
            <w:tcW w:w="2820" w:type="dxa"/>
            <w:vAlign w:val="bottom"/>
            <w:gridSpan w:val="2"/>
          </w:tcPr>
          <w:p>
            <w:pPr>
              <w:ind w:left="1720"/>
              <w:spacing w:after="0"/>
              <w:rPr>
                <w:sz w:val="20"/>
                <w:szCs w:val="20"/>
                <w:color w:val="auto"/>
              </w:rPr>
            </w:pPr>
            <w:r>
              <w:rPr>
                <w:rFonts w:ascii="Arial" w:cs="Arial" w:eastAsia="Arial" w:hAnsi="Arial"/>
                <w:sz w:val="18"/>
                <w:szCs w:val="18"/>
                <w:color w:val="auto"/>
              </w:rPr>
              <w:t>Item 1.</w:t>
            </w:r>
          </w:p>
        </w:tc>
        <w:tc>
          <w:tcPr>
            <w:tcW w:w="6360" w:type="dxa"/>
            <w:vAlign w:val="bottom"/>
          </w:tcPr>
          <w:p>
            <w:pPr>
              <w:ind w:left="40"/>
              <w:spacing w:after="0"/>
              <w:rPr>
                <w:sz w:val="20"/>
                <w:szCs w:val="20"/>
                <w:color w:val="auto"/>
              </w:rPr>
            </w:pPr>
            <w:r>
              <w:rPr>
                <w:rFonts w:ascii="Arial" w:cs="Arial" w:eastAsia="Arial" w:hAnsi="Arial"/>
                <w:sz w:val="18"/>
                <w:szCs w:val="18"/>
                <w:color w:val="auto"/>
              </w:rPr>
              <w:t>Business</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1720" w:type="dxa"/>
            <w:vAlign w:val="bottom"/>
          </w:tcPr>
          <w:p>
            <w:pPr>
              <w:spacing w:after="0"/>
              <w:rPr>
                <w:sz w:val="24"/>
                <w:szCs w:val="24"/>
                <w:color w:val="auto"/>
              </w:rPr>
            </w:pPr>
          </w:p>
        </w:tc>
      </w:tr>
      <w:tr>
        <w:trPr>
          <w:trHeight w:val="217"/>
        </w:trPr>
        <w:tc>
          <w:tcPr>
            <w:tcW w:w="1720" w:type="dxa"/>
            <w:vAlign w:val="bottom"/>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63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Newspaper Publishing</w:t>
            </w:r>
          </w:p>
        </w:tc>
        <w:tc>
          <w:tcPr>
            <w:tcW w:w="52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360" w:type="dxa"/>
            <w:vAlign w:val="bottom"/>
          </w:tcPr>
          <w:p>
            <w:pPr>
              <w:ind w:left="280"/>
              <w:spacing w:after="0"/>
              <w:rPr>
                <w:sz w:val="20"/>
                <w:szCs w:val="20"/>
                <w:color w:val="auto"/>
              </w:rPr>
            </w:pPr>
            <w:r>
              <w:rPr>
                <w:rFonts w:ascii="Arial" w:cs="Arial" w:eastAsia="Arial" w:hAnsi="Arial"/>
                <w:sz w:val="18"/>
                <w:szCs w:val="18"/>
                <w:color w:val="auto"/>
              </w:rPr>
              <w:t>Television Broadcasting</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63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Cable Television Operations</w:t>
            </w:r>
          </w:p>
        </w:tc>
        <w:tc>
          <w:tcPr>
            <w:tcW w:w="52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360" w:type="dxa"/>
            <w:vAlign w:val="bottom"/>
          </w:tcPr>
          <w:p>
            <w:pPr>
              <w:ind w:left="280"/>
              <w:spacing w:after="0"/>
              <w:rPr>
                <w:sz w:val="20"/>
                <w:szCs w:val="20"/>
                <w:color w:val="auto"/>
              </w:rPr>
            </w:pPr>
            <w:r>
              <w:rPr>
                <w:rFonts w:ascii="Arial" w:cs="Arial" w:eastAsia="Arial" w:hAnsi="Arial"/>
                <w:sz w:val="18"/>
                <w:szCs w:val="18"/>
                <w:color w:val="auto"/>
              </w:rPr>
              <w:t>Magazine Publishing</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10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63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Education</w:t>
            </w:r>
          </w:p>
        </w:tc>
        <w:tc>
          <w:tcPr>
            <w:tcW w:w="52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11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360" w:type="dxa"/>
            <w:vAlign w:val="bottom"/>
          </w:tcPr>
          <w:p>
            <w:pPr>
              <w:ind w:left="280"/>
              <w:spacing w:after="0"/>
              <w:rPr>
                <w:sz w:val="20"/>
                <w:szCs w:val="20"/>
                <w:color w:val="auto"/>
              </w:rPr>
            </w:pPr>
            <w:r>
              <w:rPr>
                <w:rFonts w:ascii="Arial" w:cs="Arial" w:eastAsia="Arial" w:hAnsi="Arial"/>
                <w:sz w:val="18"/>
                <w:szCs w:val="18"/>
                <w:color w:val="auto"/>
              </w:rPr>
              <w:t>Other Activities</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14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63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Production and Raw Materials</w:t>
            </w:r>
          </w:p>
        </w:tc>
        <w:tc>
          <w:tcPr>
            <w:tcW w:w="52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14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360" w:type="dxa"/>
            <w:vAlign w:val="bottom"/>
          </w:tcPr>
          <w:p>
            <w:pPr>
              <w:ind w:left="280"/>
              <w:spacing w:after="0"/>
              <w:rPr>
                <w:sz w:val="20"/>
                <w:szCs w:val="20"/>
                <w:color w:val="auto"/>
              </w:rPr>
            </w:pPr>
            <w:r>
              <w:rPr>
                <w:rFonts w:ascii="Arial" w:cs="Arial" w:eastAsia="Arial" w:hAnsi="Arial"/>
                <w:sz w:val="18"/>
                <w:szCs w:val="18"/>
                <w:color w:val="auto"/>
              </w:rPr>
              <w:t>Competition</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15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63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Executive Officers</w:t>
            </w:r>
          </w:p>
        </w:tc>
        <w:tc>
          <w:tcPr>
            <w:tcW w:w="52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17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360" w:type="dxa"/>
            <w:vAlign w:val="bottom"/>
          </w:tcPr>
          <w:p>
            <w:pPr>
              <w:ind w:left="280"/>
              <w:spacing w:after="0"/>
              <w:rPr>
                <w:sz w:val="20"/>
                <w:szCs w:val="20"/>
                <w:color w:val="auto"/>
              </w:rPr>
            </w:pPr>
            <w:r>
              <w:rPr>
                <w:rFonts w:ascii="Arial" w:cs="Arial" w:eastAsia="Arial" w:hAnsi="Arial"/>
                <w:sz w:val="18"/>
                <w:szCs w:val="18"/>
                <w:color w:val="auto"/>
              </w:rPr>
              <w:t>Employees</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18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63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Forward-Looking Statements</w:t>
            </w:r>
          </w:p>
        </w:tc>
        <w:tc>
          <w:tcPr>
            <w:tcW w:w="52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18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360" w:type="dxa"/>
            <w:vAlign w:val="bottom"/>
          </w:tcPr>
          <w:p>
            <w:pPr>
              <w:ind w:left="280"/>
              <w:spacing w:after="0"/>
              <w:rPr>
                <w:sz w:val="20"/>
                <w:szCs w:val="20"/>
                <w:color w:val="auto"/>
              </w:rPr>
            </w:pPr>
            <w:r>
              <w:rPr>
                <w:rFonts w:ascii="Arial" w:cs="Arial" w:eastAsia="Arial" w:hAnsi="Arial"/>
                <w:sz w:val="18"/>
                <w:szCs w:val="18"/>
                <w:color w:val="auto"/>
              </w:rPr>
              <w:t>Available Information</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19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100" w:type="dxa"/>
            <w:vAlign w:val="bottom"/>
            <w:shd w:val="clear" w:color="auto" w:fill="EEEEEE"/>
          </w:tcPr>
          <w:p>
            <w:pPr>
              <w:spacing w:after="0"/>
              <w:rPr>
                <w:sz w:val="20"/>
                <w:szCs w:val="20"/>
                <w:color w:val="auto"/>
              </w:rPr>
            </w:pPr>
            <w:r>
              <w:rPr>
                <w:rFonts w:ascii="Arial" w:cs="Arial" w:eastAsia="Arial" w:hAnsi="Arial"/>
                <w:sz w:val="18"/>
                <w:szCs w:val="18"/>
                <w:color w:val="auto"/>
              </w:rPr>
              <w:t>Item 2.</w:t>
            </w:r>
          </w:p>
        </w:tc>
        <w:tc>
          <w:tcPr>
            <w:tcW w:w="6360" w:type="dxa"/>
            <w:vAlign w:val="bottom"/>
            <w:shd w:val="clear" w:color="auto" w:fill="EEEEEE"/>
          </w:tcPr>
          <w:p>
            <w:pPr>
              <w:ind w:left="40"/>
              <w:spacing w:after="0"/>
              <w:rPr>
                <w:sz w:val="20"/>
                <w:szCs w:val="20"/>
                <w:color w:val="auto"/>
              </w:rPr>
            </w:pPr>
            <w:r>
              <w:rPr>
                <w:rFonts w:ascii="Arial" w:cs="Arial" w:eastAsia="Arial" w:hAnsi="Arial"/>
                <w:sz w:val="18"/>
                <w:szCs w:val="18"/>
                <w:color w:val="auto"/>
              </w:rPr>
              <w:t>Properties</w:t>
            </w:r>
          </w:p>
        </w:tc>
        <w:tc>
          <w:tcPr>
            <w:tcW w:w="52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19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6360" w:type="dxa"/>
            <w:vAlign w:val="bottom"/>
          </w:tcPr>
          <w:p>
            <w:pPr>
              <w:ind w:left="40"/>
              <w:spacing w:after="0"/>
              <w:rPr>
                <w:sz w:val="20"/>
                <w:szCs w:val="20"/>
                <w:color w:val="auto"/>
              </w:rPr>
            </w:pPr>
            <w:r>
              <w:rPr>
                <w:rFonts w:ascii="Arial" w:cs="Arial" w:eastAsia="Arial" w:hAnsi="Arial"/>
                <w:sz w:val="18"/>
                <w:szCs w:val="18"/>
                <w:color w:val="auto"/>
              </w:rPr>
              <w:t>Legal Proceedings</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20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100" w:type="dxa"/>
            <w:vAlign w:val="bottom"/>
            <w:shd w:val="clear" w:color="auto" w:fill="EEEEEE"/>
          </w:tcPr>
          <w:p>
            <w:pPr>
              <w:spacing w:after="0"/>
              <w:rPr>
                <w:sz w:val="20"/>
                <w:szCs w:val="20"/>
                <w:color w:val="auto"/>
              </w:rPr>
            </w:pPr>
            <w:r>
              <w:rPr>
                <w:rFonts w:ascii="Arial" w:cs="Arial" w:eastAsia="Arial" w:hAnsi="Arial"/>
                <w:sz w:val="18"/>
                <w:szCs w:val="18"/>
                <w:color w:val="auto"/>
              </w:rPr>
              <w:t>Item 4.</w:t>
            </w:r>
          </w:p>
        </w:tc>
        <w:tc>
          <w:tcPr>
            <w:tcW w:w="6360" w:type="dxa"/>
            <w:vAlign w:val="bottom"/>
            <w:shd w:val="clear" w:color="auto" w:fill="EEEEEE"/>
          </w:tcPr>
          <w:p>
            <w:pPr>
              <w:ind w:left="40"/>
              <w:spacing w:after="0"/>
              <w:rPr>
                <w:sz w:val="20"/>
                <w:szCs w:val="20"/>
                <w:color w:val="auto"/>
              </w:rPr>
            </w:pPr>
            <w:r>
              <w:rPr>
                <w:rFonts w:ascii="Arial" w:cs="Arial" w:eastAsia="Arial" w:hAnsi="Arial"/>
                <w:sz w:val="18"/>
                <w:szCs w:val="18"/>
                <w:color w:val="auto"/>
              </w:rPr>
              <w:t>Submission of Matters to a Vote of Security Holders</w:t>
            </w:r>
          </w:p>
        </w:tc>
        <w:tc>
          <w:tcPr>
            <w:tcW w:w="52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20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360" w:type="dxa"/>
            <w:vAlign w:val="bottom"/>
          </w:tcPr>
          <w:p>
            <w:pPr>
              <w:jc w:val="center"/>
              <w:ind w:right="492"/>
              <w:spacing w:after="0"/>
              <w:rPr>
                <w:sz w:val="20"/>
                <w:szCs w:val="20"/>
                <w:color w:val="auto"/>
              </w:rPr>
            </w:pPr>
            <w:r>
              <w:rPr>
                <w:rFonts w:ascii="Arial" w:cs="Arial" w:eastAsia="Arial" w:hAnsi="Arial"/>
                <w:sz w:val="18"/>
                <w:szCs w:val="18"/>
                <w:color w:val="auto"/>
                <w:w w:val="91"/>
              </w:rPr>
              <w:t>PART II</w:t>
            </w:r>
          </w:p>
        </w:tc>
        <w:tc>
          <w:tcPr>
            <w:tcW w:w="5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8"/>
        </w:trPr>
        <w:tc>
          <w:tcPr>
            <w:tcW w:w="1720" w:type="dxa"/>
            <w:vAlign w:val="bottom"/>
          </w:tcPr>
          <w:p>
            <w:pPr>
              <w:spacing w:after="0"/>
              <w:rPr>
                <w:sz w:val="18"/>
                <w:szCs w:val="18"/>
                <w:color w:val="auto"/>
              </w:rPr>
            </w:pPr>
          </w:p>
        </w:tc>
        <w:tc>
          <w:tcPr>
            <w:tcW w:w="1100" w:type="dxa"/>
            <w:vAlign w:val="bottom"/>
            <w:shd w:val="clear" w:color="auto" w:fill="EEEEEE"/>
          </w:tcPr>
          <w:p>
            <w:pPr>
              <w:spacing w:after="0"/>
              <w:rPr>
                <w:sz w:val="20"/>
                <w:szCs w:val="20"/>
                <w:color w:val="auto"/>
              </w:rPr>
            </w:pPr>
            <w:r>
              <w:rPr>
                <w:rFonts w:ascii="Arial" w:cs="Arial" w:eastAsia="Arial" w:hAnsi="Arial"/>
                <w:sz w:val="18"/>
                <w:szCs w:val="18"/>
                <w:color w:val="auto"/>
              </w:rPr>
              <w:t>Item 5.</w:t>
            </w:r>
          </w:p>
        </w:tc>
        <w:tc>
          <w:tcPr>
            <w:tcW w:w="6360" w:type="dxa"/>
            <w:vAlign w:val="bottom"/>
            <w:shd w:val="clear" w:color="auto" w:fill="EEEEEE"/>
          </w:tcPr>
          <w:p>
            <w:pPr>
              <w:ind w:left="40"/>
              <w:spacing w:after="0"/>
              <w:rPr>
                <w:sz w:val="20"/>
                <w:szCs w:val="20"/>
                <w:color w:val="auto"/>
              </w:rPr>
            </w:pPr>
            <w:r>
              <w:rPr>
                <w:rFonts w:ascii="Arial" w:cs="Arial" w:eastAsia="Arial" w:hAnsi="Arial"/>
                <w:sz w:val="18"/>
                <w:szCs w:val="18"/>
                <w:color w:val="auto"/>
                <w:w w:val="93"/>
              </w:rPr>
              <w:t>Market for the Registrant’s Common Equity, Related Stockholder Matters and Issuer</w:t>
            </w:r>
          </w:p>
        </w:tc>
        <w:tc>
          <w:tcPr>
            <w:tcW w:w="52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r>
      <w:tr>
        <w:trPr>
          <w:trHeight w:val="224"/>
        </w:trPr>
        <w:tc>
          <w:tcPr>
            <w:tcW w:w="1720" w:type="dxa"/>
            <w:vAlign w:val="bottom"/>
          </w:tcPr>
          <w:p>
            <w:pPr>
              <w:spacing w:after="0"/>
              <w:rPr>
                <w:sz w:val="19"/>
                <w:szCs w:val="19"/>
                <w:color w:val="auto"/>
              </w:rPr>
            </w:pPr>
          </w:p>
        </w:tc>
        <w:tc>
          <w:tcPr>
            <w:tcW w:w="1100" w:type="dxa"/>
            <w:vAlign w:val="bottom"/>
            <w:shd w:val="clear" w:color="auto" w:fill="EEEEEE"/>
          </w:tcPr>
          <w:p>
            <w:pPr>
              <w:spacing w:after="0"/>
              <w:rPr>
                <w:sz w:val="19"/>
                <w:szCs w:val="19"/>
                <w:color w:val="auto"/>
              </w:rPr>
            </w:pPr>
          </w:p>
        </w:tc>
        <w:tc>
          <w:tcPr>
            <w:tcW w:w="6360" w:type="dxa"/>
            <w:vAlign w:val="bottom"/>
            <w:shd w:val="clear" w:color="auto" w:fill="EEEEEE"/>
          </w:tcPr>
          <w:p>
            <w:pPr>
              <w:ind w:left="40"/>
              <w:spacing w:after="0"/>
              <w:rPr>
                <w:sz w:val="20"/>
                <w:szCs w:val="20"/>
                <w:color w:val="auto"/>
              </w:rPr>
            </w:pPr>
            <w:r>
              <w:rPr>
                <w:rFonts w:ascii="Arial" w:cs="Arial" w:eastAsia="Arial" w:hAnsi="Arial"/>
                <w:sz w:val="18"/>
                <w:szCs w:val="18"/>
                <w:color w:val="auto"/>
              </w:rPr>
              <w:t>Purchases of Equity Securities</w:t>
            </w:r>
          </w:p>
        </w:tc>
        <w:tc>
          <w:tcPr>
            <w:tcW w:w="52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21</w:t>
            </w:r>
          </w:p>
        </w:tc>
        <w:tc>
          <w:tcPr>
            <w:tcW w:w="1720" w:type="dxa"/>
            <w:vAlign w:val="bottom"/>
          </w:tcPr>
          <w:p>
            <w:pPr>
              <w:spacing w:after="0"/>
              <w:rPr>
                <w:sz w:val="19"/>
                <w:szCs w:val="19"/>
                <w:color w:val="auto"/>
              </w:rPr>
            </w:pPr>
          </w:p>
        </w:tc>
      </w:tr>
      <w:tr>
        <w:trPr>
          <w:trHeight w:val="216"/>
        </w:trPr>
        <w:tc>
          <w:tcPr>
            <w:tcW w:w="17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Item 6.</w:t>
            </w:r>
          </w:p>
        </w:tc>
        <w:tc>
          <w:tcPr>
            <w:tcW w:w="6360" w:type="dxa"/>
            <w:vAlign w:val="bottom"/>
          </w:tcPr>
          <w:p>
            <w:pPr>
              <w:ind w:left="40"/>
              <w:spacing w:after="0"/>
              <w:rPr>
                <w:sz w:val="20"/>
                <w:szCs w:val="20"/>
                <w:color w:val="auto"/>
              </w:rPr>
            </w:pPr>
            <w:r>
              <w:rPr>
                <w:rFonts w:ascii="Arial" w:cs="Arial" w:eastAsia="Arial" w:hAnsi="Arial"/>
                <w:sz w:val="18"/>
                <w:szCs w:val="18"/>
                <w:color w:val="auto"/>
              </w:rPr>
              <w:t>Selected Financial Data</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21</w:t>
            </w:r>
          </w:p>
        </w:tc>
        <w:tc>
          <w:tcPr>
            <w:tcW w:w="1720" w:type="dxa"/>
            <w:vAlign w:val="bottom"/>
          </w:tcPr>
          <w:p>
            <w:pPr>
              <w:spacing w:after="0"/>
              <w:rPr>
                <w:sz w:val="18"/>
                <w:szCs w:val="18"/>
                <w:color w:val="auto"/>
              </w:rPr>
            </w:pPr>
          </w:p>
        </w:tc>
      </w:tr>
      <w:tr>
        <w:trPr>
          <w:trHeight w:val="208"/>
        </w:trPr>
        <w:tc>
          <w:tcPr>
            <w:tcW w:w="1720" w:type="dxa"/>
            <w:vAlign w:val="bottom"/>
          </w:tcPr>
          <w:p>
            <w:pPr>
              <w:spacing w:after="0"/>
              <w:rPr>
                <w:sz w:val="18"/>
                <w:szCs w:val="18"/>
                <w:color w:val="auto"/>
              </w:rPr>
            </w:pPr>
          </w:p>
        </w:tc>
        <w:tc>
          <w:tcPr>
            <w:tcW w:w="1100" w:type="dxa"/>
            <w:vAlign w:val="bottom"/>
            <w:shd w:val="clear" w:color="auto" w:fill="EEEEEE"/>
          </w:tcPr>
          <w:p>
            <w:pPr>
              <w:spacing w:after="0"/>
              <w:rPr>
                <w:sz w:val="20"/>
                <w:szCs w:val="20"/>
                <w:color w:val="auto"/>
              </w:rPr>
            </w:pPr>
            <w:r>
              <w:rPr>
                <w:rFonts w:ascii="Arial" w:cs="Arial" w:eastAsia="Arial" w:hAnsi="Arial"/>
                <w:sz w:val="18"/>
                <w:szCs w:val="18"/>
                <w:color w:val="auto"/>
              </w:rPr>
              <w:t>Item 7.</w:t>
            </w:r>
          </w:p>
        </w:tc>
        <w:tc>
          <w:tcPr>
            <w:tcW w:w="6360" w:type="dxa"/>
            <w:vAlign w:val="bottom"/>
            <w:shd w:val="clear" w:color="auto" w:fill="EEEEEE"/>
          </w:tcPr>
          <w:p>
            <w:pPr>
              <w:ind w:left="40"/>
              <w:spacing w:after="0"/>
              <w:rPr>
                <w:sz w:val="20"/>
                <w:szCs w:val="20"/>
                <w:color w:val="auto"/>
              </w:rPr>
            </w:pPr>
            <w:r>
              <w:rPr>
                <w:rFonts w:ascii="Arial" w:cs="Arial" w:eastAsia="Arial" w:hAnsi="Arial"/>
                <w:sz w:val="18"/>
                <w:szCs w:val="18"/>
                <w:color w:val="auto"/>
              </w:rPr>
              <w:t>Management’s Discussion and Analysis of Financial Condition and Results of</w:t>
            </w:r>
          </w:p>
        </w:tc>
        <w:tc>
          <w:tcPr>
            <w:tcW w:w="52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r>
      <w:tr>
        <w:trPr>
          <w:trHeight w:val="224"/>
        </w:trPr>
        <w:tc>
          <w:tcPr>
            <w:tcW w:w="1720" w:type="dxa"/>
            <w:vAlign w:val="bottom"/>
          </w:tcPr>
          <w:p>
            <w:pPr>
              <w:spacing w:after="0"/>
              <w:rPr>
                <w:sz w:val="19"/>
                <w:szCs w:val="19"/>
                <w:color w:val="auto"/>
              </w:rPr>
            </w:pPr>
          </w:p>
        </w:tc>
        <w:tc>
          <w:tcPr>
            <w:tcW w:w="1100" w:type="dxa"/>
            <w:vAlign w:val="bottom"/>
            <w:shd w:val="clear" w:color="auto" w:fill="EEEEEE"/>
          </w:tcPr>
          <w:p>
            <w:pPr>
              <w:spacing w:after="0"/>
              <w:rPr>
                <w:sz w:val="19"/>
                <w:szCs w:val="19"/>
                <w:color w:val="auto"/>
              </w:rPr>
            </w:pPr>
          </w:p>
        </w:tc>
        <w:tc>
          <w:tcPr>
            <w:tcW w:w="6360" w:type="dxa"/>
            <w:vAlign w:val="bottom"/>
            <w:shd w:val="clear" w:color="auto" w:fill="EEEEEE"/>
          </w:tcPr>
          <w:p>
            <w:pPr>
              <w:ind w:left="40"/>
              <w:spacing w:after="0"/>
              <w:rPr>
                <w:sz w:val="20"/>
                <w:szCs w:val="20"/>
                <w:color w:val="auto"/>
              </w:rPr>
            </w:pPr>
            <w:r>
              <w:rPr>
                <w:rFonts w:ascii="Arial" w:cs="Arial" w:eastAsia="Arial" w:hAnsi="Arial"/>
                <w:sz w:val="18"/>
                <w:szCs w:val="18"/>
                <w:color w:val="auto"/>
              </w:rPr>
              <w:t>Operations</w:t>
            </w:r>
          </w:p>
        </w:tc>
        <w:tc>
          <w:tcPr>
            <w:tcW w:w="52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21</w:t>
            </w:r>
          </w:p>
        </w:tc>
        <w:tc>
          <w:tcPr>
            <w:tcW w:w="1720" w:type="dxa"/>
            <w:vAlign w:val="bottom"/>
          </w:tcPr>
          <w:p>
            <w:pPr>
              <w:spacing w:after="0"/>
              <w:rPr>
                <w:sz w:val="19"/>
                <w:szCs w:val="19"/>
                <w:color w:val="auto"/>
              </w:rPr>
            </w:pPr>
          </w:p>
        </w:tc>
      </w:tr>
      <w:tr>
        <w:trPr>
          <w:trHeight w:val="216"/>
        </w:trPr>
        <w:tc>
          <w:tcPr>
            <w:tcW w:w="17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Item 7A.</w:t>
            </w:r>
          </w:p>
        </w:tc>
        <w:tc>
          <w:tcPr>
            <w:tcW w:w="6360" w:type="dxa"/>
            <w:vAlign w:val="bottom"/>
          </w:tcPr>
          <w:p>
            <w:pPr>
              <w:ind w:left="40"/>
              <w:spacing w:after="0"/>
              <w:rPr>
                <w:sz w:val="20"/>
                <w:szCs w:val="20"/>
                <w:color w:val="auto"/>
              </w:rPr>
            </w:pPr>
            <w:r>
              <w:rPr>
                <w:rFonts w:ascii="Arial" w:cs="Arial" w:eastAsia="Arial" w:hAnsi="Arial"/>
                <w:sz w:val="18"/>
                <w:szCs w:val="18"/>
                <w:color w:val="auto"/>
              </w:rPr>
              <w:t>Quantitative and Qualitative Disclosures About Market Risk</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21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100" w:type="dxa"/>
            <w:vAlign w:val="bottom"/>
            <w:shd w:val="clear" w:color="auto" w:fill="EEEEEE"/>
          </w:tcPr>
          <w:p>
            <w:pPr>
              <w:spacing w:after="0"/>
              <w:rPr>
                <w:sz w:val="20"/>
                <w:szCs w:val="20"/>
                <w:color w:val="auto"/>
              </w:rPr>
            </w:pPr>
            <w:r>
              <w:rPr>
                <w:rFonts w:ascii="Arial" w:cs="Arial" w:eastAsia="Arial" w:hAnsi="Arial"/>
                <w:sz w:val="18"/>
                <w:szCs w:val="18"/>
                <w:color w:val="auto"/>
              </w:rPr>
              <w:t>Item 8.</w:t>
            </w:r>
          </w:p>
        </w:tc>
        <w:tc>
          <w:tcPr>
            <w:tcW w:w="6360" w:type="dxa"/>
            <w:vAlign w:val="bottom"/>
            <w:shd w:val="clear" w:color="auto" w:fill="EEEEEE"/>
          </w:tcPr>
          <w:p>
            <w:pPr>
              <w:ind w:left="40"/>
              <w:spacing w:after="0"/>
              <w:rPr>
                <w:sz w:val="20"/>
                <w:szCs w:val="20"/>
                <w:color w:val="auto"/>
              </w:rPr>
            </w:pPr>
            <w:r>
              <w:rPr>
                <w:rFonts w:ascii="Arial" w:cs="Arial" w:eastAsia="Arial" w:hAnsi="Arial"/>
                <w:sz w:val="18"/>
                <w:szCs w:val="18"/>
                <w:color w:val="auto"/>
              </w:rPr>
              <w:t>Financial Statements and Supplementary Data</w:t>
            </w:r>
          </w:p>
        </w:tc>
        <w:tc>
          <w:tcPr>
            <w:tcW w:w="52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22</w:t>
            </w:r>
          </w:p>
        </w:tc>
        <w:tc>
          <w:tcPr>
            <w:tcW w:w="1720" w:type="dxa"/>
            <w:vAlign w:val="bottom"/>
          </w:tcPr>
          <w:p>
            <w:pPr>
              <w:spacing w:after="0"/>
              <w:rPr>
                <w:sz w:val="18"/>
                <w:szCs w:val="18"/>
                <w:color w:val="auto"/>
              </w:rPr>
            </w:pPr>
          </w:p>
        </w:tc>
      </w:tr>
      <w:tr>
        <w:trPr>
          <w:trHeight w:val="208"/>
        </w:trPr>
        <w:tc>
          <w:tcPr>
            <w:tcW w:w="17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Item 9.</w:t>
            </w:r>
          </w:p>
        </w:tc>
        <w:tc>
          <w:tcPr>
            <w:tcW w:w="6360" w:type="dxa"/>
            <w:vAlign w:val="bottom"/>
          </w:tcPr>
          <w:p>
            <w:pPr>
              <w:ind w:left="40"/>
              <w:spacing w:after="0"/>
              <w:rPr>
                <w:sz w:val="20"/>
                <w:szCs w:val="20"/>
                <w:color w:val="auto"/>
              </w:rPr>
            </w:pPr>
            <w:r>
              <w:rPr>
                <w:rFonts w:ascii="Arial" w:cs="Arial" w:eastAsia="Arial" w:hAnsi="Arial"/>
                <w:sz w:val="18"/>
                <w:szCs w:val="18"/>
                <w:color w:val="auto"/>
              </w:rPr>
              <w:t>Changes in and Disagreements with Accountants on Accounting and Financial</w:t>
            </w:r>
          </w:p>
        </w:tc>
        <w:tc>
          <w:tcPr>
            <w:tcW w:w="5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22"/>
        </w:trPr>
        <w:tc>
          <w:tcPr>
            <w:tcW w:w="17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360" w:type="dxa"/>
            <w:vAlign w:val="bottom"/>
          </w:tcPr>
          <w:p>
            <w:pPr>
              <w:ind w:left="40"/>
              <w:spacing w:after="0"/>
              <w:rPr>
                <w:sz w:val="20"/>
                <w:szCs w:val="20"/>
                <w:color w:val="auto"/>
              </w:rPr>
            </w:pPr>
            <w:r>
              <w:rPr>
                <w:rFonts w:ascii="Arial" w:cs="Arial" w:eastAsia="Arial" w:hAnsi="Arial"/>
                <w:sz w:val="18"/>
                <w:szCs w:val="18"/>
                <w:color w:val="auto"/>
              </w:rPr>
              <w:t>Disclosure</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22</w:t>
            </w:r>
          </w:p>
        </w:tc>
        <w:tc>
          <w:tcPr>
            <w:tcW w:w="1720" w:type="dxa"/>
            <w:vAlign w:val="bottom"/>
          </w:tcPr>
          <w:p>
            <w:pPr>
              <w:spacing w:after="0"/>
              <w:rPr>
                <w:sz w:val="19"/>
                <w:szCs w:val="19"/>
                <w:color w:val="auto"/>
              </w:rPr>
            </w:pPr>
          </w:p>
        </w:tc>
      </w:tr>
      <w:tr>
        <w:trPr>
          <w:trHeight w:val="218"/>
        </w:trPr>
        <w:tc>
          <w:tcPr>
            <w:tcW w:w="1720" w:type="dxa"/>
            <w:vAlign w:val="bottom"/>
          </w:tcPr>
          <w:p>
            <w:pPr>
              <w:spacing w:after="0"/>
              <w:rPr>
                <w:sz w:val="18"/>
                <w:szCs w:val="18"/>
                <w:color w:val="auto"/>
              </w:rPr>
            </w:pPr>
          </w:p>
        </w:tc>
        <w:tc>
          <w:tcPr>
            <w:tcW w:w="1100" w:type="dxa"/>
            <w:vAlign w:val="bottom"/>
            <w:shd w:val="clear" w:color="auto" w:fill="EEEEEE"/>
          </w:tcPr>
          <w:p>
            <w:pPr>
              <w:spacing w:after="0"/>
              <w:rPr>
                <w:sz w:val="20"/>
                <w:szCs w:val="20"/>
                <w:color w:val="auto"/>
              </w:rPr>
            </w:pPr>
            <w:r>
              <w:rPr>
                <w:rFonts w:ascii="Arial" w:cs="Arial" w:eastAsia="Arial" w:hAnsi="Arial"/>
                <w:sz w:val="18"/>
                <w:szCs w:val="18"/>
                <w:color w:val="auto"/>
              </w:rPr>
              <w:t>Item 9A.</w:t>
            </w:r>
          </w:p>
        </w:tc>
        <w:tc>
          <w:tcPr>
            <w:tcW w:w="6360" w:type="dxa"/>
            <w:vAlign w:val="bottom"/>
            <w:shd w:val="clear" w:color="auto" w:fill="EEEEEE"/>
          </w:tcPr>
          <w:p>
            <w:pPr>
              <w:ind w:left="40"/>
              <w:spacing w:after="0"/>
              <w:rPr>
                <w:sz w:val="20"/>
                <w:szCs w:val="20"/>
                <w:color w:val="auto"/>
              </w:rPr>
            </w:pPr>
            <w:r>
              <w:rPr>
                <w:rFonts w:ascii="Arial" w:cs="Arial" w:eastAsia="Arial" w:hAnsi="Arial"/>
                <w:sz w:val="18"/>
                <w:szCs w:val="18"/>
                <w:color w:val="auto"/>
              </w:rPr>
              <w:t>Controls and Procedures</w:t>
            </w:r>
          </w:p>
        </w:tc>
        <w:tc>
          <w:tcPr>
            <w:tcW w:w="52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22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360" w:type="dxa"/>
            <w:vAlign w:val="bottom"/>
          </w:tcPr>
          <w:p>
            <w:pPr>
              <w:jc w:val="center"/>
              <w:ind w:right="472"/>
              <w:spacing w:after="0"/>
              <w:rPr>
                <w:sz w:val="20"/>
                <w:szCs w:val="20"/>
                <w:color w:val="auto"/>
              </w:rPr>
            </w:pPr>
            <w:r>
              <w:rPr>
                <w:rFonts w:ascii="Arial" w:cs="Arial" w:eastAsia="Arial" w:hAnsi="Arial"/>
                <w:sz w:val="18"/>
                <w:szCs w:val="18"/>
                <w:color w:val="auto"/>
                <w:w w:val="94"/>
              </w:rPr>
              <w:t>PART III</w:t>
            </w:r>
          </w:p>
        </w:tc>
        <w:tc>
          <w:tcPr>
            <w:tcW w:w="5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100" w:type="dxa"/>
            <w:vAlign w:val="bottom"/>
            <w:shd w:val="clear" w:color="auto" w:fill="EEEEEE"/>
          </w:tcPr>
          <w:p>
            <w:pPr>
              <w:spacing w:after="0"/>
              <w:rPr>
                <w:sz w:val="20"/>
                <w:szCs w:val="20"/>
                <w:color w:val="auto"/>
              </w:rPr>
            </w:pPr>
            <w:r>
              <w:rPr>
                <w:rFonts w:ascii="Arial" w:cs="Arial" w:eastAsia="Arial" w:hAnsi="Arial"/>
                <w:sz w:val="18"/>
                <w:szCs w:val="18"/>
                <w:color w:val="auto"/>
              </w:rPr>
              <w:t>Item 10.</w:t>
            </w:r>
          </w:p>
        </w:tc>
        <w:tc>
          <w:tcPr>
            <w:tcW w:w="6360" w:type="dxa"/>
            <w:vAlign w:val="bottom"/>
            <w:shd w:val="clear" w:color="auto" w:fill="EEEEEE"/>
          </w:tcPr>
          <w:p>
            <w:pPr>
              <w:ind w:left="40"/>
              <w:spacing w:after="0"/>
              <w:rPr>
                <w:sz w:val="20"/>
                <w:szCs w:val="20"/>
                <w:color w:val="auto"/>
              </w:rPr>
            </w:pPr>
            <w:r>
              <w:rPr>
                <w:rFonts w:ascii="Arial" w:cs="Arial" w:eastAsia="Arial" w:hAnsi="Arial"/>
                <w:sz w:val="18"/>
                <w:szCs w:val="18"/>
                <w:color w:val="auto"/>
              </w:rPr>
              <w:t>Directors and Executive Officers of the Registrant</w:t>
            </w:r>
          </w:p>
        </w:tc>
        <w:tc>
          <w:tcPr>
            <w:tcW w:w="52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22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Item 11.</w:t>
            </w:r>
          </w:p>
        </w:tc>
        <w:tc>
          <w:tcPr>
            <w:tcW w:w="6360" w:type="dxa"/>
            <w:vAlign w:val="bottom"/>
          </w:tcPr>
          <w:p>
            <w:pPr>
              <w:ind w:left="40"/>
              <w:spacing w:after="0"/>
              <w:rPr>
                <w:sz w:val="20"/>
                <w:szCs w:val="20"/>
                <w:color w:val="auto"/>
              </w:rPr>
            </w:pPr>
            <w:r>
              <w:rPr>
                <w:rFonts w:ascii="Arial" w:cs="Arial" w:eastAsia="Arial" w:hAnsi="Arial"/>
                <w:sz w:val="18"/>
                <w:szCs w:val="18"/>
                <w:color w:val="auto"/>
              </w:rPr>
              <w:t>Executive Compensation</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23</w:t>
            </w:r>
          </w:p>
        </w:tc>
        <w:tc>
          <w:tcPr>
            <w:tcW w:w="1720" w:type="dxa"/>
            <w:vAlign w:val="bottom"/>
          </w:tcPr>
          <w:p>
            <w:pPr>
              <w:spacing w:after="0"/>
              <w:rPr>
                <w:sz w:val="18"/>
                <w:szCs w:val="18"/>
                <w:color w:val="auto"/>
              </w:rPr>
            </w:pPr>
          </w:p>
        </w:tc>
      </w:tr>
      <w:tr>
        <w:trPr>
          <w:trHeight w:val="208"/>
        </w:trPr>
        <w:tc>
          <w:tcPr>
            <w:tcW w:w="1720" w:type="dxa"/>
            <w:vAlign w:val="bottom"/>
          </w:tcPr>
          <w:p>
            <w:pPr>
              <w:spacing w:after="0"/>
              <w:rPr>
                <w:sz w:val="18"/>
                <w:szCs w:val="18"/>
                <w:color w:val="auto"/>
              </w:rPr>
            </w:pPr>
          </w:p>
        </w:tc>
        <w:tc>
          <w:tcPr>
            <w:tcW w:w="1100" w:type="dxa"/>
            <w:vAlign w:val="bottom"/>
            <w:shd w:val="clear" w:color="auto" w:fill="EEEEEE"/>
          </w:tcPr>
          <w:p>
            <w:pPr>
              <w:spacing w:after="0"/>
              <w:rPr>
                <w:sz w:val="20"/>
                <w:szCs w:val="20"/>
                <w:color w:val="auto"/>
              </w:rPr>
            </w:pPr>
            <w:r>
              <w:rPr>
                <w:rFonts w:ascii="Arial" w:cs="Arial" w:eastAsia="Arial" w:hAnsi="Arial"/>
                <w:sz w:val="18"/>
                <w:szCs w:val="18"/>
                <w:color w:val="auto"/>
              </w:rPr>
              <w:t>Item 12.</w:t>
            </w:r>
          </w:p>
        </w:tc>
        <w:tc>
          <w:tcPr>
            <w:tcW w:w="6360" w:type="dxa"/>
            <w:vAlign w:val="bottom"/>
            <w:shd w:val="clear" w:color="auto" w:fill="EEEEEE"/>
          </w:tcPr>
          <w:p>
            <w:pPr>
              <w:ind w:left="40"/>
              <w:spacing w:after="0"/>
              <w:rPr>
                <w:sz w:val="20"/>
                <w:szCs w:val="20"/>
                <w:color w:val="auto"/>
              </w:rPr>
            </w:pPr>
            <w:r>
              <w:rPr>
                <w:rFonts w:ascii="Arial" w:cs="Arial" w:eastAsia="Arial" w:hAnsi="Arial"/>
                <w:sz w:val="18"/>
                <w:szCs w:val="18"/>
                <w:color w:val="auto"/>
                <w:w w:val="99"/>
              </w:rPr>
              <w:t>Security Ownership of Certain Beneficial Owners and Management and Related</w:t>
            </w:r>
          </w:p>
        </w:tc>
        <w:tc>
          <w:tcPr>
            <w:tcW w:w="52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r>
      <w:tr>
        <w:trPr>
          <w:trHeight w:val="224"/>
        </w:trPr>
        <w:tc>
          <w:tcPr>
            <w:tcW w:w="1720" w:type="dxa"/>
            <w:vAlign w:val="bottom"/>
          </w:tcPr>
          <w:p>
            <w:pPr>
              <w:spacing w:after="0"/>
              <w:rPr>
                <w:sz w:val="19"/>
                <w:szCs w:val="19"/>
                <w:color w:val="auto"/>
              </w:rPr>
            </w:pPr>
          </w:p>
        </w:tc>
        <w:tc>
          <w:tcPr>
            <w:tcW w:w="1100" w:type="dxa"/>
            <w:vAlign w:val="bottom"/>
            <w:shd w:val="clear" w:color="auto" w:fill="EEEEEE"/>
          </w:tcPr>
          <w:p>
            <w:pPr>
              <w:spacing w:after="0"/>
              <w:rPr>
                <w:sz w:val="19"/>
                <w:szCs w:val="19"/>
                <w:color w:val="auto"/>
              </w:rPr>
            </w:pPr>
          </w:p>
        </w:tc>
        <w:tc>
          <w:tcPr>
            <w:tcW w:w="6360" w:type="dxa"/>
            <w:vAlign w:val="bottom"/>
            <w:shd w:val="clear" w:color="auto" w:fill="EEEEEE"/>
          </w:tcPr>
          <w:p>
            <w:pPr>
              <w:ind w:left="40"/>
              <w:spacing w:after="0"/>
              <w:rPr>
                <w:sz w:val="20"/>
                <w:szCs w:val="20"/>
                <w:color w:val="auto"/>
              </w:rPr>
            </w:pPr>
            <w:r>
              <w:rPr>
                <w:rFonts w:ascii="Arial" w:cs="Arial" w:eastAsia="Arial" w:hAnsi="Arial"/>
                <w:sz w:val="18"/>
                <w:szCs w:val="18"/>
                <w:color w:val="auto"/>
              </w:rPr>
              <w:t>Stockholder Matters</w:t>
            </w:r>
          </w:p>
        </w:tc>
        <w:tc>
          <w:tcPr>
            <w:tcW w:w="52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23</w:t>
            </w:r>
          </w:p>
        </w:tc>
        <w:tc>
          <w:tcPr>
            <w:tcW w:w="1720" w:type="dxa"/>
            <w:vAlign w:val="bottom"/>
          </w:tcPr>
          <w:p>
            <w:pPr>
              <w:spacing w:after="0"/>
              <w:rPr>
                <w:sz w:val="19"/>
                <w:szCs w:val="19"/>
                <w:color w:val="auto"/>
              </w:rPr>
            </w:pPr>
          </w:p>
        </w:tc>
      </w:tr>
      <w:tr>
        <w:trPr>
          <w:trHeight w:val="216"/>
        </w:trPr>
        <w:tc>
          <w:tcPr>
            <w:tcW w:w="17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Item 13.</w:t>
            </w:r>
          </w:p>
        </w:tc>
        <w:tc>
          <w:tcPr>
            <w:tcW w:w="6360" w:type="dxa"/>
            <w:vAlign w:val="bottom"/>
          </w:tcPr>
          <w:p>
            <w:pPr>
              <w:ind w:left="40"/>
              <w:spacing w:after="0"/>
              <w:rPr>
                <w:sz w:val="20"/>
                <w:szCs w:val="20"/>
                <w:color w:val="auto"/>
              </w:rPr>
            </w:pPr>
            <w:r>
              <w:rPr>
                <w:rFonts w:ascii="Arial" w:cs="Arial" w:eastAsia="Arial" w:hAnsi="Arial"/>
                <w:sz w:val="18"/>
                <w:szCs w:val="18"/>
                <w:color w:val="auto"/>
              </w:rPr>
              <w:t>Certain Relationships and Related Transactions</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23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100" w:type="dxa"/>
            <w:vAlign w:val="bottom"/>
            <w:shd w:val="clear" w:color="auto" w:fill="EEEEEE"/>
          </w:tcPr>
          <w:p>
            <w:pPr>
              <w:spacing w:after="0"/>
              <w:rPr>
                <w:sz w:val="20"/>
                <w:szCs w:val="20"/>
                <w:color w:val="auto"/>
              </w:rPr>
            </w:pPr>
            <w:r>
              <w:rPr>
                <w:rFonts w:ascii="Arial" w:cs="Arial" w:eastAsia="Arial" w:hAnsi="Arial"/>
                <w:sz w:val="18"/>
                <w:szCs w:val="18"/>
                <w:color w:val="auto"/>
              </w:rPr>
              <w:t>Item 14.</w:t>
            </w:r>
          </w:p>
        </w:tc>
        <w:tc>
          <w:tcPr>
            <w:tcW w:w="6360" w:type="dxa"/>
            <w:vAlign w:val="bottom"/>
            <w:shd w:val="clear" w:color="auto" w:fill="EEEEEE"/>
          </w:tcPr>
          <w:p>
            <w:pPr>
              <w:ind w:left="40"/>
              <w:spacing w:after="0"/>
              <w:rPr>
                <w:sz w:val="20"/>
                <w:szCs w:val="20"/>
                <w:color w:val="auto"/>
              </w:rPr>
            </w:pPr>
            <w:r>
              <w:rPr>
                <w:rFonts w:ascii="Arial" w:cs="Arial" w:eastAsia="Arial" w:hAnsi="Arial"/>
                <w:sz w:val="18"/>
                <w:szCs w:val="18"/>
                <w:color w:val="auto"/>
              </w:rPr>
              <w:t>Principal Accountant Fees and Services</w:t>
            </w:r>
          </w:p>
        </w:tc>
        <w:tc>
          <w:tcPr>
            <w:tcW w:w="52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23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360" w:type="dxa"/>
            <w:vAlign w:val="bottom"/>
          </w:tcPr>
          <w:p>
            <w:pPr>
              <w:jc w:val="center"/>
              <w:ind w:right="492"/>
              <w:spacing w:after="0"/>
              <w:rPr>
                <w:sz w:val="20"/>
                <w:szCs w:val="20"/>
                <w:color w:val="auto"/>
              </w:rPr>
            </w:pPr>
            <w:r>
              <w:rPr>
                <w:rFonts w:ascii="Arial" w:cs="Arial" w:eastAsia="Arial" w:hAnsi="Arial"/>
                <w:sz w:val="18"/>
                <w:szCs w:val="18"/>
                <w:color w:val="auto"/>
                <w:w w:val="94"/>
              </w:rPr>
              <w:t>PART IV</w:t>
            </w:r>
          </w:p>
        </w:tc>
        <w:tc>
          <w:tcPr>
            <w:tcW w:w="5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100" w:type="dxa"/>
            <w:vAlign w:val="bottom"/>
            <w:shd w:val="clear" w:color="auto" w:fill="EEEEEE"/>
          </w:tcPr>
          <w:p>
            <w:pPr>
              <w:spacing w:after="0"/>
              <w:rPr>
                <w:sz w:val="20"/>
                <w:szCs w:val="20"/>
                <w:color w:val="auto"/>
              </w:rPr>
            </w:pPr>
            <w:r>
              <w:rPr>
                <w:rFonts w:ascii="Arial" w:cs="Arial" w:eastAsia="Arial" w:hAnsi="Arial"/>
                <w:sz w:val="18"/>
                <w:szCs w:val="18"/>
                <w:color w:val="auto"/>
              </w:rPr>
              <w:t>Item 15.</w:t>
            </w:r>
          </w:p>
        </w:tc>
        <w:tc>
          <w:tcPr>
            <w:tcW w:w="6360" w:type="dxa"/>
            <w:vAlign w:val="bottom"/>
            <w:shd w:val="clear" w:color="auto" w:fill="EEEEEE"/>
          </w:tcPr>
          <w:p>
            <w:pPr>
              <w:ind w:left="40"/>
              <w:spacing w:after="0"/>
              <w:rPr>
                <w:sz w:val="20"/>
                <w:szCs w:val="20"/>
                <w:color w:val="auto"/>
              </w:rPr>
            </w:pPr>
            <w:r>
              <w:rPr>
                <w:rFonts w:ascii="Arial" w:cs="Arial" w:eastAsia="Arial" w:hAnsi="Arial"/>
                <w:sz w:val="18"/>
                <w:szCs w:val="18"/>
                <w:color w:val="auto"/>
              </w:rPr>
              <w:t>Exhibits, Financial Statement Schedules, and Reports on Form 8-K</w:t>
            </w:r>
          </w:p>
        </w:tc>
        <w:tc>
          <w:tcPr>
            <w:tcW w:w="52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23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w w:val="92"/>
              </w:rPr>
              <w:t>SIGNATURES</w:t>
            </w:r>
          </w:p>
        </w:tc>
        <w:tc>
          <w:tcPr>
            <w:tcW w:w="6360" w:type="dxa"/>
            <w:vAlign w:val="bottom"/>
          </w:tcPr>
          <w:p>
            <w:pPr>
              <w:spacing w:after="0"/>
              <w:rPr>
                <w:sz w:val="18"/>
                <w:szCs w:val="18"/>
                <w:color w:val="auto"/>
              </w:rPr>
            </w:pP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24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4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INDEX TO FINANCIAL INFORMATION</w:t>
            </w:r>
          </w:p>
        </w:tc>
        <w:tc>
          <w:tcPr>
            <w:tcW w:w="52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25</w:t>
            </w:r>
          </w:p>
        </w:tc>
        <w:tc>
          <w:tcPr>
            <w:tcW w:w="1720" w:type="dxa"/>
            <w:vAlign w:val="bottom"/>
          </w:tcPr>
          <w:p>
            <w:pPr>
              <w:spacing w:after="0"/>
              <w:rPr>
                <w:sz w:val="18"/>
                <w:szCs w:val="18"/>
                <w:color w:val="auto"/>
              </w:rPr>
            </w:pPr>
          </w:p>
        </w:tc>
      </w:tr>
      <w:tr>
        <w:trPr>
          <w:trHeight w:val="208"/>
        </w:trPr>
        <w:tc>
          <w:tcPr>
            <w:tcW w:w="1720" w:type="dxa"/>
            <w:vAlign w:val="bottom"/>
          </w:tcPr>
          <w:p>
            <w:pPr>
              <w:spacing w:after="0"/>
              <w:rPr>
                <w:sz w:val="18"/>
                <w:szCs w:val="18"/>
                <w:color w:val="auto"/>
              </w:rPr>
            </w:pPr>
          </w:p>
        </w:tc>
        <w:tc>
          <w:tcPr>
            <w:tcW w:w="7460" w:type="dxa"/>
            <w:vAlign w:val="bottom"/>
            <w:gridSpan w:val="2"/>
          </w:tcPr>
          <w:p>
            <w:pPr>
              <w:ind w:left="100"/>
              <w:spacing w:after="0"/>
              <w:rPr>
                <w:sz w:val="20"/>
                <w:szCs w:val="20"/>
                <w:color w:val="auto"/>
              </w:rPr>
            </w:pPr>
            <w:r>
              <w:rPr>
                <w:rFonts w:ascii="Arial" w:cs="Arial" w:eastAsia="Arial" w:hAnsi="Arial"/>
                <w:sz w:val="18"/>
                <w:szCs w:val="18"/>
                <w:color w:val="auto"/>
              </w:rPr>
              <w:t>Management’s Discussion and Analysis of Results of Operations and Financial</w:t>
            </w:r>
          </w:p>
        </w:tc>
        <w:tc>
          <w:tcPr>
            <w:tcW w:w="5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23"/>
        </w:trPr>
        <w:tc>
          <w:tcPr>
            <w:tcW w:w="1720" w:type="dxa"/>
            <w:vAlign w:val="bottom"/>
          </w:tcPr>
          <w:p>
            <w:pPr>
              <w:spacing w:after="0"/>
              <w:rPr>
                <w:sz w:val="19"/>
                <w:szCs w:val="19"/>
                <w:color w:val="auto"/>
              </w:rPr>
            </w:pPr>
          </w:p>
        </w:tc>
        <w:tc>
          <w:tcPr>
            <w:tcW w:w="7460" w:type="dxa"/>
            <w:vAlign w:val="bottom"/>
            <w:gridSpan w:val="2"/>
          </w:tcPr>
          <w:p>
            <w:pPr>
              <w:ind w:left="100"/>
              <w:spacing w:after="0"/>
              <w:rPr>
                <w:sz w:val="20"/>
                <w:szCs w:val="20"/>
                <w:color w:val="auto"/>
              </w:rPr>
            </w:pPr>
            <w:r>
              <w:rPr>
                <w:rFonts w:ascii="Arial" w:cs="Arial" w:eastAsia="Arial" w:hAnsi="Arial"/>
                <w:sz w:val="18"/>
                <w:szCs w:val="18"/>
                <w:color w:val="auto"/>
              </w:rPr>
              <w:t>Condition (Unaudited)</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27</w:t>
            </w:r>
          </w:p>
        </w:tc>
        <w:tc>
          <w:tcPr>
            <w:tcW w:w="1720" w:type="dxa"/>
            <w:vAlign w:val="bottom"/>
          </w:tcPr>
          <w:p>
            <w:pPr>
              <w:spacing w:after="0"/>
              <w:rPr>
                <w:sz w:val="19"/>
                <w:szCs w:val="19"/>
                <w:color w:val="auto"/>
              </w:rPr>
            </w:pPr>
          </w:p>
        </w:tc>
      </w:tr>
      <w:tr>
        <w:trPr>
          <w:trHeight w:val="217"/>
        </w:trPr>
        <w:tc>
          <w:tcPr>
            <w:tcW w:w="1720" w:type="dxa"/>
            <w:vAlign w:val="bottom"/>
          </w:tcPr>
          <w:p>
            <w:pPr>
              <w:spacing w:after="0"/>
              <w:rPr>
                <w:sz w:val="18"/>
                <w:szCs w:val="18"/>
                <w:color w:val="auto"/>
              </w:rPr>
            </w:pPr>
          </w:p>
        </w:tc>
        <w:tc>
          <w:tcPr>
            <w:tcW w:w="746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rPr>
              <w:t>Financial Statements and Schedules:</w:t>
            </w:r>
          </w:p>
        </w:tc>
        <w:tc>
          <w:tcPr>
            <w:tcW w:w="52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r>
      <w:tr>
        <w:trPr>
          <w:trHeight w:val="242"/>
        </w:trPr>
        <w:tc>
          <w:tcPr>
            <w:tcW w:w="1720" w:type="dxa"/>
            <w:vAlign w:val="bottom"/>
          </w:tcPr>
          <w:p>
            <w:pPr>
              <w:spacing w:after="0"/>
              <w:rPr>
                <w:sz w:val="21"/>
                <w:szCs w:val="21"/>
                <w:color w:val="auto"/>
              </w:rPr>
            </w:pPr>
          </w:p>
        </w:tc>
        <w:tc>
          <w:tcPr>
            <w:tcW w:w="7460" w:type="dxa"/>
            <w:vAlign w:val="bottom"/>
            <w:gridSpan w:val="2"/>
          </w:tcPr>
          <w:p>
            <w:pPr>
              <w:ind w:left="220"/>
              <w:spacing w:after="0"/>
              <w:rPr>
                <w:sz w:val="20"/>
                <w:szCs w:val="20"/>
                <w:color w:val="auto"/>
              </w:rPr>
            </w:pPr>
            <w:r>
              <w:rPr>
                <w:rFonts w:ascii="Arial" w:cs="Arial" w:eastAsia="Arial" w:hAnsi="Arial"/>
                <w:sz w:val="18"/>
                <w:szCs w:val="18"/>
                <w:color w:val="auto"/>
              </w:rPr>
              <w:t>Report of Independent Auditors</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38</w:t>
            </w:r>
          </w:p>
        </w:tc>
        <w:tc>
          <w:tcPr>
            <w:tcW w:w="1720" w:type="dxa"/>
            <w:vAlign w:val="bottom"/>
          </w:tcPr>
          <w:p>
            <w:pPr>
              <w:spacing w:after="0"/>
              <w:rPr>
                <w:sz w:val="21"/>
                <w:szCs w:val="21"/>
                <w:color w:val="auto"/>
              </w:rPr>
            </w:pPr>
          </w:p>
        </w:tc>
      </w:tr>
      <w:tr>
        <w:trPr>
          <w:trHeight w:val="236"/>
        </w:trPr>
        <w:tc>
          <w:tcPr>
            <w:tcW w:w="1720" w:type="dxa"/>
            <w:vAlign w:val="bottom"/>
          </w:tcPr>
          <w:p>
            <w:pPr>
              <w:spacing w:after="0"/>
              <w:rPr>
                <w:sz w:val="20"/>
                <w:szCs w:val="20"/>
                <w:color w:val="auto"/>
              </w:rPr>
            </w:pPr>
          </w:p>
        </w:tc>
        <w:tc>
          <w:tcPr>
            <w:tcW w:w="746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Consolidated Statements of Income and Consolidated Statements of Comprehensive</w:t>
            </w:r>
          </w:p>
        </w:tc>
        <w:tc>
          <w:tcPr>
            <w:tcW w:w="520" w:type="dxa"/>
            <w:vAlign w:val="bottom"/>
            <w:shd w:val="clear" w:color="auto" w:fill="EEEEEE"/>
          </w:tcPr>
          <w:p>
            <w:pPr>
              <w:spacing w:after="0"/>
              <w:rPr>
                <w:sz w:val="20"/>
                <w:szCs w:val="20"/>
                <w:color w:val="auto"/>
              </w:rPr>
            </w:pPr>
          </w:p>
        </w:tc>
        <w:tc>
          <w:tcPr>
            <w:tcW w:w="1720" w:type="dxa"/>
            <w:vAlign w:val="bottom"/>
          </w:tcPr>
          <w:p>
            <w:pPr>
              <w:spacing w:after="0"/>
              <w:rPr>
                <w:sz w:val="20"/>
                <w:szCs w:val="20"/>
                <w:color w:val="auto"/>
              </w:rPr>
            </w:pPr>
          </w:p>
        </w:tc>
      </w:tr>
      <w:tr>
        <w:trPr>
          <w:trHeight w:val="224"/>
        </w:trPr>
        <w:tc>
          <w:tcPr>
            <w:tcW w:w="1720" w:type="dxa"/>
            <w:vAlign w:val="bottom"/>
          </w:tcPr>
          <w:p>
            <w:pPr>
              <w:spacing w:after="0"/>
              <w:rPr>
                <w:sz w:val="19"/>
                <w:szCs w:val="19"/>
                <w:color w:val="auto"/>
              </w:rPr>
            </w:pPr>
          </w:p>
        </w:tc>
        <w:tc>
          <w:tcPr>
            <w:tcW w:w="746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Income for the Three Fiscal Years Ended December 28, 2003</w:t>
            </w:r>
          </w:p>
        </w:tc>
        <w:tc>
          <w:tcPr>
            <w:tcW w:w="52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39</w:t>
            </w:r>
          </w:p>
        </w:tc>
        <w:tc>
          <w:tcPr>
            <w:tcW w:w="1720" w:type="dxa"/>
            <w:vAlign w:val="bottom"/>
          </w:tcPr>
          <w:p>
            <w:pPr>
              <w:spacing w:after="0"/>
              <w:rPr>
                <w:sz w:val="19"/>
                <w:szCs w:val="19"/>
                <w:color w:val="auto"/>
              </w:rPr>
            </w:pPr>
          </w:p>
        </w:tc>
      </w:tr>
      <w:tr>
        <w:trPr>
          <w:trHeight w:val="242"/>
        </w:trPr>
        <w:tc>
          <w:tcPr>
            <w:tcW w:w="1720" w:type="dxa"/>
            <w:vAlign w:val="bottom"/>
          </w:tcPr>
          <w:p>
            <w:pPr>
              <w:spacing w:after="0"/>
              <w:rPr>
                <w:sz w:val="21"/>
                <w:szCs w:val="21"/>
                <w:color w:val="auto"/>
              </w:rPr>
            </w:pPr>
          </w:p>
        </w:tc>
        <w:tc>
          <w:tcPr>
            <w:tcW w:w="7460" w:type="dxa"/>
            <w:vAlign w:val="bottom"/>
            <w:gridSpan w:val="2"/>
          </w:tcPr>
          <w:p>
            <w:pPr>
              <w:ind w:left="220"/>
              <w:spacing w:after="0"/>
              <w:rPr>
                <w:sz w:val="20"/>
                <w:szCs w:val="20"/>
                <w:color w:val="auto"/>
              </w:rPr>
            </w:pPr>
            <w:r>
              <w:rPr>
                <w:rFonts w:ascii="Arial" w:cs="Arial" w:eastAsia="Arial" w:hAnsi="Arial"/>
                <w:sz w:val="18"/>
                <w:szCs w:val="18"/>
                <w:color w:val="auto"/>
              </w:rPr>
              <w:t>Consolidated Balance Sheets at December 28, 2003 and December 29, 2002</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40</w:t>
            </w:r>
          </w:p>
        </w:tc>
        <w:tc>
          <w:tcPr>
            <w:tcW w:w="1720" w:type="dxa"/>
            <w:vAlign w:val="bottom"/>
          </w:tcPr>
          <w:p>
            <w:pPr>
              <w:spacing w:after="0"/>
              <w:rPr>
                <w:sz w:val="21"/>
                <w:szCs w:val="21"/>
                <w:color w:val="auto"/>
              </w:rPr>
            </w:pPr>
          </w:p>
        </w:tc>
      </w:tr>
      <w:tr>
        <w:trPr>
          <w:trHeight w:val="236"/>
        </w:trPr>
        <w:tc>
          <w:tcPr>
            <w:tcW w:w="1720" w:type="dxa"/>
            <w:vAlign w:val="bottom"/>
          </w:tcPr>
          <w:p>
            <w:pPr>
              <w:spacing w:after="0"/>
              <w:rPr>
                <w:sz w:val="20"/>
                <w:szCs w:val="20"/>
                <w:color w:val="auto"/>
              </w:rPr>
            </w:pPr>
          </w:p>
        </w:tc>
        <w:tc>
          <w:tcPr>
            <w:tcW w:w="746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Consolidated Statements of Cash Flows for the Three Fiscal Years Ended</w:t>
            </w:r>
          </w:p>
        </w:tc>
        <w:tc>
          <w:tcPr>
            <w:tcW w:w="520" w:type="dxa"/>
            <w:vAlign w:val="bottom"/>
            <w:shd w:val="clear" w:color="auto" w:fill="EEEEEE"/>
          </w:tcPr>
          <w:p>
            <w:pPr>
              <w:spacing w:after="0"/>
              <w:rPr>
                <w:sz w:val="20"/>
                <w:szCs w:val="20"/>
                <w:color w:val="auto"/>
              </w:rPr>
            </w:pPr>
          </w:p>
        </w:tc>
        <w:tc>
          <w:tcPr>
            <w:tcW w:w="1720" w:type="dxa"/>
            <w:vAlign w:val="bottom"/>
          </w:tcPr>
          <w:p>
            <w:pPr>
              <w:spacing w:after="0"/>
              <w:rPr>
                <w:sz w:val="20"/>
                <w:szCs w:val="20"/>
                <w:color w:val="auto"/>
              </w:rPr>
            </w:pPr>
          </w:p>
        </w:tc>
      </w:tr>
      <w:tr>
        <w:trPr>
          <w:trHeight w:val="224"/>
        </w:trPr>
        <w:tc>
          <w:tcPr>
            <w:tcW w:w="1720" w:type="dxa"/>
            <w:vAlign w:val="bottom"/>
          </w:tcPr>
          <w:p>
            <w:pPr>
              <w:spacing w:after="0"/>
              <w:rPr>
                <w:sz w:val="19"/>
                <w:szCs w:val="19"/>
                <w:color w:val="auto"/>
              </w:rPr>
            </w:pPr>
          </w:p>
        </w:tc>
        <w:tc>
          <w:tcPr>
            <w:tcW w:w="746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December 28, 2003</w:t>
            </w:r>
          </w:p>
        </w:tc>
        <w:tc>
          <w:tcPr>
            <w:tcW w:w="52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42</w:t>
            </w:r>
          </w:p>
        </w:tc>
        <w:tc>
          <w:tcPr>
            <w:tcW w:w="1720" w:type="dxa"/>
            <w:vAlign w:val="bottom"/>
          </w:tcPr>
          <w:p>
            <w:pPr>
              <w:spacing w:after="0"/>
              <w:rPr>
                <w:sz w:val="19"/>
                <w:szCs w:val="19"/>
                <w:color w:val="auto"/>
              </w:rPr>
            </w:pPr>
          </w:p>
        </w:tc>
      </w:tr>
      <w:tr>
        <w:trPr>
          <w:trHeight w:val="235"/>
        </w:trPr>
        <w:tc>
          <w:tcPr>
            <w:tcW w:w="1720" w:type="dxa"/>
            <w:vAlign w:val="bottom"/>
          </w:tcPr>
          <w:p>
            <w:pPr>
              <w:spacing w:after="0"/>
              <w:rPr>
                <w:sz w:val="20"/>
                <w:szCs w:val="20"/>
                <w:color w:val="auto"/>
              </w:rPr>
            </w:pPr>
          </w:p>
        </w:tc>
        <w:tc>
          <w:tcPr>
            <w:tcW w:w="7460" w:type="dxa"/>
            <w:vAlign w:val="bottom"/>
            <w:gridSpan w:val="2"/>
          </w:tcPr>
          <w:p>
            <w:pPr>
              <w:ind w:left="220"/>
              <w:spacing w:after="0"/>
              <w:rPr>
                <w:sz w:val="20"/>
                <w:szCs w:val="20"/>
                <w:color w:val="auto"/>
              </w:rPr>
            </w:pPr>
            <w:r>
              <w:rPr>
                <w:rFonts w:ascii="Arial" w:cs="Arial" w:eastAsia="Arial" w:hAnsi="Arial"/>
                <w:sz w:val="18"/>
                <w:szCs w:val="18"/>
                <w:color w:val="auto"/>
              </w:rPr>
              <w:t>Consolidated Statements of Changes in Common Shareholders’ Equity for the Three</w:t>
            </w:r>
          </w:p>
        </w:tc>
        <w:tc>
          <w:tcPr>
            <w:tcW w:w="5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23"/>
        </w:trPr>
        <w:tc>
          <w:tcPr>
            <w:tcW w:w="1720" w:type="dxa"/>
            <w:vAlign w:val="bottom"/>
          </w:tcPr>
          <w:p>
            <w:pPr>
              <w:spacing w:after="0"/>
              <w:rPr>
                <w:sz w:val="19"/>
                <w:szCs w:val="19"/>
                <w:color w:val="auto"/>
              </w:rPr>
            </w:pPr>
          </w:p>
        </w:tc>
        <w:tc>
          <w:tcPr>
            <w:tcW w:w="7460" w:type="dxa"/>
            <w:vAlign w:val="bottom"/>
            <w:gridSpan w:val="2"/>
          </w:tcPr>
          <w:p>
            <w:pPr>
              <w:ind w:left="260"/>
              <w:spacing w:after="0"/>
              <w:rPr>
                <w:sz w:val="20"/>
                <w:szCs w:val="20"/>
                <w:color w:val="auto"/>
              </w:rPr>
            </w:pPr>
            <w:r>
              <w:rPr>
                <w:rFonts w:ascii="Arial" w:cs="Arial" w:eastAsia="Arial" w:hAnsi="Arial"/>
                <w:sz w:val="18"/>
                <w:szCs w:val="18"/>
                <w:color w:val="auto"/>
              </w:rPr>
              <w:t>Fiscal Years Ended December 28, 2003</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43</w:t>
            </w:r>
          </w:p>
        </w:tc>
        <w:tc>
          <w:tcPr>
            <w:tcW w:w="1720" w:type="dxa"/>
            <w:vAlign w:val="bottom"/>
          </w:tcPr>
          <w:p>
            <w:pPr>
              <w:spacing w:after="0"/>
              <w:rPr>
                <w:sz w:val="19"/>
                <w:szCs w:val="19"/>
                <w:color w:val="auto"/>
              </w:rPr>
            </w:pPr>
          </w:p>
        </w:tc>
      </w:tr>
      <w:tr>
        <w:trPr>
          <w:trHeight w:val="244"/>
        </w:trPr>
        <w:tc>
          <w:tcPr>
            <w:tcW w:w="1720" w:type="dxa"/>
            <w:vAlign w:val="bottom"/>
          </w:tcPr>
          <w:p>
            <w:pPr>
              <w:spacing w:after="0"/>
              <w:rPr>
                <w:sz w:val="21"/>
                <w:szCs w:val="21"/>
                <w:color w:val="auto"/>
              </w:rPr>
            </w:pPr>
          </w:p>
        </w:tc>
        <w:tc>
          <w:tcPr>
            <w:tcW w:w="746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Notes to Consolidated Financial Statements</w:t>
            </w:r>
          </w:p>
        </w:tc>
        <w:tc>
          <w:tcPr>
            <w:tcW w:w="52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44</w:t>
            </w:r>
          </w:p>
        </w:tc>
        <w:tc>
          <w:tcPr>
            <w:tcW w:w="1720" w:type="dxa"/>
            <w:vAlign w:val="bottom"/>
          </w:tcPr>
          <w:p>
            <w:pPr>
              <w:spacing w:after="0"/>
              <w:rPr>
                <w:sz w:val="21"/>
                <w:szCs w:val="21"/>
                <w:color w:val="auto"/>
              </w:rPr>
            </w:pPr>
          </w:p>
        </w:tc>
      </w:tr>
      <w:tr>
        <w:trPr>
          <w:trHeight w:val="242"/>
        </w:trPr>
        <w:tc>
          <w:tcPr>
            <w:tcW w:w="1720" w:type="dxa"/>
            <w:vAlign w:val="bottom"/>
          </w:tcPr>
          <w:p>
            <w:pPr>
              <w:spacing w:after="0"/>
              <w:rPr>
                <w:sz w:val="21"/>
                <w:szCs w:val="21"/>
                <w:color w:val="auto"/>
              </w:rPr>
            </w:pPr>
          </w:p>
        </w:tc>
        <w:tc>
          <w:tcPr>
            <w:tcW w:w="7460" w:type="dxa"/>
            <w:vAlign w:val="bottom"/>
            <w:gridSpan w:val="2"/>
          </w:tcPr>
          <w:p>
            <w:pPr>
              <w:ind w:left="220"/>
              <w:spacing w:after="0"/>
              <w:rPr>
                <w:sz w:val="20"/>
                <w:szCs w:val="20"/>
                <w:color w:val="auto"/>
              </w:rPr>
            </w:pPr>
            <w:r>
              <w:rPr>
                <w:rFonts w:ascii="Arial" w:cs="Arial" w:eastAsia="Arial" w:hAnsi="Arial"/>
                <w:sz w:val="18"/>
                <w:szCs w:val="18"/>
                <w:color w:val="auto"/>
              </w:rPr>
              <w:t>Financial Statement Schedule for the Three Fiscal Years Ended December 28, 2003:</w:t>
            </w:r>
          </w:p>
        </w:tc>
        <w:tc>
          <w:tcPr>
            <w:tcW w:w="52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44"/>
        </w:trPr>
        <w:tc>
          <w:tcPr>
            <w:tcW w:w="1720" w:type="dxa"/>
            <w:vAlign w:val="bottom"/>
          </w:tcPr>
          <w:p>
            <w:pPr>
              <w:spacing w:after="0"/>
              <w:rPr>
                <w:sz w:val="21"/>
                <w:szCs w:val="21"/>
                <w:color w:val="auto"/>
              </w:rPr>
            </w:pPr>
          </w:p>
        </w:tc>
        <w:tc>
          <w:tcPr>
            <w:tcW w:w="7460" w:type="dxa"/>
            <w:vAlign w:val="bottom"/>
            <w:gridSpan w:val="2"/>
            <w:shd w:val="clear" w:color="auto" w:fill="EEEEEE"/>
          </w:tcPr>
          <w:p>
            <w:pPr>
              <w:ind w:left="320"/>
              <w:spacing w:after="0"/>
              <w:rPr>
                <w:sz w:val="20"/>
                <w:szCs w:val="20"/>
                <w:color w:val="auto"/>
              </w:rPr>
            </w:pPr>
            <w:r>
              <w:rPr>
                <w:rFonts w:ascii="Arial" w:cs="Arial" w:eastAsia="Arial" w:hAnsi="Arial"/>
                <w:sz w:val="18"/>
                <w:szCs w:val="18"/>
                <w:color w:val="auto"/>
              </w:rPr>
              <w:t>II — Valuation and Qualifying Accounts</w:t>
            </w:r>
          </w:p>
        </w:tc>
        <w:tc>
          <w:tcPr>
            <w:tcW w:w="52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59</w:t>
            </w:r>
          </w:p>
        </w:tc>
        <w:tc>
          <w:tcPr>
            <w:tcW w:w="1720" w:type="dxa"/>
            <w:vAlign w:val="bottom"/>
          </w:tcPr>
          <w:p>
            <w:pPr>
              <w:spacing w:after="0"/>
              <w:rPr>
                <w:sz w:val="21"/>
                <w:szCs w:val="21"/>
                <w:color w:val="auto"/>
              </w:rPr>
            </w:pPr>
          </w:p>
        </w:tc>
      </w:tr>
      <w:tr>
        <w:trPr>
          <w:trHeight w:val="216"/>
        </w:trPr>
        <w:tc>
          <w:tcPr>
            <w:tcW w:w="1720" w:type="dxa"/>
            <w:vAlign w:val="bottom"/>
          </w:tcPr>
          <w:p>
            <w:pPr>
              <w:spacing w:after="0"/>
              <w:rPr>
                <w:sz w:val="18"/>
                <w:szCs w:val="18"/>
                <w:color w:val="auto"/>
              </w:rPr>
            </w:pPr>
          </w:p>
        </w:tc>
        <w:tc>
          <w:tcPr>
            <w:tcW w:w="7460" w:type="dxa"/>
            <w:vAlign w:val="bottom"/>
            <w:gridSpan w:val="2"/>
          </w:tcPr>
          <w:p>
            <w:pPr>
              <w:ind w:left="80"/>
              <w:spacing w:after="0"/>
              <w:rPr>
                <w:sz w:val="20"/>
                <w:szCs w:val="20"/>
                <w:color w:val="auto"/>
              </w:rPr>
            </w:pPr>
            <w:r>
              <w:rPr>
                <w:rFonts w:ascii="Arial" w:cs="Arial" w:eastAsia="Arial" w:hAnsi="Arial"/>
                <w:sz w:val="18"/>
                <w:szCs w:val="18"/>
                <w:color w:val="auto"/>
              </w:rPr>
              <w:t>Ten-Year Summary of Selected Historical Financial Data (Unaudited)</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60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74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INDEX TO EXHIBITS</w:t>
            </w:r>
          </w:p>
        </w:tc>
        <w:tc>
          <w:tcPr>
            <w:tcW w:w="52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63</w:t>
            </w:r>
          </w:p>
        </w:tc>
        <w:tc>
          <w:tcPr>
            <w:tcW w:w="1720" w:type="dxa"/>
            <w:vAlign w:val="bottom"/>
          </w:tcPr>
          <w:p>
            <w:pPr>
              <w:spacing w:after="0"/>
              <w:rPr>
                <w:sz w:val="18"/>
                <w:szCs w:val="18"/>
                <w:color w:val="auto"/>
              </w:rPr>
            </w:pPr>
          </w:p>
        </w:tc>
      </w:tr>
      <w:tr>
        <w:trPr>
          <w:trHeight w:val="226"/>
        </w:trPr>
        <w:tc>
          <w:tcPr>
            <w:tcW w:w="172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63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31" w:lineRule="exact"/>
        <w:rPr>
          <w:sz w:val="20"/>
          <w:szCs w:val="20"/>
          <w:color w:val="auto"/>
        </w:rPr>
      </w:pPr>
    </w:p>
    <w:p>
      <w:pPr>
        <w:ind w:right="520"/>
        <w:spacing w:after="0" w:line="306" w:lineRule="auto"/>
        <w:rPr>
          <w:sz w:val="20"/>
          <w:szCs w:val="20"/>
          <w:color w:val="auto"/>
        </w:rPr>
      </w:pPr>
      <w:r>
        <w:rPr>
          <w:rFonts w:ascii="Arial" w:cs="Arial" w:eastAsia="Arial" w:hAnsi="Arial"/>
          <w:sz w:val="16"/>
          <w:szCs w:val="16"/>
          <w:color w:val="auto"/>
        </w:rPr>
        <w:t xml:space="preserve">The principal business activities of The Washington Post Company (the “Company”) consist of newspaper publishing (principally </w:t>
      </w:r>
      <w:r>
        <w:rPr>
          <w:rFonts w:ascii="Arial" w:cs="Arial" w:eastAsia="Arial" w:hAnsi="Arial"/>
          <w:sz w:val="16"/>
          <w:szCs w:val="16"/>
          <w:i w:val="1"/>
          <w:iCs w:val="1"/>
          <w:color w:val="auto"/>
        </w:rPr>
        <w:t>The Washington Post</w:t>
      </w:r>
      <w:r>
        <w:rPr>
          <w:rFonts w:ascii="Arial" w:cs="Arial" w:eastAsia="Arial" w:hAnsi="Arial"/>
          <w:sz w:val="16"/>
          <w:szCs w:val="16"/>
          <w:color w:val="auto"/>
        </w:rPr>
        <w:t xml:space="preserve">), television broadcasting (through the ownership and operation of six television broadcast stations), the ownership and operation of cable television systems, magazine publishing (principally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magazine), and (through its Kaplan subsidiary) the provision of educational services.</w:t>
      </w:r>
    </w:p>
    <w:p>
      <w:pPr>
        <w:spacing w:after="0" w:line="16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Information concerning the consolidated operating revenues, consolidated income from operations and identifiable assets attributable to the principal segments of the Company’s business for the last three fiscal years is contained in Note N to the Company’s Consolidated Financial Statements appearing elsewhere in this Annual Report on Form 10-K. (Revenues for each segment are shown in such Note N net of intersegment sales, which did not exceed 0.1% of consolidated operating revenues.)</w:t>
      </w:r>
    </w:p>
    <w:p>
      <w:pPr>
        <w:spacing w:after="0" w:line="19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 xml:space="preserve">During each of the last three years the Company’s operations in geographic areas outside the United States (consisting primarily of Kaplan’s foreign operations and the publication of the international editions of </w:t>
      </w:r>
      <w:r>
        <w:rPr>
          <w:rFonts w:ascii="Arial" w:cs="Arial" w:eastAsia="Arial" w:hAnsi="Arial"/>
          <w:sz w:val="18"/>
          <w:szCs w:val="18"/>
          <w:i w:val="1"/>
          <w:iCs w:val="1"/>
          <w:color w:val="auto"/>
        </w:rPr>
        <w:t>Newsweek</w:t>
      </w:r>
      <w:r>
        <w:rPr>
          <w:rFonts w:ascii="Arial" w:cs="Arial" w:eastAsia="Arial" w:hAnsi="Arial"/>
          <w:sz w:val="18"/>
          <w:szCs w:val="18"/>
          <w:color w:val="auto"/>
        </w:rPr>
        <w:t>) accounted for less than 5% of the Company’s consolidated revenues, and the identifiable assets attributable to such operations represented approximately 6% of the Company’s consolidated assets at December 28, 2003, and less than 2% of the Company’s consolidated assets at December 29, 2002, and December 30, 2001.</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Newspaper Publishing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Washington Post</w:t>
      </w:r>
    </w:p>
    <w:p>
      <w:pPr>
        <w:spacing w:after="0" w:line="231"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 xml:space="preserve">WP Company LLC (“WP Company”), a subsidiary of the Company, publishes </w:t>
      </w:r>
      <w:r>
        <w:rPr>
          <w:rFonts w:ascii="Arial" w:cs="Arial" w:eastAsia="Arial" w:hAnsi="Arial"/>
          <w:sz w:val="16"/>
          <w:szCs w:val="16"/>
          <w:i w:val="1"/>
          <w:iCs w:val="1"/>
          <w:color w:val="auto"/>
        </w:rPr>
        <w:t>The Washington Post,</w:t>
      </w:r>
      <w:r>
        <w:rPr>
          <w:rFonts w:ascii="Arial" w:cs="Arial" w:eastAsia="Arial" w:hAnsi="Arial"/>
          <w:sz w:val="16"/>
          <w:szCs w:val="16"/>
          <w:color w:val="auto"/>
        </w:rPr>
        <w:t xml:space="preserve"> which is a morning and Sunday newspaper primarily distributed by home delivery in the Washington, D.C. metropolitan area, including large portions of Virginia and Maryland.</w:t>
      </w:r>
    </w:p>
    <w:p>
      <w:pPr>
        <w:spacing w:after="0" w:line="139"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 xml:space="preserve">The following table shows the average paid daily (including Saturday) and Sunday circulation of </w:t>
      </w:r>
      <w:r>
        <w:rPr>
          <w:rFonts w:ascii="Arial" w:cs="Arial" w:eastAsia="Arial" w:hAnsi="Arial"/>
          <w:sz w:val="16"/>
          <w:szCs w:val="16"/>
          <w:i w:val="1"/>
          <w:iCs w:val="1"/>
          <w:color w:val="auto"/>
        </w:rPr>
        <w:t>The Post</w:t>
      </w:r>
      <w:r>
        <w:rPr>
          <w:rFonts w:ascii="Arial" w:cs="Arial" w:eastAsia="Arial" w:hAnsi="Arial"/>
          <w:sz w:val="16"/>
          <w:szCs w:val="16"/>
          <w:color w:val="auto"/>
        </w:rPr>
        <w:t xml:space="preserve"> for the twelve-month periods ended September 30 in each of the last five years, as reported by the Audit Bureau of Circulations (“ABC”) for the years 1999-2002 and as estimated by </w:t>
      </w:r>
      <w:r>
        <w:rPr>
          <w:rFonts w:ascii="Arial" w:cs="Arial" w:eastAsia="Arial" w:hAnsi="Arial"/>
          <w:sz w:val="16"/>
          <w:szCs w:val="16"/>
          <w:i w:val="1"/>
          <w:iCs w:val="1"/>
          <w:color w:val="auto"/>
        </w:rPr>
        <w:t>The Post</w:t>
      </w:r>
      <w:r>
        <w:rPr>
          <w:rFonts w:ascii="Arial" w:cs="Arial" w:eastAsia="Arial" w:hAnsi="Arial"/>
          <w:sz w:val="16"/>
          <w:szCs w:val="16"/>
          <w:color w:val="auto"/>
        </w:rPr>
        <w:t xml:space="preserve"> for the twelve-month period ended September 30, 2003 (for which period ABC had not completed its audit as of the date of this report) from the semiannual publisher’s statements submitted to ABC for the six-month periods ended March 31, 2003 and September 30, 2003:</w:t>
      </w:r>
    </w:p>
    <w:p>
      <w:pPr>
        <w:spacing w:after="0" w:line="383" w:lineRule="exact"/>
        <w:rPr>
          <w:sz w:val="20"/>
          <w:szCs w:val="20"/>
          <w:color w:val="auto"/>
        </w:rPr>
      </w:pPr>
    </w:p>
    <w:tbl>
      <w:tblPr>
        <w:tblLayout w:type="fixed"/>
        <w:tblInd w:w="3440" w:type="dxa"/>
        <w:tblCellMar>
          <w:top w:w="0" w:type="dxa"/>
          <w:left w:w="0" w:type="dxa"/>
          <w:bottom w:w="0" w:type="dxa"/>
          <w:right w:w="0" w:type="dxa"/>
        </w:tblCellMar>
      </w:tblPr>
      <w:tr>
        <w:trPr>
          <w:trHeight w:val="222"/>
        </w:trPr>
        <w:tc>
          <w:tcPr>
            <w:tcW w:w="1220" w:type="dxa"/>
            <w:vAlign w:val="bottom"/>
          </w:tcPr>
          <w:p>
            <w:pPr>
              <w:spacing w:after="0"/>
              <w:rPr>
                <w:sz w:val="19"/>
                <w:szCs w:val="19"/>
                <w:color w:val="auto"/>
              </w:rPr>
            </w:pPr>
          </w:p>
        </w:tc>
        <w:tc>
          <w:tcPr>
            <w:tcW w:w="3340" w:type="dxa"/>
            <w:vAlign w:val="bottom"/>
            <w:gridSpan w:val="2"/>
          </w:tcPr>
          <w:p>
            <w:pPr>
              <w:jc w:val="right"/>
              <w:ind w:right="692"/>
              <w:spacing w:after="0"/>
              <w:rPr>
                <w:sz w:val="20"/>
                <w:szCs w:val="20"/>
                <w:color w:val="auto"/>
              </w:rPr>
            </w:pPr>
            <w:r>
              <w:rPr>
                <w:rFonts w:ascii="Arial" w:cs="Arial" w:eastAsia="Arial" w:hAnsi="Arial"/>
                <w:sz w:val="18"/>
                <w:szCs w:val="18"/>
                <w:color w:val="auto"/>
              </w:rPr>
              <w:t>Average Paid Circulation</w:t>
            </w:r>
          </w:p>
        </w:tc>
      </w:tr>
      <w:tr>
        <w:trPr>
          <w:trHeight w:val="110"/>
        </w:trPr>
        <w:tc>
          <w:tcPr>
            <w:tcW w:w="12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r>
      <w:tr>
        <w:trPr>
          <w:trHeight w:val="316"/>
        </w:trPr>
        <w:tc>
          <w:tcPr>
            <w:tcW w:w="1220" w:type="dxa"/>
            <w:vAlign w:val="bottom"/>
          </w:tcPr>
          <w:p>
            <w:pPr>
              <w:spacing w:after="0"/>
              <w:rPr>
                <w:sz w:val="24"/>
                <w:szCs w:val="24"/>
                <w:color w:val="auto"/>
              </w:rPr>
            </w:pPr>
          </w:p>
        </w:tc>
        <w:tc>
          <w:tcPr>
            <w:tcW w:w="1640" w:type="dxa"/>
            <w:vAlign w:val="bottom"/>
          </w:tcPr>
          <w:p>
            <w:pPr>
              <w:jc w:val="right"/>
              <w:ind w:right="652"/>
              <w:spacing w:after="0"/>
              <w:rPr>
                <w:sz w:val="20"/>
                <w:szCs w:val="20"/>
                <w:color w:val="auto"/>
              </w:rPr>
            </w:pPr>
            <w:r>
              <w:rPr>
                <w:rFonts w:ascii="Arial" w:cs="Arial" w:eastAsia="Arial" w:hAnsi="Arial"/>
                <w:sz w:val="18"/>
                <w:szCs w:val="18"/>
                <w:color w:val="auto"/>
              </w:rPr>
              <w:t>Daily</w:t>
            </w:r>
          </w:p>
        </w:tc>
        <w:tc>
          <w:tcPr>
            <w:tcW w:w="1700" w:type="dxa"/>
            <w:vAlign w:val="bottom"/>
          </w:tcPr>
          <w:p>
            <w:pPr>
              <w:jc w:val="right"/>
              <w:ind w:right="192"/>
              <w:spacing w:after="0"/>
              <w:rPr>
                <w:sz w:val="20"/>
                <w:szCs w:val="20"/>
                <w:color w:val="auto"/>
              </w:rPr>
            </w:pPr>
            <w:r>
              <w:rPr>
                <w:rFonts w:ascii="Arial" w:cs="Arial" w:eastAsia="Arial" w:hAnsi="Arial"/>
                <w:sz w:val="18"/>
                <w:szCs w:val="18"/>
                <w:color w:val="auto"/>
              </w:rPr>
              <w:t>Sunday</w:t>
            </w:r>
          </w:p>
        </w:tc>
      </w:tr>
      <w:tr>
        <w:trPr>
          <w:trHeight w:val="110"/>
        </w:trPr>
        <w:tc>
          <w:tcPr>
            <w:tcW w:w="12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r>
      <w:tr>
        <w:trPr>
          <w:trHeight w:val="102"/>
        </w:trPr>
        <w:tc>
          <w:tcPr>
            <w:tcW w:w="12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700" w:type="dxa"/>
            <w:vAlign w:val="bottom"/>
          </w:tcPr>
          <w:p>
            <w:pPr>
              <w:spacing w:after="0"/>
              <w:rPr>
                <w:sz w:val="8"/>
                <w:szCs w:val="8"/>
                <w:color w:val="auto"/>
              </w:rPr>
            </w:pPr>
          </w:p>
        </w:tc>
      </w:tr>
      <w:tr>
        <w:trPr>
          <w:trHeight w:val="216"/>
        </w:trPr>
        <w:tc>
          <w:tcPr>
            <w:tcW w:w="122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rPr>
              <w:t>1999</w:t>
            </w:r>
          </w:p>
        </w:tc>
        <w:tc>
          <w:tcPr>
            <w:tcW w:w="1640" w:type="dxa"/>
            <w:vAlign w:val="bottom"/>
            <w:shd w:val="clear" w:color="auto" w:fill="EEEEEE"/>
          </w:tcPr>
          <w:p>
            <w:pPr>
              <w:jc w:val="right"/>
              <w:ind w:right="652"/>
              <w:spacing w:after="0"/>
              <w:rPr>
                <w:sz w:val="20"/>
                <w:szCs w:val="20"/>
                <w:color w:val="auto"/>
              </w:rPr>
            </w:pPr>
            <w:r>
              <w:rPr>
                <w:rFonts w:ascii="Arial" w:cs="Arial" w:eastAsia="Arial" w:hAnsi="Arial"/>
                <w:sz w:val="18"/>
                <w:szCs w:val="18"/>
                <w:color w:val="auto"/>
              </w:rPr>
              <w:t>775,005</w:t>
            </w:r>
          </w:p>
        </w:tc>
        <w:tc>
          <w:tcPr>
            <w:tcW w:w="170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rPr>
              <w:t>1,085,060</w:t>
            </w:r>
          </w:p>
        </w:tc>
      </w:tr>
      <w:tr>
        <w:trPr>
          <w:trHeight w:val="216"/>
        </w:trPr>
        <w:tc>
          <w:tcPr>
            <w:tcW w:w="1220" w:type="dxa"/>
            <w:vAlign w:val="bottom"/>
          </w:tcPr>
          <w:p>
            <w:pPr>
              <w:jc w:val="right"/>
              <w:ind w:right="272"/>
              <w:spacing w:after="0"/>
              <w:rPr>
                <w:sz w:val="20"/>
                <w:szCs w:val="20"/>
                <w:color w:val="auto"/>
              </w:rPr>
            </w:pPr>
            <w:r>
              <w:rPr>
                <w:rFonts w:ascii="Arial" w:cs="Arial" w:eastAsia="Arial" w:hAnsi="Arial"/>
                <w:sz w:val="18"/>
                <w:szCs w:val="18"/>
                <w:color w:val="auto"/>
              </w:rPr>
              <w:t>2000</w:t>
            </w:r>
          </w:p>
        </w:tc>
        <w:tc>
          <w:tcPr>
            <w:tcW w:w="1640" w:type="dxa"/>
            <w:vAlign w:val="bottom"/>
          </w:tcPr>
          <w:p>
            <w:pPr>
              <w:jc w:val="right"/>
              <w:ind w:right="652"/>
              <w:spacing w:after="0"/>
              <w:rPr>
                <w:sz w:val="20"/>
                <w:szCs w:val="20"/>
                <w:color w:val="auto"/>
              </w:rPr>
            </w:pPr>
            <w:r>
              <w:rPr>
                <w:rFonts w:ascii="Arial" w:cs="Arial" w:eastAsia="Arial" w:hAnsi="Arial"/>
                <w:sz w:val="18"/>
                <w:szCs w:val="18"/>
                <w:color w:val="auto"/>
              </w:rPr>
              <w:t>777,521</w:t>
            </w:r>
          </w:p>
        </w:tc>
        <w:tc>
          <w:tcPr>
            <w:tcW w:w="1700" w:type="dxa"/>
            <w:vAlign w:val="bottom"/>
          </w:tcPr>
          <w:p>
            <w:pPr>
              <w:jc w:val="right"/>
              <w:ind w:right="192"/>
              <w:spacing w:after="0"/>
              <w:rPr>
                <w:sz w:val="20"/>
                <w:szCs w:val="20"/>
                <w:color w:val="auto"/>
              </w:rPr>
            </w:pPr>
            <w:r>
              <w:rPr>
                <w:rFonts w:ascii="Arial" w:cs="Arial" w:eastAsia="Arial" w:hAnsi="Arial"/>
                <w:sz w:val="18"/>
                <w:szCs w:val="18"/>
                <w:color w:val="auto"/>
              </w:rPr>
              <w:t>1,075,918</w:t>
            </w:r>
          </w:p>
        </w:tc>
      </w:tr>
      <w:tr>
        <w:trPr>
          <w:trHeight w:val="216"/>
        </w:trPr>
        <w:tc>
          <w:tcPr>
            <w:tcW w:w="122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rPr>
              <w:t>2001</w:t>
            </w:r>
          </w:p>
        </w:tc>
        <w:tc>
          <w:tcPr>
            <w:tcW w:w="1640" w:type="dxa"/>
            <w:vAlign w:val="bottom"/>
            <w:shd w:val="clear" w:color="auto" w:fill="EEEEEE"/>
          </w:tcPr>
          <w:p>
            <w:pPr>
              <w:jc w:val="right"/>
              <w:ind w:right="652"/>
              <w:spacing w:after="0"/>
              <w:rPr>
                <w:sz w:val="20"/>
                <w:szCs w:val="20"/>
                <w:color w:val="auto"/>
              </w:rPr>
            </w:pPr>
            <w:r>
              <w:rPr>
                <w:rFonts w:ascii="Arial" w:cs="Arial" w:eastAsia="Arial" w:hAnsi="Arial"/>
                <w:sz w:val="18"/>
                <w:szCs w:val="18"/>
                <w:color w:val="auto"/>
              </w:rPr>
              <w:t>771,614</w:t>
            </w:r>
          </w:p>
        </w:tc>
        <w:tc>
          <w:tcPr>
            <w:tcW w:w="170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rPr>
              <w:t>1,066,723</w:t>
            </w:r>
          </w:p>
        </w:tc>
      </w:tr>
      <w:tr>
        <w:trPr>
          <w:trHeight w:val="216"/>
        </w:trPr>
        <w:tc>
          <w:tcPr>
            <w:tcW w:w="1220" w:type="dxa"/>
            <w:vAlign w:val="bottom"/>
          </w:tcPr>
          <w:p>
            <w:pPr>
              <w:jc w:val="right"/>
              <w:ind w:right="272"/>
              <w:spacing w:after="0"/>
              <w:rPr>
                <w:sz w:val="20"/>
                <w:szCs w:val="20"/>
                <w:color w:val="auto"/>
              </w:rPr>
            </w:pPr>
            <w:r>
              <w:rPr>
                <w:rFonts w:ascii="Arial" w:cs="Arial" w:eastAsia="Arial" w:hAnsi="Arial"/>
                <w:sz w:val="18"/>
                <w:szCs w:val="18"/>
                <w:color w:val="auto"/>
              </w:rPr>
              <w:t>2002</w:t>
            </w:r>
          </w:p>
        </w:tc>
        <w:tc>
          <w:tcPr>
            <w:tcW w:w="1640" w:type="dxa"/>
            <w:vAlign w:val="bottom"/>
          </w:tcPr>
          <w:p>
            <w:pPr>
              <w:jc w:val="right"/>
              <w:ind w:right="652"/>
              <w:spacing w:after="0"/>
              <w:rPr>
                <w:sz w:val="20"/>
                <w:szCs w:val="20"/>
                <w:color w:val="auto"/>
              </w:rPr>
            </w:pPr>
            <w:r>
              <w:rPr>
                <w:rFonts w:ascii="Arial" w:cs="Arial" w:eastAsia="Arial" w:hAnsi="Arial"/>
                <w:sz w:val="18"/>
                <w:szCs w:val="18"/>
                <w:color w:val="auto"/>
              </w:rPr>
              <w:t>767,843</w:t>
            </w:r>
          </w:p>
        </w:tc>
        <w:tc>
          <w:tcPr>
            <w:tcW w:w="1700" w:type="dxa"/>
            <w:vAlign w:val="bottom"/>
          </w:tcPr>
          <w:p>
            <w:pPr>
              <w:jc w:val="right"/>
              <w:ind w:right="192"/>
              <w:spacing w:after="0"/>
              <w:rPr>
                <w:sz w:val="20"/>
                <w:szCs w:val="20"/>
                <w:color w:val="auto"/>
              </w:rPr>
            </w:pPr>
            <w:r>
              <w:rPr>
                <w:rFonts w:ascii="Arial" w:cs="Arial" w:eastAsia="Arial" w:hAnsi="Arial"/>
                <w:sz w:val="18"/>
                <w:szCs w:val="18"/>
                <w:color w:val="auto"/>
              </w:rPr>
              <w:t>1,058,458</w:t>
            </w:r>
          </w:p>
        </w:tc>
      </w:tr>
      <w:tr>
        <w:trPr>
          <w:trHeight w:val="216"/>
        </w:trPr>
        <w:tc>
          <w:tcPr>
            <w:tcW w:w="122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rPr>
              <w:t>2003</w:t>
            </w:r>
          </w:p>
        </w:tc>
        <w:tc>
          <w:tcPr>
            <w:tcW w:w="1640" w:type="dxa"/>
            <w:vAlign w:val="bottom"/>
            <w:shd w:val="clear" w:color="auto" w:fill="EEEEEE"/>
          </w:tcPr>
          <w:p>
            <w:pPr>
              <w:jc w:val="right"/>
              <w:ind w:right="652"/>
              <w:spacing w:after="0"/>
              <w:rPr>
                <w:sz w:val="20"/>
                <w:szCs w:val="20"/>
                <w:color w:val="auto"/>
              </w:rPr>
            </w:pPr>
            <w:r>
              <w:rPr>
                <w:rFonts w:ascii="Arial" w:cs="Arial" w:eastAsia="Arial" w:hAnsi="Arial"/>
                <w:sz w:val="18"/>
                <w:szCs w:val="18"/>
                <w:color w:val="auto"/>
              </w:rPr>
              <w:t>753,845</w:t>
            </w:r>
          </w:p>
        </w:tc>
        <w:tc>
          <w:tcPr>
            <w:tcW w:w="170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rPr>
              <w:t>1,039,644</w:t>
            </w:r>
          </w:p>
        </w:tc>
      </w:tr>
    </w:tbl>
    <w:p>
      <w:pPr>
        <w:spacing w:after="0" w:line="20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newsstand price for the daily newspaper was increased from $0.25 (which had been the price since 1981) to $0.35 effective December 31, 2001. The newsstand price for the Sunday newspaper has been $1.50 since 1992. In July 2003 the rate charged for home-delivered copies of the daily and Sunday newspaper for each four-week period was increased to $13.44 from $12.60, which had been the rate since July 2002. The corresponding rate charged for Sunday-only home delivery has been $6.00 since 1991.</w:t>
      </w:r>
    </w:p>
    <w:p>
      <w:pPr>
        <w:spacing w:after="0" w:line="19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General advertising rates were increased by an average of approximately 4.6% on January 1, 2003, and by approximately another 5.3% on January 1, 2004. Rates for most categories of classified and retail advertising were increased by an average of approximately 3.9% on February 1, 2003, and by approximately an additional 3.1% on February 1, 2004.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sets forth </w:t>
      </w:r>
      <w:r>
        <w:rPr>
          <w:rFonts w:ascii="Arial" w:cs="Arial" w:eastAsia="Arial" w:hAnsi="Arial"/>
          <w:sz w:val="18"/>
          <w:szCs w:val="18"/>
          <w:i w:val="1"/>
          <w:iCs w:val="1"/>
          <w:color w:val="auto"/>
        </w:rPr>
        <w:t>The Post</w:t>
      </w:r>
      <w:r>
        <w:rPr>
          <w:rFonts w:ascii="Arial" w:cs="Arial" w:eastAsia="Arial" w:hAnsi="Arial"/>
          <w:sz w:val="18"/>
          <w:szCs w:val="18"/>
          <w:color w:val="auto"/>
        </w:rPr>
        <w:t>’s advertising inches (excluding preprints) and number of preprints for the past five years:</w:t>
      </w:r>
    </w:p>
    <w:p>
      <w:pPr>
        <w:spacing w:after="0" w:line="200" w:lineRule="exact"/>
        <w:rPr>
          <w:sz w:val="20"/>
          <w:szCs w:val="20"/>
          <w:color w:val="auto"/>
        </w:rPr>
      </w:pPr>
    </w:p>
    <w:p>
      <w:pPr>
        <w:spacing w:after="0" w:line="241" w:lineRule="exact"/>
        <w:rPr>
          <w:sz w:val="20"/>
          <w:szCs w:val="20"/>
          <w:color w:val="auto"/>
        </w:rPr>
      </w:pPr>
    </w:p>
    <w:tbl>
      <w:tblPr>
        <w:tblLayout w:type="fixed"/>
        <w:tblInd w:w="172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100" w:type="dxa"/>
            <w:vAlign w:val="bottom"/>
          </w:tcPr>
          <w:p>
            <w:pPr>
              <w:jc w:val="right"/>
              <w:ind w:right="272"/>
              <w:spacing w:after="0"/>
              <w:rPr>
                <w:sz w:val="20"/>
                <w:szCs w:val="20"/>
                <w:color w:val="auto"/>
              </w:rPr>
            </w:pPr>
            <w:r>
              <w:rPr>
                <w:rFonts w:ascii="Arial" w:cs="Arial" w:eastAsia="Arial" w:hAnsi="Arial"/>
                <w:sz w:val="18"/>
                <w:szCs w:val="18"/>
                <w:color w:val="auto"/>
              </w:rPr>
              <w:t>1999</w:t>
            </w:r>
          </w:p>
        </w:tc>
        <w:tc>
          <w:tcPr>
            <w:tcW w:w="1160" w:type="dxa"/>
            <w:vAlign w:val="bottom"/>
          </w:tcPr>
          <w:p>
            <w:pPr>
              <w:jc w:val="right"/>
              <w:ind w:right="312"/>
              <w:spacing w:after="0"/>
              <w:rPr>
                <w:sz w:val="20"/>
                <w:szCs w:val="20"/>
                <w:color w:val="auto"/>
              </w:rPr>
            </w:pPr>
            <w:r>
              <w:rPr>
                <w:rFonts w:ascii="Arial" w:cs="Arial" w:eastAsia="Arial" w:hAnsi="Arial"/>
                <w:sz w:val="18"/>
                <w:szCs w:val="18"/>
                <w:color w:val="auto"/>
              </w:rPr>
              <w:t>2000</w:t>
            </w:r>
          </w:p>
        </w:tc>
        <w:tc>
          <w:tcPr>
            <w:tcW w:w="1140" w:type="dxa"/>
            <w:vAlign w:val="bottom"/>
          </w:tcPr>
          <w:p>
            <w:pPr>
              <w:jc w:val="right"/>
              <w:ind w:right="312"/>
              <w:spacing w:after="0"/>
              <w:rPr>
                <w:sz w:val="20"/>
                <w:szCs w:val="20"/>
                <w:color w:val="auto"/>
              </w:rPr>
            </w:pPr>
            <w:r>
              <w:rPr>
                <w:rFonts w:ascii="Arial" w:cs="Arial" w:eastAsia="Arial" w:hAnsi="Arial"/>
                <w:sz w:val="18"/>
                <w:szCs w:val="18"/>
                <w:color w:val="auto"/>
              </w:rPr>
              <w:t>2001</w:t>
            </w:r>
          </w:p>
        </w:tc>
        <w:tc>
          <w:tcPr>
            <w:tcW w:w="1140" w:type="dxa"/>
            <w:vAlign w:val="bottom"/>
          </w:tcPr>
          <w:p>
            <w:pPr>
              <w:jc w:val="right"/>
              <w:ind w:right="312"/>
              <w:spacing w:after="0"/>
              <w:rPr>
                <w:sz w:val="20"/>
                <w:szCs w:val="20"/>
                <w:color w:val="auto"/>
              </w:rPr>
            </w:pPr>
            <w:r>
              <w:rPr>
                <w:rFonts w:ascii="Arial" w:cs="Arial" w:eastAsia="Arial" w:hAnsi="Arial"/>
                <w:sz w:val="18"/>
                <w:szCs w:val="18"/>
                <w:color w:val="auto"/>
              </w:rPr>
              <w:t>2002</w:t>
            </w:r>
          </w:p>
        </w:tc>
        <w:tc>
          <w:tcPr>
            <w:tcW w:w="980" w:type="dxa"/>
            <w:vAlign w:val="bottom"/>
          </w:tcPr>
          <w:p>
            <w:pPr>
              <w:jc w:val="right"/>
              <w:ind w:right="172"/>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shd w:val="clear" w:color="auto" w:fill="EEEEEE"/>
          </w:tcPr>
          <w:p>
            <w:pPr>
              <w:spacing w:after="0"/>
              <w:rPr>
                <w:sz w:val="20"/>
                <w:szCs w:val="20"/>
                <w:color w:val="auto"/>
              </w:rPr>
            </w:pPr>
            <w:r>
              <w:rPr>
                <w:rFonts w:ascii="Arial" w:cs="Arial" w:eastAsia="Arial" w:hAnsi="Arial"/>
                <w:sz w:val="18"/>
                <w:szCs w:val="18"/>
                <w:color w:val="auto"/>
              </w:rPr>
              <w:t>Total Inches (in thousands)</w:t>
            </w:r>
          </w:p>
        </w:tc>
        <w:tc>
          <w:tcPr>
            <w:tcW w:w="110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rPr>
              <w:t>3,288</w:t>
            </w:r>
          </w:p>
        </w:tc>
        <w:tc>
          <w:tcPr>
            <w:tcW w:w="116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3,363</w:t>
            </w:r>
          </w:p>
        </w:tc>
        <w:tc>
          <w:tcPr>
            <w:tcW w:w="114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2,714</w:t>
            </w:r>
          </w:p>
        </w:tc>
        <w:tc>
          <w:tcPr>
            <w:tcW w:w="114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rPr>
              <w:t>2,657</w:t>
            </w:r>
          </w:p>
        </w:tc>
        <w:tc>
          <w:tcPr>
            <w:tcW w:w="980" w:type="dxa"/>
            <w:vAlign w:val="bottom"/>
            <w:shd w:val="clear" w:color="auto" w:fill="EEEEEE"/>
          </w:tcPr>
          <w:p>
            <w:pPr>
              <w:jc w:val="right"/>
              <w:ind w:right="112"/>
              <w:spacing w:after="0"/>
              <w:rPr>
                <w:sz w:val="20"/>
                <w:szCs w:val="20"/>
                <w:color w:val="auto"/>
              </w:rPr>
            </w:pPr>
            <w:r>
              <w:rPr>
                <w:rFonts w:ascii="Arial" w:cs="Arial" w:eastAsia="Arial" w:hAnsi="Arial"/>
                <w:sz w:val="18"/>
                <w:szCs w:val="18"/>
                <w:color w:val="auto"/>
              </w:rPr>
              <w:t>2,675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300"/>
              <w:spacing w:after="0"/>
              <w:rPr>
                <w:sz w:val="20"/>
                <w:szCs w:val="20"/>
                <w:color w:val="auto"/>
              </w:rPr>
            </w:pPr>
            <w:r>
              <w:rPr>
                <w:rFonts w:ascii="Arial" w:cs="Arial" w:eastAsia="Arial" w:hAnsi="Arial"/>
                <w:sz w:val="18"/>
                <w:szCs w:val="18"/>
                <w:color w:val="auto"/>
              </w:rPr>
              <w:t>Full-Run Inches</w:t>
            </w:r>
          </w:p>
        </w:tc>
        <w:tc>
          <w:tcPr>
            <w:tcW w:w="1100" w:type="dxa"/>
            <w:vAlign w:val="bottom"/>
          </w:tcPr>
          <w:p>
            <w:pPr>
              <w:jc w:val="right"/>
              <w:ind w:right="272"/>
              <w:spacing w:after="0"/>
              <w:rPr>
                <w:sz w:val="20"/>
                <w:szCs w:val="20"/>
                <w:color w:val="auto"/>
              </w:rPr>
            </w:pPr>
            <w:r>
              <w:rPr>
                <w:rFonts w:ascii="Arial" w:cs="Arial" w:eastAsia="Arial" w:hAnsi="Arial"/>
                <w:sz w:val="18"/>
                <w:szCs w:val="18"/>
                <w:color w:val="auto"/>
              </w:rPr>
              <w:t>2,745</w:t>
            </w:r>
          </w:p>
        </w:tc>
        <w:tc>
          <w:tcPr>
            <w:tcW w:w="1160" w:type="dxa"/>
            <w:vAlign w:val="bottom"/>
          </w:tcPr>
          <w:p>
            <w:pPr>
              <w:jc w:val="right"/>
              <w:ind w:right="292"/>
              <w:spacing w:after="0"/>
              <w:rPr>
                <w:sz w:val="20"/>
                <w:szCs w:val="20"/>
                <w:color w:val="auto"/>
              </w:rPr>
            </w:pPr>
            <w:r>
              <w:rPr>
                <w:rFonts w:ascii="Arial" w:cs="Arial" w:eastAsia="Arial" w:hAnsi="Arial"/>
                <w:sz w:val="18"/>
                <w:szCs w:val="18"/>
                <w:color w:val="auto"/>
              </w:rPr>
              <w:t>2,634</w:t>
            </w:r>
          </w:p>
        </w:tc>
        <w:tc>
          <w:tcPr>
            <w:tcW w:w="1140" w:type="dxa"/>
            <w:vAlign w:val="bottom"/>
          </w:tcPr>
          <w:p>
            <w:pPr>
              <w:jc w:val="right"/>
              <w:ind w:right="292"/>
              <w:spacing w:after="0"/>
              <w:rPr>
                <w:sz w:val="20"/>
                <w:szCs w:val="20"/>
                <w:color w:val="auto"/>
              </w:rPr>
            </w:pPr>
            <w:r>
              <w:rPr>
                <w:rFonts w:ascii="Arial" w:cs="Arial" w:eastAsia="Arial" w:hAnsi="Arial"/>
                <w:sz w:val="18"/>
                <w:szCs w:val="18"/>
                <w:color w:val="auto"/>
              </w:rPr>
              <w:t>2,296</w:t>
            </w:r>
          </w:p>
        </w:tc>
        <w:tc>
          <w:tcPr>
            <w:tcW w:w="1140" w:type="dxa"/>
            <w:vAlign w:val="bottom"/>
          </w:tcPr>
          <w:p>
            <w:pPr>
              <w:jc w:val="right"/>
              <w:ind w:right="272"/>
              <w:spacing w:after="0"/>
              <w:rPr>
                <w:sz w:val="20"/>
                <w:szCs w:val="20"/>
                <w:color w:val="auto"/>
              </w:rPr>
            </w:pPr>
            <w:r>
              <w:rPr>
                <w:rFonts w:ascii="Arial" w:cs="Arial" w:eastAsia="Arial" w:hAnsi="Arial"/>
                <w:sz w:val="18"/>
                <w:szCs w:val="18"/>
                <w:color w:val="auto"/>
              </w:rPr>
              <w:t>2,180</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2,121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EEEEEE"/>
          </w:tcPr>
          <w:p>
            <w:pPr>
              <w:ind w:left="300"/>
              <w:spacing w:after="0"/>
              <w:rPr>
                <w:sz w:val="20"/>
                <w:szCs w:val="20"/>
                <w:color w:val="auto"/>
              </w:rPr>
            </w:pPr>
            <w:r>
              <w:rPr>
                <w:rFonts w:ascii="Arial" w:cs="Arial" w:eastAsia="Arial" w:hAnsi="Arial"/>
                <w:sz w:val="18"/>
                <w:szCs w:val="18"/>
                <w:color w:val="auto"/>
              </w:rPr>
              <w:t>Part-Run Inches</w:t>
            </w:r>
          </w:p>
        </w:tc>
        <w:tc>
          <w:tcPr>
            <w:tcW w:w="110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rPr>
              <w:t>543</w:t>
            </w:r>
          </w:p>
        </w:tc>
        <w:tc>
          <w:tcPr>
            <w:tcW w:w="116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729</w:t>
            </w:r>
          </w:p>
        </w:tc>
        <w:tc>
          <w:tcPr>
            <w:tcW w:w="114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418</w:t>
            </w:r>
          </w:p>
        </w:tc>
        <w:tc>
          <w:tcPr>
            <w:tcW w:w="114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rPr>
              <w:t>477</w:t>
            </w:r>
          </w:p>
        </w:tc>
        <w:tc>
          <w:tcPr>
            <w:tcW w:w="980" w:type="dxa"/>
            <w:vAlign w:val="bottom"/>
            <w:shd w:val="clear" w:color="auto" w:fill="EEEEEE"/>
          </w:tcPr>
          <w:p>
            <w:pPr>
              <w:jc w:val="right"/>
              <w:ind w:right="112"/>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Preprints (in millions)</w:t>
            </w:r>
          </w:p>
        </w:tc>
        <w:tc>
          <w:tcPr>
            <w:tcW w:w="1100" w:type="dxa"/>
            <w:vAlign w:val="bottom"/>
          </w:tcPr>
          <w:p>
            <w:pPr>
              <w:jc w:val="right"/>
              <w:ind w:right="272"/>
              <w:spacing w:after="0"/>
              <w:rPr>
                <w:sz w:val="20"/>
                <w:szCs w:val="20"/>
                <w:color w:val="auto"/>
              </w:rPr>
            </w:pPr>
            <w:r>
              <w:rPr>
                <w:rFonts w:ascii="Arial" w:cs="Arial" w:eastAsia="Arial" w:hAnsi="Arial"/>
                <w:sz w:val="18"/>
                <w:szCs w:val="18"/>
                <w:color w:val="auto"/>
              </w:rPr>
              <w:t>1,647</w:t>
            </w:r>
          </w:p>
        </w:tc>
        <w:tc>
          <w:tcPr>
            <w:tcW w:w="1160" w:type="dxa"/>
            <w:vAlign w:val="bottom"/>
          </w:tcPr>
          <w:p>
            <w:pPr>
              <w:jc w:val="right"/>
              <w:ind w:right="292"/>
              <w:spacing w:after="0"/>
              <w:rPr>
                <w:sz w:val="20"/>
                <w:szCs w:val="20"/>
                <w:color w:val="auto"/>
              </w:rPr>
            </w:pPr>
            <w:r>
              <w:rPr>
                <w:rFonts w:ascii="Arial" w:cs="Arial" w:eastAsia="Arial" w:hAnsi="Arial"/>
                <w:sz w:val="18"/>
                <w:szCs w:val="18"/>
                <w:color w:val="auto"/>
              </w:rPr>
              <w:t>1,602</w:t>
            </w:r>
          </w:p>
        </w:tc>
        <w:tc>
          <w:tcPr>
            <w:tcW w:w="1140" w:type="dxa"/>
            <w:vAlign w:val="bottom"/>
          </w:tcPr>
          <w:p>
            <w:pPr>
              <w:jc w:val="right"/>
              <w:ind w:right="292"/>
              <w:spacing w:after="0"/>
              <w:rPr>
                <w:sz w:val="20"/>
                <w:szCs w:val="20"/>
                <w:color w:val="auto"/>
              </w:rPr>
            </w:pPr>
            <w:r>
              <w:rPr>
                <w:rFonts w:ascii="Arial" w:cs="Arial" w:eastAsia="Arial" w:hAnsi="Arial"/>
                <w:sz w:val="18"/>
                <w:szCs w:val="18"/>
                <w:color w:val="auto"/>
              </w:rPr>
              <w:t>1,556</w:t>
            </w:r>
          </w:p>
        </w:tc>
        <w:tc>
          <w:tcPr>
            <w:tcW w:w="1140" w:type="dxa"/>
            <w:vAlign w:val="bottom"/>
          </w:tcPr>
          <w:p>
            <w:pPr>
              <w:jc w:val="right"/>
              <w:ind w:right="272"/>
              <w:spacing w:after="0"/>
              <w:rPr>
                <w:sz w:val="20"/>
                <w:szCs w:val="20"/>
                <w:color w:val="auto"/>
              </w:rPr>
            </w:pPr>
            <w:r>
              <w:rPr>
                <w:rFonts w:ascii="Arial" w:cs="Arial" w:eastAsia="Arial" w:hAnsi="Arial"/>
                <w:sz w:val="18"/>
                <w:szCs w:val="18"/>
                <w:color w:val="auto"/>
              </w:rPr>
              <w:t>1,656</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1,835</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 xml:space="preserve">WP Company also publishes </w:t>
      </w:r>
      <w:r>
        <w:rPr>
          <w:rFonts w:ascii="Arial" w:cs="Arial" w:eastAsia="Arial" w:hAnsi="Arial"/>
          <w:sz w:val="18"/>
          <w:szCs w:val="18"/>
          <w:i w:val="1"/>
          <w:iCs w:val="1"/>
          <w:color w:val="auto"/>
        </w:rPr>
        <w:t>The Washington Post National Weekly Edition,</w:t>
      </w:r>
      <w:r>
        <w:rPr>
          <w:rFonts w:ascii="Arial" w:cs="Arial" w:eastAsia="Arial" w:hAnsi="Arial"/>
          <w:sz w:val="18"/>
          <w:szCs w:val="18"/>
          <w:color w:val="auto"/>
        </w:rPr>
        <w:t xml:space="preserve"> a tabloid that contains selected articles and features from </w:t>
      </w:r>
      <w:r>
        <w:rPr>
          <w:rFonts w:ascii="Arial" w:cs="Arial" w:eastAsia="Arial" w:hAnsi="Arial"/>
          <w:sz w:val="18"/>
          <w:szCs w:val="18"/>
          <w:i w:val="1"/>
          <w:iCs w:val="1"/>
          <w:color w:val="auto"/>
        </w:rPr>
        <w:t>The Washington Post</w:t>
      </w:r>
      <w:r>
        <w:rPr>
          <w:rFonts w:ascii="Arial" w:cs="Arial" w:eastAsia="Arial" w:hAnsi="Arial"/>
          <w:sz w:val="18"/>
          <w:szCs w:val="18"/>
          <w:color w:val="auto"/>
        </w:rPr>
        <w:t xml:space="preserve"> edited for a national audience. The </w:t>
      </w:r>
      <w:r>
        <w:rPr>
          <w:rFonts w:ascii="Arial" w:cs="Arial" w:eastAsia="Arial" w:hAnsi="Arial"/>
          <w:sz w:val="18"/>
          <w:szCs w:val="18"/>
          <w:i w:val="1"/>
          <w:iCs w:val="1"/>
          <w:color w:val="auto"/>
        </w:rPr>
        <w:t>National Weekly Edition</w:t>
      </w:r>
      <w:r>
        <w:rPr>
          <w:rFonts w:ascii="Arial" w:cs="Arial" w:eastAsia="Arial" w:hAnsi="Arial"/>
          <w:sz w:val="18"/>
          <w:szCs w:val="18"/>
          <w:color w:val="auto"/>
        </w:rPr>
        <w:t xml:space="preserve"> has a basic subscription price of $78 per year and is delivered by second class mail to approximately 46,000 subscribers.</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012" w:gutter="0" w:footer="0" w:header="0"/>
        </w:sectPr>
      </w:pPr>
    </w:p>
    <w:bookmarkStart w:id="4" w:name="page5"/>
    <w:bookmarkEnd w:id="4"/>
    <w:p>
      <w:pPr>
        <w:ind w:right="60"/>
        <w:spacing w:after="0" w:line="259" w:lineRule="auto"/>
        <w:rPr>
          <w:sz w:val="20"/>
          <w:szCs w:val="20"/>
          <w:color w:val="auto"/>
        </w:rPr>
      </w:pPr>
      <w:r>
        <w:rPr>
          <w:rFonts w:ascii="Arial" w:cs="Arial" w:eastAsia="Arial" w:hAnsi="Arial"/>
          <w:sz w:val="18"/>
          <w:szCs w:val="18"/>
          <w:i w:val="1"/>
          <w:iCs w:val="1"/>
          <w:color w:val="auto"/>
        </w:rPr>
        <w:t xml:space="preserve">The Post </w:t>
      </w:r>
      <w:r>
        <w:rPr>
          <w:rFonts w:ascii="Arial" w:cs="Arial" w:eastAsia="Arial" w:hAnsi="Arial"/>
          <w:sz w:val="18"/>
          <w:szCs w:val="18"/>
          <w:color w:val="auto"/>
        </w:rPr>
        <w:t>has about 635 full-time editors, reporters and photographers on its staff, draws upon the news reporting facilities of the major wire services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maintains correspondents in 20 news centers abroad and in New York City; Los Angeles; Chicago; Miami; Austin, Texas; and Seattle, Washington. </w:t>
      </w:r>
      <w:r>
        <w:rPr>
          <w:rFonts w:ascii="Arial" w:cs="Arial" w:eastAsia="Arial" w:hAnsi="Arial"/>
          <w:sz w:val="18"/>
          <w:szCs w:val="18"/>
          <w:i w:val="1"/>
          <w:iCs w:val="1"/>
          <w:color w:val="auto"/>
        </w:rPr>
        <w:t>The Post</w:t>
      </w:r>
      <w:r>
        <w:rPr>
          <w:rFonts w:ascii="Arial" w:cs="Arial" w:eastAsia="Arial" w:hAnsi="Arial"/>
          <w:sz w:val="18"/>
          <w:szCs w:val="18"/>
          <w:color w:val="auto"/>
        </w:rPr>
        <w:t xml:space="preserve"> also maintains reporters in 12 local news bureaus.</w:t>
      </w:r>
    </w:p>
    <w:p>
      <w:pPr>
        <w:spacing w:after="0" w:line="194"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 xml:space="preserve">On August 4, 2003, Express Publications Company, LLC (“Express Publications”), another subsidiary of the Company, began publishing a weekday tabloid newspaper named </w:t>
      </w:r>
      <w:r>
        <w:rPr>
          <w:rFonts w:ascii="Arial" w:cs="Arial" w:eastAsia="Arial" w:hAnsi="Arial"/>
          <w:sz w:val="16"/>
          <w:szCs w:val="16"/>
          <w:i w:val="1"/>
          <w:iCs w:val="1"/>
          <w:color w:val="auto"/>
        </w:rPr>
        <w:t>Express</w:t>
      </w:r>
      <w:r>
        <w:rPr>
          <w:rFonts w:ascii="Arial" w:cs="Arial" w:eastAsia="Arial" w:hAnsi="Arial"/>
          <w:sz w:val="16"/>
          <w:szCs w:val="16"/>
          <w:color w:val="auto"/>
        </w:rPr>
        <w:t xml:space="preserve">, which is distributed free of charge using hawkers and news boxes near Metro Stations and in other locations in Washington, D.C. and nearby suburbs with heavy daytime sidewalk traffic. A typical edition of </w:t>
      </w:r>
      <w:r>
        <w:rPr>
          <w:rFonts w:ascii="Arial" w:cs="Arial" w:eastAsia="Arial" w:hAnsi="Arial"/>
          <w:sz w:val="16"/>
          <w:szCs w:val="16"/>
          <w:i w:val="1"/>
          <w:iCs w:val="1"/>
          <w:color w:val="auto"/>
        </w:rPr>
        <w:t>Express</w:t>
      </w:r>
      <w:r>
        <w:rPr>
          <w:rFonts w:ascii="Arial" w:cs="Arial" w:eastAsia="Arial" w:hAnsi="Arial"/>
          <w:sz w:val="16"/>
          <w:szCs w:val="16"/>
          <w:color w:val="auto"/>
        </w:rPr>
        <w:t xml:space="preserve"> is 24 to 28 pages long and contains short news, entertainment and sports stories as well as both classified and display advertising. Current daily circulation is approximately 145,000 copies. </w:t>
      </w:r>
      <w:r>
        <w:rPr>
          <w:rFonts w:ascii="Arial" w:cs="Arial" w:eastAsia="Arial" w:hAnsi="Arial"/>
          <w:sz w:val="16"/>
          <w:szCs w:val="16"/>
          <w:i w:val="1"/>
          <w:iCs w:val="1"/>
          <w:color w:val="auto"/>
        </w:rPr>
        <w:t>Express</w:t>
      </w:r>
      <w:r>
        <w:rPr>
          <w:rFonts w:ascii="Arial" w:cs="Arial" w:eastAsia="Arial" w:hAnsi="Arial"/>
          <w:sz w:val="16"/>
          <w:szCs w:val="16"/>
          <w:color w:val="auto"/>
        </w:rPr>
        <w:t xml:space="preserve"> relies primarily on wire service and syndicated content and is edited by a newsroom staff of 13. Advertising sales, production, and certain other services for </w:t>
      </w:r>
      <w:r>
        <w:rPr>
          <w:rFonts w:ascii="Arial" w:cs="Arial" w:eastAsia="Arial" w:hAnsi="Arial"/>
          <w:sz w:val="16"/>
          <w:szCs w:val="16"/>
          <w:i w:val="1"/>
          <w:iCs w:val="1"/>
          <w:color w:val="auto"/>
        </w:rPr>
        <w:t>Express</w:t>
      </w:r>
      <w:r>
        <w:rPr>
          <w:rFonts w:ascii="Arial" w:cs="Arial" w:eastAsia="Arial" w:hAnsi="Arial"/>
          <w:sz w:val="16"/>
          <w:szCs w:val="16"/>
          <w:color w:val="auto"/>
        </w:rPr>
        <w:t xml:space="preserve"> are provided by WP Company.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Washingtonpost.Newsweek Interactive</w:t>
      </w:r>
    </w:p>
    <w:p>
      <w:pPr>
        <w:spacing w:after="0" w:line="23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Washingtonpost.Newsweek Interactive Company, LLC (“WPNI”) develops news and information products for electronic distribution. Since 1996 this subsidiary of the Company has produced washingtonpost.com, an Internet site that features the full editorial text of </w:t>
      </w:r>
      <w:r>
        <w:rPr>
          <w:rFonts w:ascii="Arial" w:cs="Arial" w:eastAsia="Arial" w:hAnsi="Arial"/>
          <w:sz w:val="16"/>
          <w:szCs w:val="16"/>
          <w:i w:val="1"/>
          <w:iCs w:val="1"/>
          <w:color w:val="auto"/>
        </w:rPr>
        <w:t>The Washington Post</w:t>
      </w:r>
      <w:r>
        <w:rPr>
          <w:rFonts w:ascii="Arial" w:cs="Arial" w:eastAsia="Arial" w:hAnsi="Arial"/>
          <w:sz w:val="16"/>
          <w:szCs w:val="16"/>
          <w:color w:val="auto"/>
        </w:rPr>
        <w:t xml:space="preserve"> and most of </w:t>
      </w:r>
      <w:r>
        <w:rPr>
          <w:rFonts w:ascii="Arial" w:cs="Arial" w:eastAsia="Arial" w:hAnsi="Arial"/>
          <w:sz w:val="16"/>
          <w:szCs w:val="16"/>
          <w:i w:val="1"/>
          <w:iCs w:val="1"/>
          <w:color w:val="auto"/>
        </w:rPr>
        <w:t>The Post</w:t>
      </w:r>
      <w:r>
        <w:rPr>
          <w:rFonts w:ascii="Arial" w:cs="Arial" w:eastAsia="Arial" w:hAnsi="Arial"/>
          <w:sz w:val="16"/>
          <w:szCs w:val="16"/>
          <w:color w:val="auto"/>
        </w:rPr>
        <w:t xml:space="preserve">’s classified advertising as well as original content created by </w:t>
      </w:r>
      <w:r>
        <w:rPr>
          <w:rFonts w:ascii="Arial" w:cs="Arial" w:eastAsia="Arial" w:hAnsi="Arial"/>
          <w:sz w:val="16"/>
          <w:szCs w:val="16"/>
          <w:i w:val="1"/>
          <w:iCs w:val="1"/>
          <w:color w:val="auto"/>
        </w:rPr>
        <w:t>The Post</w:t>
      </w:r>
      <w:r>
        <w:rPr>
          <w:rFonts w:ascii="Arial" w:cs="Arial" w:eastAsia="Arial" w:hAnsi="Arial"/>
          <w:sz w:val="16"/>
          <w:szCs w:val="16"/>
          <w:color w:val="auto"/>
        </w:rPr>
        <w:t>’s and WPNI’s staffs and content obtained from other sources. This site is currently generating more than 180 million page views per month. The washingtonpost.com site also features comprehensive information about activities, groups and businesses in the Washington, D.C. area, including an arts and entertainment section and a news section focusing on technology businesses and related policy issues. This site has developed a substantial audience of users who are outside of the Washington, D.C. area, and WPNI believes that at least three-quarters of the unique users who access the site each month are in that category. Since 2002 WPNI has required most users accessing the washingtonpost.com site to register and provide their year of birth, gender and zip code. The resulting information helps WPNI provide online advertisers with opportunities to target specific geographic areas and demographic groups. In February 2004 this registration process was modified to begin collecting additional information from users, including job title and the type of industry in which the user works. WPNI also offers registered users the option of receiving various e-mail newsletters that cover specific topics, including political news and analysis, personal technology, and entertainment.</w:t>
      </w:r>
    </w:p>
    <w:p>
      <w:pPr>
        <w:spacing w:after="0" w:line="18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 xml:space="preserve">WPNI also produces the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Internet site, which was launched in 1998 and contains editorial content from the print edition of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as well as daily news updates and analysis, photo galleries, Web guides and other features.</w:t>
      </w:r>
    </w:p>
    <w:p>
      <w:pPr>
        <w:spacing w:after="0" w:line="18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WPNI holds a minority equity interest in Classified Ventures LLC, a company formed to compete in the business of providing nationwide classified advertising databases on the Internet. The Classified Ventures databases cover the product categories of automobiles, apartment rentals and real estate. Listings for these databases come from various sources, including direct sales and classified listings from the newspapers of participating companies. Links to the Classified Ventures databases are included in the washingtonpost.com site.</w:t>
      </w:r>
    </w:p>
    <w:p>
      <w:pPr>
        <w:spacing w:after="0" w:line="19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 xml:space="preserve">Under an agreement signed in 2000 and amended in 2003, WPNI and several other business units of the Company have been sharing certain news material and promotional resources with NBC News and MSNBC. Among other things, under this agreement the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website has become a feature on MSNBC.com and MSNBC.com is being provided access to certain content from </w:t>
      </w:r>
      <w:r>
        <w:rPr>
          <w:rFonts w:ascii="Arial" w:cs="Arial" w:eastAsia="Arial" w:hAnsi="Arial"/>
          <w:sz w:val="18"/>
          <w:szCs w:val="18"/>
          <w:i w:val="1"/>
          <w:iCs w:val="1"/>
          <w:color w:val="auto"/>
        </w:rPr>
        <w:t>The Washington Post</w:t>
      </w:r>
      <w:r>
        <w:rPr>
          <w:rFonts w:ascii="Arial" w:cs="Arial" w:eastAsia="Arial" w:hAnsi="Arial"/>
          <w:sz w:val="18"/>
          <w:szCs w:val="18"/>
          <w:color w:val="auto"/>
        </w:rPr>
        <w:t>. Similarly, washingtonpost.com is being provided access to certain MSNBC.com multimedia content.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Community Newspaper Division of Post-Newsweek Media</w:t>
      </w:r>
    </w:p>
    <w:p>
      <w:pPr>
        <w:spacing w:after="0" w:line="23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 xml:space="preserve">The Community Newspaper Division of Post-Newsweek Media, Inc. publishes two weekly paid-circulation, three twice-weekly paid-circulation and 39 controlled-circulation weekly community newspapers. This division’s newspapers are divided into two groups: </w:t>
      </w:r>
      <w:r>
        <w:rPr>
          <w:rFonts w:ascii="Arial" w:cs="Arial" w:eastAsia="Arial" w:hAnsi="Arial"/>
          <w:sz w:val="18"/>
          <w:szCs w:val="18"/>
          <w:i w:val="1"/>
          <w:iCs w:val="1"/>
          <w:color w:val="auto"/>
        </w:rPr>
        <w:t>The Gazette Newspapers,</w:t>
      </w:r>
      <w:r>
        <w:rPr>
          <w:rFonts w:ascii="Arial" w:cs="Arial" w:eastAsia="Arial" w:hAnsi="Arial"/>
          <w:sz w:val="18"/>
          <w:szCs w:val="18"/>
          <w:color w:val="auto"/>
        </w:rPr>
        <w:t xml:space="preserve"> which circulate in Montgomery, Prince George’s and Frederick Counties and in parts of Carroll, Anne Arundel and Howard Counties, Maryland; and </w:t>
      </w:r>
      <w:r>
        <w:rPr>
          <w:rFonts w:ascii="Arial" w:cs="Arial" w:eastAsia="Arial" w:hAnsi="Arial"/>
          <w:sz w:val="18"/>
          <w:szCs w:val="18"/>
          <w:i w:val="1"/>
          <w:iCs w:val="1"/>
          <w:color w:val="auto"/>
        </w:rPr>
        <w:t>Southern Maryland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Newspapers, </w:t>
      </w:r>
      <w:r>
        <w:rPr>
          <w:rFonts w:ascii="Arial" w:cs="Arial" w:eastAsia="Arial" w:hAnsi="Arial"/>
          <w:sz w:val="18"/>
          <w:szCs w:val="18"/>
          <w:color w:val="auto"/>
        </w:rPr>
        <w:t>which circulate in southern Prince George’s County and in Charles, St. Mary’s and Calvert Counties, Maryland. During 2003 these newspapers had</w:t>
      </w:r>
      <w:r>
        <w:rPr>
          <w:rFonts w:ascii="Arial" w:cs="Arial" w:eastAsia="Arial" w:hAnsi="Arial"/>
          <w:sz w:val="18"/>
          <w:szCs w:val="18"/>
          <w:i w:val="1"/>
          <w:iCs w:val="1"/>
          <w:color w:val="auto"/>
        </w:rPr>
        <w:t xml:space="preserve"> </w:t>
      </w:r>
      <w:r>
        <w:rPr>
          <w:rFonts w:ascii="Arial" w:cs="Arial" w:eastAsia="Arial" w:hAnsi="Arial"/>
          <w:sz w:val="18"/>
          <w:szCs w:val="18"/>
          <w:color w:val="auto"/>
        </w:rPr>
        <w:t>a combined average circulation of approximately 680,000 copies. This division also produces military newspapers (most of which are weekly) under agreements where editorial material is supplied by local military bases; in 2003 the 12 military newspapers produced by this division had a combined average circulation of over 170,000 copies.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The Gazette Newspapers </w:t>
      </w:r>
      <w:r>
        <w:rPr>
          <w:rFonts w:ascii="Arial" w:cs="Arial" w:eastAsia="Arial" w:hAnsi="Arial"/>
          <w:sz w:val="18"/>
          <w:szCs w:val="18"/>
          <w:color w:val="auto"/>
        </w:rPr>
        <w:t>and</w:t>
      </w:r>
      <w:r>
        <w:rPr>
          <w:rFonts w:ascii="Arial" w:cs="Arial" w:eastAsia="Arial" w:hAnsi="Arial"/>
          <w:sz w:val="18"/>
          <w:szCs w:val="18"/>
          <w:i w:val="1"/>
          <w:iCs w:val="1"/>
          <w:color w:val="auto"/>
        </w:rPr>
        <w:t xml:space="preserve"> Southern Maryland Newspapers </w:t>
      </w:r>
      <w:r>
        <w:rPr>
          <w:rFonts w:ascii="Arial" w:cs="Arial" w:eastAsia="Arial" w:hAnsi="Arial"/>
          <w:sz w:val="18"/>
          <w:szCs w:val="18"/>
          <w:color w:val="auto"/>
        </w:rPr>
        <w:t>together employ approximately 165 editors, reporters and photographers.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division also operates two commercial printing businesses in suburban Maryland.</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The Herald</w:t>
      </w:r>
    </w:p>
    <w:p>
      <w:pPr>
        <w:spacing w:after="0" w:line="23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 xml:space="preserve">The Company owns The Daily Herald Company, publisher of </w:t>
      </w:r>
      <w:r>
        <w:rPr>
          <w:rFonts w:ascii="Arial" w:cs="Arial" w:eastAsia="Arial" w:hAnsi="Arial"/>
          <w:sz w:val="18"/>
          <w:szCs w:val="18"/>
          <w:i w:val="1"/>
          <w:iCs w:val="1"/>
          <w:color w:val="auto"/>
        </w:rPr>
        <w:t>The Herald</w:t>
      </w:r>
      <w:r>
        <w:rPr>
          <w:rFonts w:ascii="Arial" w:cs="Arial" w:eastAsia="Arial" w:hAnsi="Arial"/>
          <w:sz w:val="18"/>
          <w:szCs w:val="18"/>
          <w:color w:val="auto"/>
        </w:rPr>
        <w:t xml:space="preserve"> in Everett, Washington, about 30 miles north of Seattle. </w:t>
      </w:r>
      <w:r>
        <w:rPr>
          <w:rFonts w:ascii="Arial" w:cs="Arial" w:eastAsia="Arial" w:hAnsi="Arial"/>
          <w:sz w:val="18"/>
          <w:szCs w:val="18"/>
          <w:i w:val="1"/>
          <w:iCs w:val="1"/>
          <w:color w:val="auto"/>
        </w:rPr>
        <w:t>The Herald</w:t>
      </w:r>
      <w:r>
        <w:rPr>
          <w:rFonts w:ascii="Arial" w:cs="Arial" w:eastAsia="Arial" w:hAnsi="Arial"/>
          <w:sz w:val="18"/>
          <w:szCs w:val="18"/>
          <w:color w:val="auto"/>
        </w:rPr>
        <w:t xml:space="preserve"> is published mornings seven days a week and is primarily distributed by home delivery in Snohomish County. The Daily Herald Company also provides commercial printing services and publishes six controlled-circulation weekly community newspapers (collectively known as </w:t>
      </w:r>
      <w:r>
        <w:rPr>
          <w:rFonts w:ascii="Arial" w:cs="Arial" w:eastAsia="Arial" w:hAnsi="Arial"/>
          <w:sz w:val="18"/>
          <w:szCs w:val="18"/>
          <w:i w:val="1"/>
          <w:iCs w:val="1"/>
          <w:color w:val="auto"/>
        </w:rPr>
        <w:t>The Enterprise Newspapers</w:t>
      </w:r>
      <w:r>
        <w:rPr>
          <w:rFonts w:ascii="Arial" w:cs="Arial" w:eastAsia="Arial" w:hAnsi="Arial"/>
          <w:sz w:val="18"/>
          <w:szCs w:val="18"/>
          <w:color w:val="auto"/>
        </w:rPr>
        <w:t>) that are distributed in south Snohomish and north King Counties.</w:t>
      </w:r>
    </w:p>
    <w:p>
      <w:pPr>
        <w:spacing w:after="0" w:line="19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The Herald’</w:t>
      </w:r>
      <w:r>
        <w:rPr>
          <w:rFonts w:ascii="Arial" w:cs="Arial" w:eastAsia="Arial" w:hAnsi="Arial"/>
          <w:sz w:val="18"/>
          <w:szCs w:val="18"/>
          <w:color w:val="auto"/>
        </w:rPr>
        <w:t>s average paid circulation as reported to ABC for the twelve months ended September 30, 2003, was 51,455 daily (including Saturday) and 56,928</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Sunday. The aggregate average weekly circulation of </w:t>
      </w:r>
      <w:r>
        <w:rPr>
          <w:rFonts w:ascii="Arial" w:cs="Arial" w:eastAsia="Arial" w:hAnsi="Arial"/>
          <w:sz w:val="18"/>
          <w:szCs w:val="18"/>
          <w:i w:val="1"/>
          <w:iCs w:val="1"/>
          <w:color w:val="auto"/>
        </w:rPr>
        <w:t>The Enterprise Newspapers</w:t>
      </w:r>
      <w:r>
        <w:rPr>
          <w:rFonts w:ascii="Arial" w:cs="Arial" w:eastAsia="Arial" w:hAnsi="Arial"/>
          <w:sz w:val="18"/>
          <w:szCs w:val="18"/>
          <w:color w:val="auto"/>
        </w:rPr>
        <w:t xml:space="preserve"> during the twelve-month period ended December 31, 2003, was approximately 77,500 copies.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The Herald </w:t>
      </w:r>
      <w:r>
        <w:rPr>
          <w:rFonts w:ascii="Arial" w:cs="Arial" w:eastAsia="Arial" w:hAnsi="Arial"/>
          <w:sz w:val="18"/>
          <w:szCs w:val="18"/>
          <w:color w:val="auto"/>
        </w:rPr>
        <w:t>and</w:t>
      </w:r>
      <w:r>
        <w:rPr>
          <w:rFonts w:ascii="Arial" w:cs="Arial" w:eastAsia="Arial" w:hAnsi="Arial"/>
          <w:sz w:val="18"/>
          <w:szCs w:val="18"/>
          <w:i w:val="1"/>
          <w:iCs w:val="1"/>
          <w:color w:val="auto"/>
        </w:rPr>
        <w:t xml:space="preserve"> The Enterprise Newspapers </w:t>
      </w:r>
      <w:r>
        <w:rPr>
          <w:rFonts w:ascii="Arial" w:cs="Arial" w:eastAsia="Arial" w:hAnsi="Arial"/>
          <w:sz w:val="18"/>
          <w:szCs w:val="18"/>
          <w:color w:val="auto"/>
        </w:rPr>
        <w:t>together employ approximately 75 editors, reporters and photographers.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Greater Washington Publishing</w:t>
      </w:r>
    </w:p>
    <w:p>
      <w:pPr>
        <w:spacing w:after="0" w:line="231" w:lineRule="exact"/>
        <w:rPr>
          <w:sz w:val="20"/>
          <w:szCs w:val="20"/>
          <w:color w:val="auto"/>
        </w:rPr>
      </w:pPr>
    </w:p>
    <w:p>
      <w:pPr>
        <w:jc w:val="both"/>
        <w:ind w:right="60"/>
        <w:spacing w:after="0" w:line="298" w:lineRule="auto"/>
        <w:rPr>
          <w:sz w:val="20"/>
          <w:szCs w:val="20"/>
          <w:color w:val="auto"/>
        </w:rPr>
      </w:pPr>
      <w:r>
        <w:rPr>
          <w:rFonts w:ascii="Arial" w:cs="Arial" w:eastAsia="Arial" w:hAnsi="Arial"/>
          <w:sz w:val="16"/>
          <w:szCs w:val="16"/>
          <w:color w:val="auto"/>
        </w:rPr>
        <w:t xml:space="preserve">The Company’s Greater Washington Publishing, Inc. subsidiary publishes several free-circulation advertising periodicals which have little or no editorial content and are distributed in the greater Washington, D.C. metropolitan area using sidewalk distribution boxes. Greater Washington Publishing’s two largest periodicals are </w:t>
      </w:r>
      <w:r>
        <w:rPr>
          <w:rFonts w:ascii="Arial" w:cs="Arial" w:eastAsia="Arial" w:hAnsi="Arial"/>
          <w:sz w:val="16"/>
          <w:szCs w:val="16"/>
          <w:i w:val="1"/>
          <w:iCs w:val="1"/>
          <w:color w:val="auto"/>
        </w:rPr>
        <w:t>The Washington Post Apartment Showcase,</w:t>
      </w:r>
      <w:r>
        <w:rPr>
          <w:rFonts w:ascii="Arial" w:cs="Arial" w:eastAsia="Arial" w:hAnsi="Arial"/>
          <w:sz w:val="16"/>
          <w:szCs w:val="16"/>
          <w:color w:val="auto"/>
        </w:rPr>
        <w:t xml:space="preserve"> which is published monthly and has an average circulation of about 55,000 copies, and </w:t>
      </w:r>
      <w:r>
        <w:rPr>
          <w:rFonts w:ascii="Arial" w:cs="Arial" w:eastAsia="Arial" w:hAnsi="Arial"/>
          <w:sz w:val="16"/>
          <w:szCs w:val="16"/>
          <w:i w:val="1"/>
          <w:iCs w:val="1"/>
          <w:color w:val="auto"/>
        </w:rPr>
        <w:t>New Homes Guide,</w:t>
      </w:r>
      <w:r>
        <w:rPr>
          <w:rFonts w:ascii="Arial" w:cs="Arial" w:eastAsia="Arial" w:hAnsi="Arial"/>
          <w:sz w:val="16"/>
          <w:szCs w:val="16"/>
          <w:color w:val="auto"/>
        </w:rPr>
        <w:t xml:space="preserve"> which is published six times a year and also has an average circulation of about 55,000 copies.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Television Broadcasting</w:t>
      </w:r>
    </w:p>
    <w:p>
      <w:pPr>
        <w:spacing w:after="0" w:line="231" w:lineRule="exact"/>
        <w:rPr>
          <w:sz w:val="20"/>
          <w:szCs w:val="20"/>
          <w:color w:val="auto"/>
        </w:rPr>
      </w:pPr>
    </w:p>
    <w:p>
      <w:pPr>
        <w:ind w:right="380"/>
        <w:spacing w:after="0" w:line="370" w:lineRule="auto"/>
        <w:rPr>
          <w:sz w:val="20"/>
          <w:szCs w:val="20"/>
          <w:color w:val="auto"/>
        </w:rPr>
      </w:pPr>
      <w:r>
        <w:rPr>
          <w:rFonts w:ascii="Arial" w:cs="Arial" w:eastAsia="Arial" w:hAnsi="Arial"/>
          <w:sz w:val="15"/>
          <w:szCs w:val="15"/>
          <w:color w:val="auto"/>
        </w:rPr>
        <w:t>Through subsidiaries, the Company owns six VHF television stations located in Detroit, Michigan; Houston, Texas; Miami, Florida; Orlando, Florida; San Antonio, Texas; and Jacksonville, Florida; which are respectively the 10th, 11th, 17th, 20th, 37th and 52nd largest broadcasting markets in the United States.</w:t>
      </w:r>
    </w:p>
    <w:p>
      <w:pPr>
        <w:spacing w:after="0" w:line="1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Five of the Company’s television stations are affiliated with one or another of the major national networks. The Company’s Jacksonville station, WJXT, has operated as an independent station since July 2002.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with respect to each of the Company’s television stations:</w:t>
      </w:r>
    </w:p>
    <w:p>
      <w:pPr>
        <w:spacing w:after="0" w:line="200" w:lineRule="exact"/>
        <w:rPr>
          <w:sz w:val="20"/>
          <w:szCs w:val="20"/>
          <w:color w:val="auto"/>
        </w:rPr>
      </w:pPr>
    </w:p>
    <w:p>
      <w:pPr>
        <w:spacing w:after="0" w:line="24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8"/>
              </w:rPr>
              <w:t>Station Location and</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Expiration</w:t>
            </w:r>
          </w:p>
        </w:tc>
        <w:tc>
          <w:tcPr>
            <w:tcW w:w="1700" w:type="dxa"/>
            <w:vAlign w:val="bottom"/>
          </w:tcPr>
          <w:p>
            <w:pPr>
              <w:jc w:val="center"/>
              <w:ind w:right="32"/>
              <w:spacing w:after="0"/>
              <w:rPr>
                <w:sz w:val="20"/>
                <w:szCs w:val="20"/>
                <w:color w:val="auto"/>
              </w:rPr>
            </w:pPr>
            <w:r>
              <w:rPr>
                <w:rFonts w:ascii="Arial" w:cs="Arial" w:eastAsia="Arial" w:hAnsi="Arial"/>
                <w:sz w:val="18"/>
                <w:szCs w:val="18"/>
                <w:color w:val="auto"/>
                <w:w w:val="92"/>
              </w:rPr>
              <w:t>Expiration</w:t>
            </w:r>
          </w:p>
        </w:tc>
        <w:tc>
          <w:tcPr>
            <w:tcW w:w="2340" w:type="dxa"/>
            <w:vAlign w:val="bottom"/>
            <w:gridSpan w:val="2"/>
          </w:tcPr>
          <w:p>
            <w:pPr>
              <w:jc w:val="right"/>
              <w:ind w:right="452"/>
              <w:spacing w:after="0"/>
              <w:rPr>
                <w:sz w:val="20"/>
                <w:szCs w:val="20"/>
                <w:color w:val="auto"/>
              </w:rPr>
            </w:pPr>
            <w:r>
              <w:rPr>
                <w:rFonts w:ascii="Arial" w:cs="Arial" w:eastAsia="Arial" w:hAnsi="Arial"/>
                <w:sz w:val="18"/>
                <w:szCs w:val="18"/>
                <w:color w:val="auto"/>
              </w:rPr>
              <w:t>Total Commercial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Year Commercial</w:t>
            </w:r>
          </w:p>
        </w:tc>
        <w:tc>
          <w:tcPr>
            <w:tcW w:w="180" w:type="dxa"/>
            <w:vAlign w:val="bottom"/>
          </w:tcPr>
          <w:p>
            <w:pPr>
              <w:spacing w:after="0"/>
              <w:rPr>
                <w:sz w:val="18"/>
                <w:szCs w:val="18"/>
                <w:color w:val="auto"/>
              </w:rPr>
            </w:pPr>
          </w:p>
        </w:tc>
        <w:tc>
          <w:tcPr>
            <w:tcW w:w="1220" w:type="dxa"/>
            <w:vAlign w:val="bottom"/>
          </w:tcPr>
          <w:p>
            <w:pPr>
              <w:jc w:val="center"/>
              <w:ind w:right="32"/>
              <w:spacing w:after="0"/>
              <w:rPr>
                <w:sz w:val="20"/>
                <w:szCs w:val="20"/>
                <w:color w:val="auto"/>
              </w:rPr>
            </w:pPr>
            <w:r>
              <w:rPr>
                <w:rFonts w:ascii="Arial" w:cs="Arial" w:eastAsia="Arial" w:hAnsi="Arial"/>
                <w:sz w:val="18"/>
                <w:szCs w:val="18"/>
                <w:color w:val="auto"/>
                <w:w w:val="93"/>
              </w:rPr>
              <w:t>National</w:t>
            </w:r>
          </w:p>
        </w:tc>
        <w:tc>
          <w:tcPr>
            <w:tcW w:w="13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Date of</w:t>
            </w:r>
          </w:p>
        </w:tc>
        <w:tc>
          <w:tcPr>
            <w:tcW w:w="1700" w:type="dxa"/>
            <w:vAlign w:val="bottom"/>
          </w:tcPr>
          <w:p>
            <w:pPr>
              <w:ind w:left="540"/>
              <w:spacing w:after="0"/>
              <w:rPr>
                <w:sz w:val="20"/>
                <w:szCs w:val="20"/>
                <w:color w:val="auto"/>
              </w:rPr>
            </w:pPr>
            <w:r>
              <w:rPr>
                <w:rFonts w:ascii="Arial" w:cs="Arial" w:eastAsia="Arial" w:hAnsi="Arial"/>
                <w:sz w:val="18"/>
                <w:szCs w:val="18"/>
                <w:color w:val="auto"/>
              </w:rPr>
              <w:t>Date of</w:t>
            </w:r>
          </w:p>
        </w:tc>
        <w:tc>
          <w:tcPr>
            <w:tcW w:w="2340" w:type="dxa"/>
            <w:vAlign w:val="bottom"/>
            <w:gridSpan w:val="2"/>
          </w:tcPr>
          <w:p>
            <w:pPr>
              <w:jc w:val="right"/>
              <w:ind w:right="392"/>
              <w:spacing w:after="0"/>
              <w:rPr>
                <w:sz w:val="20"/>
                <w:szCs w:val="20"/>
                <w:color w:val="auto"/>
              </w:rPr>
            </w:pPr>
            <w:r>
              <w:rPr>
                <w:rFonts w:ascii="Arial" w:cs="Arial" w:eastAsia="Arial" w:hAnsi="Arial"/>
                <w:sz w:val="18"/>
                <w:szCs w:val="18"/>
                <w:color w:val="auto"/>
              </w:rPr>
              <w:t>Stations in DMA(b)</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980" w:type="dxa"/>
            <w:vAlign w:val="bottom"/>
            <w:vMerge w:val="restart"/>
          </w:tcPr>
          <w:p>
            <w:pPr>
              <w:jc w:val="center"/>
              <w:spacing w:after="0"/>
              <w:rPr>
                <w:sz w:val="20"/>
                <w:szCs w:val="20"/>
                <w:color w:val="auto"/>
              </w:rPr>
            </w:pPr>
            <w:r>
              <w:rPr>
                <w:rFonts w:ascii="Arial" w:cs="Arial" w:eastAsia="Arial" w:hAnsi="Arial"/>
                <w:sz w:val="18"/>
                <w:szCs w:val="18"/>
                <w:color w:val="auto"/>
                <w:w w:val="88"/>
              </w:rPr>
              <w:t>Operation</w:t>
            </w:r>
          </w:p>
        </w:tc>
        <w:tc>
          <w:tcPr>
            <w:tcW w:w="180" w:type="dxa"/>
            <w:vAlign w:val="bottom"/>
          </w:tcPr>
          <w:p>
            <w:pPr>
              <w:spacing w:after="0"/>
              <w:rPr>
                <w:sz w:val="10"/>
                <w:szCs w:val="10"/>
                <w:color w:val="auto"/>
              </w:rPr>
            </w:pPr>
          </w:p>
        </w:tc>
        <w:tc>
          <w:tcPr>
            <w:tcW w:w="1220" w:type="dxa"/>
            <w:vAlign w:val="bottom"/>
            <w:vMerge w:val="restart"/>
          </w:tcPr>
          <w:p>
            <w:pPr>
              <w:jc w:val="center"/>
              <w:ind w:right="32"/>
              <w:spacing w:after="0"/>
              <w:rPr>
                <w:sz w:val="20"/>
                <w:szCs w:val="20"/>
                <w:color w:val="auto"/>
              </w:rPr>
            </w:pPr>
            <w:r>
              <w:rPr>
                <w:rFonts w:ascii="Arial" w:cs="Arial" w:eastAsia="Arial" w:hAnsi="Arial"/>
                <w:sz w:val="18"/>
                <w:szCs w:val="18"/>
                <w:color w:val="auto"/>
                <w:w w:val="90"/>
              </w:rPr>
              <w:t>Market</w:t>
            </w:r>
          </w:p>
        </w:tc>
        <w:tc>
          <w:tcPr>
            <w:tcW w:w="1360" w:type="dxa"/>
            <w:vAlign w:val="bottom"/>
            <w:vMerge w:val="restart"/>
          </w:tcPr>
          <w:p>
            <w:pPr>
              <w:jc w:val="right"/>
              <w:ind w:right="312"/>
              <w:spacing w:after="0"/>
              <w:rPr>
                <w:sz w:val="20"/>
                <w:szCs w:val="20"/>
                <w:color w:val="auto"/>
              </w:rPr>
            </w:pPr>
            <w:r>
              <w:rPr>
                <w:rFonts w:ascii="Arial" w:cs="Arial" w:eastAsia="Arial" w:hAnsi="Arial"/>
                <w:sz w:val="18"/>
                <w:szCs w:val="18"/>
                <w:color w:val="auto"/>
              </w:rPr>
              <w:t>Network</w:t>
            </w:r>
          </w:p>
        </w:tc>
        <w:tc>
          <w:tcPr>
            <w:tcW w:w="1480" w:type="dxa"/>
            <w:vAlign w:val="bottom"/>
            <w:vMerge w:val="restart"/>
          </w:tcPr>
          <w:p>
            <w:pPr>
              <w:jc w:val="center"/>
              <w:spacing w:after="0"/>
              <w:rPr>
                <w:sz w:val="20"/>
                <w:szCs w:val="20"/>
                <w:color w:val="auto"/>
              </w:rPr>
            </w:pPr>
            <w:r>
              <w:rPr>
                <w:rFonts w:ascii="Arial" w:cs="Arial" w:eastAsia="Arial" w:hAnsi="Arial"/>
                <w:sz w:val="18"/>
                <w:szCs w:val="18"/>
                <w:color w:val="auto"/>
                <w:w w:val="91"/>
              </w:rPr>
              <w:t>FCC</w:t>
            </w:r>
          </w:p>
        </w:tc>
        <w:tc>
          <w:tcPr>
            <w:tcW w:w="1700" w:type="dxa"/>
            <w:vAlign w:val="bottom"/>
            <w:vMerge w:val="restart"/>
          </w:tcPr>
          <w:p>
            <w:pPr>
              <w:jc w:val="center"/>
              <w:ind w:right="32"/>
              <w:spacing w:after="0"/>
              <w:rPr>
                <w:sz w:val="20"/>
                <w:szCs w:val="20"/>
                <w:color w:val="auto"/>
              </w:rPr>
            </w:pPr>
            <w:r>
              <w:rPr>
                <w:rFonts w:ascii="Arial" w:cs="Arial" w:eastAsia="Arial" w:hAnsi="Arial"/>
                <w:sz w:val="18"/>
                <w:szCs w:val="18"/>
                <w:color w:val="auto"/>
                <w:w w:val="93"/>
              </w:rPr>
              <w:t>Network</w:t>
            </w:r>
          </w:p>
        </w:tc>
        <w:tc>
          <w:tcPr>
            <w:tcW w:w="11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9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170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6"/>
              </w:rPr>
              <w:t>Commenced</w:t>
            </w:r>
          </w:p>
        </w:tc>
        <w:tc>
          <w:tcPr>
            <w:tcW w:w="180" w:type="dxa"/>
            <w:vAlign w:val="bottom"/>
          </w:tcPr>
          <w:p>
            <w:pPr>
              <w:spacing w:after="0"/>
              <w:rPr>
                <w:sz w:val="19"/>
                <w:szCs w:val="19"/>
                <w:color w:val="auto"/>
              </w:rPr>
            </w:pPr>
          </w:p>
        </w:tc>
        <w:tc>
          <w:tcPr>
            <w:tcW w:w="1220" w:type="dxa"/>
            <w:vAlign w:val="bottom"/>
          </w:tcPr>
          <w:p>
            <w:pPr>
              <w:jc w:val="center"/>
              <w:ind w:right="32"/>
              <w:spacing w:after="0"/>
              <w:rPr>
                <w:sz w:val="20"/>
                <w:szCs w:val="20"/>
                <w:color w:val="auto"/>
              </w:rPr>
            </w:pPr>
            <w:r>
              <w:rPr>
                <w:rFonts w:ascii="Arial" w:cs="Arial" w:eastAsia="Arial" w:hAnsi="Arial"/>
                <w:sz w:val="18"/>
                <w:szCs w:val="18"/>
                <w:color w:val="auto"/>
                <w:w w:val="88"/>
              </w:rPr>
              <w:t>Ranking(a)</w:t>
            </w:r>
          </w:p>
        </w:tc>
        <w:tc>
          <w:tcPr>
            <w:tcW w:w="1360" w:type="dxa"/>
            <w:vAlign w:val="bottom"/>
          </w:tcPr>
          <w:p>
            <w:pPr>
              <w:jc w:val="right"/>
              <w:ind w:right="252"/>
              <w:spacing w:after="0"/>
              <w:rPr>
                <w:sz w:val="20"/>
                <w:szCs w:val="20"/>
                <w:color w:val="auto"/>
              </w:rPr>
            </w:pPr>
            <w:r>
              <w:rPr>
                <w:rFonts w:ascii="Arial" w:cs="Arial" w:eastAsia="Arial" w:hAnsi="Arial"/>
                <w:sz w:val="18"/>
                <w:szCs w:val="18"/>
                <w:color w:val="auto"/>
              </w:rPr>
              <w:t>Affiliation</w:t>
            </w:r>
          </w:p>
        </w:tc>
        <w:tc>
          <w:tcPr>
            <w:tcW w:w="1480" w:type="dxa"/>
            <w:vAlign w:val="bottom"/>
          </w:tcPr>
          <w:p>
            <w:pPr>
              <w:jc w:val="center"/>
              <w:spacing w:after="0"/>
              <w:rPr>
                <w:sz w:val="20"/>
                <w:szCs w:val="20"/>
                <w:color w:val="auto"/>
              </w:rPr>
            </w:pPr>
            <w:r>
              <w:rPr>
                <w:rFonts w:ascii="Arial" w:cs="Arial" w:eastAsia="Arial" w:hAnsi="Arial"/>
                <w:sz w:val="18"/>
                <w:szCs w:val="18"/>
                <w:color w:val="auto"/>
                <w:w w:val="86"/>
              </w:rPr>
              <w:t>License</w:t>
            </w:r>
          </w:p>
        </w:tc>
        <w:tc>
          <w:tcPr>
            <w:tcW w:w="1700" w:type="dxa"/>
            <w:vAlign w:val="bottom"/>
          </w:tcPr>
          <w:p>
            <w:pPr>
              <w:jc w:val="center"/>
              <w:ind w:right="32"/>
              <w:spacing w:after="0"/>
              <w:rPr>
                <w:sz w:val="20"/>
                <w:szCs w:val="20"/>
                <w:color w:val="auto"/>
              </w:rPr>
            </w:pPr>
            <w:r>
              <w:rPr>
                <w:rFonts w:ascii="Arial" w:cs="Arial" w:eastAsia="Arial" w:hAnsi="Arial"/>
                <w:sz w:val="18"/>
                <w:szCs w:val="18"/>
                <w:color w:val="auto"/>
                <w:w w:val="88"/>
              </w:rPr>
              <w:t>Agreement</w:t>
            </w: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Allocated</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Operating</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EEEEEE"/>
          </w:tcPr>
          <w:p>
            <w:pPr>
              <w:spacing w:after="0"/>
              <w:rPr>
                <w:sz w:val="20"/>
                <w:szCs w:val="20"/>
                <w:color w:val="auto"/>
              </w:rPr>
            </w:pPr>
            <w:r>
              <w:rPr>
                <w:rFonts w:ascii="Arial" w:cs="Arial" w:eastAsia="Arial" w:hAnsi="Arial"/>
                <w:sz w:val="18"/>
                <w:szCs w:val="18"/>
                <w:color w:val="auto"/>
              </w:rPr>
              <w:t>WDIV</w:t>
            </w:r>
          </w:p>
        </w:tc>
        <w:tc>
          <w:tcPr>
            <w:tcW w:w="180" w:type="dxa"/>
            <w:vAlign w:val="bottom"/>
            <w:shd w:val="clear" w:color="auto" w:fill="EEEEEE"/>
          </w:tcPr>
          <w:p>
            <w:pPr>
              <w:spacing w:after="0"/>
              <w:rPr>
                <w:sz w:val="18"/>
                <w:szCs w:val="18"/>
                <w:color w:val="auto"/>
              </w:rPr>
            </w:pPr>
          </w:p>
        </w:tc>
        <w:tc>
          <w:tcPr>
            <w:tcW w:w="1220" w:type="dxa"/>
            <w:vAlign w:val="bottom"/>
            <w:shd w:val="clear" w:color="auto" w:fill="EEEEEE"/>
          </w:tcPr>
          <w:p>
            <w:pPr>
              <w:jc w:val="right"/>
              <w:ind w:right="412"/>
              <w:spacing w:after="0"/>
              <w:rPr>
                <w:sz w:val="20"/>
                <w:szCs w:val="20"/>
                <w:color w:val="auto"/>
              </w:rPr>
            </w:pPr>
            <w:r>
              <w:rPr>
                <w:rFonts w:ascii="Arial" w:cs="Arial" w:eastAsia="Arial" w:hAnsi="Arial"/>
                <w:sz w:val="18"/>
                <w:szCs w:val="18"/>
                <w:color w:val="auto"/>
              </w:rPr>
              <w:t>10th</w:t>
            </w:r>
          </w:p>
        </w:tc>
        <w:tc>
          <w:tcPr>
            <w:tcW w:w="1360" w:type="dxa"/>
            <w:vAlign w:val="bottom"/>
            <w:shd w:val="clear" w:color="auto" w:fill="EEEEEE"/>
          </w:tcPr>
          <w:p>
            <w:pPr>
              <w:jc w:val="right"/>
              <w:ind w:right="372"/>
              <w:spacing w:after="0"/>
              <w:rPr>
                <w:sz w:val="20"/>
                <w:szCs w:val="20"/>
                <w:color w:val="auto"/>
              </w:rPr>
            </w:pPr>
            <w:r>
              <w:rPr>
                <w:rFonts w:ascii="Arial" w:cs="Arial" w:eastAsia="Arial" w:hAnsi="Arial"/>
                <w:sz w:val="18"/>
                <w:szCs w:val="18"/>
                <w:color w:val="auto"/>
              </w:rPr>
              <w:t>NBC</w:t>
            </w:r>
          </w:p>
        </w:tc>
        <w:tc>
          <w:tcPr>
            <w:tcW w:w="1480" w:type="dxa"/>
            <w:vAlign w:val="bottom"/>
            <w:shd w:val="clear" w:color="auto" w:fill="EEEEEE"/>
          </w:tcPr>
          <w:p>
            <w:pPr>
              <w:jc w:val="right"/>
              <w:ind w:right="392"/>
              <w:spacing w:after="0"/>
              <w:rPr>
                <w:sz w:val="20"/>
                <w:szCs w:val="20"/>
                <w:color w:val="auto"/>
              </w:rPr>
            </w:pPr>
            <w:r>
              <w:rPr>
                <w:rFonts w:ascii="Arial" w:cs="Arial" w:eastAsia="Arial" w:hAnsi="Arial"/>
                <w:sz w:val="18"/>
                <w:szCs w:val="18"/>
                <w:color w:val="auto"/>
              </w:rPr>
              <w:t>Oct. 1,</w:t>
            </w:r>
          </w:p>
        </w:tc>
        <w:tc>
          <w:tcPr>
            <w:tcW w:w="1700" w:type="dxa"/>
            <w:vAlign w:val="bottom"/>
            <w:shd w:val="clear" w:color="auto" w:fill="EEEEEE"/>
          </w:tcPr>
          <w:p>
            <w:pPr>
              <w:ind w:left="540"/>
              <w:spacing w:after="0"/>
              <w:rPr>
                <w:sz w:val="20"/>
                <w:szCs w:val="20"/>
                <w:color w:val="auto"/>
              </w:rPr>
            </w:pPr>
            <w:r>
              <w:rPr>
                <w:rFonts w:ascii="Arial" w:cs="Arial" w:eastAsia="Arial" w:hAnsi="Arial"/>
                <w:sz w:val="18"/>
                <w:szCs w:val="18"/>
                <w:color w:val="auto"/>
              </w:rPr>
              <w:t>Dec. 31,</w:t>
            </w:r>
          </w:p>
        </w:tc>
        <w:tc>
          <w:tcPr>
            <w:tcW w:w="114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rPr>
              <w:t>VHF-4</w:t>
            </w:r>
          </w:p>
        </w:tc>
        <w:tc>
          <w:tcPr>
            <w:tcW w:w="1200" w:type="dxa"/>
            <w:vAlign w:val="bottom"/>
            <w:shd w:val="clear" w:color="auto" w:fill="EEEEEE"/>
          </w:tcPr>
          <w:p>
            <w:pPr>
              <w:jc w:val="right"/>
              <w:ind w:right="172"/>
              <w:spacing w:after="0"/>
              <w:rPr>
                <w:sz w:val="20"/>
                <w:szCs w:val="20"/>
                <w:color w:val="auto"/>
              </w:rPr>
            </w:pPr>
            <w:r>
              <w:rPr>
                <w:rFonts w:ascii="Arial" w:cs="Arial" w:eastAsia="Arial" w:hAnsi="Arial"/>
                <w:sz w:val="18"/>
                <w:szCs w:val="18"/>
                <w:color w:val="auto"/>
              </w:rPr>
              <w:t>VHF-4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EEEEEE"/>
          </w:tcPr>
          <w:p>
            <w:pPr>
              <w:spacing w:after="0"/>
              <w:rPr>
                <w:sz w:val="20"/>
                <w:szCs w:val="20"/>
                <w:color w:val="auto"/>
              </w:rPr>
            </w:pPr>
            <w:r>
              <w:rPr>
                <w:rFonts w:ascii="Arial" w:cs="Arial" w:eastAsia="Arial" w:hAnsi="Arial"/>
                <w:sz w:val="18"/>
                <w:szCs w:val="18"/>
                <w:color w:val="auto"/>
              </w:rPr>
              <w:t>Detroit, Mich.</w:t>
            </w:r>
          </w:p>
        </w:tc>
        <w:tc>
          <w:tcPr>
            <w:tcW w:w="18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48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2005</w:t>
            </w:r>
          </w:p>
        </w:tc>
        <w:tc>
          <w:tcPr>
            <w:tcW w:w="1700" w:type="dxa"/>
            <w:vAlign w:val="bottom"/>
            <w:shd w:val="clear" w:color="auto" w:fill="EEEEEE"/>
          </w:tcPr>
          <w:p>
            <w:pPr>
              <w:jc w:val="right"/>
              <w:ind w:right="472"/>
              <w:spacing w:after="0"/>
              <w:rPr>
                <w:sz w:val="20"/>
                <w:szCs w:val="20"/>
                <w:color w:val="auto"/>
              </w:rPr>
            </w:pPr>
            <w:r>
              <w:rPr>
                <w:rFonts w:ascii="Arial" w:cs="Arial" w:eastAsia="Arial" w:hAnsi="Arial"/>
                <w:sz w:val="18"/>
                <w:szCs w:val="18"/>
                <w:color w:val="auto"/>
              </w:rPr>
              <w:t>2011</w:t>
            </w:r>
          </w:p>
        </w:tc>
        <w:tc>
          <w:tcPr>
            <w:tcW w:w="114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rPr>
              <w:t>UHF-6</w:t>
            </w:r>
          </w:p>
        </w:tc>
        <w:tc>
          <w:tcPr>
            <w:tcW w:w="1200" w:type="dxa"/>
            <w:vAlign w:val="bottom"/>
            <w:shd w:val="clear" w:color="auto" w:fill="EEEEEE"/>
          </w:tcPr>
          <w:p>
            <w:pPr>
              <w:jc w:val="right"/>
              <w:ind w:right="172"/>
              <w:spacing w:after="0"/>
              <w:rPr>
                <w:sz w:val="20"/>
                <w:szCs w:val="20"/>
                <w:color w:val="auto"/>
              </w:rPr>
            </w:pPr>
            <w:r>
              <w:rPr>
                <w:rFonts w:ascii="Arial" w:cs="Arial" w:eastAsia="Arial" w:hAnsi="Arial"/>
                <w:sz w:val="18"/>
                <w:szCs w:val="18"/>
                <w:color w:val="auto"/>
              </w:rPr>
              <w:t>UHF-5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EEEEEE"/>
          </w:tcPr>
          <w:p>
            <w:pPr>
              <w:spacing w:after="0"/>
              <w:rPr>
                <w:sz w:val="20"/>
                <w:szCs w:val="20"/>
                <w:color w:val="auto"/>
              </w:rPr>
            </w:pPr>
            <w:r>
              <w:rPr>
                <w:rFonts w:ascii="Arial" w:cs="Arial" w:eastAsia="Arial" w:hAnsi="Arial"/>
                <w:sz w:val="18"/>
                <w:szCs w:val="18"/>
                <w:color w:val="auto"/>
              </w:rPr>
              <w:t>1947</w:t>
            </w:r>
          </w:p>
        </w:tc>
        <w:tc>
          <w:tcPr>
            <w:tcW w:w="18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17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2000" w:type="dxa"/>
            <w:vAlign w:val="bottom"/>
            <w:gridSpan w:val="2"/>
          </w:tcPr>
          <w:p>
            <w:pPr>
              <w:spacing w:after="0"/>
              <w:rPr>
                <w:sz w:val="20"/>
                <w:szCs w:val="20"/>
                <w:color w:val="auto"/>
              </w:rPr>
            </w:pPr>
            <w:r>
              <w:rPr>
                <w:rFonts w:ascii="Arial" w:cs="Arial" w:eastAsia="Arial" w:hAnsi="Arial"/>
                <w:sz w:val="18"/>
                <w:szCs w:val="18"/>
                <w:color w:val="auto"/>
              </w:rPr>
              <w:t>KPRC</w:t>
            </w:r>
          </w:p>
        </w:tc>
        <w:tc>
          <w:tcPr>
            <w:tcW w:w="180" w:type="dxa"/>
            <w:vAlign w:val="bottom"/>
          </w:tcPr>
          <w:p>
            <w:pPr>
              <w:spacing w:after="0"/>
              <w:rPr>
                <w:sz w:val="24"/>
                <w:szCs w:val="24"/>
                <w:color w:val="auto"/>
              </w:rPr>
            </w:pPr>
          </w:p>
        </w:tc>
        <w:tc>
          <w:tcPr>
            <w:tcW w:w="1220" w:type="dxa"/>
            <w:vAlign w:val="bottom"/>
          </w:tcPr>
          <w:p>
            <w:pPr>
              <w:jc w:val="right"/>
              <w:ind w:right="412"/>
              <w:spacing w:after="0"/>
              <w:rPr>
                <w:sz w:val="20"/>
                <w:szCs w:val="20"/>
                <w:color w:val="auto"/>
              </w:rPr>
            </w:pPr>
            <w:r>
              <w:rPr>
                <w:rFonts w:ascii="Arial" w:cs="Arial" w:eastAsia="Arial" w:hAnsi="Arial"/>
                <w:sz w:val="18"/>
                <w:szCs w:val="18"/>
                <w:color w:val="auto"/>
              </w:rPr>
              <w:t>11th</w:t>
            </w:r>
          </w:p>
        </w:tc>
        <w:tc>
          <w:tcPr>
            <w:tcW w:w="1360" w:type="dxa"/>
            <w:vAlign w:val="bottom"/>
          </w:tcPr>
          <w:p>
            <w:pPr>
              <w:jc w:val="right"/>
              <w:ind w:right="372"/>
              <w:spacing w:after="0"/>
              <w:rPr>
                <w:sz w:val="20"/>
                <w:szCs w:val="20"/>
                <w:color w:val="auto"/>
              </w:rPr>
            </w:pPr>
            <w:r>
              <w:rPr>
                <w:rFonts w:ascii="Arial" w:cs="Arial" w:eastAsia="Arial" w:hAnsi="Arial"/>
                <w:sz w:val="18"/>
                <w:szCs w:val="18"/>
                <w:color w:val="auto"/>
              </w:rPr>
              <w:t>NBC</w:t>
            </w:r>
          </w:p>
        </w:tc>
        <w:tc>
          <w:tcPr>
            <w:tcW w:w="1480" w:type="dxa"/>
            <w:vAlign w:val="bottom"/>
          </w:tcPr>
          <w:p>
            <w:pPr>
              <w:jc w:val="right"/>
              <w:ind w:right="352"/>
              <w:spacing w:after="0"/>
              <w:rPr>
                <w:sz w:val="20"/>
                <w:szCs w:val="20"/>
                <w:color w:val="auto"/>
              </w:rPr>
            </w:pPr>
            <w:r>
              <w:rPr>
                <w:rFonts w:ascii="Arial" w:cs="Arial" w:eastAsia="Arial" w:hAnsi="Arial"/>
                <w:sz w:val="18"/>
                <w:szCs w:val="18"/>
                <w:color w:val="auto"/>
              </w:rPr>
              <w:t>Aug. 1,</w:t>
            </w:r>
          </w:p>
        </w:tc>
        <w:tc>
          <w:tcPr>
            <w:tcW w:w="1700" w:type="dxa"/>
            <w:vAlign w:val="bottom"/>
          </w:tcPr>
          <w:p>
            <w:pPr>
              <w:ind w:left="540"/>
              <w:spacing w:after="0"/>
              <w:rPr>
                <w:sz w:val="20"/>
                <w:szCs w:val="20"/>
                <w:color w:val="auto"/>
              </w:rPr>
            </w:pPr>
            <w:r>
              <w:rPr>
                <w:rFonts w:ascii="Arial" w:cs="Arial" w:eastAsia="Arial" w:hAnsi="Arial"/>
                <w:sz w:val="18"/>
                <w:szCs w:val="18"/>
                <w:color w:val="auto"/>
              </w:rPr>
              <w:t>Dec. 31,</w:t>
            </w:r>
          </w:p>
        </w:tc>
        <w:tc>
          <w:tcPr>
            <w:tcW w:w="1140" w:type="dxa"/>
            <w:vAlign w:val="bottom"/>
          </w:tcPr>
          <w:p>
            <w:pPr>
              <w:jc w:val="right"/>
              <w:ind w:right="232"/>
              <w:spacing w:after="0"/>
              <w:rPr>
                <w:sz w:val="20"/>
                <w:szCs w:val="20"/>
                <w:color w:val="auto"/>
              </w:rPr>
            </w:pPr>
            <w:r>
              <w:rPr>
                <w:rFonts w:ascii="Arial" w:cs="Arial" w:eastAsia="Arial" w:hAnsi="Arial"/>
                <w:sz w:val="18"/>
                <w:szCs w:val="18"/>
                <w:color w:val="auto"/>
              </w:rPr>
              <w:t>VHF-3</w:t>
            </w:r>
          </w:p>
        </w:tc>
        <w:tc>
          <w:tcPr>
            <w:tcW w:w="1200" w:type="dxa"/>
            <w:vAlign w:val="bottom"/>
          </w:tcPr>
          <w:p>
            <w:pPr>
              <w:jc w:val="right"/>
              <w:ind w:right="172"/>
              <w:spacing w:after="0"/>
              <w:rPr>
                <w:sz w:val="20"/>
                <w:szCs w:val="20"/>
                <w:color w:val="auto"/>
              </w:rPr>
            </w:pPr>
            <w:r>
              <w:rPr>
                <w:rFonts w:ascii="Arial" w:cs="Arial" w:eastAsia="Arial" w:hAnsi="Arial"/>
                <w:sz w:val="18"/>
                <w:szCs w:val="18"/>
                <w:color w:val="auto"/>
              </w:rPr>
              <w:t>VHF-3</w:t>
            </w:r>
          </w:p>
        </w:tc>
        <w:tc>
          <w:tcPr>
            <w:tcW w:w="0" w:type="dxa"/>
            <w:vAlign w:val="bottom"/>
          </w:tcPr>
          <w:p>
            <w:pPr>
              <w:spacing w:after="0"/>
              <w:rPr>
                <w:sz w:val="1"/>
                <w:szCs w:val="1"/>
                <w:color w:val="auto"/>
              </w:rPr>
            </w:pPr>
          </w:p>
        </w:tc>
      </w:tr>
      <w:tr>
        <w:trPr>
          <w:trHeight w:val="216"/>
        </w:trPr>
        <w:tc>
          <w:tcPr>
            <w:tcW w:w="2000" w:type="dxa"/>
            <w:vAlign w:val="bottom"/>
            <w:gridSpan w:val="2"/>
          </w:tcPr>
          <w:p>
            <w:pPr>
              <w:spacing w:after="0"/>
              <w:rPr>
                <w:sz w:val="20"/>
                <w:szCs w:val="20"/>
                <w:color w:val="auto"/>
              </w:rPr>
            </w:pPr>
            <w:r>
              <w:rPr>
                <w:rFonts w:ascii="Arial" w:cs="Arial" w:eastAsia="Arial" w:hAnsi="Arial"/>
                <w:sz w:val="18"/>
                <w:szCs w:val="18"/>
                <w:color w:val="auto"/>
              </w:rPr>
              <w:t>Houston, Tx.</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80" w:type="dxa"/>
            <w:vAlign w:val="bottom"/>
          </w:tcPr>
          <w:p>
            <w:pPr>
              <w:jc w:val="right"/>
              <w:ind w:right="352"/>
              <w:spacing w:after="0"/>
              <w:rPr>
                <w:sz w:val="20"/>
                <w:szCs w:val="20"/>
                <w:color w:val="auto"/>
              </w:rPr>
            </w:pPr>
            <w:r>
              <w:rPr>
                <w:rFonts w:ascii="Arial" w:cs="Arial" w:eastAsia="Arial" w:hAnsi="Arial"/>
                <w:sz w:val="18"/>
                <w:szCs w:val="18"/>
                <w:color w:val="auto"/>
              </w:rPr>
              <w:t>2006</w:t>
            </w:r>
          </w:p>
        </w:tc>
        <w:tc>
          <w:tcPr>
            <w:tcW w:w="1700" w:type="dxa"/>
            <w:vAlign w:val="bottom"/>
          </w:tcPr>
          <w:p>
            <w:pPr>
              <w:jc w:val="right"/>
              <w:ind w:right="472"/>
              <w:spacing w:after="0"/>
              <w:rPr>
                <w:sz w:val="20"/>
                <w:szCs w:val="20"/>
                <w:color w:val="auto"/>
              </w:rPr>
            </w:pPr>
            <w:r>
              <w:rPr>
                <w:rFonts w:ascii="Arial" w:cs="Arial" w:eastAsia="Arial" w:hAnsi="Arial"/>
                <w:sz w:val="18"/>
                <w:szCs w:val="18"/>
                <w:color w:val="auto"/>
              </w:rPr>
              <w:t>2011</w:t>
            </w:r>
          </w:p>
        </w:tc>
        <w:tc>
          <w:tcPr>
            <w:tcW w:w="1140" w:type="dxa"/>
            <w:vAlign w:val="bottom"/>
          </w:tcPr>
          <w:p>
            <w:pPr>
              <w:jc w:val="right"/>
              <w:ind w:right="232"/>
              <w:spacing w:after="0"/>
              <w:rPr>
                <w:sz w:val="20"/>
                <w:szCs w:val="20"/>
                <w:color w:val="auto"/>
              </w:rPr>
            </w:pPr>
            <w:r>
              <w:rPr>
                <w:rFonts w:ascii="Arial" w:cs="Arial" w:eastAsia="Arial" w:hAnsi="Arial"/>
                <w:sz w:val="18"/>
                <w:szCs w:val="18"/>
                <w:color w:val="auto"/>
              </w:rPr>
              <w:t>UHF-11</w:t>
            </w:r>
          </w:p>
        </w:tc>
        <w:tc>
          <w:tcPr>
            <w:tcW w:w="1200" w:type="dxa"/>
            <w:vAlign w:val="bottom"/>
          </w:tcPr>
          <w:p>
            <w:pPr>
              <w:jc w:val="right"/>
              <w:ind w:right="172"/>
              <w:spacing w:after="0"/>
              <w:rPr>
                <w:sz w:val="20"/>
                <w:szCs w:val="20"/>
                <w:color w:val="auto"/>
              </w:rPr>
            </w:pPr>
            <w:r>
              <w:rPr>
                <w:rFonts w:ascii="Arial" w:cs="Arial" w:eastAsia="Arial" w:hAnsi="Arial"/>
                <w:sz w:val="18"/>
                <w:szCs w:val="18"/>
                <w:color w:val="auto"/>
              </w:rPr>
              <w:t>UHF-11</w:t>
            </w:r>
          </w:p>
        </w:tc>
        <w:tc>
          <w:tcPr>
            <w:tcW w:w="0" w:type="dxa"/>
            <w:vAlign w:val="bottom"/>
          </w:tcPr>
          <w:p>
            <w:pPr>
              <w:spacing w:after="0"/>
              <w:rPr>
                <w:sz w:val="1"/>
                <w:szCs w:val="1"/>
                <w:color w:val="auto"/>
              </w:rPr>
            </w:pPr>
          </w:p>
        </w:tc>
      </w:tr>
      <w:tr>
        <w:trPr>
          <w:trHeight w:val="222"/>
        </w:trPr>
        <w:tc>
          <w:tcPr>
            <w:tcW w:w="2000" w:type="dxa"/>
            <w:vAlign w:val="bottom"/>
            <w:gridSpan w:val="2"/>
          </w:tcPr>
          <w:p>
            <w:pPr>
              <w:spacing w:after="0"/>
              <w:rPr>
                <w:sz w:val="20"/>
                <w:szCs w:val="20"/>
                <w:color w:val="auto"/>
              </w:rPr>
            </w:pPr>
            <w:r>
              <w:rPr>
                <w:rFonts w:ascii="Arial" w:cs="Arial" w:eastAsia="Arial" w:hAnsi="Arial"/>
                <w:sz w:val="18"/>
                <w:szCs w:val="18"/>
                <w:color w:val="auto"/>
              </w:rPr>
              <w:t>1949</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EEEEEE"/>
          </w:tcPr>
          <w:p>
            <w:pPr>
              <w:spacing w:after="0"/>
              <w:rPr>
                <w:sz w:val="20"/>
                <w:szCs w:val="20"/>
                <w:color w:val="auto"/>
              </w:rPr>
            </w:pPr>
            <w:r>
              <w:rPr>
                <w:rFonts w:ascii="Arial" w:cs="Arial" w:eastAsia="Arial" w:hAnsi="Arial"/>
                <w:sz w:val="18"/>
                <w:szCs w:val="18"/>
                <w:color w:val="auto"/>
              </w:rPr>
              <w:t>WPLG</w:t>
            </w:r>
          </w:p>
        </w:tc>
        <w:tc>
          <w:tcPr>
            <w:tcW w:w="180" w:type="dxa"/>
            <w:vAlign w:val="bottom"/>
            <w:shd w:val="clear" w:color="auto" w:fill="EEEEEE"/>
          </w:tcPr>
          <w:p>
            <w:pPr>
              <w:spacing w:after="0"/>
              <w:rPr>
                <w:sz w:val="18"/>
                <w:szCs w:val="18"/>
                <w:color w:val="auto"/>
              </w:rPr>
            </w:pPr>
          </w:p>
        </w:tc>
        <w:tc>
          <w:tcPr>
            <w:tcW w:w="1220" w:type="dxa"/>
            <w:vAlign w:val="bottom"/>
            <w:shd w:val="clear" w:color="auto" w:fill="EEEEEE"/>
          </w:tcPr>
          <w:p>
            <w:pPr>
              <w:jc w:val="right"/>
              <w:ind w:right="412"/>
              <w:spacing w:after="0"/>
              <w:rPr>
                <w:sz w:val="20"/>
                <w:szCs w:val="20"/>
                <w:color w:val="auto"/>
              </w:rPr>
            </w:pPr>
            <w:r>
              <w:rPr>
                <w:rFonts w:ascii="Arial" w:cs="Arial" w:eastAsia="Arial" w:hAnsi="Arial"/>
                <w:sz w:val="18"/>
                <w:szCs w:val="18"/>
                <w:color w:val="auto"/>
              </w:rPr>
              <w:t>17th</w:t>
            </w:r>
          </w:p>
        </w:tc>
        <w:tc>
          <w:tcPr>
            <w:tcW w:w="1360" w:type="dxa"/>
            <w:vAlign w:val="bottom"/>
            <w:shd w:val="clear" w:color="auto" w:fill="EEEEEE"/>
          </w:tcPr>
          <w:p>
            <w:pPr>
              <w:jc w:val="right"/>
              <w:ind w:right="372"/>
              <w:spacing w:after="0"/>
              <w:rPr>
                <w:sz w:val="20"/>
                <w:szCs w:val="20"/>
                <w:color w:val="auto"/>
              </w:rPr>
            </w:pPr>
            <w:r>
              <w:rPr>
                <w:rFonts w:ascii="Arial" w:cs="Arial" w:eastAsia="Arial" w:hAnsi="Arial"/>
                <w:sz w:val="18"/>
                <w:szCs w:val="18"/>
                <w:color w:val="auto"/>
              </w:rPr>
              <w:t>ABC</w:t>
            </w:r>
          </w:p>
        </w:tc>
        <w:tc>
          <w:tcPr>
            <w:tcW w:w="1480" w:type="dxa"/>
            <w:vAlign w:val="bottom"/>
            <w:shd w:val="clear" w:color="auto" w:fill="EEEEEE"/>
          </w:tcPr>
          <w:p>
            <w:pPr>
              <w:jc w:val="right"/>
              <w:ind w:right="372"/>
              <w:spacing w:after="0"/>
              <w:rPr>
                <w:sz w:val="20"/>
                <w:szCs w:val="20"/>
                <w:color w:val="auto"/>
              </w:rPr>
            </w:pPr>
            <w:r>
              <w:rPr>
                <w:rFonts w:ascii="Arial" w:cs="Arial" w:eastAsia="Arial" w:hAnsi="Arial"/>
                <w:sz w:val="18"/>
                <w:szCs w:val="18"/>
                <w:color w:val="auto"/>
              </w:rPr>
              <w:t>Feb. 1,</w:t>
            </w:r>
          </w:p>
        </w:tc>
        <w:tc>
          <w:tcPr>
            <w:tcW w:w="1700" w:type="dxa"/>
            <w:vAlign w:val="bottom"/>
            <w:shd w:val="clear" w:color="auto" w:fill="EEEEEE"/>
          </w:tcPr>
          <w:p>
            <w:pPr>
              <w:ind w:left="540"/>
              <w:spacing w:after="0"/>
              <w:rPr>
                <w:sz w:val="20"/>
                <w:szCs w:val="20"/>
                <w:color w:val="auto"/>
              </w:rPr>
            </w:pPr>
            <w:r>
              <w:rPr>
                <w:rFonts w:ascii="Arial" w:cs="Arial" w:eastAsia="Arial" w:hAnsi="Arial"/>
                <w:sz w:val="18"/>
                <w:szCs w:val="18"/>
                <w:color w:val="auto"/>
              </w:rPr>
              <w:t>Dec. 31,</w:t>
            </w:r>
          </w:p>
        </w:tc>
        <w:tc>
          <w:tcPr>
            <w:tcW w:w="114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rPr>
              <w:t>VHF-5</w:t>
            </w:r>
          </w:p>
        </w:tc>
        <w:tc>
          <w:tcPr>
            <w:tcW w:w="1200" w:type="dxa"/>
            <w:vAlign w:val="bottom"/>
            <w:shd w:val="clear" w:color="auto" w:fill="EEEEEE"/>
          </w:tcPr>
          <w:p>
            <w:pPr>
              <w:jc w:val="right"/>
              <w:ind w:right="172"/>
              <w:spacing w:after="0"/>
              <w:rPr>
                <w:sz w:val="20"/>
                <w:szCs w:val="20"/>
                <w:color w:val="auto"/>
              </w:rPr>
            </w:pPr>
            <w:r>
              <w:rPr>
                <w:rFonts w:ascii="Arial" w:cs="Arial" w:eastAsia="Arial" w:hAnsi="Arial"/>
                <w:sz w:val="18"/>
                <w:szCs w:val="18"/>
                <w:color w:val="auto"/>
              </w:rPr>
              <w:t>VHF-5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EEEEEE"/>
          </w:tcPr>
          <w:p>
            <w:pPr>
              <w:spacing w:after="0"/>
              <w:rPr>
                <w:sz w:val="20"/>
                <w:szCs w:val="20"/>
                <w:color w:val="auto"/>
              </w:rPr>
            </w:pPr>
            <w:r>
              <w:rPr>
                <w:rFonts w:ascii="Arial" w:cs="Arial" w:eastAsia="Arial" w:hAnsi="Arial"/>
                <w:sz w:val="18"/>
                <w:szCs w:val="18"/>
                <w:color w:val="auto"/>
              </w:rPr>
              <w:t>Miami, Fla.</w:t>
            </w:r>
          </w:p>
        </w:tc>
        <w:tc>
          <w:tcPr>
            <w:tcW w:w="18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48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2005</w:t>
            </w:r>
          </w:p>
        </w:tc>
        <w:tc>
          <w:tcPr>
            <w:tcW w:w="1700" w:type="dxa"/>
            <w:vAlign w:val="bottom"/>
            <w:shd w:val="clear" w:color="auto" w:fill="EEEEEE"/>
          </w:tcPr>
          <w:p>
            <w:pPr>
              <w:jc w:val="right"/>
              <w:ind w:right="472"/>
              <w:spacing w:after="0"/>
              <w:rPr>
                <w:sz w:val="20"/>
                <w:szCs w:val="20"/>
                <w:color w:val="auto"/>
              </w:rPr>
            </w:pPr>
            <w:r>
              <w:rPr>
                <w:rFonts w:ascii="Arial" w:cs="Arial" w:eastAsia="Arial" w:hAnsi="Arial"/>
                <w:sz w:val="18"/>
                <w:szCs w:val="18"/>
                <w:color w:val="auto"/>
              </w:rPr>
              <w:t>2004</w:t>
            </w:r>
          </w:p>
        </w:tc>
        <w:tc>
          <w:tcPr>
            <w:tcW w:w="114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rPr>
              <w:t>UHF-8</w:t>
            </w:r>
          </w:p>
        </w:tc>
        <w:tc>
          <w:tcPr>
            <w:tcW w:w="1200" w:type="dxa"/>
            <w:vAlign w:val="bottom"/>
            <w:shd w:val="clear" w:color="auto" w:fill="EEEEEE"/>
          </w:tcPr>
          <w:p>
            <w:pPr>
              <w:jc w:val="right"/>
              <w:ind w:right="172"/>
              <w:spacing w:after="0"/>
              <w:rPr>
                <w:sz w:val="20"/>
                <w:szCs w:val="20"/>
                <w:color w:val="auto"/>
              </w:rPr>
            </w:pPr>
            <w:r>
              <w:rPr>
                <w:rFonts w:ascii="Arial" w:cs="Arial" w:eastAsia="Arial" w:hAnsi="Arial"/>
                <w:sz w:val="18"/>
                <w:szCs w:val="18"/>
                <w:color w:val="auto"/>
              </w:rPr>
              <w:t>UHF-8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EEEEEE"/>
          </w:tcPr>
          <w:p>
            <w:pPr>
              <w:spacing w:after="0"/>
              <w:rPr>
                <w:sz w:val="20"/>
                <w:szCs w:val="20"/>
                <w:color w:val="auto"/>
              </w:rPr>
            </w:pPr>
            <w:r>
              <w:rPr>
                <w:rFonts w:ascii="Arial" w:cs="Arial" w:eastAsia="Arial" w:hAnsi="Arial"/>
                <w:sz w:val="18"/>
                <w:szCs w:val="18"/>
                <w:color w:val="auto"/>
              </w:rPr>
              <w:t>1961</w:t>
            </w:r>
          </w:p>
        </w:tc>
        <w:tc>
          <w:tcPr>
            <w:tcW w:w="18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17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2000" w:type="dxa"/>
            <w:vAlign w:val="bottom"/>
            <w:gridSpan w:val="2"/>
          </w:tcPr>
          <w:p>
            <w:pPr>
              <w:spacing w:after="0"/>
              <w:rPr>
                <w:sz w:val="20"/>
                <w:szCs w:val="20"/>
                <w:color w:val="auto"/>
              </w:rPr>
            </w:pPr>
            <w:r>
              <w:rPr>
                <w:rFonts w:ascii="Arial" w:cs="Arial" w:eastAsia="Arial" w:hAnsi="Arial"/>
                <w:sz w:val="18"/>
                <w:szCs w:val="18"/>
                <w:color w:val="auto"/>
              </w:rPr>
              <w:t>WKMG</w:t>
            </w:r>
          </w:p>
        </w:tc>
        <w:tc>
          <w:tcPr>
            <w:tcW w:w="180" w:type="dxa"/>
            <w:vAlign w:val="bottom"/>
          </w:tcPr>
          <w:p>
            <w:pPr>
              <w:spacing w:after="0"/>
              <w:rPr>
                <w:sz w:val="24"/>
                <w:szCs w:val="24"/>
                <w:color w:val="auto"/>
              </w:rPr>
            </w:pPr>
          </w:p>
        </w:tc>
        <w:tc>
          <w:tcPr>
            <w:tcW w:w="1220" w:type="dxa"/>
            <w:vAlign w:val="bottom"/>
          </w:tcPr>
          <w:p>
            <w:pPr>
              <w:jc w:val="right"/>
              <w:ind w:right="412"/>
              <w:spacing w:after="0"/>
              <w:rPr>
                <w:sz w:val="20"/>
                <w:szCs w:val="20"/>
                <w:color w:val="auto"/>
              </w:rPr>
            </w:pPr>
            <w:r>
              <w:rPr>
                <w:rFonts w:ascii="Arial" w:cs="Arial" w:eastAsia="Arial" w:hAnsi="Arial"/>
                <w:sz w:val="18"/>
                <w:szCs w:val="18"/>
                <w:color w:val="auto"/>
              </w:rPr>
              <w:t>20th</w:t>
            </w:r>
          </w:p>
        </w:tc>
        <w:tc>
          <w:tcPr>
            <w:tcW w:w="1360" w:type="dxa"/>
            <w:vAlign w:val="bottom"/>
          </w:tcPr>
          <w:p>
            <w:pPr>
              <w:jc w:val="right"/>
              <w:ind w:right="372"/>
              <w:spacing w:after="0"/>
              <w:rPr>
                <w:sz w:val="20"/>
                <w:szCs w:val="20"/>
                <w:color w:val="auto"/>
              </w:rPr>
            </w:pPr>
            <w:r>
              <w:rPr>
                <w:rFonts w:ascii="Arial" w:cs="Arial" w:eastAsia="Arial" w:hAnsi="Arial"/>
                <w:sz w:val="18"/>
                <w:szCs w:val="18"/>
                <w:color w:val="auto"/>
              </w:rPr>
              <w:t>CBS</w:t>
            </w:r>
          </w:p>
        </w:tc>
        <w:tc>
          <w:tcPr>
            <w:tcW w:w="1480" w:type="dxa"/>
            <w:vAlign w:val="bottom"/>
          </w:tcPr>
          <w:p>
            <w:pPr>
              <w:jc w:val="right"/>
              <w:ind w:right="372"/>
              <w:spacing w:after="0"/>
              <w:rPr>
                <w:sz w:val="20"/>
                <w:szCs w:val="20"/>
                <w:color w:val="auto"/>
              </w:rPr>
            </w:pPr>
            <w:r>
              <w:rPr>
                <w:rFonts w:ascii="Arial" w:cs="Arial" w:eastAsia="Arial" w:hAnsi="Arial"/>
                <w:sz w:val="18"/>
                <w:szCs w:val="18"/>
                <w:color w:val="auto"/>
              </w:rPr>
              <w:t>Feb. 1,</w:t>
            </w:r>
          </w:p>
        </w:tc>
        <w:tc>
          <w:tcPr>
            <w:tcW w:w="1700" w:type="dxa"/>
            <w:vAlign w:val="bottom"/>
          </w:tcPr>
          <w:p>
            <w:pPr>
              <w:jc w:val="right"/>
              <w:ind w:right="532"/>
              <w:spacing w:after="0"/>
              <w:rPr>
                <w:sz w:val="20"/>
                <w:szCs w:val="20"/>
                <w:color w:val="auto"/>
              </w:rPr>
            </w:pPr>
            <w:r>
              <w:rPr>
                <w:rFonts w:ascii="Arial" w:cs="Arial" w:eastAsia="Arial" w:hAnsi="Arial"/>
                <w:sz w:val="18"/>
                <w:szCs w:val="18"/>
                <w:color w:val="auto"/>
              </w:rPr>
              <w:t>Apr. 6,</w:t>
            </w:r>
          </w:p>
        </w:tc>
        <w:tc>
          <w:tcPr>
            <w:tcW w:w="1140" w:type="dxa"/>
            <w:vAlign w:val="bottom"/>
          </w:tcPr>
          <w:p>
            <w:pPr>
              <w:jc w:val="right"/>
              <w:ind w:right="232"/>
              <w:spacing w:after="0"/>
              <w:rPr>
                <w:sz w:val="20"/>
                <w:szCs w:val="20"/>
                <w:color w:val="auto"/>
              </w:rPr>
            </w:pPr>
            <w:r>
              <w:rPr>
                <w:rFonts w:ascii="Arial" w:cs="Arial" w:eastAsia="Arial" w:hAnsi="Arial"/>
                <w:sz w:val="18"/>
                <w:szCs w:val="18"/>
                <w:color w:val="auto"/>
              </w:rPr>
              <w:t>VHF-3</w:t>
            </w:r>
          </w:p>
        </w:tc>
        <w:tc>
          <w:tcPr>
            <w:tcW w:w="1200" w:type="dxa"/>
            <w:vAlign w:val="bottom"/>
          </w:tcPr>
          <w:p>
            <w:pPr>
              <w:jc w:val="right"/>
              <w:ind w:right="172"/>
              <w:spacing w:after="0"/>
              <w:rPr>
                <w:sz w:val="20"/>
                <w:szCs w:val="20"/>
                <w:color w:val="auto"/>
              </w:rPr>
            </w:pPr>
            <w:r>
              <w:rPr>
                <w:rFonts w:ascii="Arial" w:cs="Arial" w:eastAsia="Arial" w:hAnsi="Arial"/>
                <w:sz w:val="18"/>
                <w:szCs w:val="18"/>
                <w:color w:val="auto"/>
              </w:rPr>
              <w:t>VHF-3</w:t>
            </w:r>
          </w:p>
        </w:tc>
        <w:tc>
          <w:tcPr>
            <w:tcW w:w="0" w:type="dxa"/>
            <w:vAlign w:val="bottom"/>
          </w:tcPr>
          <w:p>
            <w:pPr>
              <w:spacing w:after="0"/>
              <w:rPr>
                <w:sz w:val="1"/>
                <w:szCs w:val="1"/>
                <w:color w:val="auto"/>
              </w:rPr>
            </w:pPr>
          </w:p>
        </w:tc>
      </w:tr>
      <w:tr>
        <w:trPr>
          <w:trHeight w:val="216"/>
        </w:trPr>
        <w:tc>
          <w:tcPr>
            <w:tcW w:w="2000" w:type="dxa"/>
            <w:vAlign w:val="bottom"/>
            <w:gridSpan w:val="2"/>
          </w:tcPr>
          <w:p>
            <w:pPr>
              <w:spacing w:after="0"/>
              <w:rPr>
                <w:sz w:val="20"/>
                <w:szCs w:val="20"/>
                <w:color w:val="auto"/>
              </w:rPr>
            </w:pPr>
            <w:r>
              <w:rPr>
                <w:rFonts w:ascii="Arial" w:cs="Arial" w:eastAsia="Arial" w:hAnsi="Arial"/>
                <w:sz w:val="18"/>
                <w:szCs w:val="18"/>
                <w:color w:val="auto"/>
              </w:rPr>
              <w:t>Orlando, Fla.</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80" w:type="dxa"/>
            <w:vAlign w:val="bottom"/>
          </w:tcPr>
          <w:p>
            <w:pPr>
              <w:jc w:val="right"/>
              <w:ind w:right="352"/>
              <w:spacing w:after="0"/>
              <w:rPr>
                <w:sz w:val="20"/>
                <w:szCs w:val="20"/>
                <w:color w:val="auto"/>
              </w:rPr>
            </w:pPr>
            <w:r>
              <w:rPr>
                <w:rFonts w:ascii="Arial" w:cs="Arial" w:eastAsia="Arial" w:hAnsi="Arial"/>
                <w:sz w:val="18"/>
                <w:szCs w:val="18"/>
                <w:color w:val="auto"/>
              </w:rPr>
              <w:t>2005</w:t>
            </w:r>
          </w:p>
        </w:tc>
        <w:tc>
          <w:tcPr>
            <w:tcW w:w="1700" w:type="dxa"/>
            <w:vAlign w:val="bottom"/>
          </w:tcPr>
          <w:p>
            <w:pPr>
              <w:jc w:val="right"/>
              <w:ind w:right="472"/>
              <w:spacing w:after="0"/>
              <w:rPr>
                <w:sz w:val="20"/>
                <w:szCs w:val="20"/>
                <w:color w:val="auto"/>
              </w:rPr>
            </w:pPr>
            <w:r>
              <w:rPr>
                <w:rFonts w:ascii="Arial" w:cs="Arial" w:eastAsia="Arial" w:hAnsi="Arial"/>
                <w:sz w:val="18"/>
                <w:szCs w:val="18"/>
                <w:color w:val="auto"/>
              </w:rPr>
              <w:t>2005</w:t>
            </w:r>
          </w:p>
        </w:tc>
        <w:tc>
          <w:tcPr>
            <w:tcW w:w="1140" w:type="dxa"/>
            <w:vAlign w:val="bottom"/>
          </w:tcPr>
          <w:p>
            <w:pPr>
              <w:jc w:val="right"/>
              <w:ind w:right="232"/>
              <w:spacing w:after="0"/>
              <w:rPr>
                <w:sz w:val="20"/>
                <w:szCs w:val="20"/>
                <w:color w:val="auto"/>
              </w:rPr>
            </w:pPr>
            <w:r>
              <w:rPr>
                <w:rFonts w:ascii="Arial" w:cs="Arial" w:eastAsia="Arial" w:hAnsi="Arial"/>
                <w:sz w:val="18"/>
                <w:szCs w:val="18"/>
                <w:color w:val="auto"/>
              </w:rPr>
              <w:t>UHF-11</w:t>
            </w:r>
          </w:p>
        </w:tc>
        <w:tc>
          <w:tcPr>
            <w:tcW w:w="1200" w:type="dxa"/>
            <w:vAlign w:val="bottom"/>
          </w:tcPr>
          <w:p>
            <w:pPr>
              <w:jc w:val="right"/>
              <w:ind w:right="172"/>
              <w:spacing w:after="0"/>
              <w:rPr>
                <w:sz w:val="20"/>
                <w:szCs w:val="20"/>
                <w:color w:val="auto"/>
              </w:rPr>
            </w:pPr>
            <w:r>
              <w:rPr>
                <w:rFonts w:ascii="Arial" w:cs="Arial" w:eastAsia="Arial" w:hAnsi="Arial"/>
                <w:sz w:val="18"/>
                <w:szCs w:val="18"/>
                <w:color w:val="auto"/>
              </w:rPr>
              <w:t>UHF-10</w:t>
            </w:r>
          </w:p>
        </w:tc>
        <w:tc>
          <w:tcPr>
            <w:tcW w:w="0" w:type="dxa"/>
            <w:vAlign w:val="bottom"/>
          </w:tcPr>
          <w:p>
            <w:pPr>
              <w:spacing w:after="0"/>
              <w:rPr>
                <w:sz w:val="1"/>
                <w:szCs w:val="1"/>
                <w:color w:val="auto"/>
              </w:rPr>
            </w:pPr>
          </w:p>
        </w:tc>
      </w:tr>
      <w:tr>
        <w:trPr>
          <w:trHeight w:val="222"/>
        </w:trPr>
        <w:tc>
          <w:tcPr>
            <w:tcW w:w="2000" w:type="dxa"/>
            <w:vAlign w:val="bottom"/>
            <w:gridSpan w:val="2"/>
          </w:tcPr>
          <w:p>
            <w:pPr>
              <w:spacing w:after="0"/>
              <w:rPr>
                <w:sz w:val="20"/>
                <w:szCs w:val="20"/>
                <w:color w:val="auto"/>
              </w:rPr>
            </w:pPr>
            <w:r>
              <w:rPr>
                <w:rFonts w:ascii="Arial" w:cs="Arial" w:eastAsia="Arial" w:hAnsi="Arial"/>
                <w:sz w:val="18"/>
                <w:szCs w:val="18"/>
                <w:color w:val="auto"/>
              </w:rPr>
              <w:t>1954</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EEEEEE"/>
          </w:tcPr>
          <w:p>
            <w:pPr>
              <w:spacing w:after="0"/>
              <w:rPr>
                <w:sz w:val="20"/>
                <w:szCs w:val="20"/>
                <w:color w:val="auto"/>
              </w:rPr>
            </w:pPr>
            <w:r>
              <w:rPr>
                <w:rFonts w:ascii="Arial" w:cs="Arial" w:eastAsia="Arial" w:hAnsi="Arial"/>
                <w:sz w:val="18"/>
                <w:szCs w:val="18"/>
                <w:color w:val="auto"/>
              </w:rPr>
              <w:t>KSAT</w:t>
            </w:r>
          </w:p>
        </w:tc>
        <w:tc>
          <w:tcPr>
            <w:tcW w:w="180" w:type="dxa"/>
            <w:vAlign w:val="bottom"/>
            <w:shd w:val="clear" w:color="auto" w:fill="EEEEEE"/>
          </w:tcPr>
          <w:p>
            <w:pPr>
              <w:spacing w:after="0"/>
              <w:rPr>
                <w:sz w:val="18"/>
                <w:szCs w:val="18"/>
                <w:color w:val="auto"/>
              </w:rPr>
            </w:pPr>
          </w:p>
        </w:tc>
        <w:tc>
          <w:tcPr>
            <w:tcW w:w="1220" w:type="dxa"/>
            <w:vAlign w:val="bottom"/>
            <w:shd w:val="clear" w:color="auto" w:fill="EEEEEE"/>
          </w:tcPr>
          <w:p>
            <w:pPr>
              <w:jc w:val="right"/>
              <w:ind w:right="412"/>
              <w:spacing w:after="0"/>
              <w:rPr>
                <w:sz w:val="20"/>
                <w:szCs w:val="20"/>
                <w:color w:val="auto"/>
              </w:rPr>
            </w:pPr>
            <w:r>
              <w:rPr>
                <w:rFonts w:ascii="Arial" w:cs="Arial" w:eastAsia="Arial" w:hAnsi="Arial"/>
                <w:sz w:val="18"/>
                <w:szCs w:val="18"/>
                <w:color w:val="auto"/>
              </w:rPr>
              <w:t>37th</w:t>
            </w:r>
          </w:p>
        </w:tc>
        <w:tc>
          <w:tcPr>
            <w:tcW w:w="1360" w:type="dxa"/>
            <w:vAlign w:val="bottom"/>
            <w:shd w:val="clear" w:color="auto" w:fill="EEEEEE"/>
          </w:tcPr>
          <w:p>
            <w:pPr>
              <w:jc w:val="right"/>
              <w:ind w:right="372"/>
              <w:spacing w:after="0"/>
              <w:rPr>
                <w:sz w:val="20"/>
                <w:szCs w:val="20"/>
                <w:color w:val="auto"/>
              </w:rPr>
            </w:pPr>
            <w:r>
              <w:rPr>
                <w:rFonts w:ascii="Arial" w:cs="Arial" w:eastAsia="Arial" w:hAnsi="Arial"/>
                <w:sz w:val="18"/>
                <w:szCs w:val="18"/>
                <w:color w:val="auto"/>
              </w:rPr>
              <w:t>ABC</w:t>
            </w:r>
          </w:p>
        </w:tc>
        <w:tc>
          <w:tcPr>
            <w:tcW w:w="148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Aug. 1,</w:t>
            </w:r>
          </w:p>
        </w:tc>
        <w:tc>
          <w:tcPr>
            <w:tcW w:w="1700" w:type="dxa"/>
            <w:vAlign w:val="bottom"/>
            <w:shd w:val="clear" w:color="auto" w:fill="EEEEEE"/>
          </w:tcPr>
          <w:p>
            <w:pPr>
              <w:ind w:left="540"/>
              <w:spacing w:after="0"/>
              <w:rPr>
                <w:sz w:val="20"/>
                <w:szCs w:val="20"/>
                <w:color w:val="auto"/>
              </w:rPr>
            </w:pPr>
            <w:r>
              <w:rPr>
                <w:rFonts w:ascii="Arial" w:cs="Arial" w:eastAsia="Arial" w:hAnsi="Arial"/>
                <w:sz w:val="18"/>
                <w:szCs w:val="18"/>
                <w:color w:val="auto"/>
              </w:rPr>
              <w:t>Dec. 31,</w:t>
            </w:r>
          </w:p>
        </w:tc>
        <w:tc>
          <w:tcPr>
            <w:tcW w:w="114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rPr>
              <w:t>VHF-4</w:t>
            </w:r>
          </w:p>
        </w:tc>
        <w:tc>
          <w:tcPr>
            <w:tcW w:w="1200" w:type="dxa"/>
            <w:vAlign w:val="bottom"/>
            <w:shd w:val="clear" w:color="auto" w:fill="EEEEEE"/>
          </w:tcPr>
          <w:p>
            <w:pPr>
              <w:jc w:val="right"/>
              <w:ind w:right="172"/>
              <w:spacing w:after="0"/>
              <w:rPr>
                <w:sz w:val="20"/>
                <w:szCs w:val="20"/>
                <w:color w:val="auto"/>
              </w:rPr>
            </w:pPr>
            <w:r>
              <w:rPr>
                <w:rFonts w:ascii="Arial" w:cs="Arial" w:eastAsia="Arial" w:hAnsi="Arial"/>
                <w:sz w:val="18"/>
                <w:szCs w:val="18"/>
                <w:color w:val="auto"/>
              </w:rPr>
              <w:t>VHF-4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EEEEEE"/>
          </w:tcPr>
          <w:p>
            <w:pPr>
              <w:spacing w:after="0"/>
              <w:rPr>
                <w:sz w:val="20"/>
                <w:szCs w:val="20"/>
                <w:color w:val="auto"/>
              </w:rPr>
            </w:pPr>
            <w:r>
              <w:rPr>
                <w:rFonts w:ascii="Arial" w:cs="Arial" w:eastAsia="Arial" w:hAnsi="Arial"/>
                <w:sz w:val="18"/>
                <w:szCs w:val="18"/>
                <w:color w:val="auto"/>
              </w:rPr>
              <w:t>San Antonio, Tx.</w:t>
            </w:r>
          </w:p>
        </w:tc>
        <w:tc>
          <w:tcPr>
            <w:tcW w:w="18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48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2006</w:t>
            </w:r>
          </w:p>
        </w:tc>
        <w:tc>
          <w:tcPr>
            <w:tcW w:w="1700" w:type="dxa"/>
            <w:vAlign w:val="bottom"/>
            <w:shd w:val="clear" w:color="auto" w:fill="EEEEEE"/>
          </w:tcPr>
          <w:p>
            <w:pPr>
              <w:jc w:val="right"/>
              <w:ind w:right="472"/>
              <w:spacing w:after="0"/>
              <w:rPr>
                <w:sz w:val="20"/>
                <w:szCs w:val="20"/>
                <w:color w:val="auto"/>
              </w:rPr>
            </w:pPr>
            <w:r>
              <w:rPr>
                <w:rFonts w:ascii="Arial" w:cs="Arial" w:eastAsia="Arial" w:hAnsi="Arial"/>
                <w:sz w:val="18"/>
                <w:szCs w:val="18"/>
                <w:color w:val="auto"/>
              </w:rPr>
              <w:t>2004</w:t>
            </w:r>
          </w:p>
        </w:tc>
        <w:tc>
          <w:tcPr>
            <w:tcW w:w="114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rPr>
              <w:t>UHF-6</w:t>
            </w:r>
          </w:p>
        </w:tc>
        <w:tc>
          <w:tcPr>
            <w:tcW w:w="1200" w:type="dxa"/>
            <w:vAlign w:val="bottom"/>
            <w:shd w:val="clear" w:color="auto" w:fill="EEEEEE"/>
          </w:tcPr>
          <w:p>
            <w:pPr>
              <w:jc w:val="right"/>
              <w:ind w:right="172"/>
              <w:spacing w:after="0"/>
              <w:rPr>
                <w:sz w:val="20"/>
                <w:szCs w:val="20"/>
                <w:color w:val="auto"/>
              </w:rPr>
            </w:pPr>
            <w:r>
              <w:rPr>
                <w:rFonts w:ascii="Arial" w:cs="Arial" w:eastAsia="Arial" w:hAnsi="Arial"/>
                <w:sz w:val="18"/>
                <w:szCs w:val="18"/>
                <w:color w:val="auto"/>
              </w:rPr>
              <w:t>UHF-6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EEEEEE"/>
          </w:tcPr>
          <w:p>
            <w:pPr>
              <w:spacing w:after="0"/>
              <w:rPr>
                <w:sz w:val="20"/>
                <w:szCs w:val="20"/>
                <w:color w:val="auto"/>
              </w:rPr>
            </w:pPr>
            <w:r>
              <w:rPr>
                <w:rFonts w:ascii="Arial" w:cs="Arial" w:eastAsia="Arial" w:hAnsi="Arial"/>
                <w:sz w:val="18"/>
                <w:szCs w:val="18"/>
                <w:color w:val="auto"/>
              </w:rPr>
              <w:t>1957</w:t>
            </w:r>
          </w:p>
        </w:tc>
        <w:tc>
          <w:tcPr>
            <w:tcW w:w="18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17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17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WJXT</w:t>
            </w:r>
          </w:p>
        </w:tc>
        <w:tc>
          <w:tcPr>
            <w:tcW w:w="180" w:type="dxa"/>
            <w:vAlign w:val="bottom"/>
          </w:tcPr>
          <w:p>
            <w:pPr>
              <w:spacing w:after="0"/>
              <w:rPr>
                <w:sz w:val="18"/>
                <w:szCs w:val="18"/>
                <w:color w:val="auto"/>
              </w:rPr>
            </w:pPr>
          </w:p>
        </w:tc>
        <w:tc>
          <w:tcPr>
            <w:tcW w:w="1220" w:type="dxa"/>
            <w:vAlign w:val="bottom"/>
          </w:tcPr>
          <w:p>
            <w:pPr>
              <w:jc w:val="right"/>
              <w:ind w:right="412"/>
              <w:spacing w:after="0"/>
              <w:rPr>
                <w:sz w:val="20"/>
                <w:szCs w:val="20"/>
                <w:color w:val="auto"/>
              </w:rPr>
            </w:pPr>
            <w:r>
              <w:rPr>
                <w:rFonts w:ascii="Arial" w:cs="Arial" w:eastAsia="Arial" w:hAnsi="Arial"/>
                <w:sz w:val="18"/>
                <w:szCs w:val="18"/>
                <w:color w:val="auto"/>
              </w:rPr>
              <w:t>52nd</w:t>
            </w:r>
          </w:p>
        </w:tc>
        <w:tc>
          <w:tcPr>
            <w:tcW w:w="1360" w:type="dxa"/>
            <w:vAlign w:val="bottom"/>
          </w:tcPr>
          <w:p>
            <w:pPr>
              <w:jc w:val="right"/>
              <w:ind w:right="372"/>
              <w:spacing w:after="0"/>
              <w:rPr>
                <w:sz w:val="20"/>
                <w:szCs w:val="20"/>
                <w:color w:val="auto"/>
              </w:rPr>
            </w:pPr>
            <w:r>
              <w:rPr>
                <w:rFonts w:ascii="Arial" w:cs="Arial" w:eastAsia="Arial" w:hAnsi="Arial"/>
                <w:sz w:val="18"/>
                <w:szCs w:val="18"/>
                <w:color w:val="auto"/>
              </w:rPr>
              <w:t>None</w:t>
            </w:r>
          </w:p>
        </w:tc>
        <w:tc>
          <w:tcPr>
            <w:tcW w:w="1480" w:type="dxa"/>
            <w:vAlign w:val="bottom"/>
          </w:tcPr>
          <w:p>
            <w:pPr>
              <w:jc w:val="right"/>
              <w:ind w:right="372"/>
              <w:spacing w:after="0"/>
              <w:rPr>
                <w:sz w:val="20"/>
                <w:szCs w:val="20"/>
                <w:color w:val="auto"/>
              </w:rPr>
            </w:pPr>
            <w:r>
              <w:rPr>
                <w:rFonts w:ascii="Arial" w:cs="Arial" w:eastAsia="Arial" w:hAnsi="Arial"/>
                <w:sz w:val="18"/>
                <w:szCs w:val="18"/>
                <w:color w:val="auto"/>
              </w:rPr>
              <w:t>Feb. 1,</w:t>
            </w:r>
          </w:p>
        </w:tc>
        <w:tc>
          <w:tcPr>
            <w:tcW w:w="170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32"/>
              <w:spacing w:after="0"/>
              <w:rPr>
                <w:sz w:val="20"/>
                <w:szCs w:val="20"/>
                <w:color w:val="auto"/>
              </w:rPr>
            </w:pPr>
            <w:r>
              <w:rPr>
                <w:rFonts w:ascii="Arial" w:cs="Arial" w:eastAsia="Arial" w:hAnsi="Arial"/>
                <w:sz w:val="18"/>
                <w:szCs w:val="18"/>
                <w:color w:val="auto"/>
              </w:rPr>
              <w:t>VHF-2</w:t>
            </w:r>
          </w:p>
        </w:tc>
        <w:tc>
          <w:tcPr>
            <w:tcW w:w="1200" w:type="dxa"/>
            <w:vAlign w:val="bottom"/>
          </w:tcPr>
          <w:p>
            <w:pPr>
              <w:jc w:val="right"/>
              <w:ind w:right="172"/>
              <w:spacing w:after="0"/>
              <w:rPr>
                <w:sz w:val="20"/>
                <w:szCs w:val="20"/>
                <w:color w:val="auto"/>
              </w:rPr>
            </w:pPr>
            <w:r>
              <w:rPr>
                <w:rFonts w:ascii="Arial" w:cs="Arial" w:eastAsia="Arial" w:hAnsi="Arial"/>
                <w:sz w:val="18"/>
                <w:szCs w:val="18"/>
                <w:color w:val="auto"/>
              </w:rPr>
              <w:t>VHF-2</w:t>
            </w:r>
          </w:p>
        </w:tc>
        <w:tc>
          <w:tcPr>
            <w:tcW w:w="0" w:type="dxa"/>
            <w:vAlign w:val="bottom"/>
          </w:tcPr>
          <w:p>
            <w:pPr>
              <w:spacing w:after="0"/>
              <w:rPr>
                <w:sz w:val="1"/>
                <w:szCs w:val="1"/>
                <w:color w:val="auto"/>
              </w:rPr>
            </w:pPr>
          </w:p>
        </w:tc>
      </w:tr>
      <w:tr>
        <w:trPr>
          <w:trHeight w:val="216"/>
        </w:trPr>
        <w:tc>
          <w:tcPr>
            <w:tcW w:w="2000" w:type="dxa"/>
            <w:vAlign w:val="bottom"/>
            <w:gridSpan w:val="2"/>
          </w:tcPr>
          <w:p>
            <w:pPr>
              <w:spacing w:after="0"/>
              <w:rPr>
                <w:sz w:val="20"/>
                <w:szCs w:val="20"/>
                <w:color w:val="auto"/>
              </w:rPr>
            </w:pPr>
            <w:r>
              <w:rPr>
                <w:rFonts w:ascii="Arial" w:cs="Arial" w:eastAsia="Arial" w:hAnsi="Arial"/>
                <w:sz w:val="18"/>
                <w:szCs w:val="18"/>
                <w:color w:val="auto"/>
              </w:rPr>
              <w:t>Jacksonville, Fla.</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80" w:type="dxa"/>
            <w:vAlign w:val="bottom"/>
          </w:tcPr>
          <w:p>
            <w:pPr>
              <w:jc w:val="right"/>
              <w:ind w:right="352"/>
              <w:spacing w:after="0"/>
              <w:rPr>
                <w:sz w:val="20"/>
                <w:szCs w:val="20"/>
                <w:color w:val="auto"/>
              </w:rPr>
            </w:pPr>
            <w:r>
              <w:rPr>
                <w:rFonts w:ascii="Arial" w:cs="Arial" w:eastAsia="Arial" w:hAnsi="Arial"/>
                <w:sz w:val="18"/>
                <w:szCs w:val="18"/>
                <w:color w:val="auto"/>
              </w:rPr>
              <w:t>2005</w:t>
            </w:r>
          </w:p>
        </w:tc>
        <w:tc>
          <w:tcPr>
            <w:tcW w:w="1700" w:type="dxa"/>
            <w:vAlign w:val="bottom"/>
          </w:tcPr>
          <w:p>
            <w:pPr>
              <w:spacing w:after="0"/>
              <w:rPr>
                <w:sz w:val="18"/>
                <w:szCs w:val="18"/>
                <w:color w:val="auto"/>
              </w:rPr>
            </w:pPr>
          </w:p>
        </w:tc>
        <w:tc>
          <w:tcPr>
            <w:tcW w:w="1140" w:type="dxa"/>
            <w:vAlign w:val="bottom"/>
          </w:tcPr>
          <w:p>
            <w:pPr>
              <w:jc w:val="right"/>
              <w:ind w:right="232"/>
              <w:spacing w:after="0"/>
              <w:rPr>
                <w:sz w:val="20"/>
                <w:szCs w:val="20"/>
                <w:color w:val="auto"/>
              </w:rPr>
            </w:pPr>
            <w:r>
              <w:rPr>
                <w:rFonts w:ascii="Arial" w:cs="Arial" w:eastAsia="Arial" w:hAnsi="Arial"/>
                <w:sz w:val="18"/>
                <w:szCs w:val="18"/>
                <w:color w:val="auto"/>
              </w:rPr>
              <w:t>UHF-6</w:t>
            </w:r>
          </w:p>
        </w:tc>
        <w:tc>
          <w:tcPr>
            <w:tcW w:w="1200" w:type="dxa"/>
            <w:vAlign w:val="bottom"/>
          </w:tcPr>
          <w:p>
            <w:pPr>
              <w:jc w:val="right"/>
              <w:ind w:right="172"/>
              <w:spacing w:after="0"/>
              <w:rPr>
                <w:sz w:val="20"/>
                <w:szCs w:val="20"/>
                <w:color w:val="auto"/>
              </w:rPr>
            </w:pPr>
            <w:r>
              <w:rPr>
                <w:rFonts w:ascii="Arial" w:cs="Arial" w:eastAsia="Arial" w:hAnsi="Arial"/>
                <w:sz w:val="18"/>
                <w:szCs w:val="18"/>
                <w:color w:val="auto"/>
              </w:rPr>
              <w:t>UHF-5</w:t>
            </w:r>
          </w:p>
        </w:tc>
        <w:tc>
          <w:tcPr>
            <w:tcW w:w="0" w:type="dxa"/>
            <w:vAlign w:val="bottom"/>
          </w:tcPr>
          <w:p>
            <w:pPr>
              <w:spacing w:after="0"/>
              <w:rPr>
                <w:sz w:val="1"/>
                <w:szCs w:val="1"/>
                <w:color w:val="auto"/>
              </w:rPr>
            </w:pPr>
          </w:p>
        </w:tc>
      </w:tr>
      <w:tr>
        <w:trPr>
          <w:trHeight w:val="222"/>
        </w:trPr>
        <w:tc>
          <w:tcPr>
            <w:tcW w:w="2000" w:type="dxa"/>
            <w:vAlign w:val="bottom"/>
            <w:gridSpan w:val="2"/>
          </w:tcPr>
          <w:p>
            <w:pPr>
              <w:spacing w:after="0"/>
              <w:rPr>
                <w:sz w:val="20"/>
                <w:szCs w:val="20"/>
                <w:color w:val="auto"/>
              </w:rPr>
            </w:pPr>
            <w:r>
              <w:rPr>
                <w:rFonts w:ascii="Arial" w:cs="Arial" w:eastAsia="Arial" w:hAnsi="Arial"/>
                <w:sz w:val="18"/>
                <w:szCs w:val="18"/>
                <w:color w:val="auto"/>
              </w:rPr>
              <w:t>1947</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Source: 2003/2004 DMA Market Rankings, Nielsen Media Research, Fall 2003, based on television homes in DMA (see note (b) below).</w:t>
      </w:r>
    </w:p>
    <w:p>
      <w:pPr>
        <w:spacing w:after="0" w:line="252" w:lineRule="exact"/>
        <w:rPr>
          <w:rFonts w:ascii="Arial" w:cs="Arial" w:eastAsia="Arial" w:hAnsi="Arial"/>
          <w:sz w:val="18"/>
          <w:szCs w:val="18"/>
          <w:color w:val="auto"/>
        </w:rPr>
      </w:pPr>
    </w:p>
    <w:p>
      <w:pPr>
        <w:ind w:left="360" w:hanging="352"/>
        <w:spacing w:after="0" w:line="306" w:lineRule="auto"/>
        <w:tabs>
          <w:tab w:leader="none" w:pos="360" w:val="left"/>
        </w:tabs>
        <w:numPr>
          <w:ilvl w:val="0"/>
          <w:numId w:val="1"/>
        </w:numPr>
        <w:rPr>
          <w:rFonts w:ascii="Arial" w:cs="Arial" w:eastAsia="Arial" w:hAnsi="Arial"/>
          <w:sz w:val="16"/>
          <w:szCs w:val="16"/>
          <w:color w:val="auto"/>
        </w:rPr>
      </w:pPr>
      <w:r>
        <w:rPr>
          <w:rFonts w:ascii="Arial" w:cs="Arial" w:eastAsia="Arial" w:hAnsi="Arial"/>
          <w:sz w:val="16"/>
          <w:szCs w:val="16"/>
          <w:color w:val="auto"/>
        </w:rPr>
        <w:t>Designated Market Area (“DMA”) is a market designation of A.C. Nielsen which defines each television market exclusive of another, based on measured viewing patterns. References to stations that are operating in each market are to stations that are broadcasting analog signals. However most of the stations in these markets are also engaged in digital broadcasting using the FCC-assigned channels for DTV operations.</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337"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The Company’s 2003 net operating revenues from national and local television advertising and network compensation were as follows:</w:t>
      </w:r>
    </w:p>
    <w:p>
      <w:pPr>
        <w:spacing w:after="0" w:line="200" w:lineRule="exact"/>
        <w:rPr>
          <w:sz w:val="20"/>
          <w:szCs w:val="20"/>
          <w:color w:val="auto"/>
        </w:rPr>
      </w:pPr>
    </w:p>
    <w:p>
      <w:pPr>
        <w:spacing w:after="0" w:line="250"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1800" w:type="dxa"/>
            <w:vAlign w:val="bottom"/>
            <w:shd w:val="clear" w:color="auto" w:fill="EEEEEE"/>
          </w:tcPr>
          <w:p>
            <w:pPr>
              <w:spacing w:after="0"/>
              <w:rPr>
                <w:sz w:val="20"/>
                <w:szCs w:val="20"/>
                <w:color w:val="auto"/>
              </w:rPr>
            </w:pPr>
            <w:r>
              <w:rPr>
                <w:rFonts w:ascii="Arial" w:cs="Arial" w:eastAsia="Arial" w:hAnsi="Arial"/>
                <w:sz w:val="18"/>
                <w:szCs w:val="18"/>
                <w:color w:val="auto"/>
              </w:rPr>
              <w:t>National</w:t>
            </w:r>
          </w:p>
        </w:tc>
        <w:tc>
          <w:tcPr>
            <w:tcW w:w="21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$100,237,000</w:t>
            </w:r>
          </w:p>
        </w:tc>
        <w:tc>
          <w:tcPr>
            <w:tcW w:w="580" w:type="dxa"/>
            <w:vAlign w:val="bottom"/>
            <w:shd w:val="clear" w:color="auto" w:fill="EEEEEE"/>
          </w:tcPr>
          <w:p>
            <w:pPr>
              <w:spacing w:after="0"/>
              <w:rPr>
                <w:sz w:val="18"/>
                <w:szCs w:val="18"/>
                <w:color w:val="auto"/>
              </w:rPr>
            </w:pP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Local</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194,533,000</w:t>
            </w:r>
          </w:p>
        </w:tc>
        <w:tc>
          <w:tcPr>
            <w:tcW w:w="580" w:type="dxa"/>
            <w:vAlign w:val="bottom"/>
          </w:tcPr>
          <w:p>
            <w:pPr>
              <w:spacing w:after="0"/>
              <w:rPr>
                <w:sz w:val="18"/>
                <w:szCs w:val="18"/>
                <w:color w:val="auto"/>
              </w:rPr>
            </w:pPr>
          </w:p>
        </w:tc>
      </w:tr>
      <w:tr>
        <w:trPr>
          <w:trHeight w:val="216"/>
        </w:trPr>
        <w:tc>
          <w:tcPr>
            <w:tcW w:w="1800" w:type="dxa"/>
            <w:vAlign w:val="bottom"/>
            <w:shd w:val="clear" w:color="auto" w:fill="EEEEEE"/>
          </w:tcPr>
          <w:p>
            <w:pPr>
              <w:spacing w:after="0"/>
              <w:rPr>
                <w:sz w:val="20"/>
                <w:szCs w:val="20"/>
                <w:color w:val="auto"/>
              </w:rPr>
            </w:pPr>
            <w:r>
              <w:rPr>
                <w:rFonts w:ascii="Arial" w:cs="Arial" w:eastAsia="Arial" w:hAnsi="Arial"/>
                <w:sz w:val="18"/>
                <w:szCs w:val="18"/>
                <w:color w:val="auto"/>
              </w:rPr>
              <w:t>Network</w:t>
            </w:r>
          </w:p>
        </w:tc>
        <w:tc>
          <w:tcPr>
            <w:tcW w:w="21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18,281,000</w:t>
            </w:r>
          </w:p>
        </w:tc>
        <w:tc>
          <w:tcPr>
            <w:tcW w:w="580" w:type="dxa"/>
            <w:vAlign w:val="bottom"/>
            <w:shd w:val="clear" w:color="auto" w:fill="EEEEEE"/>
          </w:tcPr>
          <w:p>
            <w:pPr>
              <w:spacing w:after="0"/>
              <w:rPr>
                <w:sz w:val="18"/>
                <w:szCs w:val="18"/>
                <w:color w:val="auto"/>
              </w:rPr>
            </w:pPr>
          </w:p>
        </w:tc>
      </w:tr>
      <w:tr>
        <w:trPr>
          <w:trHeight w:val="108"/>
        </w:trPr>
        <w:tc>
          <w:tcPr>
            <w:tcW w:w="18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r>
      <w:tr>
        <w:trPr>
          <w:trHeight w:val="316"/>
        </w:trPr>
        <w:tc>
          <w:tcPr>
            <w:tcW w:w="1800" w:type="dxa"/>
            <w:vAlign w:val="bottom"/>
          </w:tcPr>
          <w:p>
            <w:pPr>
              <w:ind w:left="180"/>
              <w:spacing w:after="0"/>
              <w:rPr>
                <w:sz w:val="20"/>
                <w:szCs w:val="20"/>
                <w:color w:val="auto"/>
              </w:rPr>
            </w:pPr>
            <w:r>
              <w:rPr>
                <w:rFonts w:ascii="Arial" w:cs="Arial" w:eastAsia="Arial" w:hAnsi="Arial"/>
                <w:sz w:val="18"/>
                <w:szCs w:val="18"/>
                <w:color w:val="auto"/>
              </w:rPr>
              <w:t>Total</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$313,051,000</w:t>
            </w:r>
          </w:p>
        </w:tc>
        <w:tc>
          <w:tcPr>
            <w:tcW w:w="580" w:type="dxa"/>
            <w:vAlign w:val="bottom"/>
          </w:tcPr>
          <w:p>
            <w:pPr>
              <w:spacing w:after="0"/>
              <w:rPr>
                <w:sz w:val="24"/>
                <w:szCs w:val="24"/>
                <w:color w:val="auto"/>
              </w:rPr>
            </w:pPr>
          </w:p>
        </w:tc>
      </w:tr>
      <w:tr>
        <w:trPr>
          <w:trHeight w:val="107"/>
        </w:trPr>
        <w:tc>
          <w:tcPr>
            <w:tcW w:w="18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80" w:type="dxa"/>
            <w:vAlign w:val="bottom"/>
          </w:tcPr>
          <w:p>
            <w:pPr>
              <w:spacing w:after="0"/>
              <w:rPr>
                <w:sz w:val="9"/>
                <w:szCs w:val="9"/>
                <w:color w:val="auto"/>
              </w:rPr>
            </w:pPr>
          </w:p>
        </w:tc>
        <w:tc>
          <w:tcPr>
            <w:tcW w:w="580" w:type="dxa"/>
            <w:vAlign w:val="bottom"/>
          </w:tcPr>
          <w:p>
            <w:pPr>
              <w:spacing w:after="0"/>
              <w:rPr>
                <w:sz w:val="9"/>
                <w:szCs w:val="9"/>
                <w:color w:val="auto"/>
              </w:rPr>
            </w:pPr>
          </w:p>
        </w:tc>
      </w:tr>
      <w:tr>
        <w:trPr>
          <w:trHeight w:val="61"/>
        </w:trPr>
        <w:tc>
          <w:tcPr>
            <w:tcW w:w="18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Broadcasting and Related Matters</w:t>
      </w:r>
    </w:p>
    <w:p>
      <w:pPr>
        <w:spacing w:after="0" w:line="23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Company’s television broadcasting operations are subject to the jurisdiction of the Federal Communications Commission under the Communications Act of 1934, as amended. Under authority of such Act the FCC, among other things, assigns frequency bands for broadcast and other uses; issues, revokes, modifies and renews broadcasting licenses for particular frequencies; determines the location and power of stations and establishes areas to be served; regulates equipment used by stations; and adopts and implements regulations and policies that directly or indirectly affect the ownership, operations and profitability of broadcasting stations.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Each of the Company’s television stations holds an FCC license which is renewable upon application for an eight-year period.</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In December 1996 the FCC formally approved technical standards for digital advanced television (“DTV”). DTV is a flexible system that permits broadcasters to utilize a single digital channel in various ways, including providing one channel of high-definition television (“HDTV”) programming with greatly enhanced image and sound quality or several channels of lower-definition television programming (“multicasting”), and also is capable of accommodating subscription video and data services. Available compression technology may also allow broadcasters to transmit simultaneously one channel of HDTV programming and at least one channel of lower-definition programming. Broadcasters may offer a combination of services as long as they transmit at least one stream of free video programming on the DTV channel. The FCC has assigned to each existing full-power television station (including each station owned by the Company) a second channel to implement DTV while present television operations are continued on that station’s analog channel. Although in some cases a station’s DTV channel may only permit operation over a smaller geographic service area than that available using its analog channel, the FCC’s stated goal in assigning channels was to provide stations with DTV service areas that are generally consistent with their existing service areas. The FCC’s DTV rules also permit stations to request modifications to their assigned DTV facilities, allowing them to expand their DTV service areas if certain interference criteria are met. Under FCC rules and the Balanced Budget Act of 1997, if specified DTV household penetration levels are met, station owners will be required to surrender one channel in 2006 and thereafter provide service solely in the DTV format.</w:t>
      </w:r>
    </w:p>
    <w:p>
      <w:pPr>
        <w:spacing w:after="0" w:line="178"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The Company’s Detroit, Houston and Miami stations each commenced DTV broadcast operations in 1999, while the Company’s Orlando station commenced such operations in 2001. The Company’s two other stations (San Antonio and Jacksonville) began DTV broadcast operations in 2002.</w:t>
      </w:r>
    </w:p>
    <w:p>
      <w:pPr>
        <w:spacing w:after="0" w:line="13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November 1998 the FCC issued a decision implementing the requirement of the Telecommunications Act of 1996 that it charge broadcasters a fee for offering certain “ancillary and supplementary” services on the DTV channel. These services include data, video or other services that are offered on a subscription basis or for which broadcasters receive compensation other than from advertising revenue. In its decision, the FCC imposed a fee of 5% of the gross revenues generated by such services. In August 2003 the FCC began a proceeding to set rules for the DTV operations of low-power television stations. Among other things, the FCC is considering whether to allow certain low-power television stations to use a second channel for DTV operations while continuing analog operations on their existing channels. The use of second channels by low-power television stations could cause additional interference with the signals of full-power stations and limit the ability of full-power stations to modify their analog or DTV transmission facilities.</w:t>
      </w:r>
    </w:p>
    <w:p>
      <w:pPr>
        <w:spacing w:after="0" w:line="17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FCC has a policy of reviewing its DTV rules every two years to determine whether those rules need to be adjusted in light of new developments. In January 2003 the FCC released a Notice of Proposed Rule Making initiating the second periodic review of its DTV rules. This review is broadly examining the rules and policies governing broadcasters’ DTV operations, including interference protection rules, operating requirements, and extensions of the 2006 deadline for ceasing analog operations. As a part of this review, the FCC sought further comment in long-pending proceedings to determine what public interest obligations should apply to broadcasters’ DTV operations. Among other things, the FCC has asked whether it should require broadcasters to provide free time to political candidates, increase the amount of programming intended to meet the needs of minorities and women, and increase communication with the public regarding programming decisions. Pursuant to the “must-carry” requirements of the Cable Television Consumer Protection and</w:t>
      </w:r>
    </w:p>
    <w:p>
      <w:pPr>
        <w:spacing w:after="0" w:line="200" w:lineRule="exact"/>
        <w:rPr>
          <w:sz w:val="20"/>
          <w:szCs w:val="20"/>
          <w:color w:val="auto"/>
        </w:rPr>
      </w:pP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7" w:name="page8"/>
    <w:bookmarkEnd w:id="7"/>
    <w:p>
      <w:pPr>
        <w:jc w:val="both"/>
        <w:ind w:right="400"/>
        <w:spacing w:after="0" w:line="306" w:lineRule="auto"/>
        <w:rPr>
          <w:sz w:val="20"/>
          <w:szCs w:val="20"/>
          <w:color w:val="auto"/>
        </w:rPr>
      </w:pPr>
      <w:r>
        <w:rPr>
          <w:rFonts w:ascii="Arial" w:cs="Arial" w:eastAsia="Arial" w:hAnsi="Arial"/>
          <w:sz w:val="16"/>
          <w:szCs w:val="16"/>
          <w:color w:val="auto"/>
        </w:rPr>
        <w:t>Competition Act of 1992 (the “1992 Cable Act”), a commercial television broadcast station may, under certain circumstances, insist on carriage of its analog signal on cable systems serving the station’s market area. Alternatively, such stations may elect, at three-year intervals that began in October 1993, to forego must-carry rights and insist instead that their signals not be carried without their prior consent pursuant to a retransmission consent agreement.</w:t>
      </w:r>
    </w:p>
    <w:p>
      <w:pPr>
        <w:spacing w:after="0" w:line="161"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Stations that elect retransmission consent may negotiate for compensation from cable systems in the form of such things as mandatory advertising purchases by the system operator, station promotional announcements on the system, and cash payments to the station. The analog signal of each of the Company’s television stations, with the exception of WJXT, is being carried on all of the major cable systems in the stations’ respective local markets pursuant to retransmission consent agreements. WJXT’s analog signal is being carried on cable in WJXT’s local market pursuant to that station’s must-carry rights. The Satellite Home Viewer Improvement Act of 1999 gave commercial television stations similar rights to elect either must-carry or retransmission consent with respect to the carriage of their analog signals on direct broadcast satellite (“DBS”) systems that choose to provide “local-into-local” service (</w:t>
      </w:r>
      <w:r>
        <w:rPr>
          <w:rFonts w:ascii="Arial" w:cs="Arial" w:eastAsia="Arial" w:hAnsi="Arial"/>
          <w:sz w:val="16"/>
          <w:szCs w:val="16"/>
          <w:i w:val="1"/>
          <w:iCs w:val="1"/>
          <w:color w:val="auto"/>
        </w:rPr>
        <w:t>i.e.</w:t>
      </w:r>
      <w:r>
        <w:rPr>
          <w:rFonts w:ascii="Arial" w:cs="Arial" w:eastAsia="Arial" w:hAnsi="Arial"/>
          <w:sz w:val="16"/>
          <w:szCs w:val="16"/>
          <w:color w:val="auto"/>
        </w:rPr>
        <w:t>, to distribute the signals of local television stations to viewers in the local market area). Stations made their first DBS carriage election in July 2001 and will make subsequent elections at three-year intervals beginning in October 2005. The analog signal of each of the Company’s television stations is being carried by DBS providers EchoStar and DirecTV on a local-into-local basis pursuant to retransmission consent agreements.</w:t>
      </w:r>
    </w:p>
    <w:p>
      <w:pPr>
        <w:spacing w:after="0" w:line="174"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In January 2001 the FCC issued an order governing the mandatory carriage of DTV signals by cable television operators. The FCC decided that, pending further inquiry, only stations that broadcast in a DTV-only mode would be entitled to mandatory carriage of their DTV signals. In a pending proceeding, the FCC has sought comment on issues related to whether broadcasters should be able to seek mandatory cable carriage rights for both their analog and their digital signals, including the need for such carriage to further the transition to DTV and the burden of such carriage on cable operators. (The FCC also has sought comment on how it should apply digital signal carriage rules to DBS providers.) At present, stations broadcasting both analog and digital signals may negotiate retransmission consent agreements for carriage of part or all of their digital signals. In determining what parts of a DTV signal must be carried by cable operators, the FCC has ruled that only a single stream of video (that is, a single channel of programming) together with any additional “program-related” material is eligible for mandatory carriage. In the pending cable DTV proceeding, the FCC is considering the scope of what constitutes “program-related” material in the digital context. Cable operators will be required to carry the DTV signal of any DTV station eligible for mandatory carriage in the same format in which the signal was originally broadcast. Thus, an HDTV signal of a station eligible for mandatory carriage must be carried in HDTV format by cable operators. However, until the FCC’s January 2001 order is clarified, it is unclear whether cable operators will be responsible for ensuring that their set-top boxes are capable of passing DTV signals in their full definition to the consumer’s DTV receiver. As noted previously, all of the Company’s television stations are transmitting both analog and digital broadcasting signals; most of those stations’ digital signals are being carried on at least some local cable systems pursuant to retransmission consent agreements.</w:t>
      </w:r>
    </w:p>
    <w:p>
      <w:pPr>
        <w:spacing w:after="0" w:line="16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Telecommunications Act of 1996 requires the FCC to review its broadcast ownership rules every two years and to repeal or modify any rule it determines is no longer in the public interest. In June 2003, following such a review, the FCC modified its national television ownership limit to permit a broadcast company to own an unlimited number of television stations as long as the combined service areas of such stations do not include more than 45% of nationwide television households, an increase from the previous limit of 35%. Subsequently, the fiscal 2004 omnibus appropriations bill was signed into law by the President on January 23, 2004, and that bill included a provision that fixes the national ownership limit at 39% of nationwide television households, removes the national ownership limit from the periodic review process and also changes the frequency of such reviews from every two years to every four years.</w:t>
      </w:r>
    </w:p>
    <w:p>
      <w:pPr>
        <w:spacing w:after="0" w:line="17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August 1999 the FCC amended its local television ownership rule to permit one company to own two television stations in the same market if there are at least eight independently owned full-power television stations in that market (including non-commercial stations and counting the co-owned stations as one), and if at least one of the co-owned stations is not among the top four ranked television stations in that market. The FCC also decided to permit common ownership of stations in a single market if their signals do not overlap, and to permit common ownership where one of the stations is failing or unbuilt. These rule changes permitted increases in the concentration of station ownership in local markets, and all of the Company’s stations are now competing against two-station combinations in their respective markets. In April 2002 the U.S. Court of Appeals for the District of Columbia Circuit found that the FCC’s rule permitting co-owned stations in markets with at least eight independent full-power stations had not been adequately justified because of a failure to consider the significance of other types of media and remanded the rule to the FCC for further consideration.</w:t>
      </w:r>
    </w:p>
    <w:p>
      <w:pPr>
        <w:spacing w:after="0" w:line="172"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On June 2, 2003, the FCC issued an order that modified several of its broadcast ownership rules and responded to the remand from the D.C. Circuit. In its decision, the FCC further relaxed the local television ownership rule and also relaxed</w:t>
      </w: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8" w:name="page9"/>
    <w:bookmarkEnd w:id="8"/>
    <w:p>
      <w:pPr>
        <w:ind w:right="60"/>
        <w:spacing w:after="0" w:line="310" w:lineRule="auto"/>
        <w:rPr>
          <w:sz w:val="20"/>
          <w:szCs w:val="20"/>
          <w:color w:val="auto"/>
        </w:rPr>
      </w:pPr>
      <w:r>
        <w:rPr>
          <w:rFonts w:ascii="Arial" w:cs="Arial" w:eastAsia="Arial" w:hAnsi="Arial"/>
          <w:sz w:val="15"/>
          <w:szCs w:val="15"/>
          <w:color w:val="auto"/>
        </w:rPr>
        <w:t>two FCC cross-ownership rules restricting common ownership of television stations and newspapers and of television stations and radio stations in the same market. This decision has been appealed to the U.S. Court of Appeals for the Third Circuit, and that court has stayed the effectiveness of the new rules pending the outcome of the appeal. As a result, the former local ownership and cross-ownership rules remain in effect. The rule changes approved by the FCC in June 2003, would, if upheld, allow co-ownership of two television stations in a market as long as the two stations are not both ranked in the top four, and would also allow co-ownership of three television stations if there are 18 or more television stations in the market. Waivers of those limits would also be available where a station is failing and under certain other circumstances. In addition, the rule changes would liberalize the FCC’s restrictions on owning a combination of radio stations, television stations, and daily newspapers in the same market, and would, for example, allow one entity to own a daily newspaper and a TV station in the same market as long as there are four or more television stations in the market. Petitions for reconsideration of the FCC’s new rules are also pending at the FCC.</w:t>
      </w:r>
    </w:p>
    <w:p>
      <w:pPr>
        <w:spacing w:after="0" w:line="16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On December 10, 2003, the United States Supreme Court issued its decision in </w:t>
      </w:r>
      <w:r>
        <w:rPr>
          <w:rFonts w:ascii="Arial" w:cs="Arial" w:eastAsia="Arial" w:hAnsi="Arial"/>
          <w:sz w:val="16"/>
          <w:szCs w:val="16"/>
          <w:i w:val="1"/>
          <w:iCs w:val="1"/>
          <w:color w:val="auto"/>
        </w:rPr>
        <w:t>McConnell v. Federal Election Commission,</w:t>
      </w:r>
      <w:r>
        <w:rPr>
          <w:rFonts w:ascii="Arial" w:cs="Arial" w:eastAsia="Arial" w:hAnsi="Arial"/>
          <w:sz w:val="16"/>
          <w:szCs w:val="16"/>
          <w:color w:val="auto"/>
        </w:rPr>
        <w:t xml:space="preserve"> which upheld in the face of various First Amendment and other constitutional challenges virtually all of the provisions of the Bipartisan Campaign Reform Act of 2002. Among the provisions upheld were those that (i) prohibit most “soft-money” contributions to political parties in federal elections, and (ii) impose the contribution-limit and disclosure requirements of the Federal Election Campaign Act on any broadcast, cable television or DBS advertisement that refers to a candidate for Federal office and is run within 60 days of a general election or 30 days of a primary election, even if the advertisement in question is not produced by or coordinated with a candidate or a political party. These prohibitions and requirements may reduce the amount of money political parties and independent groups have available to purchase advertising in Federal election campaigns or otherwise discourage such advertising and thus may adversely affect the advertising revenues of the Company’s television stations.</w:t>
      </w:r>
    </w:p>
    <w:p>
      <w:pPr>
        <w:spacing w:after="0" w:line="17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FCC is conducting proceedings dealing with various issues in addition to those described elsewhere in this section, including proposals to modify its regulations relating to the operation of cable television systems (which regulations are discussed below under “Cable Television Operations — Regulation of Cable Television and Related Matters”), and proposals that could affect the development of alternative video delivery systems that would compete in varying degrees with both cable television and television broadcasting operations. Also, in August 2003 the FCC announced that it will be opening an inquiry to examine its rules and policies concerning broadcasters’ service to their local communities and has scheduled a number of public hearings across the country to examine the extent to and ways in which stations are meeting their local service obligations. The FCC has indicated that the information gathered during those hearings will assist it in evaluating license renewal applications for TV and radio stations across the country.</w:t>
      </w:r>
    </w:p>
    <w:p>
      <w:pPr>
        <w:spacing w:after="0" w:line="17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Company is unable to determine what impact the various rule changes and other matters described in this section may ultimately have on the Company’s television broadcasting operations.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Cable Television Operations</w:t>
      </w:r>
    </w:p>
    <w:p>
      <w:pPr>
        <w:spacing w:after="0" w:line="231" w:lineRule="exact"/>
        <w:rPr>
          <w:sz w:val="20"/>
          <w:szCs w:val="20"/>
          <w:color w:val="auto"/>
        </w:rPr>
      </w:pPr>
    </w:p>
    <w:p>
      <w:pPr>
        <w:ind w:right="140"/>
        <w:spacing w:after="0" w:line="323" w:lineRule="auto"/>
        <w:rPr>
          <w:sz w:val="20"/>
          <w:szCs w:val="20"/>
          <w:color w:val="auto"/>
        </w:rPr>
      </w:pPr>
      <w:r>
        <w:rPr>
          <w:rFonts w:ascii="Arial" w:cs="Arial" w:eastAsia="Arial" w:hAnsi="Arial"/>
          <w:sz w:val="15"/>
          <w:szCs w:val="15"/>
          <w:color w:val="auto"/>
        </w:rPr>
        <w:t>At the end of 2003 the Company (through its Cable One subsidiary) provided basic cable service to approximately 721,000 subscribers (representing about 57% of the 1,274,000 homes passed by the systems) and had in force approximately 300,000 subscriptions to premium program services, 223,000 subscriptions to digital video service (which number does not include approximately 4,000 free trials of that service then being offered by Cable One) and 134,000 subscriptions to cable modem service. Digital video and cable modem services are each currently available in markets serving virtually all of Cable One’s subscriber base.</w:t>
      </w:r>
    </w:p>
    <w:p>
      <w:pPr>
        <w:spacing w:after="0" w:line="152"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Company’s cable systems are located in 19 Midwestern, Southern and Western states and typically serve smaller communities: thus 18 of the Company’s current systems pass fewer than 10,000 dwelling units, 17 pass 10,000-25,000 dwelling units, and 19 pass more than 25,000 dwelling units. The largest cluster of systems (which together serve about 89,000 subscribers) is located on the Gulf Coast of Mississippi.</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Cable Television and Related Matters</w:t>
      </w:r>
    </w:p>
    <w:p>
      <w:pPr>
        <w:spacing w:after="0" w:line="2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Company’s cable operations are subject to various requirements imposed by local, state and federal governmental authorities. The franchises granted by local governmental authorities are typically nonexclusive and limited in time and generally contain various conditions and limitations relating to payment of fees to the local authority, determined generally as a percentage of revenues. Additionally, franchises often regulate the conditions of service and technical performance and contain various types of restrictions on transferability. Failure to comply with such conditions and limitations may give rise to rights of termination by the franchising authority.</w:t>
      </w: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The 1992 Cable Act requires or authorizes the imposition of a wide range of regulations on cable television operations. The three major areas of regulation are</w:t>
      </w:r>
    </w:p>
    <w:p>
      <w:pPr>
        <w:spacing w:after="0" w:line="38" w:lineRule="exact"/>
        <w:rPr>
          <w:sz w:val="20"/>
          <w:szCs w:val="20"/>
          <w:color w:val="auto"/>
        </w:rPr>
      </w:pPr>
    </w:p>
    <w:p>
      <w:pPr>
        <w:ind w:right="280" w:firstLine="8"/>
        <w:spacing w:after="0" w:line="261" w:lineRule="auto"/>
        <w:tabs>
          <w:tab w:leader="none" w:pos="21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rates charged for certain cable television services, (ii) required carriage (“must carry”) of some local broadcast stations, and (iii) retransmission consent rights for commercial broadcast stations.</w:t>
      </w:r>
    </w:p>
    <w:p>
      <w:pPr>
        <w:spacing w:after="0" w:line="19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Among other things, the Telecommunications Act of 1996 altered the preexisting regulatory environment by expanding the definition of “effective competition” (a condition that precludes any regulation of the rates charged by a cable system), terminating rate regulation for some small cable systems, and sunsetting the FCC’s authority to regulate the rates charged for optional tiers of service (which authority expired on March 31, 1999). Since very few of the cable systems owned by the Company fall within the effective-competition or small-system exemptions, monthly subscription rates charged by most of the Company’s cable systems for the basic tier of cable service (</w:t>
      </w:r>
      <w:r>
        <w:rPr>
          <w:rFonts w:ascii="Arial" w:cs="Arial" w:eastAsia="Arial" w:hAnsi="Arial"/>
          <w:sz w:val="16"/>
          <w:szCs w:val="16"/>
          <w:i w:val="1"/>
          <w:iCs w:val="1"/>
          <w:color w:val="auto"/>
        </w:rPr>
        <w:t>i.e.</w:t>
      </w:r>
      <w:r>
        <w:rPr>
          <w:rFonts w:ascii="Arial" w:cs="Arial" w:eastAsia="Arial" w:hAnsi="Arial"/>
          <w:sz w:val="16"/>
          <w:szCs w:val="16"/>
          <w:color w:val="auto"/>
        </w:rPr>
        <w:t>, the tier that includes the signals of local over-the-air stations and any public, educational or governmental channels required to be carried under the applicable franchise agreement), as well as rates charged for equipment rentals and service calls, may be regulated by municipalities, subject to procedures and criteria established by the FCC. However, rates charged by cable television systems for tiers of service other than the basic tier, for pay-per-view and per-channel premium program services, and for advertising are all exempt from regulation.</w:t>
      </w:r>
    </w:p>
    <w:p>
      <w:pPr>
        <w:spacing w:after="0" w:line="17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April 1993 the FCC adopted a “freeze” on rate increases for regulated services (</w:t>
      </w:r>
      <w:r>
        <w:rPr>
          <w:rFonts w:ascii="Arial" w:cs="Arial" w:eastAsia="Arial" w:hAnsi="Arial"/>
          <w:sz w:val="16"/>
          <w:szCs w:val="16"/>
          <w:i w:val="1"/>
          <w:iCs w:val="1"/>
          <w:color w:val="auto"/>
        </w:rPr>
        <w:t>i.e.</w:t>
      </w:r>
      <w:r>
        <w:rPr>
          <w:rFonts w:ascii="Arial" w:cs="Arial" w:eastAsia="Arial" w:hAnsi="Arial"/>
          <w:sz w:val="16"/>
          <w:szCs w:val="16"/>
          <w:color w:val="auto"/>
        </w:rPr>
        <w:t>, the basic and, prior to March 1999, optional tiers). Later that year the FCC promulgated benchmarks for determining the reasonableness of rates for such services. The benchmarks provided for a percentage reduction in the rates that were in effect when the benchmarks were announced. Pursuant to the FCC’s rules, cable operators can increase their benchmarked rates for regulated services to offset the effects of inflation, equipment upgrades, and higher programming, franchising and regulatory fees. Under the FCC’s approach cable operators may exceed their benchmarked rates if they can show in a cost-of-service proceeding that higher rates are needed to earn a reasonable return on investment, which the Commission established in March 1994 to be 11.25%. The FCC’s rules also permit franchising authorities to regulate equipment rentals and service and installation rates on the basis of a cable operator’s actual costs plus an allowable profit, which is calculated from the operator’s net investment, income tax rate and other factors.</w:t>
      </w:r>
    </w:p>
    <w:p>
      <w:pPr>
        <w:spacing w:after="0" w:line="17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discussed in the preceding section, under the “must-carry” requirements of the 1992 Cable Act, a commercial television broadcast station may, subject to certain limitations, insist on carriage of its signal on cable systems located within the station’s market area. Similarly, a noncommercial public station may insist on carriage of its signal on cable systems located within either the station’s predicted Grade B signal contour or 50 miles of the station’s transmitter. As a result of these obligations (the constitutionality of which has been upheld by the U.S. Supreme Court), certain of the Company’s cable systems have had to carry broadcast stations that they might not otherwise have elected to carry, and the freedom the Company’s systems would otherwise have to drop signals previously carried has been reduced.</w:t>
      </w:r>
    </w:p>
    <w:p>
      <w:pPr>
        <w:spacing w:after="0" w:line="19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Also as explained in the preceding section, at three-year intervals beginning in October 1993 commercial broadcasters have had the right to forego must-carry rights and insist instead that their signals not be carried without their prior consent. The Company’s cable systems have been able to continue carrying virtually all of the stations insisting on retransmission consent without having to agree to pay any stations for the privilege of carrying their signals. However, some commitments have been made to carry other program services offered by a station or an affiliated company, to provide advertising availabilities on cable for sale by a station and to distribute promotional announcements with respect to a station.</w:t>
      </w:r>
    </w:p>
    <w:p>
      <w:pPr>
        <w:spacing w:after="0" w:line="17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As has already been noted, in January 2001 the FCC determined that, pending further inquiry, only television stations broadcasting in a DTV-only mode could require local cable systems to carry their DTV signals. The FCC currently is conducting another inquiry to decide whether it should require cable systems to carry both the analog and the DTV signals of local television stations. Such an extension of must-carry requirements could result in the Company’s cable systems being required to delete some existing programming to make room for broadcasters’ DTV channels.</w:t>
      </w:r>
    </w:p>
    <w:p>
      <w:pPr>
        <w:spacing w:after="0" w:line="16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Various other provisions in current federal law may significantly affect the costs or profits of cable television systems. These matters include a prohibition on exclusive franchises, restrictions on the ownership of competing video delivery services, restrictions on transfers of cable television ownership, a variety of consumer protection measures, and various regulations intended to facilitate the development of competing video delivery services. Other provisions benefit the owners of cable systems by restricting regulation of cable television in many significant respects, requiring that franchises be granted for reasonable periods of time, providing various remedies and safeguards to protect cable operators against arbitrary refusals to renew franchises, and limiting franchise fees to 5% of gross revenues.</w:t>
      </w:r>
    </w:p>
    <w:p>
      <w:pPr>
        <w:spacing w:after="0" w:line="19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Apart from its authority under the 1992 Cable Act and the Telecommunications Act of 1996, the FCC regulates various other aspects of cable television operations. Since 1990 cable systems have been required to black out from the distant broadcast stations they carry syndicated programs for which local stations have purchased exclusive rights and requested</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10" w:name="page11"/>
    <w:bookmarkEnd w:id="10"/>
    <w:p>
      <w:pPr>
        <w:ind w:right="20"/>
        <w:spacing w:after="0" w:line="286" w:lineRule="auto"/>
        <w:rPr>
          <w:sz w:val="20"/>
          <w:szCs w:val="20"/>
          <w:color w:val="auto"/>
        </w:rPr>
      </w:pPr>
      <w:r>
        <w:rPr>
          <w:rFonts w:ascii="Arial" w:cs="Arial" w:eastAsia="Arial" w:hAnsi="Arial"/>
          <w:sz w:val="16"/>
          <w:szCs w:val="16"/>
          <w:color w:val="auto"/>
        </w:rPr>
        <w:t>exclusivity. Other long-standing FCC rules require cable systems to delete under certain circumstances duplicative network programs broadcast by distant stations. The FCC also imposes certain technical standards on cable television operators, exercises the power to license various microwave and other radio facilities frequently used in cable television operations, and regulates the assignment and transfer of control of such licenses. In addition, pursuant to the Pole Attachment Act, the FCC exercises authority to disapprove unreasonable rates charged to cable operators by telephone and power utilities for utilizing space on utility poles or in underground conduits (although states may reclaim exclusive jurisdiction over these matters by certifying to the FCC that they regulate the rates, terms and conditions of pole attachments, and some states in which the Company has cable operations have so certified). A number of cable operators (including the Company’s Cable One subsidiary) are using their cable systems to provide not only television programming but also Internet access. In January 2002, the U.S. Supreme Court ruled that the FCC’s authority under the Pole Attachment Act extends to all pole attachments by cable operators, including those attachments used to provide Internet access. Thus, except where individual states have assumed regulatory responsibility, the rates charged by utilities for pole or conduit access by cable companies are subject to FCC rate regulation regardless of whether or not the cable companies are providing Internet access as well as the delivery of television programming.</w:t>
      </w:r>
    </w:p>
    <w:p>
      <w:pPr>
        <w:spacing w:after="0" w:line="181" w:lineRule="exact"/>
        <w:rPr>
          <w:sz w:val="20"/>
          <w:szCs w:val="20"/>
          <w:color w:val="auto"/>
        </w:rPr>
      </w:pPr>
    </w:p>
    <w:p>
      <w:pPr>
        <w:ind w:right="120"/>
        <w:spacing w:after="0" w:line="308" w:lineRule="auto"/>
        <w:rPr>
          <w:sz w:val="20"/>
          <w:szCs w:val="20"/>
          <w:color w:val="auto"/>
        </w:rPr>
      </w:pPr>
      <w:r>
        <w:rPr>
          <w:rFonts w:ascii="Arial" w:cs="Arial" w:eastAsia="Arial" w:hAnsi="Arial"/>
          <w:sz w:val="15"/>
          <w:szCs w:val="15"/>
          <w:color w:val="auto"/>
        </w:rPr>
        <w:t>The Copyright Act of 1976 gives cable television systems the ability, under certain terms and conditions and assuming that any applicable retransmission consents have been obtained, to retransmit the signals of television stations pursuant to a compulsory copyright license. Those terms and conditions permit cable systems to retransmit the signals of local television stations on a royalty-free basis; however in most cases cable systems retransmitting the signals of distant stations are required to pay certain license fees set forth in the statute or established by subsequent administrative regulations. The compulsory license fees have been increased on several occasions since this Act went into effect. In 1994 the availability of a compulsory copyright license was extended to “wireless cable” for both local and distant television signals and to direct broadcast satellite (“DBS”) operators for distant signals only, although in the latter case the license was limited to the signals of distant network-affiliated stations delivered to subscribers who could not receive an over-the-air signal of a station affiliated with the same network. However, in November 1999 Congress enacted the Satellite Home Viewer Improvement Act, which created a royalty-free compulsory copyright license for DBS operators who wish to distribute the signals of local television stations to satellite subscribers in the markets served by such stations. This Act continued the limitation on importing the signals of distant network-affiliated stations contained in the original compulsory license for DBS operators.</w:t>
      </w:r>
    </w:p>
    <w:p>
      <w:pPr>
        <w:spacing w:after="0" w:line="16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general prohibition on telephone companies operating cable systems in areas where they provide local telephone service was eliminated by the Telecommunications Act of 1996. Telephone companies now can provide video services in their telephone service areas under four different regulatory plans. First, they can provide traditional cable television service and be subject to the same regulations as the Company’s cable television systems (including compliance with local franchise and any other local or state regulatory requirements). Second, they can provide “wireless cable” service, which is described below, and not be subject to either cable regulations or franchise requirements. Third, they can provide video services on a common-carrier basis, under which they would not be required to obtain local franchises but would be subject to common-carrier regulation (including a prohibition against exercising control over programming content). Finally, they can operate so-called “open video systems” without local franchises (although local communities can choose to require a franchise) and be subject to reduced regulatory burdens. The Act contains detailed requirements governing the operation of open video systems, including requiring the nondiscriminatory offering of capacity to third parties and limiting to one-third of total system capacity the number of channels the operator can program when demand exceeds available capacity. In addition, the rates charged by an open video system operator to a third party for the carriage of video programming must be just and reasonable as determined in accordance with standards established by the FCC. (Cable operators and others not affiliated with a telephone company may also become operators of open video systems.) The Act also generally prohibits telephone companies from acquiring or owning an interest in existing cable systems operating in their service areas.</w:t>
      </w:r>
    </w:p>
    <w:p>
      <w:pPr>
        <w:spacing w:after="0" w:line="17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Telecommunications Act of 1996 balances this grant of video authority to telephone companies by removing various regulatory barriers to the offering of telephone services by cable companies and others. The Act preempts state and local laws that have barred local telephone competition in some states. In addition, the Act requires local telephone companies to permit cable companies and other competitors to connect with the telephone network and requires telephone companies to give competitors access to the essential features and functionalities of the local telephone network (such as switching capability, signal carriage from the subscriber’s residence to the switching center, and directory assistance) on an unbundled basis. As an alternative method of providing local telephone service, the Act permits cable companies and others to purchase telephone service on a wholesale basis and then resell it to their subscribers.</w:t>
      </w:r>
    </w:p>
    <w:p>
      <w:pPr>
        <w:spacing w:after="0" w:line="200" w:lineRule="exact"/>
        <w:rPr>
          <w:sz w:val="20"/>
          <w:szCs w:val="20"/>
          <w:color w:val="auto"/>
        </w:rPr>
      </w:pPr>
    </w:p>
    <w:p>
      <w:pPr>
        <w:spacing w:after="0" w:line="2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1" w:name="page12"/>
    <w:bookmarkEnd w:id="11"/>
    <w:p>
      <w:pPr>
        <w:spacing w:after="0" w:line="285" w:lineRule="auto"/>
        <w:rPr>
          <w:sz w:val="20"/>
          <w:szCs w:val="20"/>
          <w:color w:val="auto"/>
        </w:rPr>
      </w:pPr>
      <w:r>
        <w:rPr>
          <w:rFonts w:ascii="Arial" w:cs="Arial" w:eastAsia="Arial" w:hAnsi="Arial"/>
          <w:sz w:val="16"/>
          <w:szCs w:val="16"/>
          <w:color w:val="auto"/>
        </w:rPr>
        <w:t>At various times during the last decade, the FCC adopted rule changes intended to facilitate the development of multichannel multipoint distribution systems, also known as “wireless cable” or “MMDS,” a video and data service that is capable of distributing approximately 30 television channels in a local area by over-the-air microwave transmission using analog technology and a greater number of channels using digital compression technologies. The use of digital technology and a 1998 change in the FCC’s rules to permit reverse path transmission over wireless facilities also make it possible for such systems to deliver additional services, including Internet access. Also, in late 1998 the FCC auctioned a sizeable amount of spectrum in the 31 gigahertz band for use by a new wireless service, which is referred to as the Local Multipoint Distribution Service or “LMDS,” that has the potential to deliver television programming directly to subscribers’ homes as well as provide Internet access and telephony services. To date, however, there are no LMDS systems in operation that deliver television programming or provide either Internet access or telephony. Separately, in November 2000 the FCC approved the use of spectrum in the 12.2-12.7 gigahertz band (the same band used by DBS operators) to provide a new land-based interactive video and data delivery service known as the Multichannel Video Distribution and Data Service (“MVDDS”). MVDDS providers will use “reharvested” DBS spectrum to transmit programming on a non-harmful interference basis using terrestrial microwave transmitters. (While DBS subscribers point their dishes south to pick up their provider’s signal, MVDDS customers will aim their antennas north.) Although the Commission has not yet granted any licenses to operate MVDDS systems, in January 2004 it commenced an auction for the purpose of selecting MVDDS licensees. MVDDS providers, like providers of other forms of wireless cable, will not be required to obtain franchises from local governmental authorities and generally will operate under fewer regulatory requirements than conventional cable systems.</w:t>
      </w:r>
    </w:p>
    <w:p>
      <w:pPr>
        <w:spacing w:after="0" w:line="18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October 1999 the FCC amended its cable ownership rule, which governs the number of subscribers an owner of cable systems may reach on a national basis. Before revision, this rule provided that a single company could not serve more than 30% of potential cable subscribers (or “homes passed” by cable) nationwide. The revised rule allowed a cable operator to provide service to 30% of all actual subscribers to cable, satellite and other competing services nationwide, rather than to 30% of homes passed by cable. This revision had the effect of increasing the number of communities that could be served by a single cable operator and may have resulted in more consolidation in the cable industry. In March 2001 the U.S. Court of Appeals for the D.C. Circuit voided the FCC’s revised rule on constitutional and procedural grounds and remanded the matter to the FCC for further proceedings. The FCC has since opened a proceeding to determine what the ownership limit should be, if any. If the FCC eliminates the limit or adopts a new rule with a higher percentage of nationwide subscribers a single cable operator is permitted to serve, that action could lead to even greater consolidation in the industry.</w:t>
      </w:r>
    </w:p>
    <w:p>
      <w:pPr>
        <w:spacing w:after="0" w:line="172"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In 1996 Congress repealed the statutory provision that generally prohibited a party from owning an interest in both a television broadcast station and a cable television system within that station’s Grade B contour. However Congress left the FCC’s parallel rule in place, subject to a congressionally mandated periodic review by the agency. The FCC, in its subsequent review, decided to retain the prohibition for various competitive and diversity reasons. However in February 2002 the U.S. Court of Appeals for the District of Columbia Circuit struck down the rule, holding that the FCC’s decision to retain the rule was arbitrary and capricious.</w:t>
      </w:r>
    </w:p>
    <w:p>
      <w:pPr>
        <w:spacing w:after="0" w:line="19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March 2002 the FCC issued a declaratory ruling classifying cable modem service as an “interstate information service.” Concurrently, the FCC issued a notice of proposed rulemaking to consider the regulatory implications of this classification. Among the issues to be decided are whether local authorities can require cable operators to provide competing Internet service providers with access to the cable operators’ facilities, the extent to which local authorities can regulate cable modem service, and whether local authorities can impose fees on the provision of cable modem service. In October 2003 the U.S. Court of Appeals for the Ninth Circuit, on an appeal from the FCC’s declaratory ruling noted above, ruled that cable modem service is partly an “information service” and partly a “telecommunications service.” Several parties have filed petitions for rehearing by the full Ninth Circuit panel. If this ruling stands, the characterization of cable modem service as partly a “telecommunications service” will likely affect the FCC’s decision on many of the issues in its pending rulemaking. Moreover, the Pole Attachment Act permits utilities to charge significantly higher rates for attachments made by entities that are providing a “telecommunications service.” The Company’s Cable One subsidiary currently offers Internet access on virtually all of its cable systems and is the sole Internet service provider on those systems. Thus, depending on the outcome, these judicial and regulatory proceedings have the potential to interfere with the Company’s ability to deliver Internet access on a profitable basis.</w:t>
      </w:r>
    </w:p>
    <w:p>
      <w:pPr>
        <w:spacing w:after="0" w:line="181"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Litigation also is pending in various courts in which various franchise requirements are being challenged as unlawful under the First Amendment, the Communications Act, the antitrust laws and on other grounds. One of the issues raised in these cases is whether local franchising authorities have the power to regulate the provision of Internet access by cable systems. Depending on the outcomes, such litigation could facilitate the development of duplicative cable facilities that would</w:t>
      </w: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2" w:name="page13"/>
    <w:bookmarkEnd w:id="12"/>
    <w:p>
      <w:pPr>
        <w:ind w:right="320"/>
        <w:spacing w:after="0" w:line="268" w:lineRule="auto"/>
        <w:rPr>
          <w:sz w:val="20"/>
          <w:szCs w:val="20"/>
          <w:color w:val="auto"/>
        </w:rPr>
      </w:pPr>
      <w:r>
        <w:rPr>
          <w:rFonts w:ascii="Arial" w:cs="Arial" w:eastAsia="Arial" w:hAnsi="Arial"/>
          <w:sz w:val="18"/>
          <w:szCs w:val="18"/>
          <w:color w:val="auto"/>
        </w:rPr>
        <w:t>compete with existing cable systems, enable cable operators to offer certain services outside of cable regulation or otherwise materially affect cable television operations.</w:t>
      </w:r>
    </w:p>
    <w:p>
      <w:pPr>
        <w:spacing w:after="0" w:line="186" w:lineRule="exact"/>
        <w:rPr>
          <w:sz w:val="20"/>
          <w:szCs w:val="20"/>
          <w:color w:val="auto"/>
        </w:rPr>
      </w:pPr>
    </w:p>
    <w:p>
      <w:pPr>
        <w:ind w:right="620"/>
        <w:spacing w:after="0" w:line="370" w:lineRule="auto"/>
        <w:rPr>
          <w:sz w:val="20"/>
          <w:szCs w:val="20"/>
          <w:color w:val="auto"/>
        </w:rPr>
      </w:pPr>
      <w:r>
        <w:rPr>
          <w:rFonts w:ascii="Arial" w:cs="Arial" w:eastAsia="Arial" w:hAnsi="Arial"/>
          <w:sz w:val="15"/>
          <w:szCs w:val="15"/>
          <w:color w:val="auto"/>
        </w:rPr>
        <w:t>The regulation of certain cable television rates pursuant to the authority granted to the FCC has negatively impacted the revenues of the Company’s cable systems. The Company is unable to predict what effect the other matters discussed in this section may ultimately have on its cable television business.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Magazine Publishing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Newsweek</w:t>
      </w:r>
    </w:p>
    <w:p>
      <w:pPr>
        <w:spacing w:after="0" w:line="23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i w:val="1"/>
          <w:iCs w:val="1"/>
          <w:color w:val="auto"/>
        </w:rPr>
        <w:t xml:space="preserve">Newsweek </w:t>
      </w:r>
      <w:r>
        <w:rPr>
          <w:rFonts w:ascii="Arial" w:cs="Arial" w:eastAsia="Arial" w:hAnsi="Arial"/>
          <w:sz w:val="18"/>
          <w:szCs w:val="18"/>
          <w:color w:val="auto"/>
        </w:rPr>
        <w:t>is a weekly news magazine published both domestically and internationally by Newsweek, Inc., a subsidiary of the Company. In gathering,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writing news and other material for publication,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maintains news bureaus in 9 U.S. and 11 foreign cities.</w:t>
      </w:r>
    </w:p>
    <w:p>
      <w:pPr>
        <w:spacing w:after="0" w:line="18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The domestic edition of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includes more than 100 different geographic or demographic editions which carry substantially identical news and feature material but enable advertisers to direct messages to specific market areas or demographic groups. Domestically,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ranks second in circulation among the three leading weekly news magazines (</w:t>
      </w:r>
      <w:r>
        <w:rPr>
          <w:rFonts w:ascii="Arial" w:cs="Arial" w:eastAsia="Arial" w:hAnsi="Arial"/>
          <w:sz w:val="16"/>
          <w:szCs w:val="16"/>
          <w:i w:val="1"/>
          <w:iCs w:val="1"/>
          <w:color w:val="auto"/>
        </w:rPr>
        <w:t>Newsweek, Time</w:t>
      </w:r>
      <w:r>
        <w:rPr>
          <w:rFonts w:ascii="Arial" w:cs="Arial" w:eastAsia="Arial" w:hAnsi="Arial"/>
          <w:sz w:val="16"/>
          <w:szCs w:val="16"/>
          <w:color w:val="auto"/>
        </w:rPr>
        <w:t xml:space="preserve"> and </w:t>
      </w:r>
      <w:r>
        <w:rPr>
          <w:rFonts w:ascii="Arial" w:cs="Arial" w:eastAsia="Arial" w:hAnsi="Arial"/>
          <w:sz w:val="16"/>
          <w:szCs w:val="16"/>
          <w:i w:val="1"/>
          <w:iCs w:val="1"/>
          <w:color w:val="auto"/>
        </w:rPr>
        <w:t>U.S. News &amp; World Report</w:t>
      </w:r>
      <w:r>
        <w:rPr>
          <w:rFonts w:ascii="Arial" w:cs="Arial" w:eastAsia="Arial" w:hAnsi="Arial"/>
          <w:sz w:val="16"/>
          <w:szCs w:val="16"/>
          <w:color w:val="auto"/>
        </w:rPr>
        <w:t xml:space="preserve">). For each of the last five years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’s average weekly domestic circulation rate base has been 3,100,000 copies. In 1999 </w:t>
      </w:r>
      <w:r>
        <w:rPr>
          <w:rFonts w:ascii="Arial" w:cs="Arial" w:eastAsia="Arial" w:hAnsi="Arial"/>
          <w:sz w:val="16"/>
          <w:szCs w:val="16"/>
          <w:i w:val="1"/>
          <w:iCs w:val="1"/>
          <w:color w:val="auto"/>
        </w:rPr>
        <w:t>Newsweek</w:t>
      </w:r>
      <w:r>
        <w:rPr>
          <w:rFonts w:ascii="Arial" w:cs="Arial" w:eastAsia="Arial" w:hAnsi="Arial"/>
          <w:sz w:val="16"/>
          <w:szCs w:val="16"/>
          <w:color w:val="auto"/>
        </w:rPr>
        <w:t>’s percentage of the total weekly domestic circulation rate base of the three leading weekly news magazines was 33.5%. Since 2000 that percentage has been 34.0%.</w:t>
      </w:r>
    </w:p>
    <w:p>
      <w:pPr>
        <w:spacing w:after="0" w:line="17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i w:val="1"/>
          <w:iCs w:val="1"/>
          <w:color w:val="auto"/>
        </w:rPr>
        <w:t xml:space="preserve">Newsweek </w:t>
      </w:r>
      <w:r>
        <w:rPr>
          <w:rFonts w:ascii="Arial" w:cs="Arial" w:eastAsia="Arial" w:hAnsi="Arial"/>
          <w:sz w:val="18"/>
          <w:szCs w:val="18"/>
          <w:color w:val="auto"/>
        </w:rPr>
        <w:t xml:space="preserve">is sold on newsstands and through subscription mail order sales derived from a number of sources, principally direct mail promotion. The basic one-year subscription price is $41.08. Most subscriptions are sold at a discount from the basic price. In May 2001, </w:t>
      </w:r>
      <w:r>
        <w:rPr>
          <w:rFonts w:ascii="Arial" w:cs="Arial" w:eastAsia="Arial" w:hAnsi="Arial"/>
          <w:sz w:val="18"/>
          <w:szCs w:val="18"/>
          <w:i w:val="1"/>
          <w:iCs w:val="1"/>
          <w:color w:val="auto"/>
        </w:rPr>
        <w:t>Newsweek</w:t>
      </w:r>
      <w:r>
        <w:rPr>
          <w:rFonts w:ascii="Arial" w:cs="Arial" w:eastAsia="Arial" w:hAnsi="Arial"/>
          <w:sz w:val="18"/>
          <w:szCs w:val="18"/>
          <w:color w:val="auto"/>
        </w:rPr>
        <w:t>’s newsstand cover price was increased from $3.50 per copy (which price had been in effect since April 1999) to $3.95 per copy.</w:t>
      </w:r>
    </w:p>
    <w:p>
      <w:pPr>
        <w:spacing w:after="0" w:line="194"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i w:val="1"/>
          <w:iCs w:val="1"/>
          <w:color w:val="auto"/>
        </w:rPr>
        <w:t>Newsweek</w:t>
      </w:r>
      <w:r>
        <w:rPr>
          <w:rFonts w:ascii="Arial" w:cs="Arial" w:eastAsia="Arial" w:hAnsi="Arial"/>
          <w:sz w:val="16"/>
          <w:szCs w:val="16"/>
          <w:color w:val="auto"/>
        </w:rPr>
        <w:t>’s published advertising rates are based on its average weekly circulation rate base and are competitive with those of the other weekly news magazines.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 is common in the magazine industry, advertising typically is sold at varying discounts from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’s published rates. Effective with the January 13, 2003 issue, </w:t>
      </w:r>
      <w:r>
        <w:rPr>
          <w:rFonts w:ascii="Arial" w:cs="Arial" w:eastAsia="Arial" w:hAnsi="Arial"/>
          <w:sz w:val="16"/>
          <w:szCs w:val="16"/>
          <w:i w:val="1"/>
          <w:iCs w:val="1"/>
          <w:color w:val="auto"/>
        </w:rPr>
        <w:t>Newsweek</w:t>
      </w:r>
      <w:r>
        <w:rPr>
          <w:rFonts w:ascii="Arial" w:cs="Arial" w:eastAsia="Arial" w:hAnsi="Arial"/>
          <w:sz w:val="16"/>
          <w:szCs w:val="16"/>
          <w:color w:val="auto"/>
        </w:rPr>
        <w:t>’s published national advertising rates for all categories of such advertising were increased by 4.8%. Beginning with the issue dated January 12, 2004, such rates were increased again, in this case by an average of approximately 4.5%.</w:t>
      </w:r>
    </w:p>
    <w:p>
      <w:pPr>
        <w:spacing w:after="0" w:line="167"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color w:val="auto"/>
        </w:rPr>
        <w:t xml:space="preserve">Internationally,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is published in a Europe, Middle East and Africa edition (formerly called the Atlantic edition); a Pacific edition covering Japan, Korea and south Asia; and a Latin American edition; all of which are in the English language. Editorial copy solely of domestic interest is eliminated in the international editions and is replaced by other international, business or national coverage primarily of interest abroad. Newsweek estimates that the combined average weekly paid circulation for these English-language international editions of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in 2003 was approximately 600,000 copies.</w:t>
      </w:r>
    </w:p>
    <w:p>
      <w:pPr>
        <w:spacing w:after="0" w:line="16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Since 1984 a section of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articles has been included in </w:t>
      </w:r>
      <w:r>
        <w:rPr>
          <w:rFonts w:ascii="Arial" w:cs="Arial" w:eastAsia="Arial" w:hAnsi="Arial"/>
          <w:sz w:val="16"/>
          <w:szCs w:val="16"/>
          <w:i w:val="1"/>
          <w:iCs w:val="1"/>
          <w:color w:val="auto"/>
        </w:rPr>
        <w:t>The Bulletin,</w:t>
      </w:r>
      <w:r>
        <w:rPr>
          <w:rFonts w:ascii="Arial" w:cs="Arial" w:eastAsia="Arial" w:hAnsi="Arial"/>
          <w:sz w:val="16"/>
          <w:szCs w:val="16"/>
          <w:color w:val="auto"/>
        </w:rPr>
        <w:t xml:space="preserve"> an Australian weekly news magazine which also circulates in New Zealand. A Japanese-language edition of </w:t>
      </w:r>
      <w:r>
        <w:rPr>
          <w:rFonts w:ascii="Arial" w:cs="Arial" w:eastAsia="Arial" w:hAnsi="Arial"/>
          <w:sz w:val="16"/>
          <w:szCs w:val="16"/>
          <w:i w:val="1"/>
          <w:iCs w:val="1"/>
          <w:color w:val="auto"/>
        </w:rPr>
        <w:t>Newsweek, Newsweek Nihon Ban,</w:t>
      </w:r>
      <w:r>
        <w:rPr>
          <w:rFonts w:ascii="Arial" w:cs="Arial" w:eastAsia="Arial" w:hAnsi="Arial"/>
          <w:sz w:val="16"/>
          <w:szCs w:val="16"/>
          <w:color w:val="auto"/>
        </w:rPr>
        <w:t xml:space="preserve"> has been published in Tokyo since 1986 pursuant to an arrangement with a Japanese publishing company which translates editorial copy, sells advertising in Japan and prints and distributes the edition. </w:t>
      </w:r>
      <w:r>
        <w:rPr>
          <w:rFonts w:ascii="Arial" w:cs="Arial" w:eastAsia="Arial" w:hAnsi="Arial"/>
          <w:sz w:val="16"/>
          <w:szCs w:val="16"/>
          <w:i w:val="1"/>
          <w:iCs w:val="1"/>
          <w:color w:val="auto"/>
        </w:rPr>
        <w:t>Newsweek Hankuk Pan,</w:t>
      </w:r>
      <w:r>
        <w:rPr>
          <w:rFonts w:ascii="Arial" w:cs="Arial" w:eastAsia="Arial" w:hAnsi="Arial"/>
          <w:sz w:val="16"/>
          <w:szCs w:val="16"/>
          <w:color w:val="auto"/>
        </w:rPr>
        <w:t xml:space="preserve"> a Korean-language edition of </w:t>
      </w:r>
      <w:r>
        <w:rPr>
          <w:rFonts w:ascii="Arial" w:cs="Arial" w:eastAsia="Arial" w:hAnsi="Arial"/>
          <w:sz w:val="16"/>
          <w:szCs w:val="16"/>
          <w:i w:val="1"/>
          <w:iCs w:val="1"/>
          <w:color w:val="auto"/>
        </w:rPr>
        <w:t xml:space="preserve">Newsweek, </w:t>
      </w:r>
      <w:r>
        <w:rPr>
          <w:rFonts w:ascii="Arial" w:cs="Arial" w:eastAsia="Arial" w:hAnsi="Arial"/>
          <w:sz w:val="16"/>
          <w:szCs w:val="16"/>
          <w:color w:val="auto"/>
        </w:rPr>
        <w:t>began publication in 1991 pursuant to a similar arrangement with a Korean publishing company.</w:t>
      </w:r>
      <w:r>
        <w:rPr>
          <w:rFonts w:ascii="Arial" w:cs="Arial" w:eastAsia="Arial" w:hAnsi="Arial"/>
          <w:sz w:val="16"/>
          <w:szCs w:val="16"/>
          <w:i w:val="1"/>
          <w:iCs w:val="1"/>
          <w:color w:val="auto"/>
        </w:rPr>
        <w:t xml:space="preserve"> Newsweek en Español, </w:t>
      </w:r>
      <w:r>
        <w:rPr>
          <w:rFonts w:ascii="Arial" w:cs="Arial" w:eastAsia="Arial" w:hAnsi="Arial"/>
          <w:sz w:val="16"/>
          <w:szCs w:val="16"/>
          <w:color w:val="auto"/>
        </w:rPr>
        <w:t>a Spanish-language edition of</w:t>
      </w:r>
      <w:r>
        <w:rPr>
          <w:rFonts w:ascii="Arial" w:cs="Arial" w:eastAsia="Arial" w:hAnsi="Arial"/>
          <w:sz w:val="16"/>
          <w:szCs w:val="16"/>
          <w:i w:val="1"/>
          <w:iCs w:val="1"/>
          <w:color w:val="auto"/>
        </w:rPr>
        <w:t xml:space="preserve"> Newsweek </w:t>
      </w:r>
      <w:r>
        <w:rPr>
          <w:rFonts w:ascii="Arial" w:cs="Arial" w:eastAsia="Arial" w:hAnsi="Arial"/>
          <w:sz w:val="16"/>
          <w:szCs w:val="16"/>
          <w:color w:val="auto"/>
        </w:rPr>
        <w:t>which has been distributed in Latin America since 1996, is currently being published under an agreement with a Mexico-based company which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translates editorial copy, prints and distributes the edition and jointly sells advertising with Newsweek. </w:t>
      </w:r>
      <w:r>
        <w:rPr>
          <w:rFonts w:ascii="Arial" w:cs="Arial" w:eastAsia="Arial" w:hAnsi="Arial"/>
          <w:sz w:val="16"/>
          <w:szCs w:val="16"/>
          <w:i w:val="1"/>
          <w:iCs w:val="1"/>
          <w:color w:val="auto"/>
        </w:rPr>
        <w:t>Newsweek Bil Logha Al-Arabia,</w:t>
      </w:r>
      <w:r>
        <w:rPr>
          <w:rFonts w:ascii="Arial" w:cs="Arial" w:eastAsia="Arial" w:hAnsi="Arial"/>
          <w:sz w:val="16"/>
          <w:szCs w:val="16"/>
          <w:color w:val="auto"/>
        </w:rPr>
        <w:t xml:space="preserve"> an Arabic-language edition of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began publication in 2000 under a similar arrangement with a Kuwaiti publishing company. Also, </w:t>
      </w:r>
      <w:r>
        <w:rPr>
          <w:rFonts w:ascii="Arial" w:cs="Arial" w:eastAsia="Arial" w:hAnsi="Arial"/>
          <w:sz w:val="16"/>
          <w:szCs w:val="16"/>
          <w:i w:val="1"/>
          <w:iCs w:val="1"/>
          <w:color w:val="auto"/>
        </w:rPr>
        <w:t>Newsweek Polska,</w:t>
      </w:r>
      <w:r>
        <w:rPr>
          <w:rFonts w:ascii="Arial" w:cs="Arial" w:eastAsia="Arial" w:hAnsi="Arial"/>
          <w:sz w:val="16"/>
          <w:szCs w:val="16"/>
          <w:color w:val="auto"/>
        </w:rPr>
        <w:t xml:space="preserve"> a Polish-language newsweekly, was launched in September 2001 under a licensing agreement with a Polish publishing company which, in addition to translating selected stories from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’s various U.S. and foreign editions, has established a staff of Polish reporters and editors for the magazine. In December 2002 Newsweek announced an agreement with a Hong Kong-based publisher to publish </w:t>
      </w:r>
      <w:r>
        <w:rPr>
          <w:rFonts w:ascii="Arial" w:cs="Arial" w:eastAsia="Arial" w:hAnsi="Arial"/>
          <w:sz w:val="16"/>
          <w:szCs w:val="16"/>
          <w:i w:val="1"/>
          <w:iCs w:val="1"/>
          <w:color w:val="auto"/>
        </w:rPr>
        <w:t>Newsweek Select,</w:t>
      </w:r>
      <w:r>
        <w:rPr>
          <w:rFonts w:ascii="Arial" w:cs="Arial" w:eastAsia="Arial" w:hAnsi="Arial"/>
          <w:sz w:val="16"/>
          <w:szCs w:val="16"/>
          <w:color w:val="auto"/>
        </w:rPr>
        <w:t xml:space="preserve"> a Chinese-language magazine based primarily on selected content translated from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’s U.S. and international editions. Limited distribution of </w:t>
      </w:r>
      <w:r>
        <w:rPr>
          <w:rFonts w:ascii="Arial" w:cs="Arial" w:eastAsia="Arial" w:hAnsi="Arial"/>
          <w:sz w:val="16"/>
          <w:szCs w:val="16"/>
          <w:i w:val="1"/>
          <w:iCs w:val="1"/>
          <w:color w:val="auto"/>
        </w:rPr>
        <w:t>Newsweek Select</w:t>
      </w:r>
      <w:r>
        <w:rPr>
          <w:rFonts w:ascii="Arial" w:cs="Arial" w:eastAsia="Arial" w:hAnsi="Arial"/>
          <w:sz w:val="16"/>
          <w:szCs w:val="16"/>
          <w:color w:val="auto"/>
        </w:rPr>
        <w:t xml:space="preserve"> began in Hong Kong the second half of 2003. Newsweek estimates that the combined average weekly paid circulation of </w:t>
      </w:r>
      <w:r>
        <w:rPr>
          <w:rFonts w:ascii="Arial" w:cs="Arial" w:eastAsia="Arial" w:hAnsi="Arial"/>
          <w:sz w:val="16"/>
          <w:szCs w:val="16"/>
          <w:i w:val="1"/>
          <w:iCs w:val="1"/>
          <w:color w:val="auto"/>
        </w:rPr>
        <w:t>The Bulletin</w:t>
      </w:r>
      <w:r>
        <w:rPr>
          <w:rFonts w:ascii="Arial" w:cs="Arial" w:eastAsia="Arial" w:hAnsi="Arial"/>
          <w:sz w:val="16"/>
          <w:szCs w:val="16"/>
          <w:color w:val="auto"/>
        </w:rPr>
        <w:t xml:space="preserve"> insertions and the foreign-language international editions of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was more than 500,000 copies in 2003.</w:t>
      </w: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13" w:name="page14"/>
    <w:bookmarkEnd w:id="13"/>
    <w:p>
      <w:pPr>
        <w:ind w:right="520"/>
        <w:spacing w:after="0" w:line="370" w:lineRule="auto"/>
        <w:rPr>
          <w:sz w:val="20"/>
          <w:szCs w:val="20"/>
          <w:color w:val="auto"/>
        </w:rPr>
      </w:pPr>
      <w:r>
        <w:rPr>
          <w:rFonts w:ascii="Arial" w:cs="Arial" w:eastAsia="Arial" w:hAnsi="Arial"/>
          <w:sz w:val="15"/>
          <w:szCs w:val="15"/>
          <w:color w:val="auto"/>
        </w:rPr>
        <w:t xml:space="preserve">The online version of </w:t>
      </w:r>
      <w:r>
        <w:rPr>
          <w:rFonts w:ascii="Arial" w:cs="Arial" w:eastAsia="Arial" w:hAnsi="Arial"/>
          <w:sz w:val="15"/>
          <w:szCs w:val="15"/>
          <w:i w:val="1"/>
          <w:iCs w:val="1"/>
          <w:color w:val="auto"/>
        </w:rPr>
        <w:t>Newsweek,</w:t>
      </w:r>
      <w:r>
        <w:rPr>
          <w:rFonts w:ascii="Arial" w:cs="Arial" w:eastAsia="Arial" w:hAnsi="Arial"/>
          <w:sz w:val="15"/>
          <w:szCs w:val="15"/>
          <w:color w:val="auto"/>
        </w:rPr>
        <w:t xml:space="preserve"> which includes stories from </w:t>
      </w:r>
      <w:r>
        <w:rPr>
          <w:rFonts w:ascii="Arial" w:cs="Arial" w:eastAsia="Arial" w:hAnsi="Arial"/>
          <w:sz w:val="15"/>
          <w:szCs w:val="15"/>
          <w:i w:val="1"/>
          <w:iCs w:val="1"/>
          <w:color w:val="auto"/>
        </w:rPr>
        <w:t>Newsweek</w:t>
      </w:r>
      <w:r>
        <w:rPr>
          <w:rFonts w:ascii="Arial" w:cs="Arial" w:eastAsia="Arial" w:hAnsi="Arial"/>
          <w:sz w:val="15"/>
          <w:szCs w:val="15"/>
          <w:color w:val="auto"/>
        </w:rPr>
        <w:t>’s print edition as well as other material, has been a co-branded feature on the MSNBC.com website since 2000. This feature is being produced by Washingtonpost.Newsweek Interactive Company, another subsidiary of the Company.</w:t>
      </w:r>
    </w:p>
    <w:p>
      <w:pPr>
        <w:spacing w:after="0" w:line="1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i w:val="1"/>
          <w:iCs w:val="1"/>
          <w:color w:val="auto"/>
        </w:rPr>
        <w:t xml:space="preserve">Arthur Frommer’s Budget Travel </w:t>
      </w:r>
      <w:r>
        <w:rPr>
          <w:rFonts w:ascii="Arial" w:cs="Arial" w:eastAsia="Arial" w:hAnsi="Arial"/>
          <w:sz w:val="18"/>
          <w:szCs w:val="18"/>
          <w:color w:val="auto"/>
        </w:rPr>
        <w:t>magazine, another Newsweek publication, was published ten times during 2003 and had an average paid circulation of more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than 500,000 copies. </w:t>
      </w:r>
      <w:r>
        <w:rPr>
          <w:rFonts w:ascii="Arial" w:cs="Arial" w:eastAsia="Arial" w:hAnsi="Arial"/>
          <w:sz w:val="18"/>
          <w:szCs w:val="18"/>
          <w:i w:val="1"/>
          <w:iCs w:val="1"/>
          <w:color w:val="auto"/>
        </w:rPr>
        <w:t>Budget Travel</w:t>
      </w:r>
      <w:r>
        <w:rPr>
          <w:rFonts w:ascii="Arial" w:cs="Arial" w:eastAsia="Arial" w:hAnsi="Arial"/>
          <w:sz w:val="18"/>
          <w:szCs w:val="18"/>
          <w:color w:val="auto"/>
        </w:rPr>
        <w:t xml:space="preserve"> is headquartered in New York City and has its own editorial staff.</w:t>
      </w:r>
    </w:p>
    <w:p>
      <w:pPr>
        <w:spacing w:after="0" w:line="186"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 xml:space="preserve">During recent years Congress has considered a range of proposals intended to restrict the marketing of tobacco products. The Company cannot now predict what actions may eventually be taken to limit or restrict tobacco advertising. However, such advertising accounts for only about 1% of Newsweek’s operating revenues and negligible revenues at </w:t>
      </w:r>
      <w:r>
        <w:rPr>
          <w:rFonts w:ascii="Arial" w:cs="Arial" w:eastAsia="Arial" w:hAnsi="Arial"/>
          <w:sz w:val="15"/>
          <w:szCs w:val="15"/>
          <w:i w:val="1"/>
          <w:iCs w:val="1"/>
          <w:color w:val="auto"/>
        </w:rPr>
        <w:t>The Washington Post</w:t>
      </w:r>
      <w:r>
        <w:rPr>
          <w:rFonts w:ascii="Arial" w:cs="Arial" w:eastAsia="Arial" w:hAnsi="Arial"/>
          <w:sz w:val="15"/>
          <w:szCs w:val="15"/>
          <w:color w:val="auto"/>
        </w:rPr>
        <w:t xml:space="preserve"> and the Company’s other publications. Moreover, federal law has prohibited the carrying of advertisements for cigarettes and smokeless tobacco by commercial radio and television stations for many years. Thus the Company believes that any restrictions on tobacco advertising that may eventually be put into effect would not have a material adverse effect on Newsweek or on any of the Company’s other business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PostNewsweek Tech Media</w:t>
      </w:r>
    </w:p>
    <w:p>
      <w:pPr>
        <w:spacing w:after="0" w:line="23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This division of Post-Newsweek Media, Inc. publishes controlled-circulation trade periodicals and produces trade shows and conferences for the government information technology industry.</w:t>
      </w:r>
    </w:p>
    <w:p>
      <w:pPr>
        <w:spacing w:after="0" w:line="18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Specifically, PostNewsweek Tech Media publishes </w:t>
      </w:r>
      <w:r>
        <w:rPr>
          <w:rFonts w:ascii="Arial" w:cs="Arial" w:eastAsia="Arial" w:hAnsi="Arial"/>
          <w:sz w:val="16"/>
          <w:szCs w:val="16"/>
          <w:i w:val="1"/>
          <w:iCs w:val="1"/>
          <w:color w:val="auto"/>
        </w:rPr>
        <w:t>Washington Technology,</w:t>
      </w:r>
      <w:r>
        <w:rPr>
          <w:rFonts w:ascii="Arial" w:cs="Arial" w:eastAsia="Arial" w:hAnsi="Arial"/>
          <w:sz w:val="16"/>
          <w:szCs w:val="16"/>
          <w:color w:val="auto"/>
        </w:rPr>
        <w:t xml:space="preserve"> a twice-monthly news magazine for government information technology systems integrators; </w:t>
      </w:r>
      <w:r>
        <w:rPr>
          <w:rFonts w:ascii="Arial" w:cs="Arial" w:eastAsia="Arial" w:hAnsi="Arial"/>
          <w:sz w:val="16"/>
          <w:szCs w:val="16"/>
          <w:i w:val="1"/>
          <w:iCs w:val="1"/>
          <w:color w:val="auto"/>
        </w:rPr>
        <w:t>Government Computer News,</w:t>
      </w:r>
      <w:r>
        <w:rPr>
          <w:rFonts w:ascii="Arial" w:cs="Arial" w:eastAsia="Arial" w:hAnsi="Arial"/>
          <w:sz w:val="16"/>
          <w:szCs w:val="16"/>
          <w:color w:val="auto"/>
        </w:rPr>
        <w:t xml:space="preserve"> a news magazine published 30 times per year serving government managers who buy information technology products and services; and </w:t>
      </w:r>
      <w:r>
        <w:rPr>
          <w:rFonts w:ascii="Arial" w:cs="Arial" w:eastAsia="Arial" w:hAnsi="Arial"/>
          <w:sz w:val="16"/>
          <w:szCs w:val="16"/>
          <w:i w:val="1"/>
          <w:iCs w:val="1"/>
          <w:color w:val="auto"/>
        </w:rPr>
        <w:t>GCN Technology,</w:t>
      </w:r>
      <w:r>
        <w:rPr>
          <w:rFonts w:ascii="Arial" w:cs="Arial" w:eastAsia="Arial" w:hAnsi="Arial"/>
          <w:sz w:val="16"/>
          <w:szCs w:val="16"/>
          <w:color w:val="auto"/>
        </w:rPr>
        <w:t xml:space="preserve"> a news magazine published four times per year providing information technology product reviews and other buying information for government information technology managers. </w:t>
      </w:r>
      <w:r>
        <w:rPr>
          <w:rFonts w:ascii="Arial" w:cs="Arial" w:eastAsia="Arial" w:hAnsi="Arial"/>
          <w:sz w:val="16"/>
          <w:szCs w:val="16"/>
          <w:i w:val="1"/>
          <w:iCs w:val="1"/>
          <w:color w:val="auto"/>
        </w:rPr>
        <w:t>Washington Technology, Government Computer News,</w:t>
      </w:r>
      <w:r>
        <w:rPr>
          <w:rFonts w:ascii="Arial" w:cs="Arial" w:eastAsia="Arial" w:hAnsi="Arial"/>
          <w:sz w:val="16"/>
          <w:szCs w:val="16"/>
          <w:color w:val="auto"/>
        </w:rPr>
        <w:t xml:space="preserve"> and </w:t>
      </w:r>
      <w:r>
        <w:rPr>
          <w:rFonts w:ascii="Arial" w:cs="Arial" w:eastAsia="Arial" w:hAnsi="Arial"/>
          <w:sz w:val="16"/>
          <w:szCs w:val="16"/>
          <w:i w:val="1"/>
          <w:iCs w:val="1"/>
          <w:color w:val="auto"/>
        </w:rPr>
        <w:t>GCN Technology</w:t>
      </w:r>
      <w:r>
        <w:rPr>
          <w:rFonts w:ascii="Arial" w:cs="Arial" w:eastAsia="Arial" w:hAnsi="Arial"/>
          <w:sz w:val="16"/>
          <w:szCs w:val="16"/>
          <w:color w:val="auto"/>
        </w:rPr>
        <w:t xml:space="preserve"> have circulations of about 40,000, 87,000, and 100,000 copies, respectively. This division also publishes the </w:t>
      </w:r>
      <w:r>
        <w:rPr>
          <w:rFonts w:ascii="Arial" w:cs="Arial" w:eastAsia="Arial" w:hAnsi="Arial"/>
          <w:sz w:val="16"/>
          <w:szCs w:val="16"/>
          <w:i w:val="1"/>
          <w:iCs w:val="1"/>
          <w:color w:val="auto"/>
        </w:rPr>
        <w:t>Federal Technology Almanac,</w:t>
      </w:r>
      <w:r>
        <w:rPr>
          <w:rFonts w:ascii="Arial" w:cs="Arial" w:eastAsia="Arial" w:hAnsi="Arial"/>
          <w:sz w:val="16"/>
          <w:szCs w:val="16"/>
          <w:color w:val="auto"/>
        </w:rPr>
        <w:t xml:space="preserve"> an annual reference guide for federal government information technology managers and private-sector information technology executives.</w:t>
      </w:r>
    </w:p>
    <w:p>
      <w:pPr>
        <w:spacing w:after="0" w:line="174"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 xml:space="preserve">PostNewsweek Tech Media also produces the </w:t>
      </w:r>
      <w:r>
        <w:rPr>
          <w:rFonts w:ascii="Arial" w:cs="Arial" w:eastAsia="Arial" w:hAnsi="Arial"/>
          <w:sz w:val="18"/>
          <w:szCs w:val="18"/>
          <w:i w:val="1"/>
          <w:iCs w:val="1"/>
          <w:color w:val="auto"/>
        </w:rPr>
        <w:t>FOSE</w:t>
      </w:r>
      <w:r>
        <w:rPr>
          <w:rFonts w:ascii="Arial" w:cs="Arial" w:eastAsia="Arial" w:hAnsi="Arial"/>
          <w:sz w:val="18"/>
          <w:szCs w:val="18"/>
          <w:color w:val="auto"/>
        </w:rPr>
        <w:t xml:space="preserve"> trade show, which is held each spring in Washington, D.C. for information technology decision makers in government and industry, and the </w:t>
      </w:r>
      <w:r>
        <w:rPr>
          <w:rFonts w:ascii="Arial" w:cs="Arial" w:eastAsia="Arial" w:hAnsi="Arial"/>
          <w:sz w:val="18"/>
          <w:szCs w:val="18"/>
          <w:i w:val="1"/>
          <w:iCs w:val="1"/>
          <w:color w:val="auto"/>
        </w:rPr>
        <w:t>PSX</w:t>
      </w:r>
      <w:r>
        <w:rPr>
          <w:rFonts w:ascii="Arial" w:cs="Arial" w:eastAsia="Arial" w:hAnsi="Arial"/>
          <w:sz w:val="18"/>
          <w:szCs w:val="18"/>
          <w:color w:val="auto"/>
        </w:rPr>
        <w:t xml:space="preserve"> trade show, which attracts government procurement officers and vendors of the services such officers purchase. This division also produces a number of smaller conferences and events, including awards dinners honoring leading individuals and companies in the government information technology community.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Education</w:t>
      </w:r>
    </w:p>
    <w:p>
      <w:pPr>
        <w:spacing w:after="0" w:line="231"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Kaplan, Inc., a subsidiary of the Company, provides an extensive range of educational services for children, students and professionals. Kaplan’s historical focus on test preparation has been expanded as new educational and career services businesses have been acquired or initiated. The Company divides Kaplan’s various businesses into two categories: supplemental education, which consists of Kaplan’s Test Preparation and Admissions, Professional, and Score Education Divisions; and higher education, which consists of Kaplan’s Higher Education Division.</w:t>
      </w:r>
    </w:p>
    <w:p>
      <w:pPr>
        <w:spacing w:after="0" w:line="167"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Through its Test Preparation and Admissions Division, Kaplan prepares students for a broad range of admissions and licensing examinations, including the SATs, LSATs, GMATs, MCATs, GREs, and nursing and medical boards. This business can be subdivided into four categories: K-12 (serving schools and school districts seeking assistance in preparing students for state assessment tests and for the SATs and ACTs and providing professional training for teachers); Graduate and Pre-College (serving high school and college students and professionals, primarily with preparation for admissions tests to college and to graduate, medical and law schools); Medical (serving medical professionals preparing for licensing exams); and English Language Training (serving foreign students and professionals wishing to study or work in the U.S.). Many of this division’s test preparation courses have been available to students via the Internet since 1999. During 2003 the Test Preparation and Admissions Division enrolled nearly 270,000 students (including over 76,000 enrolled in online programs) and provided courses at 159 permanent centers located throughout the United States and in Canada, Puerto Rico, London and Paris. In addition, Kaplan licenses material for certain of these courses to third parties who during 2003 offered such courses at 27 centers located in 12 foreign countries. The Test Preparation and Admissions Division also currently co-publishes more than 180 book titles, predominantly in the areas of test preparation, admissions, career guidance and life skills, through a joint venture with Simon &amp; Schuster, and develops educational software for the K through 12 and graduate markets which is sold through arrangements with a third party who is responsible for production and distribution. This division also produces a college newsstand guide in conjunction with Newsweek.</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14" w:name="page15"/>
    <w:bookmarkEnd w:id="14"/>
    <w:p>
      <w:pPr>
        <w:ind w:right="100"/>
        <w:spacing w:after="0" w:line="288" w:lineRule="auto"/>
        <w:rPr>
          <w:sz w:val="20"/>
          <w:szCs w:val="20"/>
          <w:color w:val="auto"/>
        </w:rPr>
      </w:pPr>
      <w:r>
        <w:rPr>
          <w:rFonts w:ascii="Arial" w:cs="Arial" w:eastAsia="Arial" w:hAnsi="Arial"/>
          <w:sz w:val="16"/>
          <w:szCs w:val="16"/>
          <w:color w:val="auto"/>
        </w:rPr>
        <w:t>Kaplan’s Professional Division offers continuing education, certification, licensing, exam preparation and professional development to corporations and to individuals seeking to advance their careers in a variety of disciplines. This division includes Deaborn Financial Services, a provider of continuing education and test preparation courses for financial services and insurance industry professionals; Dearborn Publishing, publisher of a variety of business and real estate books as well as printed and online materials for licensing, test preparation and continuing education in the real estate, architecture, home inspection, engineering and construction industries; The Schweser Study Program, a provider of test preparation courses for the Chartered Financial Analyst and Financial Risk Manager examinations; Kaplan CPA, which offers test preparation courses for the Certified Public Accounting Exam; Kaplan Professional Schools, a provider of courses for real estate and financial services licensing examinations and continuing education; Perfect Access Speer, a provider of software consulting and software training products, primarily to the legal profession; and Kaplan IT, which offers online test preparation courses for technical certifications in the information technology industry.</w:t>
      </w:r>
    </w:p>
    <w:p>
      <w:pPr>
        <w:spacing w:after="0" w:line="174"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Kaplan’s Score Education Division offers computer-based learning and individualized tutoring for children in grades K through 10. In 2003 this business, which provides educational after-school enrichment services through 153 Score centers located in various areas of the United States, served more than 80,000 students, up from nearly 70,000 students in 2002. Score’s services are provided in facilities separate from Kaplan’s test preparation centers.</w:t>
      </w:r>
    </w:p>
    <w:p>
      <w:pPr>
        <w:spacing w:after="0" w:line="16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Higher Education Division of Kaplan currently consists of 63 schools in 15 states that provide classroom-based instruction and three institutions that specialize in distance education. The schools providing classroom-based instruction offer a variety of bachelor degree, associate degree and diploma programs primarily in the fields of healthcare, business, paralegal studies, information technology, criminal justice and fashion and design. These schools were serving more than 26,700 students at year-end 2003 (which total includes the classroom-based programs of Kaplan College), with approximately 40% of such students enrolled in accredited bachelor or associate degree programs. Each of these schools has its own accreditation from one of several regional or national accrediting agencies recognized by the U.S. Department of Education. The institutions that specialize in distance education are Kaplan College, Concord University School of Law and The College for Professional Studies. Kaplan College offers various bachelor degree, associate degree and certificate programs, principally in the fields of financial planning, criminal justice, paralegal studies, information technology and management, and is accredited by the Higher Learning Commission of the North Central Association of Colleges and Schools. Some of Kaplan College’s programs are offered online while others are offered in a traditional classroom format at the school’s Davenport, Iowa campus. At year-end 2003, Kaplan College had approximately 12,000 students enrolled in online programs. Concord University School of Law, the nation’s first online law school, offers Juris Doctor and Executive Juris Doctor degrees wholly online. At year-end 2003, approximately 1,650 students were enrolled at Concord. Concord is accredited by the Accrediting Commission of the Distance Education and Training Council and has received operating approval from the California Bureau of Private Post-Secondary and Vocational Education. Concord also has complied with the registration requirements of the State Bar of California; graduates are, therefore, able to apply for admission to the California Bar. The College for Professional Studies, which had over 1,300 students enrolled at year-end 2003, offers bachelor and associate degree and diploma correspondence programs in the fields of legal nurse consulting, paralegal studies and criminal justice; however, that school is no longer enrolling students and will discontinue operations after its current students complete their programs.</w:t>
      </w:r>
    </w:p>
    <w:p>
      <w:pPr>
        <w:spacing w:after="0" w:line="17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One of the ways a foreign national wishing to enter the United States to study may do so is to obtain an F-1 student visa. For many years, most of Kaplan’s Test Preparation and Admissions Division centers in the United States have been authorized by what is now the U.S. Citizenship and Immigration Services (the “USCIS”) to issue certificates of eligibility to prospective students to assist those students in applying for F-1 visas through a U.S. Embassy or Consulate. Under a program that became effective early in 2003, educational institutions are required to report electronically to the USCIS specified enrollment, departure and other information about the F-1 students to whom they have issued certificates of eligibility. All of the Kaplan U.S. Test Preparation and Admissions Division centers that applied have been certified to participate in this program. Once certified, a center must apply for recertification every two years. During 2003 students holding F-1 visas accounted for approximately 1.6% of the enrollment at Kaplan’s Test Preparation and Admissions Division and an insignificant number of students at Kaplan’s Higher Education Division.</w:t>
      </w:r>
    </w:p>
    <w:p>
      <w:pPr>
        <w:spacing w:after="0" w:line="172"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In addition to its four divisions, during 2003 Kaplan acquired a number of foreign-based schools and other businesses that provide educational services. The largest acquisition was The Financial Training Company (“FTC”), a U.K.-based provider of training and test preparation services for accounting and financial services professionals. Kaplan also acquired several other related businesses which are now operated through FTC. At year-end 2003, FTC was the publisher of more than 100 textbooks and manuals and during the year had provided courses to over 30,000 students. Headquartered in London, FTC has 28 training centers around the UK as well as operations in Hong Kong, Shanghai and Singapore. During 2003 Kaplan also acquired Dublin Business School (“DBS”), an undergraduate institution located in Dublin, Ireland. DBS</w:t>
      </w:r>
    </w:p>
    <w:p>
      <w:pPr>
        <w:spacing w:after="0" w:line="200" w:lineRule="exact"/>
        <w:rPr>
          <w:sz w:val="20"/>
          <w:szCs w:val="20"/>
          <w:color w:val="auto"/>
        </w:rPr>
      </w:pPr>
    </w:p>
    <w:p>
      <w:pPr>
        <w:spacing w:after="0" w:line="2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5" w:name="page16"/>
    <w:bookmarkEnd w:id="15"/>
    <w:p>
      <w:pPr>
        <w:ind w:right="80"/>
        <w:spacing w:after="0" w:line="268" w:lineRule="auto"/>
        <w:rPr>
          <w:sz w:val="20"/>
          <w:szCs w:val="20"/>
          <w:color w:val="auto"/>
        </w:rPr>
      </w:pPr>
      <w:r>
        <w:rPr>
          <w:rFonts w:ascii="Arial" w:cs="Arial" w:eastAsia="Arial" w:hAnsi="Arial"/>
          <w:sz w:val="18"/>
          <w:szCs w:val="18"/>
          <w:color w:val="auto"/>
        </w:rPr>
        <w:t>provides various undergraduate and graduate degree programs in business and the liberal arts. All of these overseas businesses were included in the supplemental education category in 2003.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IV Federal Student Financial Aid Programs</w:t>
      </w:r>
    </w:p>
    <w:p>
      <w:pPr>
        <w:spacing w:after="0" w:line="23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Funds provided under the student financial aid programs that have been created under Title IV of the Higher Education Act of 1965, as amended, historically have been responsible for a majority of the net revenues of the schools in Kaplan’s Higher Education Division, accounting, for example, for approximately</w:t>
      </w:r>
    </w:p>
    <w:p>
      <w:pPr>
        <w:ind w:right="380"/>
        <w:spacing w:after="0" w:line="261" w:lineRule="auto"/>
        <w:rPr>
          <w:sz w:val="20"/>
          <w:szCs w:val="20"/>
          <w:color w:val="auto"/>
        </w:rPr>
      </w:pPr>
      <w:r>
        <w:rPr>
          <w:rFonts w:ascii="Arial" w:cs="Arial" w:eastAsia="Arial" w:hAnsi="Arial"/>
          <w:sz w:val="18"/>
          <w:szCs w:val="18"/>
          <w:color w:val="auto"/>
        </w:rPr>
        <w:t>$250 million of the revenues of such schools for the Company’s 2003 fiscal year. The significant role of Title IV funding in the operations of these schools is expected to continue.</w:t>
      </w:r>
    </w:p>
    <w:p>
      <w:pPr>
        <w:spacing w:after="0" w:line="192"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To maintain Title IV eligibility a school must comply with extensive statutory and regulatory requirements relating to its financial aid management, educational programs, financial strength, recruiting practices and various other matters. Among other things, the school must be authorized to offer its educational programs by the appropriate governmental body in the state or states in which it is located, be accredited by an accrediting agency recognized by the U.S. Department of Education (the “Department of Education”), and enter into a program participation agreement with the Department of Education.</w:t>
      </w:r>
    </w:p>
    <w:p>
      <w:pPr>
        <w:spacing w:after="0" w:line="16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school may lose its eligibility to participate in Title IV programs if student defaults on the repayment of Title IV loans exceed specified default rates (referred to as “cohort default rates”). A school whose cohort default rate exceeds 40% for any single year may have its eligibility to participate in Title IV programs limited, suspended or terminated at the discretion of the Department of Education. A school whose cohort default rate equals or exceeds 25% for three consecutive years will automatically lose its Title IV eligibility for at least two years unless the school can demonstrate exceptional circumstances justifying its continued eligibility. Pursuant to another program requirement, any for-profit postsecondary institution (a category that includes all of the schools in Kaplan’s Higher Education Division) will lose its Title IV eligibility for at least one year if more than 90% of that institution’s receipts for any fiscal year are derived from Title IV programs.</w:t>
      </w:r>
    </w:p>
    <w:p>
      <w:pPr>
        <w:spacing w:after="0" w:line="17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Title IV program regulations also provide that not more than 50% of an eligible institution’s courses can be provided online and that, in some cases, not more than 50% of an eligible institution’s students can be enrolled in online courses and impose certain other requirements intended to insure that individual programs (including online programs) eligible for Title IV funding include minimum amounts of instructional activity. However, Kaplan College currently is a participant in the distance education demonstration program of the Department of Education and as a result is exempt from the foregoing requirements until at least June 30, 2005. Several bills are currently pending in both houses of Congress that would exempt online courses from the 50% rules and certain other existing requirements if various other conditions set forth in such legislation or to be specified in future Department of Education regulations can be satisfied. The Company cannot now predict whether any of those bills will ultimately be enacted into law and whether Kaplan College will be able to satisfy whatever conditions may ultimately be imposed on the availability of Title IV funding for online programs.</w:t>
      </w:r>
    </w:p>
    <w:p>
      <w:pPr>
        <w:spacing w:after="0" w:line="17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As a general matter, schools participating in Title IV programs are not financially responsible for the failure of their students to repay Title IV loans. However the Department of Education may fine a school for a failure to comply with Title IV requirements and may require a school to repay Title IV program funds if it finds that such funds have been improperly disbursed. In addition, there may be other legal theories under which a school could be subject to suit as a result of alleged irregularities in the administration of student financial aid.</w:t>
      </w:r>
    </w:p>
    <w:p>
      <w:pPr>
        <w:spacing w:after="0" w:line="197"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Pursuant to Title IV program regulations, a school that undergoes a change in control must be reviewed and recertified by the Department of Education. Certifications obtained following a change in control are granted on a provisional basis that permits the school to continue participating in Title IV programs but provides fewer procedural protections if the Department of Education asserts a material violation of Title IV requirements. As a result of Kaplan’s acquisition of Quest Education Corporation in 2000, all of the schools owned by Quest at that time were provisionally certified by the Department of Education for a term expiring in June 2004; Kaplan will be eligible to apply for full certification for such schools (which constitute most of the schools in Kaplan’s Higher Education Division) in the spring of 2004. The schools acquired by Kaplan’s Higher Education Division subsequent to the Quest acquisition have also been provisionally certified by the Department of Education, generally for terms expiring approximately three years after the date of the acquisition.</w:t>
      </w:r>
    </w:p>
    <w:p>
      <w:pPr>
        <w:spacing w:after="0" w:line="17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No proceeding by the Department of Education is pending to fine any Kaplan school for a failure to comply with any Title IV requirement, or to limit, suspend or terminate the Title IV eligibility of any Kaplan school. However no assurance can be given that the Kaplan schools currently participating in Title IV programs will maintain their Title IV eligibility in the future or that the Department of Education might not successfully assert that one or more of such schools have previously failed to comply with Title IV requirements.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6" w:name="page17"/>
    <w:bookmarkEnd w:id="16"/>
    <w:p>
      <w:pPr>
        <w:ind w:right="60"/>
        <w:spacing w:after="0" w:line="288" w:lineRule="auto"/>
        <w:rPr>
          <w:sz w:val="20"/>
          <w:szCs w:val="20"/>
          <w:color w:val="auto"/>
        </w:rPr>
      </w:pPr>
      <w:r>
        <w:rPr>
          <w:rFonts w:ascii="Arial" w:cs="Arial" w:eastAsia="Arial" w:hAnsi="Arial"/>
          <w:sz w:val="16"/>
          <w:szCs w:val="16"/>
          <w:color w:val="auto"/>
        </w:rPr>
        <w:t>In accordance with Department of Education regulations, a number of the schools in Kaplan’s Higher Education Division are combined into groups of two or more schools for the purpose of determining compliance with Title IV requirements. Including schools that are not combined with other schools for that purpose, the Higher Education Division currently has 36 Title IV reporting units, the largest of which in terms of revenue accounted for approximately 17% of the Division’s 2003 revenues. If the Department of Education were to find that one reporting unit had failed to comply with any applicable Title IV requirement and as a result limited, suspended or terminated the Title IV eligibility of the school or schools in that unit, that action normally would not affect the Title IV eligibility of the schools in other reporting units that had continued to comply with Title IV requirements. For the most recent year for which data is available from the Department of Education, the cohort default rate for the Title IV reporting units in Kaplan’s Higher Education Division averaged 10.9%, and no unit had a cohort default rate of 25% or more. In 2003 those reporting units derived an average of less than 80% of their receipts from Title IV programs, with no unit deriving more than 88.5% of its receipts from such programs.</w:t>
      </w:r>
    </w:p>
    <w:p>
      <w:pPr>
        <w:spacing w:after="0" w:line="174"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All of the Title IV financial aid programs are subject to periodic legislative review and reauthorization, and the next reauthorization is scheduled to take place during the current Congressional term. In addition, the availability of funding for the Title IV programs that provide non-repayable grants is wholly contingent upon the outcome of the annual federal appropriations process.</w:t>
      </w:r>
    </w:p>
    <w:p>
      <w:pPr>
        <w:spacing w:after="0" w:line="194"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Whether as a result of changes in the laws and regulations governing Title IV programs, a reduction in Title IV program funding levels, or a failure of schools included in Kaplan’s Higher Education Division to maintain eligibility to participate in Title IV programs, a material reduction in the amount of Title IV financial assistance available to the students of these schools would have a significant negative impact on Kaplan’s operating results.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BrassRing</w:t>
      </w:r>
    </w:p>
    <w:p>
      <w:pPr>
        <w:spacing w:after="0" w:line="231"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The Company beneficially owns a 49.3% equity interest in BrassRing LLC, an Internet-based hiring management company. The other principal members of BrassRing are the Tribune Company with a 26.9% interest; Gannett Co., Inc. with a 12.4% interest; and the venture capital firm Accel Partners with a 10.5% interest.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Production and Raw Materials</w:t>
      </w:r>
    </w:p>
    <w:p>
      <w:pPr>
        <w:spacing w:after="0" w:line="23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i w:val="1"/>
          <w:iCs w:val="1"/>
          <w:color w:val="auto"/>
        </w:rPr>
        <w:t xml:space="preserve">The Washington Post </w:t>
      </w:r>
      <w:r>
        <w:rPr>
          <w:rFonts w:ascii="Arial" w:cs="Arial" w:eastAsia="Arial" w:hAnsi="Arial"/>
          <w:sz w:val="16"/>
          <w:szCs w:val="16"/>
          <w:color w:val="auto"/>
        </w:rPr>
        <w:t>and</w:t>
      </w:r>
      <w:r>
        <w:rPr>
          <w:rFonts w:ascii="Arial" w:cs="Arial" w:eastAsia="Arial" w:hAnsi="Arial"/>
          <w:sz w:val="16"/>
          <w:szCs w:val="16"/>
          <w:i w:val="1"/>
          <w:iCs w:val="1"/>
          <w:color w:val="auto"/>
        </w:rPr>
        <w:t xml:space="preserve"> Express </w:t>
      </w:r>
      <w:r>
        <w:rPr>
          <w:rFonts w:ascii="Arial" w:cs="Arial" w:eastAsia="Arial" w:hAnsi="Arial"/>
          <w:sz w:val="16"/>
          <w:szCs w:val="16"/>
          <w:color w:val="auto"/>
        </w:rPr>
        <w:t>are produced at the printing plants of WP Company in Fairfax County, Virginia and Prince George’s County, Maryland.</w:t>
      </w:r>
      <w:r>
        <w:rPr>
          <w:rFonts w:ascii="Arial" w:cs="Arial" w:eastAsia="Arial" w:hAnsi="Arial"/>
          <w:sz w:val="16"/>
          <w:szCs w:val="16"/>
          <w:i w:val="1"/>
          <w:iCs w:val="1"/>
          <w:color w:val="auto"/>
        </w:rPr>
        <w:t xml:space="preserve"> The Herald </w:t>
      </w:r>
      <w:r>
        <w:rPr>
          <w:rFonts w:ascii="Arial" w:cs="Arial" w:eastAsia="Arial" w:hAnsi="Arial"/>
          <w:sz w:val="16"/>
          <w:szCs w:val="16"/>
          <w:color w:val="auto"/>
        </w:rPr>
        <w:t>and</w:t>
      </w:r>
      <w:r>
        <w:rPr>
          <w:rFonts w:ascii="Arial" w:cs="Arial" w:eastAsia="Arial" w:hAnsi="Arial"/>
          <w:sz w:val="16"/>
          <w:szCs w:val="16"/>
          <w:i w:val="1"/>
          <w:iCs w:val="1"/>
          <w:color w:val="auto"/>
        </w:rPr>
        <w:t xml:space="preserve"> The Enterprise Newspapers </w:t>
      </w:r>
      <w:r>
        <w:rPr>
          <w:rFonts w:ascii="Arial" w:cs="Arial" w:eastAsia="Arial" w:hAnsi="Arial"/>
          <w:sz w:val="16"/>
          <w:szCs w:val="16"/>
          <w:color w:val="auto"/>
        </w:rPr>
        <w:t>are produced at The Daily Herald Company’s plant in Everett, Washington, while</w:t>
      </w:r>
      <w:r>
        <w:rPr>
          <w:rFonts w:ascii="Arial" w:cs="Arial" w:eastAsia="Arial" w:hAnsi="Arial"/>
          <w:sz w:val="16"/>
          <w:szCs w:val="16"/>
          <w:i w:val="1"/>
          <w:iCs w:val="1"/>
          <w:color w:val="auto"/>
        </w:rPr>
        <w:t xml:space="preserve"> The Gazette Newspapers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Southern Maryland Newspapers </w:t>
      </w:r>
      <w:r>
        <w:rPr>
          <w:rFonts w:ascii="Arial" w:cs="Arial" w:eastAsia="Arial" w:hAnsi="Arial"/>
          <w:sz w:val="16"/>
          <w:szCs w:val="16"/>
          <w:color w:val="auto"/>
        </w:rPr>
        <w:t>are all printed at the commercial printing facilities owned by Post-Newsweek Media, Inc. Greater Washington Publishing’s</w:t>
      </w:r>
      <w:r>
        <w:rPr>
          <w:rFonts w:ascii="Arial" w:cs="Arial" w:eastAsia="Arial" w:hAnsi="Arial"/>
          <w:sz w:val="16"/>
          <w:szCs w:val="16"/>
          <w:i w:val="1"/>
          <w:iCs w:val="1"/>
          <w:color w:val="auto"/>
        </w:rPr>
        <w:t xml:space="preserve"> </w:t>
      </w:r>
      <w:r>
        <w:rPr>
          <w:rFonts w:ascii="Arial" w:cs="Arial" w:eastAsia="Arial" w:hAnsi="Arial"/>
          <w:sz w:val="16"/>
          <w:szCs w:val="16"/>
          <w:color w:val="auto"/>
        </w:rPr>
        <w:t>periodicals are produced by independent contract printers with the exception of one periodical that is printed at one of the commercial printing facilities owned by Post-Newsweek Media, Inc. All PostNewsweek Tech Media publications are produced by independent contract printers.</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Newsweek</w:t>
      </w:r>
      <w:r>
        <w:rPr>
          <w:rFonts w:ascii="Arial" w:cs="Arial" w:eastAsia="Arial" w:hAnsi="Arial"/>
          <w:sz w:val="16"/>
          <w:szCs w:val="16"/>
          <w:color w:val="auto"/>
        </w:rPr>
        <w:t>’s domestic edition is produced by three independent contract printers at six separate plants in the United States; advertising inserts and photo-offset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films for the domestic edition are also produced by independent contractors. The international editions of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are printed in England, Singapore, Switzerland, the Netherlands, South Africa and Hollywood, Florida; insertions for </w:t>
      </w:r>
      <w:r>
        <w:rPr>
          <w:rFonts w:ascii="Arial" w:cs="Arial" w:eastAsia="Arial" w:hAnsi="Arial"/>
          <w:sz w:val="16"/>
          <w:szCs w:val="16"/>
          <w:i w:val="1"/>
          <w:iCs w:val="1"/>
          <w:color w:val="auto"/>
        </w:rPr>
        <w:t>The Bulletin</w:t>
      </w:r>
      <w:r>
        <w:rPr>
          <w:rFonts w:ascii="Arial" w:cs="Arial" w:eastAsia="Arial" w:hAnsi="Arial"/>
          <w:sz w:val="16"/>
          <w:szCs w:val="16"/>
          <w:color w:val="auto"/>
        </w:rPr>
        <w:t xml:space="preserve"> are printed in Australia. Since 1997 Newsweek and a subsidiary of Time Warner have used a jointly owned company based in England to provide production and distribution services for the Atlantic editions of both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and </w:t>
      </w:r>
      <w:r>
        <w:rPr>
          <w:rFonts w:ascii="Arial" w:cs="Arial" w:eastAsia="Arial" w:hAnsi="Arial"/>
          <w:sz w:val="16"/>
          <w:szCs w:val="16"/>
          <w:i w:val="1"/>
          <w:iCs w:val="1"/>
          <w:color w:val="auto"/>
        </w:rPr>
        <w:t>Time</w:t>
      </w:r>
      <w:r>
        <w:rPr>
          <w:rFonts w:ascii="Arial" w:cs="Arial" w:eastAsia="Arial" w:hAnsi="Arial"/>
          <w:sz w:val="16"/>
          <w:szCs w:val="16"/>
          <w:color w:val="auto"/>
        </w:rPr>
        <w:t>. In 2002 this jointly owned company began providing certain production and distribution services for the Asian editions of these magazines.</w:t>
      </w:r>
      <w:r>
        <w:rPr>
          <w:rFonts w:ascii="Arial" w:cs="Arial" w:eastAsia="Arial" w:hAnsi="Arial"/>
          <w:sz w:val="16"/>
          <w:szCs w:val="16"/>
          <w:i w:val="1"/>
          <w:iCs w:val="1"/>
          <w:color w:val="auto"/>
        </w:rPr>
        <w:t xml:space="preserve"> Budget Travel </w:t>
      </w:r>
      <w:r>
        <w:rPr>
          <w:rFonts w:ascii="Arial" w:cs="Arial" w:eastAsia="Arial" w:hAnsi="Arial"/>
          <w:sz w:val="16"/>
          <w:szCs w:val="16"/>
          <w:color w:val="auto"/>
        </w:rPr>
        <w:t xml:space="preserve">is produced by one of the independent contract printers that also prints </w:t>
      </w:r>
      <w:r>
        <w:rPr>
          <w:rFonts w:ascii="Arial" w:cs="Arial" w:eastAsia="Arial" w:hAnsi="Arial"/>
          <w:sz w:val="16"/>
          <w:szCs w:val="16"/>
          <w:i w:val="1"/>
          <w:iCs w:val="1"/>
          <w:color w:val="auto"/>
        </w:rPr>
        <w:t>Newsweek</w:t>
      </w:r>
      <w:r>
        <w:rPr>
          <w:rFonts w:ascii="Arial" w:cs="Arial" w:eastAsia="Arial" w:hAnsi="Arial"/>
          <w:sz w:val="16"/>
          <w:szCs w:val="16"/>
          <w:color w:val="auto"/>
        </w:rPr>
        <w:t>’s domestic edition.</w:t>
      </w:r>
    </w:p>
    <w:p>
      <w:pPr>
        <w:spacing w:after="0" w:line="17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 xml:space="preserve">In 2003 </w:t>
      </w:r>
      <w:r>
        <w:rPr>
          <w:rFonts w:ascii="Arial" w:cs="Arial" w:eastAsia="Arial" w:hAnsi="Arial"/>
          <w:sz w:val="16"/>
          <w:szCs w:val="16"/>
          <w:i w:val="1"/>
          <w:iCs w:val="1"/>
          <w:color w:val="auto"/>
        </w:rPr>
        <w:t>The Washington Post</w:t>
      </w:r>
      <w:r>
        <w:rPr>
          <w:rFonts w:ascii="Arial" w:cs="Arial" w:eastAsia="Arial" w:hAnsi="Arial"/>
          <w:sz w:val="16"/>
          <w:szCs w:val="16"/>
          <w:color w:val="auto"/>
        </w:rPr>
        <w:t xml:space="preserve"> and </w:t>
      </w:r>
      <w:r>
        <w:rPr>
          <w:rFonts w:ascii="Arial" w:cs="Arial" w:eastAsia="Arial" w:hAnsi="Arial"/>
          <w:sz w:val="16"/>
          <w:szCs w:val="16"/>
          <w:i w:val="1"/>
          <w:iCs w:val="1"/>
          <w:color w:val="auto"/>
        </w:rPr>
        <w:t>Express</w:t>
      </w:r>
      <w:r>
        <w:rPr>
          <w:rFonts w:ascii="Arial" w:cs="Arial" w:eastAsia="Arial" w:hAnsi="Arial"/>
          <w:sz w:val="16"/>
          <w:szCs w:val="16"/>
          <w:color w:val="auto"/>
        </w:rPr>
        <w:t xml:space="preserve"> consumed about 190,000 tons* and 700 tons of newsprint, respectively. Such newsprint was purchased from a number of suppliers, including Bowater Incorporated, which supplied approximately 33% of the 2003 newsprint requirements for these newspapers. Although for many years some of the newsprint purchased for </w:t>
      </w:r>
      <w:r>
        <w:rPr>
          <w:rFonts w:ascii="Arial" w:cs="Arial" w:eastAsia="Arial" w:hAnsi="Arial"/>
          <w:sz w:val="16"/>
          <w:szCs w:val="16"/>
          <w:i w:val="1"/>
          <w:iCs w:val="1"/>
          <w:color w:val="auto"/>
        </w:rPr>
        <w:t>The Post</w:t>
      </w:r>
      <w:r>
        <w:rPr>
          <w:rFonts w:ascii="Arial" w:cs="Arial" w:eastAsia="Arial" w:hAnsi="Arial"/>
          <w:sz w:val="16"/>
          <w:szCs w:val="16"/>
          <w:color w:val="auto"/>
        </w:rPr>
        <w:t xml:space="preserve"> from Bowater Incorporated typically was provided by Bowater Mersey Paper Company Limited, 49% of the common stock of which is owned by the Company (the majority interest being held by a subsidiary of Bowater Incorporated), since 1999 none of the newsprint consumed by either </w:t>
      </w:r>
      <w:r>
        <w:rPr>
          <w:rFonts w:ascii="Arial" w:cs="Arial" w:eastAsia="Arial" w:hAnsi="Arial"/>
          <w:sz w:val="16"/>
          <w:szCs w:val="16"/>
          <w:i w:val="1"/>
          <w:iCs w:val="1"/>
          <w:color w:val="auto"/>
        </w:rPr>
        <w:t>The Post</w:t>
      </w:r>
      <w:r>
        <w:rPr>
          <w:rFonts w:ascii="Arial" w:cs="Arial" w:eastAsia="Arial" w:hAnsi="Arial"/>
          <w:sz w:val="16"/>
          <w:szCs w:val="16"/>
          <w:color w:val="auto"/>
        </w:rPr>
        <w:t xml:space="preserve"> or </w:t>
      </w:r>
      <w:r>
        <w:rPr>
          <w:rFonts w:ascii="Arial" w:cs="Arial" w:eastAsia="Arial" w:hAnsi="Arial"/>
          <w:sz w:val="16"/>
          <w:szCs w:val="16"/>
          <w:i w:val="1"/>
          <w:iCs w:val="1"/>
          <w:color w:val="auto"/>
        </w:rPr>
        <w:t>Express</w:t>
      </w:r>
      <w:r>
        <w:rPr>
          <w:rFonts w:ascii="Arial" w:cs="Arial" w:eastAsia="Arial" w:hAnsi="Arial"/>
          <w:sz w:val="16"/>
          <w:szCs w:val="16"/>
          <w:color w:val="auto"/>
        </w:rPr>
        <w:t xml:space="preserve"> has come from that source. Bowater Mersey owns and operates a newsprint mill near Halifax, Nova Scotia, and owns extensive woodlands that provide part of the mill’s wood requirements. In 2003 Bowater Mersey produced about 268,000 tons of newsprint.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8268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76" w:lineRule="exact"/>
        <w:rPr>
          <w:sz w:val="20"/>
          <w:szCs w:val="20"/>
          <w:color w:val="auto"/>
        </w:rPr>
      </w:pPr>
    </w:p>
    <w:p>
      <w:pPr>
        <w:ind w:left="240" w:right="40" w:hanging="232"/>
        <w:spacing w:after="0" w:line="268" w:lineRule="auto"/>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references in this report to newsprint tonnage and prices refer to short tons (2,000 pounds) and not to metric tons (2,204.6 pounds), which are often used in newsprint price quotations.</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7" w:name="page18"/>
    <w:bookmarkEnd w:id="17"/>
    <w:p>
      <w:pPr>
        <w:spacing w:after="0" w:line="294" w:lineRule="auto"/>
        <w:rPr>
          <w:sz w:val="20"/>
          <w:szCs w:val="20"/>
          <w:color w:val="auto"/>
        </w:rPr>
      </w:pPr>
      <w:r>
        <w:rPr>
          <w:rFonts w:ascii="Arial" w:cs="Arial" w:eastAsia="Arial" w:hAnsi="Arial"/>
          <w:sz w:val="16"/>
          <w:szCs w:val="16"/>
          <w:color w:val="auto"/>
        </w:rPr>
        <w:t xml:space="preserve">The announced price of newsprint (excluding discounts) was approximately $750 per ton throughout 2003. Discounts from the announced price of newsprint can be substantial, and prevailing discounts increased slightly during the first quarter of the year and then decreased during the second and fourth quarters. The Company believes adequate supplies of newsprint are available to </w:t>
      </w:r>
      <w:r>
        <w:rPr>
          <w:rFonts w:ascii="Arial" w:cs="Arial" w:eastAsia="Arial" w:hAnsi="Arial"/>
          <w:sz w:val="16"/>
          <w:szCs w:val="16"/>
          <w:i w:val="1"/>
          <w:iCs w:val="1"/>
          <w:color w:val="auto"/>
        </w:rPr>
        <w:t>The Post</w:t>
      </w:r>
      <w:r>
        <w:rPr>
          <w:rFonts w:ascii="Arial" w:cs="Arial" w:eastAsia="Arial" w:hAnsi="Arial"/>
          <w:sz w:val="16"/>
          <w:szCs w:val="16"/>
          <w:color w:val="auto"/>
        </w:rPr>
        <w:t xml:space="preserve"> and </w:t>
      </w:r>
      <w:r>
        <w:rPr>
          <w:rFonts w:ascii="Arial" w:cs="Arial" w:eastAsia="Arial" w:hAnsi="Arial"/>
          <w:sz w:val="16"/>
          <w:szCs w:val="16"/>
          <w:i w:val="1"/>
          <w:iCs w:val="1"/>
          <w:color w:val="auto"/>
        </w:rPr>
        <w:t>Express</w:t>
      </w:r>
      <w:r>
        <w:rPr>
          <w:rFonts w:ascii="Arial" w:cs="Arial" w:eastAsia="Arial" w:hAnsi="Arial"/>
          <w:sz w:val="16"/>
          <w:szCs w:val="16"/>
          <w:color w:val="auto"/>
        </w:rPr>
        <w:t xml:space="preserve"> through contracts with various suppliers. Over 90% of the newsprint used by </w:t>
      </w:r>
      <w:r>
        <w:rPr>
          <w:rFonts w:ascii="Arial" w:cs="Arial" w:eastAsia="Arial" w:hAnsi="Arial"/>
          <w:sz w:val="16"/>
          <w:szCs w:val="16"/>
          <w:i w:val="1"/>
          <w:iCs w:val="1"/>
          <w:color w:val="auto"/>
        </w:rPr>
        <w:t>The Post</w:t>
      </w:r>
      <w:r>
        <w:rPr>
          <w:rFonts w:ascii="Arial" w:cs="Arial" w:eastAsia="Arial" w:hAnsi="Arial"/>
          <w:sz w:val="16"/>
          <w:szCs w:val="16"/>
          <w:color w:val="auto"/>
        </w:rPr>
        <w:t xml:space="preserve"> and </w:t>
      </w:r>
      <w:r>
        <w:rPr>
          <w:rFonts w:ascii="Arial" w:cs="Arial" w:eastAsia="Arial" w:hAnsi="Arial"/>
          <w:sz w:val="16"/>
          <w:szCs w:val="16"/>
          <w:i w:val="1"/>
          <w:iCs w:val="1"/>
          <w:color w:val="auto"/>
        </w:rPr>
        <w:t>Express</w:t>
      </w:r>
      <w:r>
        <w:rPr>
          <w:rFonts w:ascii="Arial" w:cs="Arial" w:eastAsia="Arial" w:hAnsi="Arial"/>
          <w:sz w:val="16"/>
          <w:szCs w:val="16"/>
          <w:color w:val="auto"/>
        </w:rPr>
        <w:t xml:space="preserve"> includes some recycled content. The Company owns 80% of the stock of Capitol Fiber Inc., which handles and sells to recycling industries old newspapers and other paper collected in Washington, D.C., Maryland and northern Virginia.</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2003 the operations of The Daily Herald Company and Post-Newsweek Media, Inc. consumed approximately 6,800 and 21,800 tons of newsprint, respectively, which were obtained in each case from various suppliers. Approximately 85% of the newsprint used by The Daily Herald Company and 45% of the newsprint used by Post-Newsweek Media, Inc. include some recycled content.</w:t>
      </w:r>
    </w:p>
    <w:p>
      <w:pPr>
        <w:spacing w:after="0" w:line="19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 xml:space="preserve">The domestic edition of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consumed about 30,000 tons of paper in 2003, the bulk of which was purchased from six major suppliers. The current cost of body paper (the principal paper component of the magazine) is approximately $860 per ton.</w:t>
      </w:r>
    </w:p>
    <w:p>
      <w:pPr>
        <w:spacing w:after="0" w:line="18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Over 90% of the aggregate domestic circulation of both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and </w:t>
      </w:r>
      <w:r>
        <w:rPr>
          <w:rFonts w:ascii="Arial" w:cs="Arial" w:eastAsia="Arial" w:hAnsi="Arial"/>
          <w:sz w:val="16"/>
          <w:szCs w:val="16"/>
          <w:i w:val="1"/>
          <w:iCs w:val="1"/>
          <w:color w:val="auto"/>
        </w:rPr>
        <w:t>Budget Travel</w:t>
      </w:r>
      <w:r>
        <w:rPr>
          <w:rFonts w:ascii="Arial" w:cs="Arial" w:eastAsia="Arial" w:hAnsi="Arial"/>
          <w:sz w:val="16"/>
          <w:szCs w:val="16"/>
          <w:color w:val="auto"/>
        </w:rPr>
        <w:t xml:space="preserve"> is delivered by periodical (formerly second-class) mail; most subscriptions for such publications are solicited by either first-class or standard A (formerly third-class) mail; and all PostNewsweek Tech Media publications are delivered by periodical mail. Thus, substantial increases in postal rates for these classes of mail could have a significant negative impact on the operating income of these business units. On the other hand, since advertising distributed by standard A mail competes to some degree with newspaper advertising, the Company believes increases in standard A rates could have a positive impact on the advertising revenues of </w:t>
      </w:r>
      <w:r>
        <w:rPr>
          <w:rFonts w:ascii="Arial" w:cs="Arial" w:eastAsia="Arial" w:hAnsi="Arial"/>
          <w:sz w:val="16"/>
          <w:szCs w:val="16"/>
          <w:i w:val="1"/>
          <w:iCs w:val="1"/>
          <w:color w:val="auto"/>
        </w:rPr>
        <w:t>The Washington Post, Express, The Herald, The Gazette Newspapers</w:t>
      </w:r>
      <w:r>
        <w:rPr>
          <w:rFonts w:ascii="Arial" w:cs="Arial" w:eastAsia="Arial" w:hAnsi="Arial"/>
          <w:sz w:val="16"/>
          <w:szCs w:val="16"/>
          <w:color w:val="auto"/>
        </w:rPr>
        <w:t xml:space="preserve"> and </w:t>
      </w:r>
      <w:r>
        <w:rPr>
          <w:rFonts w:ascii="Arial" w:cs="Arial" w:eastAsia="Arial" w:hAnsi="Arial"/>
          <w:sz w:val="16"/>
          <w:szCs w:val="16"/>
          <w:i w:val="1"/>
          <w:iCs w:val="1"/>
          <w:color w:val="auto"/>
        </w:rPr>
        <w:t xml:space="preserve">Southern Maryland Newspapers, </w:t>
      </w:r>
      <w:r>
        <w:rPr>
          <w:rFonts w:ascii="Arial" w:cs="Arial" w:eastAsia="Arial" w:hAnsi="Arial"/>
          <w:sz w:val="16"/>
          <w:szCs w:val="16"/>
          <w:color w:val="auto"/>
        </w:rPr>
        <w:t>although the Company is unable to quantify the amount of such impact.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i w:val="1"/>
          <w:iCs w:val="1"/>
          <w:color w:val="auto"/>
        </w:rPr>
        <w:t xml:space="preserve">The Washington Post </w:t>
      </w:r>
      <w:r>
        <w:rPr>
          <w:rFonts w:ascii="Arial" w:cs="Arial" w:eastAsia="Arial" w:hAnsi="Arial"/>
          <w:sz w:val="16"/>
          <w:szCs w:val="16"/>
          <w:color w:val="auto"/>
        </w:rPr>
        <w:t>competes in the Washington, D.C. metropolitan area with</w:t>
      </w:r>
      <w:r>
        <w:rPr>
          <w:rFonts w:ascii="Arial" w:cs="Arial" w:eastAsia="Arial" w:hAnsi="Arial"/>
          <w:sz w:val="16"/>
          <w:szCs w:val="16"/>
          <w:i w:val="1"/>
          <w:iCs w:val="1"/>
          <w:color w:val="auto"/>
        </w:rPr>
        <w:t xml:space="preserve"> The Washington Times, </w:t>
      </w:r>
      <w:r>
        <w:rPr>
          <w:rFonts w:ascii="Arial" w:cs="Arial" w:eastAsia="Arial" w:hAnsi="Arial"/>
          <w:sz w:val="16"/>
          <w:szCs w:val="16"/>
          <w:color w:val="auto"/>
        </w:rPr>
        <w:t>a newspaper which has published weekday editions since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1982 and Saturday and Sunday editions since 1991. </w:t>
      </w:r>
      <w:r>
        <w:rPr>
          <w:rFonts w:ascii="Arial" w:cs="Arial" w:eastAsia="Arial" w:hAnsi="Arial"/>
          <w:sz w:val="16"/>
          <w:szCs w:val="16"/>
          <w:i w:val="1"/>
          <w:iCs w:val="1"/>
          <w:color w:val="auto"/>
        </w:rPr>
        <w:t>The Post</w:t>
      </w:r>
      <w:r>
        <w:rPr>
          <w:rFonts w:ascii="Arial" w:cs="Arial" w:eastAsia="Arial" w:hAnsi="Arial"/>
          <w:sz w:val="16"/>
          <w:szCs w:val="16"/>
          <w:color w:val="auto"/>
        </w:rPr>
        <w:t xml:space="preserve"> also encounters competition in varying degrees from newspapers published in suburban and outlying areas, other nationally circulated newspapers, and from television, radio, magazines and other advertising media, including direct mail advertising. </w:t>
      </w:r>
      <w:r>
        <w:rPr>
          <w:rFonts w:ascii="Arial" w:cs="Arial" w:eastAsia="Arial" w:hAnsi="Arial"/>
          <w:sz w:val="16"/>
          <w:szCs w:val="16"/>
          <w:i w:val="1"/>
          <w:iCs w:val="1"/>
          <w:color w:val="auto"/>
        </w:rPr>
        <w:t xml:space="preserve">Express </w:t>
      </w:r>
      <w:r>
        <w:rPr>
          <w:rFonts w:ascii="Arial" w:cs="Arial" w:eastAsia="Arial" w:hAnsi="Arial"/>
          <w:sz w:val="16"/>
          <w:szCs w:val="16"/>
          <w:color w:val="auto"/>
        </w:rPr>
        <w:t>similarly competes with various other advertising media in its service area, including both daily and weekly free-distribution newspapers.</w:t>
      </w:r>
    </w:p>
    <w:p>
      <w:pPr>
        <w:spacing w:after="0" w:line="167"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Washingtonpost.Newsweek Interactive faces competition from many other Internet services, particularly services that feature national and international news, as well as from alternative methods of delivering news and information. In addition, other Internet-based services, including search engines, are carrying increasing amounts of advertising, and such services could also adversely affect the Company’s print publications and television broadcasting operations, all of which rely on advertising for the majority of their revenues. Several companies are offering online services containing information and advertising tailored for specific metropolitan areas, including the Washington, D.C. metropolitan area. For example, Digital City (a unit of Time Warner) produces a Washington, D.C. city guide which is part of AOL’s nationwide network of local online sites. National online classified advertising is becoming a particularly crowded field, with competitors such as Yahoo! and eBay aggregating large volumes of content into a national classified database covering a broad range of product lines. Other competitors are focusing on vertical niches in specific content areas: autos.msn.com (which is majority owned by Microsoft), AutoTrader.com and Autobytel.com, for example, aggregate national car listings; Realtor.com aggregates national real estate listings; while Monster.com, HotJobs.com (which is owned by Yahoo!) and CareerBuilder.com (which is jointly owned by Gannett, Knight-Ridder and Tribune Co.) aggregate employment listings.</w:t>
      </w:r>
    </w:p>
    <w:p>
      <w:pPr>
        <w:spacing w:after="0" w:line="17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 xml:space="preserve">The Herald </w:t>
      </w:r>
      <w:r>
        <w:rPr>
          <w:rFonts w:ascii="Arial" w:cs="Arial" w:eastAsia="Arial" w:hAnsi="Arial"/>
          <w:sz w:val="16"/>
          <w:szCs w:val="16"/>
          <w:color w:val="auto"/>
        </w:rPr>
        <w:t>circulates principally in Snohomish County, Washington; its chief competitors are the</w:t>
      </w:r>
      <w:r>
        <w:rPr>
          <w:rFonts w:ascii="Arial" w:cs="Arial" w:eastAsia="Arial" w:hAnsi="Arial"/>
          <w:sz w:val="16"/>
          <w:szCs w:val="16"/>
          <w:i w:val="1"/>
          <w:iCs w:val="1"/>
          <w:color w:val="auto"/>
        </w:rPr>
        <w:t xml:space="preserve"> Seattle Times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Seattle Post-Intelligencer, </w:t>
      </w:r>
      <w:r>
        <w:rPr>
          <w:rFonts w:ascii="Arial" w:cs="Arial" w:eastAsia="Arial" w:hAnsi="Arial"/>
          <w:sz w:val="16"/>
          <w:szCs w:val="16"/>
          <w:color w:val="auto"/>
        </w:rPr>
        <w:t>which are daily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Sunday newspapers published in Seattle and whose Snohomish County circulation is principally in the southwest portion of the county. Since 1983 the two Seattle newspapers have consolidated their business and production operations and combined their Sunday editions pursuant to a joint operating agreement, although they continue to publish separate daily newspapers. </w:t>
      </w:r>
      <w:r>
        <w:rPr>
          <w:rFonts w:ascii="Arial" w:cs="Arial" w:eastAsia="Arial" w:hAnsi="Arial"/>
          <w:sz w:val="16"/>
          <w:szCs w:val="16"/>
          <w:i w:val="1"/>
          <w:iCs w:val="1"/>
          <w:color w:val="auto"/>
        </w:rPr>
        <w:t>The Enterprise Newspapers</w:t>
      </w:r>
      <w:r>
        <w:rPr>
          <w:rFonts w:ascii="Arial" w:cs="Arial" w:eastAsia="Arial" w:hAnsi="Arial"/>
          <w:sz w:val="16"/>
          <w:szCs w:val="16"/>
          <w:color w:val="auto"/>
        </w:rPr>
        <w:t xml:space="preserve"> are distributed in south Snohomish and north King Counties where their principal competitors are the </w:t>
      </w:r>
      <w:r>
        <w:rPr>
          <w:rFonts w:ascii="Arial" w:cs="Arial" w:eastAsia="Arial" w:hAnsi="Arial"/>
          <w:sz w:val="16"/>
          <w:szCs w:val="16"/>
          <w:i w:val="1"/>
          <w:iCs w:val="1"/>
          <w:color w:val="auto"/>
        </w:rPr>
        <w:t>Seattle Times</w:t>
      </w:r>
      <w:r>
        <w:rPr>
          <w:rFonts w:ascii="Arial" w:cs="Arial" w:eastAsia="Arial" w:hAnsi="Arial"/>
          <w:sz w:val="16"/>
          <w:szCs w:val="16"/>
          <w:color w:val="auto"/>
        </w:rPr>
        <w:t xml:space="preserve"> and </w:t>
      </w:r>
      <w:r>
        <w:rPr>
          <w:rFonts w:ascii="Arial" w:cs="Arial" w:eastAsia="Arial" w:hAnsi="Arial"/>
          <w:sz w:val="16"/>
          <w:szCs w:val="16"/>
          <w:i w:val="1"/>
          <w:iCs w:val="1"/>
          <w:color w:val="auto"/>
        </w:rPr>
        <w:t>The Journal Newspapers,</w:t>
      </w:r>
      <w:r>
        <w:rPr>
          <w:rFonts w:ascii="Arial" w:cs="Arial" w:eastAsia="Arial" w:hAnsi="Arial"/>
          <w:sz w:val="16"/>
          <w:szCs w:val="16"/>
          <w:color w:val="auto"/>
        </w:rPr>
        <w:t xml:space="preserve"> a group of weekly controlled-circulation newspapers. Numerous other weekly and semi-weekly newspapers and shoppers are distributed in </w:t>
      </w:r>
      <w:r>
        <w:rPr>
          <w:rFonts w:ascii="Arial" w:cs="Arial" w:eastAsia="Arial" w:hAnsi="Arial"/>
          <w:sz w:val="16"/>
          <w:szCs w:val="16"/>
          <w:i w:val="1"/>
          <w:iCs w:val="1"/>
          <w:color w:val="auto"/>
        </w:rPr>
        <w:t>The Herald</w:t>
      </w:r>
      <w:r>
        <w:rPr>
          <w:rFonts w:ascii="Arial" w:cs="Arial" w:eastAsia="Arial" w:hAnsi="Arial"/>
          <w:sz w:val="16"/>
          <w:szCs w:val="16"/>
          <w:color w:val="auto"/>
        </w:rPr>
        <w:t xml:space="preserve">’s and </w:t>
      </w:r>
      <w:r>
        <w:rPr>
          <w:rFonts w:ascii="Arial" w:cs="Arial" w:eastAsia="Arial" w:hAnsi="Arial"/>
          <w:sz w:val="16"/>
          <w:szCs w:val="16"/>
          <w:i w:val="1"/>
          <w:iCs w:val="1"/>
          <w:color w:val="auto"/>
        </w:rPr>
        <w:t>The Enterprise Newspapers</w:t>
      </w:r>
      <w:r>
        <w:rPr>
          <w:rFonts w:ascii="Arial" w:cs="Arial" w:eastAsia="Arial" w:hAnsi="Arial"/>
          <w:sz w:val="16"/>
          <w:szCs w:val="16"/>
          <w:color w:val="auto"/>
        </w:rPr>
        <w:t>’ principal circulation areas.</w:t>
      </w: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8" w:name="page19"/>
    <w:bookmarkEnd w:id="18"/>
    <w:p>
      <w:pPr>
        <w:ind w:right="100"/>
        <w:spacing w:after="0" w:line="288" w:lineRule="auto"/>
        <w:rPr>
          <w:sz w:val="20"/>
          <w:szCs w:val="20"/>
          <w:color w:val="auto"/>
        </w:rPr>
      </w:pPr>
      <w:r>
        <w:rPr>
          <w:rFonts w:ascii="Arial" w:cs="Arial" w:eastAsia="Arial" w:hAnsi="Arial"/>
          <w:sz w:val="16"/>
          <w:szCs w:val="16"/>
          <w:color w:val="auto"/>
        </w:rPr>
        <w:t xml:space="preserve">The circulation of </w:t>
      </w:r>
      <w:r>
        <w:rPr>
          <w:rFonts w:ascii="Arial" w:cs="Arial" w:eastAsia="Arial" w:hAnsi="Arial"/>
          <w:sz w:val="16"/>
          <w:szCs w:val="16"/>
          <w:i w:val="1"/>
          <w:iCs w:val="1"/>
          <w:color w:val="auto"/>
        </w:rPr>
        <w:t>The Gazette Newspapers</w:t>
      </w:r>
      <w:r>
        <w:rPr>
          <w:rFonts w:ascii="Arial" w:cs="Arial" w:eastAsia="Arial" w:hAnsi="Arial"/>
          <w:sz w:val="16"/>
          <w:szCs w:val="16"/>
          <w:color w:val="auto"/>
        </w:rPr>
        <w:t xml:space="preserve"> is limited to Montgomery, Prince George’s and Frederick Counties and parts of Carroll, Anne Arundel and Howard Counties, Maryland. </w:t>
      </w:r>
      <w:r>
        <w:rPr>
          <w:rFonts w:ascii="Arial" w:cs="Arial" w:eastAsia="Arial" w:hAnsi="Arial"/>
          <w:sz w:val="16"/>
          <w:szCs w:val="16"/>
          <w:i w:val="1"/>
          <w:iCs w:val="1"/>
          <w:color w:val="auto"/>
        </w:rPr>
        <w:t>The Gazette Newspapers</w:t>
      </w:r>
      <w:r>
        <w:rPr>
          <w:rFonts w:ascii="Arial" w:cs="Arial" w:eastAsia="Arial" w:hAnsi="Arial"/>
          <w:sz w:val="16"/>
          <w:szCs w:val="16"/>
          <w:color w:val="auto"/>
        </w:rPr>
        <w:t xml:space="preserve"> compete with many other advertising vehicles available in their service areas, including </w:t>
      </w:r>
      <w:r>
        <w:rPr>
          <w:rFonts w:ascii="Arial" w:cs="Arial" w:eastAsia="Arial" w:hAnsi="Arial"/>
          <w:sz w:val="16"/>
          <w:szCs w:val="16"/>
          <w:i w:val="1"/>
          <w:iCs w:val="1"/>
          <w:color w:val="auto"/>
        </w:rPr>
        <w:t>The Potomac</w:t>
      </w:r>
      <w:r>
        <w:rPr>
          <w:rFonts w:ascii="Arial" w:cs="Arial" w:eastAsia="Arial" w:hAnsi="Arial"/>
          <w:sz w:val="16"/>
          <w:szCs w:val="16"/>
          <w:color w:val="auto"/>
        </w:rPr>
        <w:t xml:space="preserve"> and </w:t>
      </w:r>
      <w:r>
        <w:rPr>
          <w:rFonts w:ascii="Arial" w:cs="Arial" w:eastAsia="Arial" w:hAnsi="Arial"/>
          <w:sz w:val="16"/>
          <w:szCs w:val="16"/>
          <w:i w:val="1"/>
          <w:iCs w:val="1"/>
          <w:color w:val="auto"/>
        </w:rPr>
        <w:t xml:space="preserve">Bethesda/Chevy Chase Almanacs, The Western Montgomery Bulletin, The Bowie Blade-News, The West County News </w:t>
      </w:r>
      <w:r>
        <w:rPr>
          <w:rFonts w:ascii="Arial" w:cs="Arial" w:eastAsia="Arial" w:hAnsi="Arial"/>
          <w:sz w:val="16"/>
          <w:szCs w:val="16"/>
          <w:color w:val="auto"/>
        </w:rPr>
        <w:t>and</w:t>
      </w:r>
      <w:r>
        <w:rPr>
          <w:rFonts w:ascii="Arial" w:cs="Arial" w:eastAsia="Arial" w:hAnsi="Arial"/>
          <w:sz w:val="16"/>
          <w:szCs w:val="16"/>
          <w:i w:val="1"/>
          <w:iCs w:val="1"/>
          <w:color w:val="auto"/>
        </w:rPr>
        <w:t xml:space="preserve"> The Laurel Leader, </w:t>
      </w:r>
      <w:r>
        <w:rPr>
          <w:rFonts w:ascii="Arial" w:cs="Arial" w:eastAsia="Arial" w:hAnsi="Arial"/>
          <w:sz w:val="16"/>
          <w:szCs w:val="16"/>
          <w:color w:val="auto"/>
        </w:rPr>
        <w:t xml:space="preserve">weekly controlled-circulation community newspapers, </w:t>
      </w:r>
      <w:r>
        <w:rPr>
          <w:rFonts w:ascii="Arial" w:cs="Arial" w:eastAsia="Arial" w:hAnsi="Arial"/>
          <w:sz w:val="16"/>
          <w:szCs w:val="16"/>
          <w:i w:val="1"/>
          <w:iCs w:val="1"/>
          <w:color w:val="auto"/>
        </w:rPr>
        <w:t>The Montgomery Sentinel,</w:t>
      </w:r>
      <w:r>
        <w:rPr>
          <w:rFonts w:ascii="Arial" w:cs="Arial" w:eastAsia="Arial" w:hAnsi="Arial"/>
          <w:sz w:val="16"/>
          <w:szCs w:val="16"/>
          <w:color w:val="auto"/>
        </w:rPr>
        <w:t xml:space="preserve"> a weekly paid-circulation community newspaper, </w:t>
      </w:r>
      <w:r>
        <w:rPr>
          <w:rFonts w:ascii="Arial" w:cs="Arial" w:eastAsia="Arial" w:hAnsi="Arial"/>
          <w:sz w:val="16"/>
          <w:szCs w:val="16"/>
          <w:i w:val="1"/>
          <w:iCs w:val="1"/>
          <w:color w:val="auto"/>
        </w:rPr>
        <w:t>The Prince George’s Sentinel,</w:t>
      </w:r>
      <w:r>
        <w:rPr>
          <w:rFonts w:ascii="Arial" w:cs="Arial" w:eastAsia="Arial" w:hAnsi="Arial"/>
          <w:sz w:val="16"/>
          <w:szCs w:val="16"/>
          <w:color w:val="auto"/>
        </w:rPr>
        <w:t xml:space="preserve"> a weekly controlled-circulation community newspaper (which also has a weekly paid-circulation edition), </w:t>
      </w:r>
      <w:r>
        <w:rPr>
          <w:rFonts w:ascii="Arial" w:cs="Arial" w:eastAsia="Arial" w:hAnsi="Arial"/>
          <w:sz w:val="16"/>
          <w:szCs w:val="16"/>
          <w:i w:val="1"/>
          <w:iCs w:val="1"/>
          <w:color w:val="auto"/>
        </w:rPr>
        <w:t>The Montgomery</w:t>
      </w:r>
      <w:r>
        <w:rPr>
          <w:rFonts w:ascii="Arial" w:cs="Arial" w:eastAsia="Arial" w:hAnsi="Arial"/>
          <w:sz w:val="16"/>
          <w:szCs w:val="16"/>
          <w:color w:val="auto"/>
        </w:rPr>
        <w:t xml:space="preserve"> and </w:t>
      </w:r>
      <w:r>
        <w:rPr>
          <w:rFonts w:ascii="Arial" w:cs="Arial" w:eastAsia="Arial" w:hAnsi="Arial"/>
          <w:sz w:val="16"/>
          <w:szCs w:val="16"/>
          <w:i w:val="1"/>
          <w:iCs w:val="1"/>
          <w:color w:val="auto"/>
        </w:rPr>
        <w:t>Prince George’s Journals,</w:t>
      </w:r>
      <w:r>
        <w:rPr>
          <w:rFonts w:ascii="Arial" w:cs="Arial" w:eastAsia="Arial" w:hAnsi="Arial"/>
          <w:sz w:val="16"/>
          <w:szCs w:val="16"/>
          <w:color w:val="auto"/>
        </w:rPr>
        <w:t xml:space="preserve"> daily paid-circulation community newspapers, and </w:t>
      </w:r>
      <w:r>
        <w:rPr>
          <w:rFonts w:ascii="Arial" w:cs="Arial" w:eastAsia="Arial" w:hAnsi="Arial"/>
          <w:sz w:val="16"/>
          <w:szCs w:val="16"/>
          <w:i w:val="1"/>
          <w:iCs w:val="1"/>
          <w:color w:val="auto"/>
        </w:rPr>
        <w:t>The Frederick News-Post</w:t>
      </w:r>
      <w:r>
        <w:rPr>
          <w:rFonts w:ascii="Arial" w:cs="Arial" w:eastAsia="Arial" w:hAnsi="Arial"/>
          <w:sz w:val="16"/>
          <w:szCs w:val="16"/>
          <w:color w:val="auto"/>
        </w:rPr>
        <w:t xml:space="preserve"> and </w:t>
      </w:r>
      <w:r>
        <w:rPr>
          <w:rFonts w:ascii="Arial" w:cs="Arial" w:eastAsia="Arial" w:hAnsi="Arial"/>
          <w:sz w:val="16"/>
          <w:szCs w:val="16"/>
          <w:i w:val="1"/>
          <w:iCs w:val="1"/>
          <w:color w:val="auto"/>
        </w:rPr>
        <w:t>Carroll County Times,</w:t>
      </w:r>
      <w:r>
        <w:rPr>
          <w:rFonts w:ascii="Arial" w:cs="Arial" w:eastAsia="Arial" w:hAnsi="Arial"/>
          <w:sz w:val="16"/>
          <w:szCs w:val="16"/>
          <w:color w:val="auto"/>
        </w:rPr>
        <w:t xml:space="preserve"> daily paid-circulation community newspapers. The </w:t>
      </w:r>
      <w:r>
        <w:rPr>
          <w:rFonts w:ascii="Arial" w:cs="Arial" w:eastAsia="Arial" w:hAnsi="Arial"/>
          <w:sz w:val="16"/>
          <w:szCs w:val="16"/>
          <w:i w:val="1"/>
          <w:iCs w:val="1"/>
          <w:color w:val="auto"/>
        </w:rPr>
        <w:t>Southern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Maryland Newspapers </w:t>
      </w:r>
      <w:r>
        <w:rPr>
          <w:rFonts w:ascii="Arial" w:cs="Arial" w:eastAsia="Arial" w:hAnsi="Arial"/>
          <w:sz w:val="16"/>
          <w:szCs w:val="16"/>
          <w:color w:val="auto"/>
        </w:rPr>
        <w:t>circulate in southern Prince George’s County and in Charles, Calvert and St. Mary’s Counties, Maryland, where they also compete with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many other advertising vehicles available in their service areas, including the </w:t>
      </w:r>
      <w:r>
        <w:rPr>
          <w:rFonts w:ascii="Arial" w:cs="Arial" w:eastAsia="Arial" w:hAnsi="Arial"/>
          <w:sz w:val="16"/>
          <w:szCs w:val="16"/>
          <w:i w:val="1"/>
          <w:iCs w:val="1"/>
          <w:color w:val="auto"/>
        </w:rPr>
        <w:t>Calvert County Independent</w:t>
      </w:r>
      <w:r>
        <w:rPr>
          <w:rFonts w:ascii="Arial" w:cs="Arial" w:eastAsia="Arial" w:hAnsi="Arial"/>
          <w:sz w:val="16"/>
          <w:szCs w:val="16"/>
          <w:color w:val="auto"/>
        </w:rPr>
        <w:t xml:space="preserve"> and </w:t>
      </w:r>
      <w:r>
        <w:rPr>
          <w:rFonts w:ascii="Arial" w:cs="Arial" w:eastAsia="Arial" w:hAnsi="Arial"/>
          <w:sz w:val="16"/>
          <w:szCs w:val="16"/>
          <w:i w:val="1"/>
          <w:iCs w:val="1"/>
          <w:color w:val="auto"/>
        </w:rPr>
        <w:t>St. Mary’s Today,</w:t>
      </w:r>
      <w:r>
        <w:rPr>
          <w:rFonts w:ascii="Arial" w:cs="Arial" w:eastAsia="Arial" w:hAnsi="Arial"/>
          <w:sz w:val="16"/>
          <w:szCs w:val="16"/>
          <w:color w:val="auto"/>
        </w:rPr>
        <w:t xml:space="preserve"> weekly paid-circulation community newspapers.</w:t>
      </w:r>
    </w:p>
    <w:p>
      <w:pPr>
        <w:spacing w:after="0" w:line="17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advertising periodicals published by Greater Washington Publishing compete both with many other forms of advertising available in their distribution area as well as with various other free-circulation advertising periodicals.</w:t>
      </w:r>
    </w:p>
    <w:p>
      <w:pPr>
        <w:spacing w:after="0" w:line="18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Company’s television stations compete for audiences and advertising revenues with television and radio stations and cable television systems serving the same or nearby areas, with direct broadcast satellite services, and to a lesser degree with other video programming providers and with other media such as newspapers and magazines. Cable television systems operate in substantial portions of the Company’s broadcast markets where they compete for television viewers by importing out-of-market television signals and by distributing pay-cable, advertiser-supported and other programming that is originated for cable systems. In addition, direct broadcast satellite (“DBS”) services provide nationwide distribution of television programming (including in some cases pay-per-view programming and programming packages unique to DBS) using small receiving dishes and digital transmission technologies. In November 1999 Congress passed the Satellite Home Viewer Improvement Act, which gives DBS operators the ability to distribute the signals of local television stations to subscribers in the stations’ local market area (“local-into-local” service); although since April 2000 DBS operators have been required to obtain the consent of each local television station included in such a service. The analog signal of each of the Company’s television stations is currently being distributed locally by satellite. Under an FCC rule implementing provisions of this Act, since January 2002 DBS operators that offer local-into-local service have been required to carry all full-power television stations that request such carriage in the markets in which the DBS operators have chosen to offer local-into-local service. The FCC has also adopted rules that require certain program-exclusivity rules applicable to cable television to be applied to DBS operators. The Satellite Home Viewer Improvement Act also continues restrictions on the transmission of distant network stations by DBS operators. Under these restrictions, DBS operators are prohibited from distributing in a local market the signals of any distant network-affiliated television station except in areas where the analog over-the-air signal of the same network’s local affiliate is not available or where the local affiliate grants a waiver. Several lawsuits were filed beginning in 1996 in which plaintiffs (including all four major broadcast networks and network-affiliated stations including one of the Company’s Florida stations) alleged that certain DBS operators had not been complying with this restriction. The plaintiffs have entered into a settlement with DBS operator DirecTV, under which it will discontinue distant-network service to certain subscribers and alter the method by which it determines eligibility for this service. Litigation against DBS operator EchoStar is continuing. The Satellite Home Viewer Improvement Act also provides that certain distant-network subscribers whose service would have been discontinued as a result of this litigation will continue to have access to distant-network service through 2004. In addition to the matters discussed above, the Company’s television stations may also become subject to increased competition from low-power television stations, wireless cable services, satellite master antenna systems (which can carry pay-cable and similar program material) and prerecorded video programming. Further, the deployment of digital and other improved television technologies may enhance the ability of some of these other video providers to compete more effectively for viewers with the local television broadcasting stations owned by the Company.</w:t>
      </w:r>
    </w:p>
    <w:p>
      <w:pPr>
        <w:spacing w:after="0" w:line="17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Cable television systems operate in a highly competitive environment. In addition to competing with the direct reception of television broadcast signals by the viewer’s own antenna, such systems (like existing television stations) are subject to competition from various other forms of television program delivery. In particular, DBS services (which are discussed in more detail in the preceding paragraph) have been growing rapidly and are now a significant competitive factor. The ability of DBS operators to provide local-into-local service (as described above) has increased competition between cable and DBS operators in markets where local-into-local service is provided. DBS operators are not required to provide local-into-local service, and some smaller markets may not receive this service for several years. However, in December 2000 legislation was enacted to provide $1.25 billion in federal loan guarantees to help satellite carriers (and cable operators) provide local TV signals to rural areas, and DBS operators have stated that they intend to provide local-into-local service in a greater number of markets in the future. Local-into-local service is not yet offered in most markets in which the Company provides cable television service, but such services could be launched by DBS operators at any time. In December 2003 News Corporation Limited (“News Corp”), a global media company that in the United States owns the</w:t>
      </w:r>
    </w:p>
    <w:p>
      <w:pPr>
        <w:spacing w:after="0" w:line="200" w:lineRule="exact"/>
        <w:rPr>
          <w:sz w:val="20"/>
          <w:szCs w:val="20"/>
          <w:color w:val="auto"/>
        </w:rPr>
      </w:pP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9" w:name="page20"/>
    <w:bookmarkEnd w:id="19"/>
    <w:p>
      <w:pPr>
        <w:spacing w:after="0" w:line="288" w:lineRule="auto"/>
        <w:rPr>
          <w:sz w:val="20"/>
          <w:szCs w:val="20"/>
          <w:color w:val="auto"/>
        </w:rPr>
      </w:pPr>
      <w:r>
        <w:rPr>
          <w:rFonts w:ascii="Arial" w:cs="Arial" w:eastAsia="Arial" w:hAnsi="Arial"/>
          <w:sz w:val="16"/>
          <w:szCs w:val="16"/>
          <w:color w:val="auto"/>
        </w:rPr>
        <w:t>Fox Television Network, 35 broadcast television stations, a group of regional sports networks and ten nationally distributed cable networks (including the Fox News Channel, FX, Speedvision and the National Geographic Channel), acquired a controlling interest in DirecTV. This acquisition was approved by the FCC in an order that, among other things, requires News Corp to offer carriage of its broadcast television stations and access to its cable programming services to cable television systems and other multichannel video programming distributors on nonexclusive and nondiscriminatory terms and conditions. Notwithstanding the requirements imposed by the FCC, this acquisition has the potential not only to enhance DirecTV’s effectiveness as a competitor, but also to limit the access of cable television systems to desirable programming and to increase the costs of such programming. The Company’s cable television systems also compete with wireless cable services in several of their markets and may face additional competition from such services in the future. Moreover, the Telecommunications Act of 1996 permits telephone companies to own and operate cable television systems in the same areas where they provide telephone services and thus may lead to the provision of competing program delivery services by local telephone companies.</w:t>
      </w:r>
    </w:p>
    <w:p>
      <w:pPr>
        <w:spacing w:after="0" w:line="174"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 xml:space="preserve">According to figures compiled by Publishers’ Information Bureau, Inc., of the 228 magazines reported on by the Bureau,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ranked fifth in total advertising revenues in 2003, when it received approximately 2.3% of all advertising revenues of the magazines included in the report. The magazine industry is highly competitive, both within itself and with other advertising media that compete for audience and advertising revenue.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PostNewsweek Tech Media’s publications and trade shows compete with many other advertising vehicles and sources of similar information.</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Kaplan competes in each of its test preparation product lines with a variety of regional and national test preparation businesses, as well as with individual tutors and in-school preparation for standardized tests. Kaplan’s Score Education subsidiary competes with other regional and national learning centers, individual tutors and other educational businesses that target parents and students. Kaplan’s Professional Division competes with other companies that provide alternative or similar professional training, test preparation and consulting services. Kaplan’s Higher Education Division competes with both facilities-based and other distance learning providers of similar educational services, including not-for-profit colleges and universities and for-profit businesses. Overseas, both The Financial Training Company and Dublin Business School compete with other for-profit companies and with governmentally supported schools and institutions that provide similar training and educational programs.</w:t>
      </w:r>
    </w:p>
    <w:p>
      <w:pPr>
        <w:spacing w:after="0" w:line="172"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The Company’s publications and television broadcasting and cable operations also compete for readers’ and viewers’ time with various other leisure-time activities.</w:t>
      </w:r>
    </w:p>
    <w:p>
      <w:pPr>
        <w:spacing w:after="0" w:line="186"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The future of the Company’s various business activities depends on a number of factors, including the general strength of the economy; population growth and the level of economic activity in the particular geographic and other markets it serves; the impact of technological innovations on entertainment, news and information dissemination systems; overall advertising revenues; the relative efficiency of publishing and broadcasting compared to other forms of advertising; and, particularly in the case of television broadcasting and cable operations, the extent and nature of government regulations.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Officers</w:t>
      </w:r>
    </w:p>
    <w:p>
      <w:pPr>
        <w:spacing w:after="0" w:line="23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executive officers of the Company, each of whom is elected for a one-year term at the meeting of the Board of Directors immediately following the Annual Meeting of Stockholders held in May of each year, are as follows:</w:t>
      </w:r>
    </w:p>
    <w:p>
      <w:pPr>
        <w:spacing w:after="0" w:line="18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 xml:space="preserve">Donald E. Graham, age 58, has been Chairman of the Board of the Company since September 1993 and Chief Executive Officer of the Company since May 1991. Mr. Graham served as President of the Company from May 1991 until September 1993 and prior to that had been a Vice President of the Company for more than five years. Mr. Graham also served as Publisher of </w:t>
      </w:r>
      <w:r>
        <w:rPr>
          <w:rFonts w:ascii="Arial" w:cs="Arial" w:eastAsia="Arial" w:hAnsi="Arial"/>
          <w:sz w:val="16"/>
          <w:szCs w:val="16"/>
          <w:i w:val="1"/>
          <w:iCs w:val="1"/>
          <w:color w:val="auto"/>
        </w:rPr>
        <w:t>The Washington Post</w:t>
      </w:r>
      <w:r>
        <w:rPr>
          <w:rFonts w:ascii="Arial" w:cs="Arial" w:eastAsia="Arial" w:hAnsi="Arial"/>
          <w:sz w:val="16"/>
          <w:szCs w:val="16"/>
          <w:color w:val="auto"/>
        </w:rPr>
        <w:t xml:space="preserve"> from 1979 until September 2000.</w:t>
      </w:r>
    </w:p>
    <w:p>
      <w:pPr>
        <w:spacing w:after="0" w:line="16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Diana M. Daniels, age 54, has been Vice President and General Counsel of the Company since November 1988 and Secretary of the Company since September 1991. Ms. Daniels served as General Counsel of the Company from January 1988 to November 1988 and prior to that had been Vice President and General Counsel of Newsweek, Inc. since 1979.</w:t>
      </w:r>
    </w:p>
    <w:p>
      <w:pPr>
        <w:spacing w:after="0" w:line="194"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 xml:space="preserve">Ann L. McDaniel, age 48, became Vice President-Human Resources of the Company in September 2001. Ms. McDaniel had previously served as Senior Director of Human Resources of the Company since January 2001, and prior to that held various editorial positions at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for more than five years, most recently as Managing Editor, a position she assumed in November 1998.</w:t>
      </w:r>
    </w:p>
    <w:p>
      <w:pPr>
        <w:spacing w:after="0" w:line="19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John B. Morse, Jr., age 57, has been Vice President-Finance of the Company since November 1989. He joined the Company as Vice President and Controller in July 1989 and prior to that had been a partner of Price Waterhouse.</w:t>
      </w: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0" w:name="page21"/>
    <w:bookmarkEnd w:id="20"/>
    <w:p>
      <w:pPr>
        <w:ind w:right="40"/>
        <w:spacing w:after="0" w:line="259" w:lineRule="auto"/>
        <w:rPr>
          <w:sz w:val="20"/>
          <w:szCs w:val="20"/>
          <w:color w:val="auto"/>
        </w:rPr>
      </w:pPr>
      <w:r>
        <w:rPr>
          <w:rFonts w:ascii="Arial" w:cs="Arial" w:eastAsia="Arial" w:hAnsi="Arial"/>
          <w:sz w:val="18"/>
          <w:szCs w:val="18"/>
          <w:color w:val="auto"/>
        </w:rPr>
        <w:t xml:space="preserve">Gerald M. Rosberg, age 57, became Vice President-Planning and Development of the Company in February 1999. He had previously served as Vice President-Affiliates at </w:t>
      </w:r>
      <w:r>
        <w:rPr>
          <w:rFonts w:ascii="Arial" w:cs="Arial" w:eastAsia="Arial" w:hAnsi="Arial"/>
          <w:sz w:val="18"/>
          <w:szCs w:val="18"/>
          <w:i w:val="1"/>
          <w:iCs w:val="1"/>
          <w:color w:val="auto"/>
        </w:rPr>
        <w:t>The Washington Post,</w:t>
      </w:r>
      <w:r>
        <w:rPr>
          <w:rFonts w:ascii="Arial" w:cs="Arial" w:eastAsia="Arial" w:hAnsi="Arial"/>
          <w:sz w:val="18"/>
          <w:szCs w:val="18"/>
          <w:color w:val="auto"/>
        </w:rPr>
        <w:t xml:space="preserve"> a position he assumed in November 1997. Mr. Rosberg joined the Company in January 1996 as </w:t>
      </w:r>
      <w:r>
        <w:rPr>
          <w:rFonts w:ascii="Arial" w:cs="Arial" w:eastAsia="Arial" w:hAnsi="Arial"/>
          <w:sz w:val="18"/>
          <w:szCs w:val="18"/>
          <w:i w:val="1"/>
          <w:iCs w:val="1"/>
          <w:color w:val="auto"/>
        </w:rPr>
        <w:t>The Post</w:t>
      </w:r>
      <w:r>
        <w:rPr>
          <w:rFonts w:ascii="Arial" w:cs="Arial" w:eastAsia="Arial" w:hAnsi="Arial"/>
          <w:sz w:val="18"/>
          <w:szCs w:val="18"/>
          <w:color w:val="auto"/>
        </w:rPr>
        <w:t>’s Director of Affiliate Relations.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its subsidiaries employ approximately 13,200 persons on a full-time basis.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WP Company has approximately 2,470 full-time employees. About 1,500 of that unit’s full-time employees and about 400 part-time employees are represented by one or another of five unions. Collective bargaining agreements are currently in effect with locals of the following unions covering the full-time and part-time employees and expiring on the dates indicated: 1,260 editorial, newsroom and commercial department employees represented by the Communications Workers of America (November 7, 2005); 65 paper handlers and general workers represented by the Graphic Communications International Union (November 20, 2004); 43 machinists represented by the International Association of Machinists (January 11, 2007); 33 photoengravers-platemakers represented by the Graphic Communications International Union (February 11, 2007); 28 electricians represented by the International Brotherhood of Electrical Workers (June 17, 2004); and 31 engineers, carpenters and painters represented by the International Union of Operating Engineers (April 9, 2005). The agreement covering 420 mailroom workers represented by the Communications Workers of America expired on May 18, 2003, and efforts to negotiate a new agreement are continuing.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Washingtonpost.Newsweek Interactive has approximately 205 full-time and 35 part-time employees, none of whom is represented by a union.</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Of the approximately 250 full-time and 100 part-time employees at The Daily Herald Company, about 70 full-time and 20 part-time employees are represented by one or another of three unions. The newspaper’s collective bargaining agreement with the Graphic Communications International Union, which represents press operators, expires on March 15, 2005, and its agreement with the Communications Workers of America, which represents printers and mailers, expires on October 31, 2005. The Newspaper’s agreement with the International Brotherhood of Teamsters, which represents bundle haulers, expired on September 22, 2003, and a new agreement is currently being negotiated.</w:t>
      </w:r>
    </w:p>
    <w:p>
      <w:pPr>
        <w:spacing w:after="0" w:line="19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Company’s broadcasting operations have approximately 980 full-time employees, of whom about 230 are union-represented. Of the eight collective bargaining agreements covering union-represented employees, one has expired and is being renegotiated. Two other collective bargaining agreements will expire in 2004.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Company’s Cable Television Division has approximately 1,700 full-time employees, none of whom is represented by a union.</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Newsweek has approximately 640 full-time employees (including about 125 editorial employees represented by the Communications Workers of America under a collective bargaining agreement that will expire on December 31, 2005).</w:t>
      </w:r>
    </w:p>
    <w:p>
      <w:pPr>
        <w:spacing w:after="0" w:line="18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Kaplan employs approximately 6,150 persons on a full-time basis. Kaplan also employs substantial numbers of part-time employees who serve in instructional and administrative capacities. During peak seasonal periods Kaplan’s part-time workforce exceeds 12,000 employees. None of Kaplan’s employees is represented by a union.</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Post-Newsweek Media, Inc. has approximately 650 full-time and 105 part-time employees. Robinson Terminal Warehouse Corporation (the Company’s newsprint warehousing and distribution subsidiary), Greater Washington Publishing and Express Publications Company each employ fewer than 100 persons. None of these units’ employees is represented by a union.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All public statements made by the Company and its representatives that are not statements of historical fact, including certain statements in this Annual Report on Form 10-K and elsewhere in the Company’s 2003 Annual Report to Stockholders, are “forward-looking statements” within the meaning of the Private Securities Litigation Reform Act of 1995. Forward-looking statements include comments about the Company’s business strategies and objectives, the prospects for growth in the Company’s various business operations, and the Company’s future financial performance. As with any projection or forecast, forward-looking statements are subject to various risks and uncertainties that could cause actual results or events to differ materially from those anticipated in such statements. In addition to the various matters discussed elsewhere in this Annual Report on Form 10-K (including the financial statements and other items filed herewith), specific factors identified by the Company that might cause such a difference include the following: changes in prevailing economic</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1" w:name="page22"/>
    <w:bookmarkEnd w:id="21"/>
    <w:p>
      <w:pPr>
        <w:ind w:right="60"/>
        <w:spacing w:after="0" w:line="291" w:lineRule="auto"/>
        <w:rPr>
          <w:sz w:val="20"/>
          <w:szCs w:val="20"/>
          <w:color w:val="auto"/>
        </w:rPr>
      </w:pPr>
      <w:r>
        <w:rPr>
          <w:rFonts w:ascii="Arial" w:cs="Arial" w:eastAsia="Arial" w:hAnsi="Arial"/>
          <w:sz w:val="16"/>
          <w:szCs w:val="16"/>
          <w:color w:val="auto"/>
        </w:rPr>
        <w:t>conditions, particularly in the specific geographic and other markets served by the Company; actions of competitors, including price changes and the introduction of competitive service offerings; changes in the preferences of readers, viewers and advertisers, particularly in response to the growth of Internet-based media; changes in communications and broadcast technologies; the effects of changing cost or availability of raw materials, including changes in the cost or availability of newsprint and magazine body paper; changes in the extent to which standardized tests are used in the admissions process by colleges and graduate schools; changes in the extent to which licensing or proficiency examinations are used to qualify individuals to pursue certain careers; changes in laws or regulations, including changes that affect the way business entities are taxed; and changes in accounting principles or in the way such principles are applied.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ind w:right="460"/>
        <w:spacing w:after="0" w:line="306" w:lineRule="auto"/>
        <w:rPr>
          <w:sz w:val="20"/>
          <w:szCs w:val="20"/>
          <w:color w:val="auto"/>
        </w:rPr>
      </w:pPr>
      <w:r>
        <w:rPr>
          <w:rFonts w:ascii="Arial" w:cs="Arial" w:eastAsia="Arial" w:hAnsi="Arial"/>
          <w:sz w:val="16"/>
          <w:szCs w:val="16"/>
          <w:color w:val="auto"/>
        </w:rPr>
        <w:t xml:space="preserve">The Company’s Internet address is </w:t>
      </w:r>
      <w:r>
        <w:rPr>
          <w:rFonts w:ascii="Arial" w:cs="Arial" w:eastAsia="Arial" w:hAnsi="Arial"/>
          <w:sz w:val="16"/>
          <w:szCs w:val="16"/>
          <w:i w:val="1"/>
          <w:iCs w:val="1"/>
          <w:color w:val="auto"/>
        </w:rPr>
        <w:t>www.washpostco.com</w:t>
      </w:r>
      <w:r>
        <w:rPr>
          <w:rFonts w:ascii="Arial" w:cs="Arial" w:eastAsia="Arial" w:hAnsi="Arial"/>
          <w:sz w:val="16"/>
          <w:szCs w:val="16"/>
          <w:color w:val="auto"/>
        </w:rPr>
        <w:t>. The Company makes available free of charge through its website its annual report on Form 10-K, quarterly reports on Form 10-Q, current reports on Form 8-K and amendments to those reports filed or furnished pursuant to Section 13(a) or 15(d) of the Exchange Act as soon as reasonably practicable after such documents are electronically filed with the Securities and Exchange Commission.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3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WP Company owns the principal offices of </w:t>
      </w:r>
      <w:r>
        <w:rPr>
          <w:rFonts w:ascii="Arial" w:cs="Arial" w:eastAsia="Arial" w:hAnsi="Arial"/>
          <w:sz w:val="16"/>
          <w:szCs w:val="16"/>
          <w:i w:val="1"/>
          <w:iCs w:val="1"/>
          <w:color w:val="auto"/>
        </w:rPr>
        <w:t>The Washington Post</w:t>
      </w:r>
      <w:r>
        <w:rPr>
          <w:rFonts w:ascii="Arial" w:cs="Arial" w:eastAsia="Arial" w:hAnsi="Arial"/>
          <w:sz w:val="16"/>
          <w:szCs w:val="16"/>
          <w:color w:val="auto"/>
        </w:rPr>
        <w:t xml:space="preserve"> in downtown Washington, D.C., including both a seven-story building in use since 1950 and a connected nine-story office building on contiguous property completed in 1972 in which the Company’s principal executive offices are located. Additionally, WP Company owns land on the corner of 15th and L Streets, N.W., in Washington, D.C., adjacent to </w:t>
      </w:r>
      <w:r>
        <w:rPr>
          <w:rFonts w:ascii="Arial" w:cs="Arial" w:eastAsia="Arial" w:hAnsi="Arial"/>
          <w:sz w:val="16"/>
          <w:szCs w:val="16"/>
          <w:i w:val="1"/>
          <w:iCs w:val="1"/>
          <w:color w:val="auto"/>
        </w:rPr>
        <w:t>The Post</w:t>
      </w:r>
      <w:r>
        <w:rPr>
          <w:rFonts w:ascii="Arial" w:cs="Arial" w:eastAsia="Arial" w:hAnsi="Arial"/>
          <w:sz w:val="16"/>
          <w:szCs w:val="16"/>
          <w:color w:val="auto"/>
        </w:rPr>
        <w:t xml:space="preserve">’s office building. This land is leased on a long-term basis to the owner of a multi-story office building that was constructed on the site in 1982. WP Company rents a number of floors in this building. WP Company also owns and occupies a small office building on L Street which is connected to </w:t>
      </w:r>
      <w:r>
        <w:rPr>
          <w:rFonts w:ascii="Arial" w:cs="Arial" w:eastAsia="Arial" w:hAnsi="Arial"/>
          <w:sz w:val="16"/>
          <w:szCs w:val="16"/>
          <w:i w:val="1"/>
          <w:iCs w:val="1"/>
          <w:color w:val="auto"/>
        </w:rPr>
        <w:t>The Post</w:t>
      </w:r>
      <w:r>
        <w:rPr>
          <w:rFonts w:ascii="Arial" w:cs="Arial" w:eastAsia="Arial" w:hAnsi="Arial"/>
          <w:sz w:val="16"/>
          <w:szCs w:val="16"/>
          <w:color w:val="auto"/>
        </w:rPr>
        <w:t xml:space="preserve">’s office building. On December 22, 2003, WP Company sold a 35,000-square-foot lot on 15th Street next to the lot containing </w:t>
      </w:r>
      <w:r>
        <w:rPr>
          <w:rFonts w:ascii="Arial" w:cs="Arial" w:eastAsia="Arial" w:hAnsi="Arial"/>
          <w:sz w:val="16"/>
          <w:szCs w:val="16"/>
          <w:i w:val="1"/>
          <w:iCs w:val="1"/>
          <w:color w:val="auto"/>
        </w:rPr>
        <w:t>The Post</w:t>
      </w:r>
      <w:r>
        <w:rPr>
          <w:rFonts w:ascii="Arial" w:cs="Arial" w:eastAsia="Arial" w:hAnsi="Arial"/>
          <w:sz w:val="16"/>
          <w:szCs w:val="16"/>
          <w:color w:val="auto"/>
        </w:rPr>
        <w:t xml:space="preserve">’s office building. The lot that was sold contained a two-level parking facility that had been used by </w:t>
      </w:r>
      <w:r>
        <w:rPr>
          <w:rFonts w:ascii="Arial" w:cs="Arial" w:eastAsia="Arial" w:hAnsi="Arial"/>
          <w:sz w:val="16"/>
          <w:szCs w:val="16"/>
          <w:i w:val="1"/>
          <w:iCs w:val="1"/>
          <w:color w:val="auto"/>
        </w:rPr>
        <w:t>Post</w:t>
      </w:r>
      <w:r>
        <w:rPr>
          <w:rFonts w:ascii="Arial" w:cs="Arial" w:eastAsia="Arial" w:hAnsi="Arial"/>
          <w:sz w:val="16"/>
          <w:szCs w:val="16"/>
          <w:color w:val="auto"/>
        </w:rPr>
        <w:t xml:space="preserve"> employees for many years but was no longer needed for that purpose since the basement under </w:t>
      </w:r>
      <w:r>
        <w:rPr>
          <w:rFonts w:ascii="Arial" w:cs="Arial" w:eastAsia="Arial" w:hAnsi="Arial"/>
          <w:sz w:val="16"/>
          <w:szCs w:val="16"/>
          <w:i w:val="1"/>
          <w:iCs w:val="1"/>
          <w:color w:val="auto"/>
        </w:rPr>
        <w:t>The Post</w:t>
      </w:r>
      <w:r>
        <w:rPr>
          <w:rFonts w:ascii="Arial" w:cs="Arial" w:eastAsia="Arial" w:hAnsi="Arial"/>
          <w:sz w:val="16"/>
          <w:szCs w:val="16"/>
          <w:color w:val="auto"/>
        </w:rPr>
        <w:t>’s office building had been converted into a parking garage in 2002.</w:t>
      </w:r>
    </w:p>
    <w:p>
      <w:pPr>
        <w:spacing w:after="0" w:line="17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WP Company owns a printing plant in Fairfax County, Virginia which was built in 1980 and expanded in 1998. That facility is located on 19 acres of land owned by WP Company. WP Company also owns a printing plant and distribution facility in Prince George’s County, Maryland, which was built in 1998 on a 17-acre tract of land owned by WP Company. In addition, WP Company owns undeveloped land near Dulles Airport in Fairfax County, Virginia (39 acres) and in Prince George’s County, Maryland (34 acres).</w:t>
      </w:r>
    </w:p>
    <w:p>
      <w:pPr>
        <w:spacing w:after="0" w:line="19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i w:val="1"/>
          <w:iCs w:val="1"/>
          <w:color w:val="auto"/>
        </w:rPr>
        <w:t xml:space="preserve">The Herald </w:t>
      </w:r>
      <w:r>
        <w:rPr>
          <w:rFonts w:ascii="Arial" w:cs="Arial" w:eastAsia="Arial" w:hAnsi="Arial"/>
          <w:sz w:val="18"/>
          <w:szCs w:val="18"/>
          <w:color w:val="auto"/>
        </w:rPr>
        <w:t>owns its plant and office building in Everett, Washington; it also owns two warehouses adjacent to its plant and a small office building in Lynnwood,</w:t>
      </w:r>
      <w:r>
        <w:rPr>
          <w:rFonts w:ascii="Arial" w:cs="Arial" w:eastAsia="Arial" w:hAnsi="Arial"/>
          <w:sz w:val="18"/>
          <w:szCs w:val="18"/>
          <w:i w:val="1"/>
          <w:iCs w:val="1"/>
          <w:color w:val="auto"/>
        </w:rPr>
        <w:t xml:space="preserve"> </w:t>
      </w:r>
      <w:r>
        <w:rPr>
          <w:rFonts w:ascii="Arial" w:cs="Arial" w:eastAsia="Arial" w:hAnsi="Arial"/>
          <w:sz w:val="18"/>
          <w:szCs w:val="18"/>
          <w:color w:val="auto"/>
        </w:rPr>
        <w:t>Washington.</w:t>
      </w:r>
    </w:p>
    <w:p>
      <w:pPr>
        <w:spacing w:after="0" w:line="186"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 xml:space="preserve">Post-Newsweek Media, Inc. owns a two-story brick building that serves as its headquarters and as headquarters for </w:t>
      </w:r>
      <w:r>
        <w:rPr>
          <w:rFonts w:ascii="Arial" w:cs="Arial" w:eastAsia="Arial" w:hAnsi="Arial"/>
          <w:sz w:val="15"/>
          <w:szCs w:val="15"/>
          <w:i w:val="1"/>
          <w:iCs w:val="1"/>
          <w:color w:val="auto"/>
        </w:rPr>
        <w:t>The Gazette Newspapers</w:t>
      </w:r>
      <w:r>
        <w:rPr>
          <w:rFonts w:ascii="Arial" w:cs="Arial" w:eastAsia="Arial" w:hAnsi="Arial"/>
          <w:sz w:val="15"/>
          <w:szCs w:val="15"/>
          <w:color w:val="auto"/>
        </w:rPr>
        <w:t xml:space="preserve"> and a separate two-story brick building that houses its Montgomery County commercial printing business. All of these properties are located in Gaithersburg, Maryland. In addition, Post-Newsweek Media, Inc. owns a one-story brick building in Waldorf, Maryland that houses its Charles County commercial printing business and also serves as the headquarters for two of the </w:t>
      </w:r>
      <w:r>
        <w:rPr>
          <w:rFonts w:ascii="Arial" w:cs="Arial" w:eastAsia="Arial" w:hAnsi="Arial"/>
          <w:sz w:val="15"/>
          <w:szCs w:val="15"/>
          <w:i w:val="1"/>
          <w:iCs w:val="1"/>
          <w:color w:val="auto"/>
        </w:rPr>
        <w:t>Southern Maryland Newspapers</w:t>
      </w:r>
      <w:r>
        <w:rPr>
          <w:rFonts w:ascii="Arial" w:cs="Arial" w:eastAsia="Arial" w:hAnsi="Arial"/>
          <w:sz w:val="15"/>
          <w:szCs w:val="15"/>
          <w:color w:val="auto"/>
        </w:rPr>
        <w:t xml:space="preserve">. The other editorial and sales offices for </w:t>
      </w:r>
      <w:r>
        <w:rPr>
          <w:rFonts w:ascii="Arial" w:cs="Arial" w:eastAsia="Arial" w:hAnsi="Arial"/>
          <w:sz w:val="15"/>
          <w:szCs w:val="15"/>
          <w:i w:val="1"/>
          <w:iCs w:val="1"/>
          <w:color w:val="auto"/>
        </w:rPr>
        <w:t>The Gazette Newspapers</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Southern Maryland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Newspapers </w:t>
      </w:r>
      <w:r>
        <w:rPr>
          <w:rFonts w:ascii="Arial" w:cs="Arial" w:eastAsia="Arial" w:hAnsi="Arial"/>
          <w:sz w:val="15"/>
          <w:szCs w:val="15"/>
          <w:color w:val="auto"/>
        </w:rPr>
        <w:t>are located in leased premises. The PostNewsweek Tech Media Division leases office space in Washington, D.C. and San Francisco, California.</w:t>
      </w:r>
    </w:p>
    <w:p>
      <w:pPr>
        <w:spacing w:after="0" w:line="154"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The headquarters offices of the Company’s broadcasting operations are located in Detroit, Michigan in the same facilities that house the offices and studios of WDIV. That facility and those that house the operations of each of the Company’s other television stations are all owned by subsidiaries of the Company, as are the related tower sites (except in Houston, Orlando and Jacksonville, where the tower sites are 50% owned).</w:t>
      </w:r>
    </w:p>
    <w:p>
      <w:pPr>
        <w:spacing w:after="0" w:line="16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headquarters offices of the Cable Television Division are located in a three-story office building in Phoenix, Arizona that was purchased by Cable One in 1998. The majority of the offices and head-end facilities of the Division’s individual cable systems are located in buildings owned by Cable One. Substantially all of the tower sites used by the Division are leased.</w:t>
      </w:r>
    </w:p>
    <w:p>
      <w:pPr>
        <w:spacing w:after="0" w:line="194"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 xml:space="preserve">The principal offices of Newsweek are located at 251 West 57th Street in New York City, where Newsweek rents space on nine floors. The lease on this space will expire in 2009 but is renewable for a 15-year period at Newsweek’s option at rentals to be negotiated or arbitrated. </w:t>
      </w:r>
      <w:r>
        <w:rPr>
          <w:rFonts w:ascii="Arial" w:cs="Arial" w:eastAsia="Arial" w:hAnsi="Arial"/>
          <w:sz w:val="16"/>
          <w:szCs w:val="16"/>
          <w:i w:val="1"/>
          <w:iCs w:val="1"/>
          <w:color w:val="auto"/>
        </w:rPr>
        <w:t>Budget Travel</w:t>
      </w:r>
      <w:r>
        <w:rPr>
          <w:rFonts w:ascii="Arial" w:cs="Arial" w:eastAsia="Arial" w:hAnsi="Arial"/>
          <w:sz w:val="16"/>
          <w:szCs w:val="16"/>
          <w:color w:val="auto"/>
        </w:rPr>
        <w:t>’s offices are also located in New York City, where they occupy premises under a lease that expires in 2010. In 1997 Newsweek sold its Mountain Lakes, N.J. facility to a third party and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2" w:name="page23"/>
    <w:bookmarkEnd w:id="22"/>
    <w:p>
      <w:pPr>
        <w:ind w:right="720"/>
        <w:spacing w:after="0" w:line="268" w:lineRule="auto"/>
        <w:rPr>
          <w:sz w:val="20"/>
          <w:szCs w:val="20"/>
          <w:color w:val="auto"/>
        </w:rPr>
      </w:pPr>
      <w:r>
        <w:rPr>
          <w:rFonts w:ascii="Arial" w:cs="Arial" w:eastAsia="Arial" w:hAnsi="Arial"/>
          <w:sz w:val="18"/>
          <w:szCs w:val="18"/>
          <w:color w:val="auto"/>
        </w:rPr>
        <w:t>leased back a portion of this building to house its accounting, production and distribution departments. The lease on this space will expire in 2007 but is renewable for two 5-year periods at Newsweek’s option.</w:t>
      </w:r>
    </w:p>
    <w:p>
      <w:pPr>
        <w:spacing w:after="0" w:line="18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 xml:space="preserve">Robinson Terminal Warehouse Corporation owns two wharves and several warehouses in Alexandria, Virginia. These facilities are adjacent to the business district and occupy approximately seven acres of land. Robinson also owns two partially developed tracts of land in Fairfax County, Virginia, aggregating about 20 acres. These tracts are near </w:t>
      </w:r>
      <w:r>
        <w:rPr>
          <w:rFonts w:ascii="Arial" w:cs="Arial" w:eastAsia="Arial" w:hAnsi="Arial"/>
          <w:sz w:val="16"/>
          <w:szCs w:val="16"/>
          <w:i w:val="1"/>
          <w:iCs w:val="1"/>
          <w:color w:val="auto"/>
        </w:rPr>
        <w:t>The Washington Post</w:t>
      </w:r>
      <w:r>
        <w:rPr>
          <w:rFonts w:ascii="Arial" w:cs="Arial" w:eastAsia="Arial" w:hAnsi="Arial"/>
          <w:sz w:val="16"/>
          <w:szCs w:val="16"/>
          <w:color w:val="auto"/>
        </w:rPr>
        <w:t>’s Virginia printing plant and include several warehouses. In 1992 Robinson purchased approximately 23 acres of undeveloped land on the Potomac River in Charles County, Maryland, for the possible construction of additional warehouse capacity.</w:t>
      </w:r>
    </w:p>
    <w:p>
      <w:pPr>
        <w:spacing w:after="0" w:line="16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Kaplan owns a total of eight buildings, including a six-story building located at 131 West 56th Street in New York City, which serves as an educational center primarily for international students, and a 2,300 square foot office condominium in Chapel Hill, North Carolina which it utilizes for its Test Prep business. Kaplan also owns a 15,000 square foot three-story building in Berkeley, California utilized for its Test Prep and English Language Training businesses; a 39,000 square foot four-story brick building and a 19,000 square foot two-story brick building in Lincoln, Nebraska which are used by the Lincoln School of Commerce; a 25,000 square foot one-story building in Omaha, Nebraska used by the Nebraska College of Business; a 131,000 square foot five-story brick building in Manchester, New Hampshire used by Hesser College; and an 18,000 square foot one-story brick building in Dayton, Ohio used by the Ohio Institute of Photography and Technology. Kaplan’s distribution facilities for most of its domestic publications are located in a 169,000 square foot warehouse in Aurora, Illinois which has been rented under a lease which expires in 2010. Kaplan’s headquarters offices are located at 888 Seventh Avenue in New York City, where Kaplan rents space on three floors under a lease which expires in 2017. All other Kaplan facilities in the United States and overseas (including administrative offices and instructional locations) occupy leased premises.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offices of Washingtonpost.Newsweek Interactive occupies 85,000 square feet of office space in Arlington, Virginia under a lease which expires in 2010.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Express Publications Company subleases part of this space.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Greater Washington Publishing’s offices are located in leased space in Fairfax, Virginia.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3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 xml:space="preserve">The Company, its wholly owned subsidiary The Gazette Newspapers, Inc. (now Post-Newsweek Media, Inc.), and the Washington Suburban Press Network, Inc. (a corporation jointly owned by Post-Newsweek Media and another media investor) were parties to an antitrust lawsuit filed in February 2001 by the owners of several local Maryland newspapers in the United States District Court for the District of Maryland. This suit alleged violations of the Sherman Act, the Clayton Act and the Maryland Antitrust Act and asserted state law claims for unfair competition, breach of contract and tortuous interference. The allegations largely stemmed from the Gazette’s acquisition of the </w:t>
      </w:r>
      <w:r>
        <w:rPr>
          <w:rFonts w:ascii="Arial" w:cs="Arial" w:eastAsia="Arial" w:hAnsi="Arial"/>
          <w:sz w:val="16"/>
          <w:szCs w:val="16"/>
          <w:i w:val="1"/>
          <w:iCs w:val="1"/>
          <w:color w:val="auto"/>
        </w:rPr>
        <w:t>Southern Maryland Newspapers</w:t>
      </w:r>
      <w:r>
        <w:rPr>
          <w:rFonts w:ascii="Arial" w:cs="Arial" w:eastAsia="Arial" w:hAnsi="Arial"/>
          <w:sz w:val="16"/>
          <w:szCs w:val="16"/>
          <w:color w:val="auto"/>
        </w:rPr>
        <w:t xml:space="preserve"> in 2001 and Press Network’s treatment of newspapers published by certain of the plaintiffs in connection with membership in the network and the placement of newspaper advertising. The District Court granted summary judgment for defendants on all of plaintiffs’ claims in August 2002, which ruling was affirmed by the United States Court of Appeals for the Fourth Circuit in August 2003.</w:t>
      </w:r>
    </w:p>
    <w:p>
      <w:pPr>
        <w:spacing w:after="0" w:line="172"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The class action lawsuit filed against Kaplan, Inc. in December 2002 in the Superior Court of the State of California, County of Alameda, which alleged violations of the California wage and hour laws, among other things, was settled in July 2003.</w:t>
      </w:r>
    </w:p>
    <w:p>
      <w:pPr>
        <w:spacing w:after="0" w:line="18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Company and its subsidiaries are also defendants in various other civil lawsuits that have arisen in the ordinary course of their businesses, including actions alleging libel, invasion of privacy and violations of applicable wage and hour laws. While it is not possible to predict the outcome of these lawsuits, in the opinion of management their ultimate disposition should not have a material adverse effect on the financial position, liquidity or results of operations of the Company.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the Registrant’s Common Equity, Related Stockholder Matters and Issuer Purchases of Equity Securities.</w:t>
      </w:r>
    </w:p>
    <w:p>
      <w:pPr>
        <w:spacing w:after="0" w:line="23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Company’s Class B Common Stock is traded on the New York Stock Exchange under the symbol “WPO.” The Company’s Class A Common Stock is not publicly traded.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high and low sales prices of the Company’s Class B Common Stock during the last two years were:</w:t>
      </w:r>
    </w:p>
    <w:p>
      <w:pPr>
        <w:spacing w:after="0" w:line="200" w:lineRule="exact"/>
        <w:rPr>
          <w:sz w:val="20"/>
          <w:szCs w:val="20"/>
          <w:color w:val="auto"/>
        </w:rPr>
      </w:pPr>
    </w:p>
    <w:p>
      <w:pPr>
        <w:spacing w:after="0" w:line="241" w:lineRule="exact"/>
        <w:rPr>
          <w:sz w:val="20"/>
          <w:szCs w:val="20"/>
          <w:color w:val="auto"/>
        </w:rPr>
      </w:pPr>
    </w:p>
    <w:tbl>
      <w:tblPr>
        <w:tblLayout w:type="fixed"/>
        <w:tblInd w:w="286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60" w:type="dxa"/>
            <w:vAlign w:val="bottom"/>
          </w:tcPr>
          <w:p>
            <w:pPr>
              <w:jc w:val="right"/>
              <w:ind w:right="752"/>
              <w:spacing w:after="0"/>
              <w:rPr>
                <w:sz w:val="20"/>
                <w:szCs w:val="20"/>
                <w:color w:val="auto"/>
              </w:rPr>
            </w:pPr>
            <w:r>
              <w:rPr>
                <w:rFonts w:ascii="Arial" w:cs="Arial" w:eastAsia="Arial" w:hAnsi="Arial"/>
                <w:sz w:val="18"/>
                <w:szCs w:val="18"/>
                <w:color w:val="auto"/>
                <w:w w:val="99"/>
              </w:rPr>
              <w:t>2003</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40" w:type="dxa"/>
            <w:vAlign w:val="bottom"/>
          </w:tcPr>
          <w:p>
            <w:pPr>
              <w:jc w:val="right"/>
              <w:ind w:right="732"/>
              <w:spacing w:after="0"/>
              <w:rPr>
                <w:sz w:val="20"/>
                <w:szCs w:val="20"/>
                <w:color w:val="auto"/>
              </w:rPr>
            </w:pPr>
            <w:r>
              <w:rPr>
                <w:rFonts w:ascii="Arial" w:cs="Arial" w:eastAsia="Arial" w:hAnsi="Arial"/>
                <w:sz w:val="18"/>
                <w:szCs w:val="18"/>
                <w:color w:val="auto"/>
                <w:w w:val="99"/>
              </w:rPr>
              <w:t>2002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560" w:type="dxa"/>
            <w:vAlign w:val="bottom"/>
          </w:tcPr>
          <w:p>
            <w:pPr>
              <w:ind w:left="440"/>
              <w:spacing w:after="0"/>
              <w:rPr>
                <w:sz w:val="20"/>
                <w:szCs w:val="20"/>
                <w:color w:val="auto"/>
              </w:rPr>
            </w:pPr>
            <w:r>
              <w:rPr>
                <w:rFonts w:ascii="Arial" w:cs="Arial" w:eastAsia="Arial" w:hAnsi="Arial"/>
                <w:sz w:val="18"/>
                <w:szCs w:val="18"/>
                <w:color w:val="auto"/>
              </w:rPr>
              <w:t>Quarter</w:t>
            </w:r>
          </w:p>
        </w:tc>
        <w:tc>
          <w:tcPr>
            <w:tcW w:w="760" w:type="dxa"/>
            <w:vAlign w:val="bottom"/>
          </w:tcPr>
          <w:p>
            <w:pPr>
              <w:jc w:val="right"/>
              <w:spacing w:after="0"/>
              <w:rPr>
                <w:sz w:val="20"/>
                <w:szCs w:val="20"/>
                <w:color w:val="auto"/>
              </w:rPr>
            </w:pPr>
            <w:r>
              <w:rPr>
                <w:rFonts w:ascii="Arial" w:cs="Arial" w:eastAsia="Arial" w:hAnsi="Arial"/>
                <w:sz w:val="18"/>
                <w:szCs w:val="18"/>
                <w:color w:val="auto"/>
              </w:rPr>
              <w:t>High</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Low</w:t>
            </w: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High</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Low</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60" w:type="dxa"/>
            <w:vAlign w:val="bottom"/>
            <w:shd w:val="clear" w:color="auto" w:fill="EEEEEE"/>
          </w:tcPr>
          <w:p>
            <w:pPr>
              <w:spacing w:after="0"/>
              <w:rPr>
                <w:sz w:val="20"/>
                <w:szCs w:val="20"/>
                <w:color w:val="auto"/>
              </w:rPr>
            </w:pPr>
            <w:r>
              <w:rPr>
                <w:rFonts w:ascii="Arial" w:cs="Arial" w:eastAsia="Arial" w:hAnsi="Arial"/>
                <w:sz w:val="18"/>
                <w:szCs w:val="18"/>
                <w:color w:val="auto"/>
              </w:rPr>
              <w:t>January – March</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$764</w:t>
            </w:r>
          </w:p>
        </w:tc>
        <w:tc>
          <w:tcPr>
            <w:tcW w:w="1260" w:type="dxa"/>
            <w:vAlign w:val="bottom"/>
            <w:shd w:val="clear" w:color="auto" w:fill="EEEEEE"/>
          </w:tcPr>
          <w:p>
            <w:pPr>
              <w:jc w:val="right"/>
              <w:ind w:right="172"/>
              <w:spacing w:after="0"/>
              <w:rPr>
                <w:sz w:val="20"/>
                <w:szCs w:val="20"/>
                <w:color w:val="auto"/>
              </w:rPr>
            </w:pPr>
            <w:r>
              <w:rPr>
                <w:rFonts w:ascii="Arial" w:cs="Arial" w:eastAsia="Arial" w:hAnsi="Arial"/>
                <w:sz w:val="18"/>
                <w:szCs w:val="18"/>
                <w:color w:val="auto"/>
              </w:rPr>
              <w:t>$659</w:t>
            </w: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$618</w:t>
            </w:r>
          </w:p>
        </w:tc>
        <w:tc>
          <w:tcPr>
            <w:tcW w:w="1240" w:type="dxa"/>
            <w:vAlign w:val="bottom"/>
            <w:shd w:val="clear" w:color="auto" w:fill="EEEEEE"/>
          </w:tcPr>
          <w:p>
            <w:pPr>
              <w:jc w:val="right"/>
              <w:ind w:right="152"/>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April – June</w:t>
            </w:r>
          </w:p>
        </w:tc>
        <w:tc>
          <w:tcPr>
            <w:tcW w:w="760" w:type="dxa"/>
            <w:vAlign w:val="bottom"/>
          </w:tcPr>
          <w:p>
            <w:pPr>
              <w:jc w:val="right"/>
              <w:spacing w:after="0"/>
              <w:rPr>
                <w:sz w:val="20"/>
                <w:szCs w:val="20"/>
                <w:color w:val="auto"/>
              </w:rPr>
            </w:pPr>
            <w:r>
              <w:rPr>
                <w:rFonts w:ascii="Arial" w:cs="Arial" w:eastAsia="Arial" w:hAnsi="Arial"/>
                <w:sz w:val="18"/>
                <w:szCs w:val="18"/>
                <w:color w:val="auto"/>
              </w:rPr>
              <w:t>741</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679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634</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EEEEEE"/>
          </w:tcPr>
          <w:p>
            <w:pPr>
              <w:spacing w:after="0"/>
              <w:rPr>
                <w:sz w:val="20"/>
                <w:szCs w:val="20"/>
                <w:color w:val="auto"/>
              </w:rPr>
            </w:pPr>
            <w:r>
              <w:rPr>
                <w:rFonts w:ascii="Arial" w:cs="Arial" w:eastAsia="Arial" w:hAnsi="Arial"/>
                <w:sz w:val="18"/>
                <w:szCs w:val="18"/>
                <w:color w:val="auto"/>
              </w:rPr>
              <w:t>July – September</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752</w:t>
            </w:r>
          </w:p>
        </w:tc>
        <w:tc>
          <w:tcPr>
            <w:tcW w:w="1260" w:type="dxa"/>
            <w:vAlign w:val="bottom"/>
            <w:shd w:val="clear" w:color="auto" w:fill="EEEEEE"/>
          </w:tcPr>
          <w:p>
            <w:pPr>
              <w:jc w:val="right"/>
              <w:ind w:right="172"/>
              <w:spacing w:after="0"/>
              <w:rPr>
                <w:sz w:val="20"/>
                <w:szCs w:val="20"/>
                <w:color w:val="auto"/>
              </w:rPr>
            </w:pPr>
            <w:r>
              <w:rPr>
                <w:rFonts w:ascii="Arial" w:cs="Arial" w:eastAsia="Arial" w:hAnsi="Arial"/>
                <w:sz w:val="18"/>
                <w:szCs w:val="18"/>
                <w:color w:val="auto"/>
              </w:rPr>
              <w:t>650</w:t>
            </w: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675</w:t>
            </w:r>
          </w:p>
        </w:tc>
        <w:tc>
          <w:tcPr>
            <w:tcW w:w="1240" w:type="dxa"/>
            <w:vAlign w:val="bottom"/>
            <w:shd w:val="clear" w:color="auto" w:fill="EEEEEE"/>
          </w:tcPr>
          <w:p>
            <w:pPr>
              <w:jc w:val="right"/>
              <w:ind w:right="152"/>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October –</w:t>
            </w:r>
          </w:p>
        </w:tc>
        <w:tc>
          <w:tcPr>
            <w:tcW w:w="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60" w:type="dxa"/>
            <w:vAlign w:val="bottom"/>
          </w:tcPr>
          <w:p>
            <w:pPr>
              <w:ind w:left="120"/>
              <w:spacing w:after="0"/>
              <w:rPr>
                <w:sz w:val="20"/>
                <w:szCs w:val="20"/>
                <w:color w:val="auto"/>
              </w:rPr>
            </w:pPr>
            <w:r>
              <w:rPr>
                <w:rFonts w:ascii="Arial" w:cs="Arial" w:eastAsia="Arial" w:hAnsi="Arial"/>
                <w:sz w:val="18"/>
                <w:szCs w:val="18"/>
                <w:color w:val="auto"/>
              </w:rPr>
              <w:t>December</w:t>
            </w:r>
          </w:p>
        </w:tc>
        <w:tc>
          <w:tcPr>
            <w:tcW w:w="760" w:type="dxa"/>
            <w:vAlign w:val="bottom"/>
          </w:tcPr>
          <w:p>
            <w:pPr>
              <w:jc w:val="right"/>
              <w:spacing w:after="0"/>
              <w:rPr>
                <w:sz w:val="20"/>
                <w:szCs w:val="20"/>
                <w:color w:val="auto"/>
              </w:rPr>
            </w:pPr>
            <w:r>
              <w:rPr>
                <w:rFonts w:ascii="Arial" w:cs="Arial" w:eastAsia="Arial" w:hAnsi="Arial"/>
                <w:sz w:val="18"/>
                <w:szCs w:val="18"/>
                <w:color w:val="auto"/>
              </w:rPr>
              <w:t>820</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667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743</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During 2003 the Company repurchased 910 shares of its Class B Common Stock.</w:t>
      </w:r>
    </w:p>
    <w:p>
      <w:pPr>
        <w:spacing w:after="0" w:line="2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At January 30, 2004, there were 28 holders of record of the Company’s Class A Common Stock and 998 holders of record of the Company’s Class B Common Stock.</w:t>
      </w:r>
    </w:p>
    <w:p>
      <w:pPr>
        <w:spacing w:after="0" w:line="18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Both classes of the Company’s Common Stock participate equally as to dividends. Quarterly dividends were paid at the rate of $1.45 per share during 2003 and $1.40 per share during 2002.</w:t>
      </w:r>
    </w:p>
    <w:p>
      <w:pPr>
        <w:spacing w:after="0" w:line="200" w:lineRule="exact"/>
        <w:rPr>
          <w:sz w:val="20"/>
          <w:szCs w:val="20"/>
          <w:color w:val="auto"/>
        </w:rPr>
      </w:pPr>
    </w:p>
    <w:p>
      <w:pPr>
        <w:spacing w:after="0" w:line="22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23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See the information for the years 1999 through 2003 contained in the table titled “Ten-Year Summary of Selected Historical Financial Data” which is included in this Annual Report on Form 10-K and listed in the index to financial information on page 25 hereof (with only the information for such years to be deemed filed as part of this Annual Report on Form 10-K).</w:t>
      </w:r>
    </w:p>
    <w:p>
      <w:pPr>
        <w:spacing w:after="0" w:line="200" w:lineRule="exact"/>
        <w:rPr>
          <w:sz w:val="20"/>
          <w:szCs w:val="20"/>
          <w:color w:val="auto"/>
        </w:rPr>
      </w:pPr>
    </w:p>
    <w:p>
      <w:pPr>
        <w:spacing w:after="0" w:line="2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3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See the information contained under the heading “Management’s Discussion and Analysis of Results of Operations and Financial Condition” which is included in this Annual Report on Form 10-K and listed in the index to financial information on page 25 hereof.</w:t>
      </w:r>
    </w:p>
    <w:p>
      <w:pPr>
        <w:spacing w:after="0" w:line="200" w:lineRule="exact"/>
        <w:rPr>
          <w:sz w:val="20"/>
          <w:szCs w:val="20"/>
          <w:color w:val="auto"/>
        </w:rPr>
      </w:pPr>
    </w:p>
    <w:p>
      <w:pPr>
        <w:spacing w:after="0" w:line="22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and to its borrowing activities, which are subject to interest rate risk.</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Equity Price Risk</w:t>
      </w:r>
    </w:p>
    <w:p>
      <w:pPr>
        <w:spacing w:after="0" w:line="225"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Company has common stock investments in several publicly traded companies (as discussed in Note C to the Company’s consolidated Financial Statements) that are subject to market price volatility. The fair value of these common stock investments totaled $247,958,000 at December 28, 2003.</w:t>
      </w:r>
    </w:p>
    <w:p>
      <w:pPr>
        <w:spacing w:after="0" w:line="139"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The following table presents the hypothetical change in the aggregate fair value of the Company’s common stock investments in publicly traded companies assuming hypothetical stock price fluctuations of plus or minus 10%, 20% and 30% in the market price of each stock included therein:</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2780" w:type="dxa"/>
            <w:vAlign w:val="bottom"/>
            <w:gridSpan w:val="5"/>
          </w:tcPr>
          <w:p>
            <w:pPr>
              <w:jc w:val="center"/>
              <w:ind w:right="40"/>
              <w:spacing w:after="0"/>
              <w:rPr>
                <w:sz w:val="20"/>
                <w:szCs w:val="20"/>
                <w:color w:val="auto"/>
              </w:rPr>
            </w:pPr>
            <w:r>
              <w:rPr>
                <w:rFonts w:ascii="Arial" w:cs="Arial" w:eastAsia="Arial" w:hAnsi="Arial"/>
                <w:sz w:val="18"/>
                <w:szCs w:val="18"/>
                <w:color w:val="auto"/>
                <w:w w:val="88"/>
              </w:rPr>
              <w:t>Value of Common Stock Investments</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740" w:type="dxa"/>
            <w:vAlign w:val="bottom"/>
            <w:gridSpan w:val="5"/>
          </w:tcPr>
          <w:p>
            <w:pPr>
              <w:jc w:val="center"/>
              <w:spacing w:after="0"/>
              <w:rPr>
                <w:sz w:val="20"/>
                <w:szCs w:val="20"/>
                <w:color w:val="auto"/>
              </w:rPr>
            </w:pPr>
            <w:r>
              <w:rPr>
                <w:rFonts w:ascii="Arial" w:cs="Arial" w:eastAsia="Arial" w:hAnsi="Arial"/>
                <w:sz w:val="18"/>
                <w:szCs w:val="18"/>
                <w:color w:val="auto"/>
                <w:w w:val="88"/>
              </w:rPr>
              <w:t>Value of Common Stock Investments</w:t>
            </w:r>
          </w:p>
        </w:tc>
        <w:tc>
          <w:tcPr>
            <w:tcW w:w="142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2780" w:type="dxa"/>
            <w:vAlign w:val="bottom"/>
            <w:gridSpan w:val="5"/>
          </w:tcPr>
          <w:p>
            <w:pPr>
              <w:jc w:val="center"/>
              <w:ind w:right="20"/>
              <w:spacing w:after="0"/>
              <w:rPr>
                <w:sz w:val="20"/>
                <w:szCs w:val="20"/>
                <w:color w:val="auto"/>
              </w:rPr>
            </w:pPr>
            <w:r>
              <w:rPr>
                <w:rFonts w:ascii="Arial" w:cs="Arial" w:eastAsia="Arial" w:hAnsi="Arial"/>
                <w:sz w:val="18"/>
                <w:szCs w:val="18"/>
                <w:color w:val="auto"/>
                <w:w w:val="88"/>
              </w:rPr>
              <w:t>Assuming Indicated Decrease in</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740" w:type="dxa"/>
            <w:vAlign w:val="bottom"/>
            <w:gridSpan w:val="5"/>
          </w:tcPr>
          <w:p>
            <w:pPr>
              <w:jc w:val="center"/>
              <w:spacing w:after="0"/>
              <w:rPr>
                <w:sz w:val="20"/>
                <w:szCs w:val="20"/>
                <w:color w:val="auto"/>
              </w:rPr>
            </w:pPr>
            <w:r>
              <w:rPr>
                <w:rFonts w:ascii="Arial" w:cs="Arial" w:eastAsia="Arial" w:hAnsi="Arial"/>
                <w:sz w:val="18"/>
                <w:szCs w:val="18"/>
                <w:color w:val="auto"/>
                <w:w w:val="88"/>
              </w:rPr>
              <w:t>Assuming Indicated Increase in</w:t>
            </w:r>
          </w:p>
        </w:tc>
        <w:tc>
          <w:tcPr>
            <w:tcW w:w="1420" w:type="dxa"/>
            <w:vAlign w:val="bottom"/>
          </w:tcPr>
          <w:p>
            <w:pPr>
              <w:spacing w:after="0"/>
              <w:rPr>
                <w:sz w:val="18"/>
                <w:szCs w:val="18"/>
                <w:color w:val="auto"/>
              </w:rPr>
            </w:pPr>
          </w:p>
        </w:tc>
      </w:tr>
      <w:tr>
        <w:trPr>
          <w:trHeight w:val="222"/>
        </w:trPr>
        <w:tc>
          <w:tcPr>
            <w:tcW w:w="1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0" w:type="dxa"/>
            <w:vAlign w:val="bottom"/>
            <w:gridSpan w:val="3"/>
          </w:tcPr>
          <w:p>
            <w:pPr>
              <w:jc w:val="center"/>
              <w:ind w:right="600"/>
              <w:spacing w:after="0"/>
              <w:rPr>
                <w:sz w:val="20"/>
                <w:szCs w:val="20"/>
                <w:color w:val="auto"/>
              </w:rPr>
            </w:pPr>
            <w:r>
              <w:rPr>
                <w:rFonts w:ascii="Arial" w:cs="Arial" w:eastAsia="Arial" w:hAnsi="Arial"/>
                <w:sz w:val="18"/>
                <w:szCs w:val="18"/>
                <w:color w:val="auto"/>
                <w:w w:val="87"/>
              </w:rPr>
              <w:t>Each Stock’s Price</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3"/>
          </w:tcPr>
          <w:p>
            <w:pPr>
              <w:jc w:val="center"/>
              <w:ind w:right="500"/>
              <w:spacing w:after="0"/>
              <w:rPr>
                <w:sz w:val="20"/>
                <w:szCs w:val="20"/>
                <w:color w:val="auto"/>
              </w:rPr>
            </w:pPr>
            <w:r>
              <w:rPr>
                <w:rFonts w:ascii="Arial" w:cs="Arial" w:eastAsia="Arial" w:hAnsi="Arial"/>
                <w:sz w:val="18"/>
                <w:szCs w:val="18"/>
                <w:color w:val="auto"/>
                <w:w w:val="87"/>
              </w:rPr>
              <w:t>Each Stock’s Price</w:t>
            </w:r>
          </w:p>
        </w:tc>
        <w:tc>
          <w:tcPr>
            <w:tcW w:w="1420" w:type="dxa"/>
            <w:vAlign w:val="bottom"/>
          </w:tcPr>
          <w:p>
            <w:pPr>
              <w:spacing w:after="0"/>
              <w:rPr>
                <w:sz w:val="19"/>
                <w:szCs w:val="19"/>
                <w:color w:val="auto"/>
              </w:rPr>
            </w:pPr>
          </w:p>
        </w:tc>
      </w:tr>
      <w:tr>
        <w:trPr>
          <w:trHeight w:val="110"/>
        </w:trPr>
        <w:tc>
          <w:tcPr>
            <w:tcW w:w="14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r>
      <w:tr>
        <w:trPr>
          <w:trHeight w:val="316"/>
        </w:trPr>
        <w:tc>
          <w:tcPr>
            <w:tcW w:w="1460" w:type="dxa"/>
            <w:vAlign w:val="bottom"/>
          </w:tcPr>
          <w:p>
            <w:pPr>
              <w:jc w:val="right"/>
              <w:ind w:right="272"/>
              <w:spacing w:after="0"/>
              <w:rPr>
                <w:sz w:val="20"/>
                <w:szCs w:val="20"/>
                <w:color w:val="auto"/>
              </w:rPr>
            </w:pPr>
            <w:r>
              <w:rPr>
                <w:rFonts w:ascii="Arial" w:cs="Arial" w:eastAsia="Arial" w:hAnsi="Arial"/>
                <w:sz w:val="18"/>
                <w:szCs w:val="18"/>
                <w:color w:val="auto"/>
              </w:rPr>
              <w:t>-30%</w:t>
            </w:r>
          </w:p>
        </w:tc>
        <w:tc>
          <w:tcPr>
            <w:tcW w:w="2280" w:type="dxa"/>
            <w:vAlign w:val="bottom"/>
            <w:gridSpan w:val="3"/>
          </w:tcPr>
          <w:p>
            <w:pPr>
              <w:jc w:val="right"/>
              <w:ind w:right="572"/>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jc w:val="right"/>
              <w:ind w:right="572"/>
              <w:spacing w:after="0"/>
              <w:rPr>
                <w:sz w:val="20"/>
                <w:szCs w:val="20"/>
                <w:color w:val="auto"/>
              </w:rPr>
            </w:pPr>
            <w:r>
              <w:rPr>
                <w:rFonts w:ascii="Arial" w:cs="Arial" w:eastAsia="Arial" w:hAnsi="Arial"/>
                <w:sz w:val="18"/>
                <w:szCs w:val="18"/>
                <w:color w:val="auto"/>
              </w:rPr>
              <w:t>-10%</w:t>
            </w: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+10%</w:t>
            </w:r>
          </w:p>
        </w:tc>
        <w:tc>
          <w:tcPr>
            <w:tcW w:w="2260" w:type="dxa"/>
            <w:vAlign w:val="bottom"/>
            <w:gridSpan w:val="3"/>
          </w:tcPr>
          <w:p>
            <w:pPr>
              <w:jc w:val="right"/>
              <w:ind w:right="572"/>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jc w:val="right"/>
              <w:ind w:right="532"/>
              <w:spacing w:after="0"/>
              <w:rPr>
                <w:sz w:val="20"/>
                <w:szCs w:val="20"/>
                <w:color w:val="auto"/>
              </w:rPr>
            </w:pPr>
            <w:r>
              <w:rPr>
                <w:rFonts w:ascii="Arial" w:cs="Arial" w:eastAsia="Arial" w:hAnsi="Arial"/>
                <w:sz w:val="18"/>
                <w:szCs w:val="18"/>
                <w:color w:val="auto"/>
              </w:rPr>
              <w:t>+30%</w:t>
            </w:r>
          </w:p>
        </w:tc>
      </w:tr>
      <w:tr>
        <w:trPr>
          <w:trHeight w:val="110"/>
        </w:trPr>
        <w:tc>
          <w:tcPr>
            <w:tcW w:w="14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r>
      <w:tr>
        <w:trPr>
          <w:trHeight w:val="316"/>
        </w:trPr>
        <w:tc>
          <w:tcPr>
            <w:tcW w:w="1460" w:type="dxa"/>
            <w:vAlign w:val="bottom"/>
          </w:tcPr>
          <w:p>
            <w:pPr>
              <w:jc w:val="right"/>
              <w:spacing w:after="0"/>
              <w:rPr>
                <w:sz w:val="20"/>
                <w:szCs w:val="20"/>
                <w:color w:val="auto"/>
              </w:rPr>
            </w:pPr>
            <w:r>
              <w:rPr>
                <w:rFonts w:ascii="Arial" w:cs="Arial" w:eastAsia="Arial" w:hAnsi="Arial"/>
                <w:sz w:val="18"/>
                <w:szCs w:val="18"/>
                <w:color w:val="auto"/>
              </w:rPr>
              <w:t>$173,571,000</w:t>
            </w:r>
          </w:p>
        </w:tc>
        <w:tc>
          <w:tcPr>
            <w:tcW w:w="2280" w:type="dxa"/>
            <w:vAlign w:val="bottom"/>
            <w:gridSpan w:val="3"/>
          </w:tcPr>
          <w:p>
            <w:pPr>
              <w:jc w:val="right"/>
              <w:ind w:right="272"/>
              <w:spacing w:after="0"/>
              <w:rPr>
                <w:sz w:val="20"/>
                <w:szCs w:val="20"/>
                <w:color w:val="auto"/>
              </w:rPr>
            </w:pPr>
            <w:r>
              <w:rPr>
                <w:rFonts w:ascii="Arial" w:cs="Arial" w:eastAsia="Arial" w:hAnsi="Arial"/>
                <w:sz w:val="18"/>
                <w:szCs w:val="18"/>
                <w:color w:val="auto"/>
              </w:rPr>
              <w:t>$198,366,000</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jc w:val="right"/>
              <w:ind w:right="292"/>
              <w:spacing w:after="0"/>
              <w:rPr>
                <w:sz w:val="20"/>
                <w:szCs w:val="20"/>
                <w:color w:val="auto"/>
              </w:rPr>
            </w:pPr>
            <w:r>
              <w:rPr>
                <w:rFonts w:ascii="Arial" w:cs="Arial" w:eastAsia="Arial" w:hAnsi="Arial"/>
                <w:sz w:val="18"/>
                <w:szCs w:val="18"/>
                <w:color w:val="auto"/>
                <w:w w:val="92"/>
              </w:rPr>
              <w:t>$223,162,000</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$272,754,000</w:t>
            </w:r>
          </w:p>
        </w:tc>
        <w:tc>
          <w:tcPr>
            <w:tcW w:w="2260" w:type="dxa"/>
            <w:vAlign w:val="bottom"/>
            <w:gridSpan w:val="3"/>
          </w:tcPr>
          <w:p>
            <w:pPr>
              <w:jc w:val="right"/>
              <w:ind w:right="292"/>
              <w:spacing w:after="0"/>
              <w:rPr>
                <w:sz w:val="20"/>
                <w:szCs w:val="20"/>
                <w:color w:val="auto"/>
              </w:rPr>
            </w:pPr>
            <w:r>
              <w:rPr>
                <w:rFonts w:ascii="Arial" w:cs="Arial" w:eastAsia="Arial" w:hAnsi="Arial"/>
                <w:sz w:val="18"/>
                <w:szCs w:val="18"/>
                <w:color w:val="auto"/>
              </w:rPr>
              <w:t>$297,550,000</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jc w:val="right"/>
              <w:ind w:right="312"/>
              <w:spacing w:after="0"/>
              <w:rPr>
                <w:sz w:val="20"/>
                <w:szCs w:val="20"/>
                <w:color w:val="auto"/>
              </w:rPr>
            </w:pPr>
            <w:r>
              <w:rPr>
                <w:rFonts w:ascii="Arial" w:cs="Arial" w:eastAsia="Arial" w:hAnsi="Arial"/>
                <w:sz w:val="18"/>
                <w:szCs w:val="18"/>
                <w:color w:val="auto"/>
                <w:w w:val="90"/>
              </w:rPr>
              <w:t>$322,345,000</w:t>
            </w:r>
          </w:p>
        </w:tc>
      </w:tr>
    </w:tbl>
    <w:p>
      <w:pPr>
        <w:spacing w:after="0" w:line="2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20 quarters since the end of the Company’s 1998 fiscal year, market price movements caused the aggregate fair value of the Company’s common stock investments in publicly traded companies to change by approximately 20% in one quarter, 15% in five quarters and by less than 10% in each of the other 14 quarters.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4763"/>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4763"/>
                    </a:xfrm>
                    <a:prstGeom prst="rect">
                      <a:avLst/>
                    </a:prstGeom>
                    <a:noFill/>
                  </pic:spPr>
                </pic:pic>
              </a:graphicData>
            </a:graphic>
          </wp:anchor>
        </w:drawing>
      </w:r>
    </w:p>
    <w:p>
      <w:pPr>
        <w:sectPr>
          <w:pgSz w:w="11900" w:h="16838" w:orient="portrait"/>
          <w:cols w:equalWidth="0" w:num="1">
            <w:col w:w="11420"/>
          </w:cols>
          <w:pgMar w:left="240" w:top="935" w:right="239" w:bottom="0"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07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10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u w:val="single" w:color="auto"/>
          <w:color w:val="auto"/>
        </w:rPr>
        <w:t>Interest Rate Risk</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At December 28, 2003, the Company had short-term commercial paper borrowings outstanding of $188,316,000 at an average interest rate of 1.1%. At December 29, 2002, the Company had commercial paper borrowings outstanding of $259,258,000 at an average interest rate of 1.6%. The Company is exposed to interest rate risk with respect to such borrowings since an increase in commercial paper borrowing rates would increase the Company’s interest expense on its commercial paper borrowings. Assuming a hypothetical 100 basis point increase in its average commercial paper borrowing rates from those that prevailed during the Company’s 2003 and 2002 fiscal years, the Company’s interest expense would have been greater by approximately $1,800,000 in fiscal 2003 and by approximately $4,100,000 in fiscal 2002.</w:t>
      </w:r>
    </w:p>
    <w:p>
      <w:pPr>
        <w:spacing w:after="0" w:line="198"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auto"/>
        </w:rPr>
        <w:t>The Company’s long-term debt consists of $400,000,000 principal amount of 5.5% unsecured notes due February 15, 2009 (the “Notes”). At December 28, 2003, the aggregate fair value of the Notes, based upon quoted market prices, was $434,560,000. An increase in the market rate of interest applicable to the Notes would not increase the Company’s interest expense with respect to the Notes since the rate of interest the Company is required to pay on the Notes is fixed, but such an increase in rates would affect the fair value of the Notes. Assuming, hypothetically, that the market interest rate applicable to the Notes was 100 basis points higher than the Notes’ stated interest rate of 5.5%, the fair value of the Notes would be approximately $382,770,000. Conversely, if the market interest rate applicable to the Notes was 100 basis points lower than the Notes’ stated interest rate, the fair value of the Notes would then be approximately $418,100,000.</w:t>
      </w:r>
    </w:p>
    <w:p>
      <w:pPr>
        <w:spacing w:after="0" w:line="39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231"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See the Company’s Consolidated Financial Statements at December 28, 2003, and for the periods then ended, together with the report of PricewaterhouseCoopers LLP thereon and the information contained in Note O to said Consolidated Financial Statements titled “Summary of Quarterly Operating Results and Comprehensive Income (Unaudited),” which are included in this Annual Report on Form 10-K and listed in the index to financial information on page 25 hereof.</w:t>
      </w:r>
    </w:p>
    <w:p>
      <w:pPr>
        <w:spacing w:after="0" w:line="3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3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An evaluation was performed by the Company’s management, with the participation of the Company’s Chief Executive Officer (the Company’s principal executive officer) and the Company’s Vice President-Finance (the Company’s principal financial officer), of the effectiveness of the Company’s disclosure controls and procedures (as defined in Exchange Act Rules 13a-15(e) and 15d-15(e)), as of December 28, 2003. Based on that evaluation, the Company’s Chief Executive Officer and Vice President-Finance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6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and Executive Officers of the Registrant.</w:t>
      </w:r>
    </w:p>
    <w:p>
      <w:pPr>
        <w:spacing w:after="0" w:line="231"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The information contained under the heading “Executive Officers” in Item 1 hereof and the information contained under the headings “Nominees for Election by Class A Stockholders,” “Nominees for Election by Class B Stockholders” and “Section 16(a) Beneficial Ownership Reporting Compliance” in the definitive Proxy Statement for the Company’s 2004 Annual Meeting of Stockholders is incorporated herein by reference thereto.</w:t>
      </w:r>
    </w:p>
    <w:p>
      <w:pPr>
        <w:spacing w:after="0" w:line="16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The Company has adopted codes of conduct that constitute “codes of ethics” as that term is defined in paragraph (b) of Item 406 of Regulation S-K and that apply to the Company’s principal executive officer, principal financial officer, principal accounting officer or controller and to any persons performing similar functions. Such codes of conduct are posted on the Company’s Internet website, the address of which is </w:t>
      </w:r>
      <w:r>
        <w:rPr>
          <w:rFonts w:ascii="Arial" w:cs="Arial" w:eastAsia="Arial" w:hAnsi="Arial"/>
          <w:sz w:val="16"/>
          <w:szCs w:val="16"/>
          <w:i w:val="1"/>
          <w:iCs w:val="1"/>
          <w:color w:val="auto"/>
        </w:rPr>
        <w:t>www.washpostco.com,</w:t>
      </w:r>
      <w:r>
        <w:rPr>
          <w:rFonts w:ascii="Arial" w:cs="Arial" w:eastAsia="Arial" w:hAnsi="Arial"/>
          <w:sz w:val="16"/>
          <w:szCs w:val="16"/>
          <w:color w:val="auto"/>
        </w:rPr>
        <w:t xml:space="preserve"> and the Company intends to satisfy the disclosure requirements under Item 10 of Form 8-K with respect to certain amendments to, and waivers of the requirements of, the provisions of such codes of conduct applicable to the officers and persons referred to above by posting the required information on its Internet website.</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3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information contained under the headings “Director Compensation,” “Executive Compensation,” “Retirement Plans,” “Compensation Committee Report on Executive Compensation,” “Compensation Committee Interlocks and Insider Participation,” and “Performance Graph” in the definitive Proxy Statement for the Company’s 2004 Annual Meeting of Stockholders is incorporated herein by reference thereto.</w:t>
      </w:r>
    </w:p>
    <w:p>
      <w:pPr>
        <w:spacing w:after="0" w:line="200" w:lineRule="exact"/>
        <w:rPr>
          <w:sz w:val="20"/>
          <w:szCs w:val="20"/>
          <w:color w:val="auto"/>
        </w:rPr>
      </w:pP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31"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The information contained under the heading “Stock Holdings of Certain Beneficial Owners and Management” and in the table titled “Equity Compensation Plan Information” in the definitive Proxy Statement for the Company’s 2004 Annual Meeting of Stockholders is incorporated herein by reference thereto.</w:t>
      </w:r>
    </w:p>
    <w:p>
      <w:pPr>
        <w:spacing w:after="0" w:line="37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information contained under the heading “Certain Relationships and Related Transactions” in the definitive Proxy Statement for the Company’s 2004 Annual Meeting of Stockholders is incorporated herein by reference thereto.</w:t>
      </w:r>
    </w:p>
    <w:p>
      <w:pPr>
        <w:spacing w:after="0" w:line="200" w:lineRule="exact"/>
        <w:rPr>
          <w:sz w:val="20"/>
          <w:szCs w:val="20"/>
          <w:color w:val="auto"/>
        </w:rPr>
      </w:pPr>
    </w:p>
    <w:p>
      <w:pPr>
        <w:spacing w:after="0" w:line="22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31"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The information contained under the heading “Audit Committee Report” in the definitive Proxy Statement for the Company’s 2004 Annual Meeting of Stockholders is incorporated herein by reference thereto.</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6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Financial Statement Schedules, and Reports on Form 8-K.</w:t>
      </w:r>
    </w:p>
    <w:p>
      <w:pPr>
        <w:spacing w:after="0" w:line="225" w:lineRule="exact"/>
        <w:rPr>
          <w:sz w:val="20"/>
          <w:szCs w:val="20"/>
          <w:color w:val="auto"/>
        </w:rPr>
      </w:pPr>
    </w:p>
    <w:p>
      <w:pPr>
        <w:ind w:left="920" w:hanging="692"/>
        <w:spacing w:after="0"/>
        <w:tabs>
          <w:tab w:leader="none" w:pos="9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The following documents are filed as part of this report:</w:t>
      </w:r>
    </w:p>
    <w:p>
      <w:pPr>
        <w:spacing w:after="0" w:line="231" w:lineRule="exact"/>
        <w:rPr>
          <w:rFonts w:ascii="Arial" w:cs="Arial" w:eastAsia="Arial" w:hAnsi="Arial"/>
          <w:sz w:val="18"/>
          <w:szCs w:val="18"/>
          <w:b w:val="1"/>
          <w:bCs w:val="1"/>
          <w:color w:val="auto"/>
        </w:rPr>
      </w:pPr>
    </w:p>
    <w:p>
      <w:pPr>
        <w:ind w:left="960" w:hanging="219"/>
        <w:spacing w:after="0"/>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Financial Statements and Financial Statement Schedules</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As listed in the index to financial information on page 25 hereof.</w:t>
      </w:r>
    </w:p>
    <w:p>
      <w:pPr>
        <w:spacing w:after="0" w:line="252" w:lineRule="exact"/>
        <w:rPr>
          <w:sz w:val="20"/>
          <w:szCs w:val="20"/>
          <w:color w:val="auto"/>
        </w:rPr>
      </w:pPr>
    </w:p>
    <w:p>
      <w:pPr>
        <w:ind w:left="960" w:hanging="263"/>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As listed in the index to exhibits on page 63 hereof.</w:t>
      </w:r>
    </w:p>
    <w:p>
      <w:pPr>
        <w:spacing w:after="0" w:line="246" w:lineRule="exact"/>
        <w:rPr>
          <w:sz w:val="20"/>
          <w:szCs w:val="20"/>
          <w:color w:val="auto"/>
        </w:rPr>
      </w:pPr>
    </w:p>
    <w:p>
      <w:pPr>
        <w:ind w:left="920" w:hanging="692"/>
        <w:spacing w:after="0"/>
        <w:tabs>
          <w:tab w:leader="none" w:pos="9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Reports on Form 8-K.</w:t>
      </w:r>
    </w:p>
    <w:p>
      <w:pPr>
        <w:spacing w:after="0" w:line="2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reports on Form 8-K were filed during the last quarter of the period covered by this report:</w:t>
      </w:r>
    </w:p>
    <w:p>
      <w:pPr>
        <w:spacing w:after="0" w:line="279" w:lineRule="exact"/>
        <w:rPr>
          <w:sz w:val="20"/>
          <w:szCs w:val="20"/>
          <w:color w:val="auto"/>
        </w:rPr>
      </w:pPr>
    </w:p>
    <w:p>
      <w:pPr>
        <w:ind w:left="700" w:right="140" w:firstLine="41"/>
        <w:spacing w:after="0" w:line="268" w:lineRule="auto"/>
        <w:tabs>
          <w:tab w:leader="none" w:pos="954" w:val="left"/>
        </w:tabs>
        <w:numPr>
          <w:ilvl w:val="0"/>
          <w:numId w:val="7"/>
        </w:numPr>
        <w:rPr>
          <w:rFonts w:ascii="Arial" w:cs="Arial" w:eastAsia="Arial" w:hAnsi="Arial"/>
          <w:sz w:val="18"/>
          <w:szCs w:val="18"/>
          <w:color w:val="auto"/>
        </w:rPr>
      </w:pPr>
      <w:r>
        <w:rPr>
          <w:rFonts w:ascii="Arial" w:cs="Arial" w:eastAsia="Arial" w:hAnsi="Arial"/>
          <w:sz w:val="18"/>
          <w:szCs w:val="18"/>
          <w:color w:val="auto"/>
        </w:rPr>
        <w:t>Current Report on Form 8-K dated September 29, 2003, reporting under Item 5 the Company’s offer to purchase certain options outstanding under the Kaplan, Inc. stock option plan.</w:t>
      </w:r>
    </w:p>
    <w:p>
      <w:pPr>
        <w:spacing w:after="0" w:line="212" w:lineRule="exact"/>
        <w:rPr>
          <w:rFonts w:ascii="Arial" w:cs="Arial" w:eastAsia="Arial" w:hAnsi="Arial"/>
          <w:sz w:val="18"/>
          <w:szCs w:val="18"/>
          <w:color w:val="auto"/>
        </w:rPr>
      </w:pPr>
    </w:p>
    <w:p>
      <w:pPr>
        <w:ind w:left="700" w:right="400" w:hanging="3"/>
        <w:spacing w:after="0" w:line="268" w:lineRule="auto"/>
        <w:tabs>
          <w:tab w:leader="none" w:pos="958" w:val="left"/>
        </w:tabs>
        <w:numPr>
          <w:ilvl w:val="0"/>
          <w:numId w:val="7"/>
        </w:numPr>
        <w:rPr>
          <w:rFonts w:ascii="Arial" w:cs="Arial" w:eastAsia="Arial" w:hAnsi="Arial"/>
          <w:sz w:val="18"/>
          <w:szCs w:val="18"/>
          <w:color w:val="auto"/>
        </w:rPr>
      </w:pPr>
      <w:r>
        <w:rPr>
          <w:rFonts w:ascii="Arial" w:cs="Arial" w:eastAsia="Arial" w:hAnsi="Arial"/>
          <w:sz w:val="18"/>
          <w:szCs w:val="18"/>
          <w:color w:val="auto"/>
        </w:rPr>
        <w:t>Current Report on Form 8-K dated October 31, 2003, reporting under Items 7 and 12 the Company’s third quarter earnings and including as an exhibit the Company’s press release dated October 31, 2003.</w:t>
      </w:r>
    </w:p>
    <w:p>
      <w:pPr>
        <w:spacing w:after="0" w:line="200" w:lineRule="exact"/>
        <w:rPr>
          <w:sz w:val="20"/>
          <w:szCs w:val="20"/>
          <w:color w:val="auto"/>
        </w:rPr>
      </w:pP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Pursuant to the requirements of Section 13 or 15(d) of the Securities Exchange Act of 1934, the Registrant has duly caused this report to be signed on its behalf by the undersigned, thereunto duly authorized, on March 9, 2004.</w:t>
      </w:r>
    </w:p>
    <w:p>
      <w:pPr>
        <w:spacing w:after="0" w:line="18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THE WASHINGTON POST COMPANY</w:t>
      </w:r>
    </w:p>
    <w:p>
      <w:pPr>
        <w:spacing w:after="0" w:line="36" w:lineRule="exact"/>
        <w:rPr>
          <w:sz w:val="20"/>
          <w:szCs w:val="20"/>
          <w:color w:val="auto"/>
        </w:rPr>
      </w:pPr>
    </w:p>
    <w:p>
      <w:pPr>
        <w:ind w:left="8380"/>
        <w:spacing w:after="0"/>
        <w:rPr>
          <w:sz w:val="20"/>
          <w:szCs w:val="20"/>
          <w:color w:val="auto"/>
        </w:rPr>
      </w:pPr>
      <w:r>
        <w:rPr>
          <w:rFonts w:ascii="Arial" w:cs="Arial" w:eastAsia="Arial" w:hAnsi="Arial"/>
          <w:sz w:val="18"/>
          <w:szCs w:val="18"/>
          <w:color w:val="auto"/>
        </w:rPr>
        <w:t>(Registrant)</w:t>
      </w:r>
    </w:p>
    <w:p>
      <w:pPr>
        <w:spacing w:after="0" w:line="239" w:lineRule="exact"/>
        <w:rPr>
          <w:sz w:val="20"/>
          <w:szCs w:val="20"/>
          <w:color w:val="auto"/>
        </w:rPr>
      </w:pPr>
    </w:p>
    <w:p>
      <w:pPr>
        <w:ind w:left="6160"/>
        <w:spacing w:after="0"/>
        <w:tabs>
          <w:tab w:leader="none" w:pos="7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22"/>
          <w:szCs w:val="22"/>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76200</wp:posOffset>
            </wp:positionV>
            <wp:extent cx="33274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26" w:lineRule="exact"/>
        <w:rPr>
          <w:sz w:val="20"/>
          <w:szCs w:val="20"/>
          <w:color w:val="auto"/>
        </w:rPr>
      </w:pPr>
    </w:p>
    <w:p>
      <w:pPr>
        <w:jc w:val="center"/>
        <w:ind w:left="6360"/>
        <w:spacing w:after="0"/>
        <w:rPr>
          <w:sz w:val="20"/>
          <w:szCs w:val="20"/>
          <w:color w:val="auto"/>
        </w:rPr>
      </w:pPr>
      <w:r>
        <w:rPr>
          <w:rFonts w:ascii="Arial" w:cs="Arial" w:eastAsia="Arial" w:hAnsi="Arial"/>
          <w:sz w:val="18"/>
          <w:szCs w:val="18"/>
          <w:color w:val="auto"/>
        </w:rPr>
        <w:t>John B. Morse, Jr.</w:t>
      </w:r>
    </w:p>
    <w:p>
      <w:pPr>
        <w:spacing w:after="0" w:line="36" w:lineRule="exact"/>
        <w:rPr>
          <w:sz w:val="20"/>
          <w:szCs w:val="20"/>
          <w:color w:val="auto"/>
        </w:rPr>
      </w:pPr>
    </w:p>
    <w:p>
      <w:pPr>
        <w:jc w:val="center"/>
        <w:ind w:left="6360"/>
        <w:spacing w:after="0"/>
        <w:rPr>
          <w:sz w:val="20"/>
          <w:szCs w:val="20"/>
          <w:color w:val="auto"/>
        </w:rPr>
      </w:pPr>
      <w:r>
        <w:rPr>
          <w:rFonts w:ascii="Arial" w:cs="Arial" w:eastAsia="Arial" w:hAnsi="Arial"/>
          <w:sz w:val="18"/>
          <w:szCs w:val="18"/>
          <w:color w:val="auto"/>
        </w:rPr>
        <w:t>Vice President-Finance</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Pursuant to the requirements of the Securities Exchange Act of 1934, this report has been signed below by the following persons on behalf of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Registrant and in the capacities indicated on March 9, 2004:</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1820" w:type="dxa"/>
        <w:tblCellMar>
          <w:top w:w="0" w:type="dxa"/>
          <w:left w:w="0" w:type="dxa"/>
          <w:bottom w:w="0" w:type="dxa"/>
          <w:right w:w="0" w:type="dxa"/>
        </w:tblCellMar>
      </w:tblPr>
      <w:tr>
        <w:trPr>
          <w:trHeight w:val="216"/>
        </w:trPr>
        <w:tc>
          <w:tcPr>
            <w:tcW w:w="2700" w:type="dxa"/>
            <w:vAlign w:val="bottom"/>
          </w:tcPr>
          <w:p>
            <w:pPr>
              <w:jc w:val="center"/>
              <w:ind w:right="972"/>
              <w:spacing w:after="0"/>
              <w:rPr>
                <w:sz w:val="20"/>
                <w:szCs w:val="20"/>
                <w:color w:val="auto"/>
              </w:rPr>
            </w:pPr>
            <w:r>
              <w:rPr>
                <w:rFonts w:ascii="Arial" w:cs="Arial" w:eastAsia="Arial" w:hAnsi="Arial"/>
                <w:sz w:val="18"/>
                <w:szCs w:val="18"/>
                <w:color w:val="auto"/>
                <w:w w:val="88"/>
              </w:rPr>
              <w:t>Donald E. Graham</w:t>
            </w:r>
          </w:p>
        </w:tc>
        <w:tc>
          <w:tcPr>
            <w:tcW w:w="6220" w:type="dxa"/>
            <w:vAlign w:val="bottom"/>
          </w:tcPr>
          <w:p>
            <w:pPr>
              <w:jc w:val="center"/>
              <w:ind w:left="1012"/>
              <w:spacing w:after="0"/>
              <w:rPr>
                <w:sz w:val="20"/>
                <w:szCs w:val="20"/>
                <w:color w:val="auto"/>
              </w:rPr>
            </w:pPr>
            <w:r>
              <w:rPr>
                <w:rFonts w:ascii="Arial" w:cs="Arial" w:eastAsia="Arial" w:hAnsi="Arial"/>
                <w:sz w:val="18"/>
                <w:szCs w:val="18"/>
                <w:color w:val="auto"/>
                <w:w w:val="90"/>
              </w:rPr>
              <w:t>Chairman of the Board and Chief Executive Officer (Principal Executive</w:t>
            </w:r>
          </w:p>
        </w:tc>
      </w:tr>
      <w:tr>
        <w:trPr>
          <w:trHeight w:val="222"/>
        </w:trPr>
        <w:tc>
          <w:tcPr>
            <w:tcW w:w="2700" w:type="dxa"/>
            <w:vAlign w:val="bottom"/>
          </w:tcPr>
          <w:p>
            <w:pPr>
              <w:spacing w:after="0"/>
              <w:rPr>
                <w:sz w:val="19"/>
                <w:szCs w:val="19"/>
                <w:color w:val="auto"/>
              </w:rPr>
            </w:pPr>
          </w:p>
        </w:tc>
        <w:tc>
          <w:tcPr>
            <w:tcW w:w="6220" w:type="dxa"/>
            <w:vAlign w:val="bottom"/>
          </w:tcPr>
          <w:p>
            <w:pPr>
              <w:jc w:val="center"/>
              <w:ind w:left="1012"/>
              <w:spacing w:after="0"/>
              <w:rPr>
                <w:sz w:val="20"/>
                <w:szCs w:val="20"/>
                <w:color w:val="auto"/>
              </w:rPr>
            </w:pPr>
            <w:r>
              <w:rPr>
                <w:rFonts w:ascii="Arial" w:cs="Arial" w:eastAsia="Arial" w:hAnsi="Arial"/>
                <w:sz w:val="18"/>
                <w:szCs w:val="18"/>
                <w:color w:val="auto"/>
                <w:w w:val="91"/>
              </w:rPr>
              <w:t>Officer) and Director</w:t>
            </w:r>
          </w:p>
        </w:tc>
      </w:tr>
      <w:tr>
        <w:trPr>
          <w:trHeight w:val="432"/>
        </w:trPr>
        <w:tc>
          <w:tcPr>
            <w:tcW w:w="2700" w:type="dxa"/>
            <w:vAlign w:val="bottom"/>
          </w:tcPr>
          <w:p>
            <w:pPr>
              <w:jc w:val="center"/>
              <w:ind w:right="972"/>
              <w:spacing w:after="0"/>
              <w:rPr>
                <w:sz w:val="20"/>
                <w:szCs w:val="20"/>
                <w:color w:val="auto"/>
              </w:rPr>
            </w:pPr>
            <w:r>
              <w:rPr>
                <w:rFonts w:ascii="Arial" w:cs="Arial" w:eastAsia="Arial" w:hAnsi="Arial"/>
                <w:sz w:val="18"/>
                <w:szCs w:val="18"/>
                <w:color w:val="auto"/>
                <w:w w:val="87"/>
              </w:rPr>
              <w:t>John B. Morse, Jr.</w:t>
            </w:r>
          </w:p>
        </w:tc>
        <w:tc>
          <w:tcPr>
            <w:tcW w:w="6220" w:type="dxa"/>
            <w:vAlign w:val="bottom"/>
          </w:tcPr>
          <w:p>
            <w:pPr>
              <w:jc w:val="center"/>
              <w:ind w:left="1012"/>
              <w:spacing w:after="0"/>
              <w:rPr>
                <w:sz w:val="20"/>
                <w:szCs w:val="20"/>
                <w:color w:val="auto"/>
              </w:rPr>
            </w:pPr>
            <w:r>
              <w:rPr>
                <w:rFonts w:ascii="Arial" w:cs="Arial" w:eastAsia="Arial" w:hAnsi="Arial"/>
                <w:sz w:val="18"/>
                <w:szCs w:val="18"/>
                <w:color w:val="auto"/>
                <w:w w:val="90"/>
              </w:rPr>
              <w:t>Vice President-Finance (Principal Financial and Accounting Officer)</w:t>
            </w:r>
          </w:p>
        </w:tc>
      </w:tr>
      <w:tr>
        <w:trPr>
          <w:trHeight w:val="432"/>
        </w:trPr>
        <w:tc>
          <w:tcPr>
            <w:tcW w:w="2700" w:type="dxa"/>
            <w:vAlign w:val="bottom"/>
          </w:tcPr>
          <w:p>
            <w:pPr>
              <w:jc w:val="center"/>
              <w:ind w:right="972"/>
              <w:spacing w:after="0"/>
              <w:rPr>
                <w:sz w:val="20"/>
                <w:szCs w:val="20"/>
                <w:color w:val="auto"/>
              </w:rPr>
            </w:pPr>
            <w:r>
              <w:rPr>
                <w:rFonts w:ascii="Arial" w:cs="Arial" w:eastAsia="Arial" w:hAnsi="Arial"/>
                <w:sz w:val="18"/>
                <w:szCs w:val="18"/>
                <w:color w:val="auto"/>
                <w:w w:val="89"/>
              </w:rPr>
              <w:t>Warren E. Buffett</w:t>
            </w:r>
          </w:p>
        </w:tc>
        <w:tc>
          <w:tcPr>
            <w:tcW w:w="6220" w:type="dxa"/>
            <w:vAlign w:val="bottom"/>
          </w:tcPr>
          <w:p>
            <w:pPr>
              <w:jc w:val="center"/>
              <w:ind w:left="1012"/>
              <w:spacing w:after="0"/>
              <w:rPr>
                <w:sz w:val="20"/>
                <w:szCs w:val="20"/>
                <w:color w:val="auto"/>
              </w:rPr>
            </w:pPr>
            <w:r>
              <w:rPr>
                <w:rFonts w:ascii="Arial" w:cs="Arial" w:eastAsia="Arial" w:hAnsi="Arial"/>
                <w:sz w:val="18"/>
                <w:szCs w:val="18"/>
                <w:color w:val="auto"/>
                <w:w w:val="95"/>
              </w:rPr>
              <w:t>Director</w:t>
            </w:r>
          </w:p>
        </w:tc>
      </w:tr>
      <w:tr>
        <w:trPr>
          <w:trHeight w:val="432"/>
        </w:trPr>
        <w:tc>
          <w:tcPr>
            <w:tcW w:w="2700" w:type="dxa"/>
            <w:vAlign w:val="bottom"/>
          </w:tcPr>
          <w:p>
            <w:pPr>
              <w:jc w:val="center"/>
              <w:ind w:right="992"/>
              <w:spacing w:after="0"/>
              <w:rPr>
                <w:sz w:val="20"/>
                <w:szCs w:val="20"/>
                <w:color w:val="auto"/>
              </w:rPr>
            </w:pPr>
            <w:r>
              <w:rPr>
                <w:rFonts w:ascii="Arial" w:cs="Arial" w:eastAsia="Arial" w:hAnsi="Arial"/>
                <w:sz w:val="18"/>
                <w:szCs w:val="18"/>
                <w:color w:val="auto"/>
                <w:w w:val="91"/>
              </w:rPr>
              <w:t>Daniel B. Burke</w:t>
            </w:r>
          </w:p>
        </w:tc>
        <w:tc>
          <w:tcPr>
            <w:tcW w:w="6220" w:type="dxa"/>
            <w:vAlign w:val="bottom"/>
          </w:tcPr>
          <w:p>
            <w:pPr>
              <w:jc w:val="center"/>
              <w:ind w:left="1012"/>
              <w:spacing w:after="0"/>
              <w:rPr>
                <w:sz w:val="20"/>
                <w:szCs w:val="20"/>
                <w:color w:val="auto"/>
              </w:rPr>
            </w:pPr>
            <w:r>
              <w:rPr>
                <w:rFonts w:ascii="Arial" w:cs="Arial" w:eastAsia="Arial" w:hAnsi="Arial"/>
                <w:sz w:val="18"/>
                <w:szCs w:val="18"/>
                <w:color w:val="auto"/>
                <w:w w:val="95"/>
              </w:rPr>
              <w:t>Director</w:t>
            </w:r>
          </w:p>
        </w:tc>
      </w:tr>
      <w:tr>
        <w:trPr>
          <w:trHeight w:val="432"/>
        </w:trPr>
        <w:tc>
          <w:tcPr>
            <w:tcW w:w="2700" w:type="dxa"/>
            <w:vAlign w:val="bottom"/>
          </w:tcPr>
          <w:p>
            <w:pPr>
              <w:jc w:val="center"/>
              <w:ind w:right="992"/>
              <w:spacing w:after="0"/>
              <w:rPr>
                <w:sz w:val="20"/>
                <w:szCs w:val="20"/>
                <w:color w:val="auto"/>
              </w:rPr>
            </w:pPr>
            <w:r>
              <w:rPr>
                <w:rFonts w:ascii="Arial" w:cs="Arial" w:eastAsia="Arial" w:hAnsi="Arial"/>
                <w:sz w:val="18"/>
                <w:szCs w:val="18"/>
                <w:color w:val="auto"/>
                <w:w w:val="96"/>
              </w:rPr>
              <w:t>Barry Diller</w:t>
            </w:r>
          </w:p>
        </w:tc>
        <w:tc>
          <w:tcPr>
            <w:tcW w:w="6220" w:type="dxa"/>
            <w:vAlign w:val="bottom"/>
          </w:tcPr>
          <w:p>
            <w:pPr>
              <w:jc w:val="center"/>
              <w:ind w:left="1012"/>
              <w:spacing w:after="0"/>
              <w:rPr>
                <w:sz w:val="20"/>
                <w:szCs w:val="20"/>
                <w:color w:val="auto"/>
              </w:rPr>
            </w:pPr>
            <w:r>
              <w:rPr>
                <w:rFonts w:ascii="Arial" w:cs="Arial" w:eastAsia="Arial" w:hAnsi="Arial"/>
                <w:sz w:val="18"/>
                <w:szCs w:val="18"/>
                <w:color w:val="auto"/>
                <w:w w:val="95"/>
              </w:rPr>
              <w:t>Director</w:t>
            </w:r>
          </w:p>
        </w:tc>
      </w:tr>
      <w:tr>
        <w:trPr>
          <w:trHeight w:val="432"/>
        </w:trPr>
        <w:tc>
          <w:tcPr>
            <w:tcW w:w="2700" w:type="dxa"/>
            <w:vAlign w:val="bottom"/>
          </w:tcPr>
          <w:p>
            <w:pPr>
              <w:jc w:val="center"/>
              <w:ind w:right="972"/>
              <w:spacing w:after="0"/>
              <w:rPr>
                <w:sz w:val="20"/>
                <w:szCs w:val="20"/>
                <w:color w:val="auto"/>
              </w:rPr>
            </w:pPr>
            <w:r>
              <w:rPr>
                <w:rFonts w:ascii="Arial" w:cs="Arial" w:eastAsia="Arial" w:hAnsi="Arial"/>
                <w:sz w:val="18"/>
                <w:szCs w:val="18"/>
                <w:color w:val="auto"/>
                <w:w w:val="87"/>
              </w:rPr>
              <w:t>John L. Dotson Jr.</w:t>
            </w:r>
          </w:p>
        </w:tc>
        <w:tc>
          <w:tcPr>
            <w:tcW w:w="6220" w:type="dxa"/>
            <w:vAlign w:val="bottom"/>
          </w:tcPr>
          <w:p>
            <w:pPr>
              <w:jc w:val="center"/>
              <w:ind w:left="1012"/>
              <w:spacing w:after="0"/>
              <w:rPr>
                <w:sz w:val="20"/>
                <w:szCs w:val="20"/>
                <w:color w:val="auto"/>
              </w:rPr>
            </w:pPr>
            <w:r>
              <w:rPr>
                <w:rFonts w:ascii="Arial" w:cs="Arial" w:eastAsia="Arial" w:hAnsi="Arial"/>
                <w:sz w:val="18"/>
                <w:szCs w:val="18"/>
                <w:color w:val="auto"/>
                <w:w w:val="95"/>
              </w:rPr>
              <w:t>Director</w:t>
            </w:r>
          </w:p>
        </w:tc>
      </w:tr>
      <w:tr>
        <w:trPr>
          <w:trHeight w:val="432"/>
        </w:trPr>
        <w:tc>
          <w:tcPr>
            <w:tcW w:w="2700" w:type="dxa"/>
            <w:vAlign w:val="bottom"/>
          </w:tcPr>
          <w:p>
            <w:pPr>
              <w:jc w:val="center"/>
              <w:ind w:right="992"/>
              <w:spacing w:after="0"/>
              <w:rPr>
                <w:sz w:val="20"/>
                <w:szCs w:val="20"/>
                <w:color w:val="auto"/>
              </w:rPr>
            </w:pPr>
            <w:r>
              <w:rPr>
                <w:rFonts w:ascii="Arial" w:cs="Arial" w:eastAsia="Arial" w:hAnsi="Arial"/>
                <w:sz w:val="18"/>
                <w:szCs w:val="18"/>
                <w:color w:val="auto"/>
                <w:w w:val="90"/>
              </w:rPr>
              <w:t>George J. Gillespie, III</w:t>
            </w:r>
          </w:p>
        </w:tc>
        <w:tc>
          <w:tcPr>
            <w:tcW w:w="6220" w:type="dxa"/>
            <w:vAlign w:val="bottom"/>
          </w:tcPr>
          <w:p>
            <w:pPr>
              <w:jc w:val="center"/>
              <w:ind w:left="1012"/>
              <w:spacing w:after="0"/>
              <w:rPr>
                <w:sz w:val="20"/>
                <w:szCs w:val="20"/>
                <w:color w:val="auto"/>
              </w:rPr>
            </w:pPr>
            <w:r>
              <w:rPr>
                <w:rFonts w:ascii="Arial" w:cs="Arial" w:eastAsia="Arial" w:hAnsi="Arial"/>
                <w:sz w:val="18"/>
                <w:szCs w:val="18"/>
                <w:color w:val="auto"/>
                <w:w w:val="95"/>
              </w:rPr>
              <w:t>Director</w:t>
            </w:r>
          </w:p>
        </w:tc>
      </w:tr>
      <w:tr>
        <w:trPr>
          <w:trHeight w:val="432"/>
        </w:trPr>
        <w:tc>
          <w:tcPr>
            <w:tcW w:w="2700" w:type="dxa"/>
            <w:vAlign w:val="bottom"/>
          </w:tcPr>
          <w:p>
            <w:pPr>
              <w:jc w:val="center"/>
              <w:ind w:right="972"/>
              <w:spacing w:after="0"/>
              <w:rPr>
                <w:sz w:val="20"/>
                <w:szCs w:val="20"/>
                <w:color w:val="auto"/>
              </w:rPr>
            </w:pPr>
            <w:r>
              <w:rPr>
                <w:rFonts w:ascii="Arial" w:cs="Arial" w:eastAsia="Arial" w:hAnsi="Arial"/>
                <w:sz w:val="18"/>
                <w:szCs w:val="18"/>
                <w:color w:val="auto"/>
                <w:w w:val="89"/>
              </w:rPr>
              <w:t>Ralph E. Gomory</w:t>
            </w:r>
          </w:p>
        </w:tc>
        <w:tc>
          <w:tcPr>
            <w:tcW w:w="6220" w:type="dxa"/>
            <w:vAlign w:val="bottom"/>
          </w:tcPr>
          <w:p>
            <w:pPr>
              <w:jc w:val="center"/>
              <w:ind w:left="1012"/>
              <w:spacing w:after="0"/>
              <w:rPr>
                <w:sz w:val="20"/>
                <w:szCs w:val="20"/>
                <w:color w:val="auto"/>
              </w:rPr>
            </w:pPr>
            <w:r>
              <w:rPr>
                <w:rFonts w:ascii="Arial" w:cs="Arial" w:eastAsia="Arial" w:hAnsi="Arial"/>
                <w:sz w:val="18"/>
                <w:szCs w:val="18"/>
                <w:color w:val="auto"/>
                <w:w w:val="95"/>
              </w:rPr>
              <w:t>Director</w:t>
            </w:r>
          </w:p>
        </w:tc>
      </w:tr>
      <w:tr>
        <w:trPr>
          <w:trHeight w:val="432"/>
        </w:trPr>
        <w:tc>
          <w:tcPr>
            <w:tcW w:w="2700" w:type="dxa"/>
            <w:vAlign w:val="bottom"/>
          </w:tcPr>
          <w:p>
            <w:pPr>
              <w:jc w:val="center"/>
              <w:ind w:right="972"/>
              <w:spacing w:after="0"/>
              <w:rPr>
                <w:sz w:val="20"/>
                <w:szCs w:val="20"/>
                <w:color w:val="auto"/>
              </w:rPr>
            </w:pPr>
            <w:r>
              <w:rPr>
                <w:rFonts w:ascii="Arial" w:cs="Arial" w:eastAsia="Arial" w:hAnsi="Arial"/>
                <w:sz w:val="18"/>
                <w:szCs w:val="18"/>
                <w:color w:val="auto"/>
                <w:w w:val="89"/>
              </w:rPr>
              <w:t>Ronald L. Olson</w:t>
            </w:r>
          </w:p>
        </w:tc>
        <w:tc>
          <w:tcPr>
            <w:tcW w:w="6220" w:type="dxa"/>
            <w:vAlign w:val="bottom"/>
          </w:tcPr>
          <w:p>
            <w:pPr>
              <w:jc w:val="center"/>
              <w:ind w:left="1012"/>
              <w:spacing w:after="0"/>
              <w:rPr>
                <w:sz w:val="20"/>
                <w:szCs w:val="20"/>
                <w:color w:val="auto"/>
              </w:rPr>
            </w:pPr>
            <w:r>
              <w:rPr>
                <w:rFonts w:ascii="Arial" w:cs="Arial" w:eastAsia="Arial" w:hAnsi="Arial"/>
                <w:sz w:val="18"/>
                <w:szCs w:val="18"/>
                <w:color w:val="auto"/>
                <w:w w:val="95"/>
              </w:rPr>
              <w:t>Director</w:t>
            </w:r>
          </w:p>
        </w:tc>
      </w:tr>
      <w:tr>
        <w:trPr>
          <w:trHeight w:val="432"/>
        </w:trPr>
        <w:tc>
          <w:tcPr>
            <w:tcW w:w="2700" w:type="dxa"/>
            <w:vAlign w:val="bottom"/>
          </w:tcPr>
          <w:p>
            <w:pPr>
              <w:jc w:val="center"/>
              <w:ind w:right="992"/>
              <w:spacing w:after="0"/>
              <w:rPr>
                <w:sz w:val="20"/>
                <w:szCs w:val="20"/>
                <w:color w:val="auto"/>
              </w:rPr>
            </w:pPr>
            <w:r>
              <w:rPr>
                <w:rFonts w:ascii="Arial" w:cs="Arial" w:eastAsia="Arial" w:hAnsi="Arial"/>
                <w:sz w:val="18"/>
                <w:szCs w:val="18"/>
                <w:color w:val="auto"/>
                <w:w w:val="97"/>
              </w:rPr>
              <w:t>Alice M. Rivlin</w:t>
            </w:r>
          </w:p>
        </w:tc>
        <w:tc>
          <w:tcPr>
            <w:tcW w:w="6220" w:type="dxa"/>
            <w:vAlign w:val="bottom"/>
          </w:tcPr>
          <w:p>
            <w:pPr>
              <w:jc w:val="center"/>
              <w:ind w:left="1012"/>
              <w:spacing w:after="0"/>
              <w:rPr>
                <w:sz w:val="20"/>
                <w:szCs w:val="20"/>
                <w:color w:val="auto"/>
              </w:rPr>
            </w:pPr>
            <w:r>
              <w:rPr>
                <w:rFonts w:ascii="Arial" w:cs="Arial" w:eastAsia="Arial" w:hAnsi="Arial"/>
                <w:sz w:val="18"/>
                <w:szCs w:val="18"/>
                <w:color w:val="auto"/>
                <w:w w:val="95"/>
              </w:rPr>
              <w:t>Director</w:t>
            </w:r>
          </w:p>
        </w:tc>
      </w:tr>
      <w:tr>
        <w:trPr>
          <w:trHeight w:val="432"/>
        </w:trPr>
        <w:tc>
          <w:tcPr>
            <w:tcW w:w="2700" w:type="dxa"/>
            <w:vAlign w:val="bottom"/>
          </w:tcPr>
          <w:p>
            <w:pPr>
              <w:jc w:val="center"/>
              <w:ind w:right="972"/>
              <w:spacing w:after="0"/>
              <w:rPr>
                <w:sz w:val="20"/>
                <w:szCs w:val="20"/>
                <w:color w:val="auto"/>
              </w:rPr>
            </w:pPr>
            <w:r>
              <w:rPr>
                <w:rFonts w:ascii="Arial" w:cs="Arial" w:eastAsia="Arial" w:hAnsi="Arial"/>
                <w:sz w:val="18"/>
                <w:szCs w:val="18"/>
                <w:color w:val="auto"/>
                <w:w w:val="89"/>
              </w:rPr>
              <w:t>Richard D. Simmons</w:t>
            </w:r>
          </w:p>
        </w:tc>
        <w:tc>
          <w:tcPr>
            <w:tcW w:w="6220" w:type="dxa"/>
            <w:vAlign w:val="bottom"/>
          </w:tcPr>
          <w:p>
            <w:pPr>
              <w:jc w:val="center"/>
              <w:ind w:left="1012"/>
              <w:spacing w:after="0"/>
              <w:rPr>
                <w:sz w:val="20"/>
                <w:szCs w:val="20"/>
                <w:color w:val="auto"/>
              </w:rPr>
            </w:pPr>
            <w:r>
              <w:rPr>
                <w:rFonts w:ascii="Arial" w:cs="Arial" w:eastAsia="Arial" w:hAnsi="Arial"/>
                <w:sz w:val="18"/>
                <w:szCs w:val="18"/>
                <w:color w:val="auto"/>
                <w:w w:val="95"/>
              </w:rPr>
              <w:t>Director</w:t>
            </w:r>
          </w:p>
        </w:tc>
      </w:tr>
      <w:tr>
        <w:trPr>
          <w:trHeight w:val="432"/>
        </w:trPr>
        <w:tc>
          <w:tcPr>
            <w:tcW w:w="2700" w:type="dxa"/>
            <w:vAlign w:val="bottom"/>
          </w:tcPr>
          <w:p>
            <w:pPr>
              <w:jc w:val="center"/>
              <w:ind w:right="992"/>
              <w:spacing w:after="0"/>
              <w:rPr>
                <w:sz w:val="20"/>
                <w:szCs w:val="20"/>
                <w:color w:val="auto"/>
              </w:rPr>
            </w:pPr>
            <w:r>
              <w:rPr>
                <w:rFonts w:ascii="Arial" w:cs="Arial" w:eastAsia="Arial" w:hAnsi="Arial"/>
                <w:sz w:val="18"/>
                <w:szCs w:val="18"/>
                <w:color w:val="auto"/>
                <w:w w:val="88"/>
              </w:rPr>
              <w:t>George W. Wilson</w:t>
            </w:r>
          </w:p>
        </w:tc>
        <w:tc>
          <w:tcPr>
            <w:tcW w:w="6220" w:type="dxa"/>
            <w:vAlign w:val="bottom"/>
          </w:tcPr>
          <w:p>
            <w:pPr>
              <w:jc w:val="center"/>
              <w:ind w:left="1012"/>
              <w:spacing w:after="0"/>
              <w:rPr>
                <w:sz w:val="20"/>
                <w:szCs w:val="20"/>
                <w:color w:val="auto"/>
              </w:rPr>
            </w:pPr>
            <w:r>
              <w:rPr>
                <w:rFonts w:ascii="Arial" w:cs="Arial" w:eastAsia="Arial" w:hAnsi="Arial"/>
                <w:sz w:val="18"/>
                <w:szCs w:val="18"/>
                <w:color w:val="auto"/>
                <w:w w:val="95"/>
              </w:rPr>
              <w:t>Director</w:t>
            </w:r>
          </w:p>
        </w:tc>
      </w:tr>
    </w:tbl>
    <w:p>
      <w:pPr>
        <w:spacing w:after="0" w:line="197" w:lineRule="exact"/>
        <w:rPr>
          <w:sz w:val="20"/>
          <w:szCs w:val="20"/>
          <w:color w:val="auto"/>
        </w:rPr>
      </w:pPr>
    </w:p>
    <w:tbl>
      <w:tblPr>
        <w:tblLayout w:type="fixed"/>
        <w:tblInd w:w="6160" w:type="dxa"/>
        <w:tblCellMar>
          <w:top w:w="0" w:type="dxa"/>
          <w:left w:w="0" w:type="dxa"/>
          <w:bottom w:w="0" w:type="dxa"/>
          <w:right w:w="0" w:type="dxa"/>
        </w:tblCellMar>
      </w:tblPr>
      <w:tr>
        <w:trPr>
          <w:trHeight w:val="275"/>
        </w:trPr>
        <w:tc>
          <w:tcPr>
            <w:tcW w:w="960" w:type="dxa"/>
            <w:vAlign w:val="bottom"/>
            <w:gridSpan w:val="2"/>
          </w:tcPr>
          <w:p>
            <w:pPr>
              <w:spacing w:after="0"/>
              <w:rPr>
                <w:sz w:val="20"/>
                <w:szCs w:val="20"/>
                <w:color w:val="auto"/>
              </w:rPr>
            </w:pPr>
            <w:r>
              <w:rPr>
                <w:rFonts w:ascii="Arial" w:cs="Arial" w:eastAsia="Arial" w:hAnsi="Arial"/>
                <w:sz w:val="18"/>
                <w:szCs w:val="18"/>
                <w:color w:val="auto"/>
              </w:rPr>
              <w:t>By</w:t>
            </w:r>
          </w:p>
        </w:tc>
        <w:tc>
          <w:tcPr>
            <w:tcW w:w="4300" w:type="dxa"/>
            <w:vAlign w:val="bottom"/>
          </w:tcPr>
          <w:p>
            <w:pPr>
              <w:ind w:left="780"/>
              <w:spacing w:after="0"/>
              <w:rPr>
                <w:sz w:val="20"/>
                <w:szCs w:val="20"/>
                <w:color w:val="auto"/>
              </w:rPr>
            </w:pPr>
            <w:r>
              <w:rPr>
                <w:rFonts w:ascii="Arial" w:cs="Arial" w:eastAsia="Arial" w:hAnsi="Arial"/>
                <w:sz w:val="22"/>
                <w:szCs w:val="22"/>
                <w:color w:val="auto"/>
              </w:rPr>
              <w:t>/s/ John B. Morse, Jr.</w:t>
            </w:r>
          </w:p>
        </w:tc>
      </w:tr>
      <w:tr>
        <w:trPr>
          <w:trHeight w:val="98"/>
        </w:trPr>
        <w:tc>
          <w:tcPr>
            <w:tcW w:w="2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4300" w:type="dxa"/>
            <w:vAlign w:val="bottom"/>
            <w:tcBorders>
              <w:bottom w:val="single" w:sz="8" w:color="808080"/>
            </w:tcBorders>
          </w:tcPr>
          <w:p>
            <w:pPr>
              <w:spacing w:after="0"/>
              <w:rPr>
                <w:sz w:val="8"/>
                <w:szCs w:val="8"/>
                <w:color w:val="auto"/>
              </w:rPr>
            </w:pPr>
          </w:p>
        </w:tc>
      </w:tr>
      <w:tr>
        <w:trPr>
          <w:trHeight w:val="329"/>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300" w:type="dxa"/>
            <w:vAlign w:val="bottom"/>
          </w:tcPr>
          <w:p>
            <w:pPr>
              <w:jc w:val="center"/>
              <w:ind w:right="845"/>
              <w:spacing w:after="0"/>
              <w:rPr>
                <w:sz w:val="20"/>
                <w:szCs w:val="20"/>
                <w:color w:val="auto"/>
              </w:rPr>
            </w:pPr>
            <w:r>
              <w:rPr>
                <w:rFonts w:ascii="Arial" w:cs="Arial" w:eastAsia="Arial" w:hAnsi="Arial"/>
                <w:sz w:val="18"/>
                <w:szCs w:val="18"/>
                <w:color w:val="auto"/>
                <w:w w:val="87"/>
              </w:rPr>
              <w:t>John B. Morse, Jr.</w:t>
            </w:r>
          </w:p>
        </w:tc>
      </w:tr>
      <w:tr>
        <w:trPr>
          <w:trHeight w:val="243"/>
        </w:trPr>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300" w:type="dxa"/>
            <w:vAlign w:val="bottom"/>
          </w:tcPr>
          <w:p>
            <w:pPr>
              <w:jc w:val="center"/>
              <w:ind w:right="825"/>
              <w:spacing w:after="0"/>
              <w:rPr>
                <w:sz w:val="20"/>
                <w:szCs w:val="20"/>
                <w:color w:val="auto"/>
              </w:rPr>
            </w:pPr>
            <w:r>
              <w:rPr>
                <w:rFonts w:ascii="Arial" w:cs="Arial" w:eastAsia="Arial" w:hAnsi="Arial"/>
                <w:sz w:val="18"/>
                <w:szCs w:val="18"/>
                <w:color w:val="auto"/>
                <w:w w:val="92"/>
              </w:rPr>
              <w:t>Attorney-in-Fact</w:t>
            </w:r>
          </w:p>
        </w:tc>
      </w:tr>
    </w:tbl>
    <w:p>
      <w:pPr>
        <w:spacing w:after="0" w:line="23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An original power of attorney authorizing Donald E. Graham, John B. Morse, Jr. and Diana M. Daniels, and each of them, to sign all reports required to be filed by the Registrant pursuant to the Securities Exchange Act of 1934 on behalf of the above-named directors and officers has been filed with the Securities and Exchange Commission.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8" w:name="page29"/>
    <w:bookmarkEnd w:id="28"/>
    <w:tbl>
      <w:tblPr>
        <w:tblLayout w:type="fixed"/>
        <w:tblInd w:w="230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340" w:type="dxa"/>
            <w:vAlign w:val="bottom"/>
            <w:gridSpan w:val="3"/>
          </w:tcPr>
          <w:p>
            <w:pPr>
              <w:ind w:left="1780"/>
              <w:spacing w:after="0"/>
              <w:rPr>
                <w:sz w:val="20"/>
                <w:szCs w:val="20"/>
                <w:color w:val="auto"/>
              </w:rPr>
            </w:pPr>
            <w:r>
              <w:rPr>
                <w:rFonts w:ascii="Arial" w:cs="Arial" w:eastAsia="Arial" w:hAnsi="Arial"/>
                <w:sz w:val="18"/>
                <w:szCs w:val="18"/>
                <w:b w:val="1"/>
                <w:bCs w:val="1"/>
                <w:color w:val="auto"/>
              </w:rPr>
              <w:t>INDEX TO FINANCIAL INFORMATION</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520" w:type="dxa"/>
            <w:vAlign w:val="bottom"/>
            <w:tcBorders>
              <w:bottom w:val="single" w:sz="8" w:color="808080"/>
            </w:tcBorders>
          </w:tcPr>
          <w:p>
            <w:pPr>
              <w:spacing w:after="0"/>
              <w:rPr>
                <w:sz w:val="18"/>
                <w:szCs w:val="18"/>
                <w:color w:val="auto"/>
              </w:rPr>
            </w:pPr>
          </w:p>
        </w:tc>
        <w:tc>
          <w:tcPr>
            <w:tcW w:w="1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6340" w:type="dxa"/>
            <w:vAlign w:val="bottom"/>
            <w:gridSpan w:val="3"/>
          </w:tcPr>
          <w:p>
            <w:pPr>
              <w:ind w:left="1840"/>
              <w:spacing w:after="0"/>
              <w:rPr>
                <w:sz w:val="20"/>
                <w:szCs w:val="20"/>
                <w:color w:val="auto"/>
              </w:rPr>
            </w:pPr>
            <w:r>
              <w:rPr>
                <w:rFonts w:ascii="Arial" w:cs="Arial" w:eastAsia="Arial" w:hAnsi="Arial"/>
                <w:sz w:val="18"/>
                <w:szCs w:val="18"/>
                <w:b w:val="1"/>
                <w:bCs w:val="1"/>
                <w:color w:val="auto"/>
              </w:rPr>
              <w:t>THE WASHINGTON POST COMPANY</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340" w:type="dxa"/>
            <w:vAlign w:val="bottom"/>
            <w:gridSpan w:val="3"/>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4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3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Management’s Discussion and Analysis of Results of Operations and Financial</w:t>
            </w:r>
          </w:p>
        </w:tc>
        <w:tc>
          <w:tcPr>
            <w:tcW w:w="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40" w:type="dxa"/>
            <w:vAlign w:val="bottom"/>
            <w:gridSpan w:val="3"/>
            <w:shd w:val="clear" w:color="auto" w:fill="EEEEEE"/>
          </w:tcPr>
          <w:p>
            <w:pPr>
              <w:ind w:left="100"/>
              <w:spacing w:after="0"/>
              <w:rPr>
                <w:sz w:val="20"/>
                <w:szCs w:val="20"/>
                <w:color w:val="auto"/>
              </w:rPr>
            </w:pPr>
            <w:r>
              <w:rPr>
                <w:rFonts w:ascii="Arial" w:cs="Arial" w:eastAsia="Arial" w:hAnsi="Arial"/>
                <w:sz w:val="18"/>
                <w:szCs w:val="18"/>
                <w:color w:val="auto"/>
              </w:rPr>
              <w:t>Condition (Unaudited)</w:t>
            </w:r>
          </w:p>
        </w:tc>
        <w:tc>
          <w:tcPr>
            <w:tcW w:w="4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6340" w:type="dxa"/>
            <w:vAlign w:val="bottom"/>
            <w:gridSpan w:val="3"/>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6340" w:type="dxa"/>
            <w:vAlign w:val="bottom"/>
            <w:gridSpan w:val="3"/>
          </w:tcPr>
          <w:p>
            <w:pPr>
              <w:spacing w:after="0"/>
              <w:rPr>
                <w:sz w:val="20"/>
                <w:szCs w:val="20"/>
                <w:color w:val="auto"/>
              </w:rPr>
            </w:pPr>
            <w:r>
              <w:rPr>
                <w:rFonts w:ascii="Arial" w:cs="Arial" w:eastAsia="Arial" w:hAnsi="Arial"/>
                <w:sz w:val="18"/>
                <w:szCs w:val="18"/>
                <w:color w:val="auto"/>
              </w:rPr>
              <w:t>Financial Statements and Schedules:</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gridSpan w:val="3"/>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4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Report of Independent Auditors</w:t>
            </w:r>
          </w:p>
        </w:tc>
        <w:tc>
          <w:tcPr>
            <w:tcW w:w="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gridSpan w:val="3"/>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40" w:type="dxa"/>
            <w:vAlign w:val="bottom"/>
            <w:gridSpan w:val="3"/>
          </w:tcPr>
          <w:p>
            <w:pPr>
              <w:ind w:left="180"/>
              <w:spacing w:after="0"/>
              <w:rPr>
                <w:sz w:val="20"/>
                <w:szCs w:val="20"/>
                <w:color w:val="auto"/>
              </w:rPr>
            </w:pPr>
            <w:r>
              <w:rPr>
                <w:rFonts w:ascii="Arial" w:cs="Arial" w:eastAsia="Arial" w:hAnsi="Arial"/>
                <w:sz w:val="18"/>
                <w:szCs w:val="18"/>
                <w:color w:val="auto"/>
                <w:w w:val="90"/>
              </w:rPr>
              <w:t>Consolidated Statements of Income and Consolidated Statements of Comprehensive</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40" w:type="dxa"/>
            <w:vAlign w:val="bottom"/>
            <w:gridSpan w:val="3"/>
          </w:tcPr>
          <w:p>
            <w:pPr>
              <w:ind w:left="320"/>
              <w:spacing w:after="0"/>
              <w:rPr>
                <w:sz w:val="20"/>
                <w:szCs w:val="20"/>
                <w:color w:val="auto"/>
              </w:rPr>
            </w:pPr>
            <w:r>
              <w:rPr>
                <w:rFonts w:ascii="Arial" w:cs="Arial" w:eastAsia="Arial" w:hAnsi="Arial"/>
                <w:sz w:val="18"/>
                <w:szCs w:val="18"/>
                <w:color w:val="auto"/>
              </w:rPr>
              <w:t>Income for the Three Fiscal Years Ended December 28, 2003</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40" w:type="dxa"/>
            <w:vAlign w:val="bottom"/>
            <w:gridSpan w:val="3"/>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4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w w:val="99"/>
              </w:rPr>
              <w:t>Consolidated Balance Sheets at December 28, 2003 and December 29, 2002</w:t>
            </w:r>
          </w:p>
        </w:tc>
        <w:tc>
          <w:tcPr>
            <w:tcW w:w="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gridSpan w:val="3"/>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40" w:type="dxa"/>
            <w:vAlign w:val="bottom"/>
            <w:gridSpan w:val="3"/>
          </w:tcPr>
          <w:p>
            <w:pPr>
              <w:ind w:left="180"/>
              <w:spacing w:after="0"/>
              <w:rPr>
                <w:sz w:val="20"/>
                <w:szCs w:val="20"/>
                <w:color w:val="auto"/>
              </w:rPr>
            </w:pPr>
            <w:r>
              <w:rPr>
                <w:rFonts w:ascii="Arial" w:cs="Arial" w:eastAsia="Arial" w:hAnsi="Arial"/>
                <w:sz w:val="18"/>
                <w:szCs w:val="18"/>
                <w:color w:val="auto"/>
              </w:rPr>
              <w:t>Consolidated Statements of Cash Flows for the Three Fiscal Years Ended</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40" w:type="dxa"/>
            <w:vAlign w:val="bottom"/>
            <w:gridSpan w:val="3"/>
          </w:tcPr>
          <w:p>
            <w:pPr>
              <w:ind w:left="320"/>
              <w:spacing w:after="0"/>
              <w:rPr>
                <w:sz w:val="20"/>
                <w:szCs w:val="20"/>
                <w:color w:val="auto"/>
              </w:rPr>
            </w:pPr>
            <w:r>
              <w:rPr>
                <w:rFonts w:ascii="Arial" w:cs="Arial" w:eastAsia="Arial" w:hAnsi="Arial"/>
                <w:sz w:val="18"/>
                <w:szCs w:val="18"/>
                <w:color w:val="auto"/>
              </w:rPr>
              <w:t>December 28, 2003</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40" w:type="dxa"/>
            <w:vAlign w:val="bottom"/>
            <w:gridSpan w:val="3"/>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4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w w:val="91"/>
              </w:rPr>
              <w:t>Consolidated Statements of Changes in Common Shareholders’ Equity for the Three</w:t>
            </w:r>
          </w:p>
        </w:tc>
        <w:tc>
          <w:tcPr>
            <w:tcW w:w="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40" w:type="dxa"/>
            <w:vAlign w:val="bottom"/>
            <w:gridSpan w:val="3"/>
            <w:shd w:val="clear" w:color="auto" w:fill="EEEEEE"/>
          </w:tcPr>
          <w:p>
            <w:pPr>
              <w:ind w:left="320"/>
              <w:spacing w:after="0"/>
              <w:rPr>
                <w:sz w:val="20"/>
                <w:szCs w:val="20"/>
                <w:color w:val="auto"/>
              </w:rPr>
            </w:pPr>
            <w:r>
              <w:rPr>
                <w:rFonts w:ascii="Arial" w:cs="Arial" w:eastAsia="Arial" w:hAnsi="Arial"/>
                <w:sz w:val="18"/>
                <w:szCs w:val="18"/>
                <w:color w:val="auto"/>
              </w:rPr>
              <w:t>Fiscal Years Ended December 28, 2003</w:t>
            </w:r>
          </w:p>
        </w:tc>
        <w:tc>
          <w:tcPr>
            <w:tcW w:w="4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40" w:type="dxa"/>
            <w:vAlign w:val="bottom"/>
            <w:gridSpan w:val="3"/>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40" w:type="dxa"/>
            <w:vAlign w:val="bottom"/>
            <w:gridSpan w:val="3"/>
          </w:tcPr>
          <w:p>
            <w:pPr>
              <w:ind w:left="180"/>
              <w:spacing w:after="0"/>
              <w:rPr>
                <w:sz w:val="20"/>
                <w:szCs w:val="20"/>
                <w:color w:val="auto"/>
              </w:rPr>
            </w:pPr>
            <w:r>
              <w:rPr>
                <w:rFonts w:ascii="Arial" w:cs="Arial" w:eastAsia="Arial" w:hAnsi="Arial"/>
                <w:sz w:val="18"/>
                <w:szCs w:val="18"/>
                <w:color w:val="auto"/>
              </w:rPr>
              <w:t>Notes to Consolidated Financial Statements</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gridSpan w:val="3"/>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4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w w:val="90"/>
              </w:rPr>
              <w:t>Financial Statement Schedule for the Three Fiscal Years Ended December 28, 2003:</w:t>
            </w:r>
          </w:p>
        </w:tc>
        <w:tc>
          <w:tcPr>
            <w:tcW w:w="4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gridSpan w:val="3"/>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40" w:type="dxa"/>
            <w:vAlign w:val="bottom"/>
            <w:gridSpan w:val="3"/>
          </w:tcPr>
          <w:p>
            <w:pPr>
              <w:ind w:left="400"/>
              <w:spacing w:after="0"/>
              <w:rPr>
                <w:sz w:val="20"/>
                <w:szCs w:val="20"/>
                <w:color w:val="auto"/>
              </w:rPr>
            </w:pPr>
            <w:r>
              <w:rPr>
                <w:rFonts w:ascii="Arial" w:cs="Arial" w:eastAsia="Arial" w:hAnsi="Arial"/>
                <w:sz w:val="18"/>
                <w:szCs w:val="18"/>
                <w:color w:val="auto"/>
              </w:rPr>
              <w:t>II — Valuation and Qualifying Accounts</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40" w:type="dxa"/>
            <w:vAlign w:val="bottom"/>
            <w:gridSpan w:val="3"/>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Ten-Year Summary of Selected Historical Financial Data (Unaudited)</w:t>
            </w:r>
          </w:p>
        </w:tc>
        <w:tc>
          <w:tcPr>
            <w:tcW w:w="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520" w:type="dxa"/>
            <w:vAlign w:val="bottom"/>
            <w:tcBorders>
              <w:bottom w:val="single" w:sz="8" w:color="808080"/>
            </w:tcBorders>
          </w:tcPr>
          <w:p>
            <w:pPr>
              <w:spacing w:after="0"/>
              <w:rPr>
                <w:sz w:val="18"/>
                <w:szCs w:val="18"/>
                <w:color w:val="auto"/>
              </w:rPr>
            </w:pPr>
          </w:p>
        </w:tc>
        <w:tc>
          <w:tcPr>
            <w:tcW w:w="1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firstLine="210"/>
        <w:spacing w:after="0" w:line="268" w:lineRule="auto"/>
        <w:rPr>
          <w:sz w:val="20"/>
          <w:szCs w:val="20"/>
          <w:color w:val="auto"/>
        </w:rPr>
      </w:pPr>
      <w:r>
        <w:rPr>
          <w:rFonts w:ascii="Arial" w:cs="Arial" w:eastAsia="Arial" w:hAnsi="Arial"/>
          <w:sz w:val="18"/>
          <w:szCs w:val="18"/>
          <w:color w:val="auto"/>
        </w:rPr>
        <w:t>All other schedules have been omitted either because they are not applicable or because the required information is included in the consolidated financial statements or the notes thereto referred to above.</w:t>
      </w:r>
    </w:p>
    <w:p>
      <w:pPr>
        <w:spacing w:after="0" w:line="200" w:lineRule="exact"/>
        <w:rPr>
          <w:sz w:val="20"/>
          <w:szCs w:val="20"/>
          <w:color w:val="auto"/>
        </w:rPr>
      </w:pPr>
    </w:p>
    <w:p>
      <w:pPr>
        <w:spacing w:after="0" w:line="22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0"/>
          </w:cols>
          <w:pgMar w:left="240" w:top="935" w:right="679" w:bottom="1440" w:gutter="0" w:footer="0" w:header="0"/>
        </w:sectPr>
      </w:pPr>
    </w:p>
    <w:bookmarkStart w:id="29" w:name="page30"/>
    <w:bookmarkEnd w:id="29"/>
    <w:p>
      <w:pPr>
        <w:jc w:val="center"/>
        <w:ind w:right="-20"/>
        <w:spacing w:after="0"/>
        <w:rPr>
          <w:sz w:val="20"/>
          <w:szCs w:val="20"/>
          <w:color w:val="auto"/>
        </w:rPr>
      </w:pPr>
      <w:r>
        <w:rPr>
          <w:rFonts w:ascii="Arial" w:cs="Arial" w:eastAsia="Arial" w:hAnsi="Arial"/>
          <w:sz w:val="16"/>
          <w:szCs w:val="16"/>
          <w:color w:val="auto"/>
        </w:rPr>
        <w:t>(This page intentionally left blank)</w:t>
      </w:r>
    </w:p>
    <w:p>
      <w:pPr>
        <w:sectPr>
          <w:pgSz w:w="11900" w:h="16838" w:orient="portrait"/>
          <w:cols w:equalWidth="0" w:num="1">
            <w:col w:w="9019"/>
          </w:cols>
          <w:pgMar w:left="1440" w:top="941" w:right="1440" w:bottom="1440" w:gutter="0" w:footer="0" w:header="0"/>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160655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41" w:right="1440" w:bottom="1440" w:gutter="0" w:footer="0" w:header="0"/>
          <w:type w:val="continuous"/>
        </w:sectPr>
      </w:pPr>
    </w:p>
    <w:bookmarkStart w:id="30" w:name="page31"/>
    <w:bookmarkEnd w:id="30"/>
    <w:p>
      <w:pPr>
        <w:ind w:left="1180"/>
        <w:spacing w:after="0"/>
        <w:rPr>
          <w:sz w:val="20"/>
          <w:szCs w:val="20"/>
          <w:color w:val="auto"/>
        </w:rPr>
      </w:pPr>
      <w:r>
        <w:rPr>
          <w:rFonts w:ascii="Arial" w:cs="Arial" w:eastAsia="Arial" w:hAnsi="Arial"/>
          <w:sz w:val="18"/>
          <w:szCs w:val="18"/>
          <w:b w:val="1"/>
          <w:bCs w:val="1"/>
          <w:color w:val="auto"/>
        </w:rPr>
        <w:t>MANAGEMENT’S DISCUSSION AND ANALYSIS OF RESULTS OF OPERATIONS AND FINANCIAL CONDITION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This analysis should be read in conjunction with the consolidated financial statements and the notes thereto.</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The Washington Post Company is a media and education company, with education as the fastest-growing business. The Company operates principally in four areas of the media business: newspaper publishing, television broadcasting, magazine publishing and cable television. Through its subsidiary Kaplan, Inc., the Company provides educational services for individuals, schools and businesses. The Company’s business units are diverse and subject to different trends and risks.</w:t>
      </w:r>
    </w:p>
    <w:p>
      <w:pPr>
        <w:spacing w:after="0" w:line="19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Company’s education segment is expected to become the largest operating segment of the Company from a revenue standpoint in 2004. The Company has devoted significant resources and attention to this division, given the attractiveness of investment opportunities and growth prospects. The growth of Kaplan in recent years has come from both rapid internal growth and acquisitions. Each of Kaplan’s businesses showed strong revenue and operating income growth in 2003, in particular, both the campus-based and online businesses in its higher education division. Kaplan made 13 acquisitions in 2003, the most significant of which were Financial Training Company, a test preparation services company for accountants and financial services professionals, primarily in the United Kingdom; and Dublin Business School, Ireland’s largest private undergraduate institution. These acquisitions mark the Company’s most significant business investments outside the United States in more than 10 years. Over the past several years, Kaplan’s revenues have grown rapidly while operating income (loss) has fluctuated due largely to various business investments and stock compensation charges.</w:t>
      </w:r>
    </w:p>
    <w:p>
      <w:pPr>
        <w:spacing w:after="0" w:line="17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cable division has also been a source of recent growth and capital investment. Cable One’s industry has experienced significant technological change, which has created new revenue opportunities, such as digital television and broadband, as well as increased competition, particularly from satellite television service providers. Through extensive marketing efforts in 2003, the Company’s cable division was able to report a small increase in the number of basic cable subscribers during the year (total basic subscribers of 720,800 at the end of 2003), an increase in paying digital subscribers during the year (222,900 paying digital subscribers at the end of December 2003) and a 69 percent increase in the number of CableONE.net subscribers (133,800 high speed data subscribers at the end of December 2003). As part of this marketing effort, the cable division froze most rates for Cable One subscribers during the year. The cable division began offering bundled services in 2003 (basic and tier service, digital service, and high speed data service in one package) with monthly subscriber discounts. By the end of 2003, almost 9 percent of the cable division’s subscribers accepted the full bundle of services.</w:t>
      </w:r>
    </w:p>
    <w:p>
      <w:pPr>
        <w:spacing w:after="0" w:line="172"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The Company’s newspaper publishing, broadcast television, and magazine publishing divisions derive revenue from advertising and, to a lesser extent, circulation and subscription. These divisions’ results tend to fluctuate with the overall advertising cycle (amongst other business factors). In 2003, advertising showed some improvement after a prolonged slump. The Washington Post newspaper reported an increase in print classified recruitment revenue in the fourth quarter of 2003, the first such increase since the third quarter of 2000. Preprint and general print advertising categories showed double digit growth in 2003. Circulation volume was down by about 2 percent during the year, mostly due to a reduction in single copy sales during the year. In order to reduce costs over the long term, the newspaper offered early retirement programs to certain groups of employees, including the newsroom, with a total of 153 employees accepting such offers; costs of $34.1 million were recorded in connection with these programs in 2003. The Company’s online publishing business, Washingtonpost.Newsweek Interactive, showed a 30 percent revenue growth in 2003, but continued to incur an operating loss, however, at a much reduced level.</w:t>
      </w:r>
    </w:p>
    <w:p>
      <w:pPr>
        <w:spacing w:after="0" w:line="162"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Company’s television broadcasting division experienced a large decline in operating income due primarily to the absence of significant political and Olympics-related advertising in 2003. The Company expects significant improvement in 2004, with the elections and the summer Olympics; however, the recent campaign finance legislation may have an adverse impact on political revenues in 2004. Newsweek magazine showed ad growth in 2003 despite significant reductions in travel-related advertising at its international Pacific edition due to the SARS outbreak. Newsweek’s domestic edition fared well compared to its primary competitors in 2003, adding market share. Newsweek had two early retirement programs offered in 2002; this helped to keep costs down in 2003.</w:t>
      </w:r>
    </w:p>
    <w:p>
      <w:pPr>
        <w:spacing w:after="0" w:line="17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Company generates a significant amount of cash from its businesses that is used to support its operations, to pay down debt, and to fund capital expenditures, dividends and acquisitions.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2003 COMPARED TO 2002</w:t>
      </w:r>
    </w:p>
    <w:p>
      <w:pPr>
        <w:spacing w:after="0" w:line="23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Net income was $241.1 million ($25.12 per share) for the fiscal year ended December 28, 2003, compared with net income of $204.3 million ($21.34 per share) for the fiscal year ended December 29, 2002. The Company’s 2003 results include a non-operating gain from the sale of the Company’s 50 percent interest in the International Herald Tribune (after-tax impact of $32.3 million, or $3.38 per share), an operating gain from the sale of land at The Washington Post newspaper (after-tax impact of $25.5 million, or $2.66 per share), early retirement program charges at The Washington Post newspaper (after-tax impact of $20.8 million, or $2.18 per share), Kaplan stock compensation expense for the 10 percent premium associated with the purchase of certain outstanding stock options announced in the third quarter (after-tax impact of $6.4 million, or $0.67 per share), and a charge in connection with the establishment of the Kaplan Educational Foundation (after-tax impact of $3.9 million, or $0.41 per share). The Company’s 2002 results included a net non-operating gain from the exchange of certain cable systems (after-tax impact of $16.7 million, or $1.75 per share), a transitional goodwill impairment loss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1" w:name="page32"/>
    <w:bookmarkEnd w:id="31"/>
    <w:p>
      <w:pPr>
        <w:ind w:right="220"/>
        <w:spacing w:after="0" w:line="332" w:lineRule="auto"/>
        <w:rPr>
          <w:sz w:val="20"/>
          <w:szCs w:val="20"/>
          <w:color w:val="auto"/>
        </w:rPr>
      </w:pPr>
      <w:r>
        <w:rPr>
          <w:rFonts w:ascii="Arial" w:cs="Arial" w:eastAsia="Arial" w:hAnsi="Arial"/>
          <w:sz w:val="16"/>
          <w:szCs w:val="16"/>
          <w:color w:val="auto"/>
        </w:rPr>
        <w:t>(after-tax impact of $12.1 million, or $1.27 per share), charges from early retirement programs (after-tax impact of $11.3 million, or $1.18 per share), and a net non-operating loss from the write-down of certain of the Company’s investments (after-tax impact of $2.3 million, or $0.24 per share).</w:t>
      </w:r>
    </w:p>
    <w:p>
      <w:pPr>
        <w:spacing w:after="0" w:line="13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Results for 2003 include $119.1 million in stock compensation expense at the Kaplan education division, which was significantly higher than the $34.5 million in Kaplan stock compensation expense in 2002. In September 2003, the Company announced an offer totaling $138 million for approximately 55 percent of the stock options outstanding at Kaplan. The Company’s offer included a 10 percent premium over the current valuation price. The Company paid out $118.7 million in the fourth quarter of 2003, with the remainder of the payouts to be made from 2004 through 2007. A small number of key Kaplan executives will continue to hold the remaining 45 percent of outstanding Kaplan stock options, with roughly half of the remaining options expiring in 2007 and half expiring in 2011. The Company does not expect to issue additional Kaplan stock options in the future.</w:t>
      </w:r>
    </w:p>
    <w:p>
      <w:pPr>
        <w:spacing w:after="0" w:line="174"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Revenue for 2003 was $2,838.9 million, up 10 percent compared to revenue of $2,584.2 million in 2002. The increase in revenue is due mostly to significant revenue growth at the education division, along with increases at the Company’s cable television, newspaper publishing, and magazine publishing divisions; revenues were down at the television broadcasting division. Advertising revenue increased 1 percent in 2003, and circulation and subscriber revenue increased 5 percent. Education revenue increased 35 percent in 2003, and other revenue was flat. The increase in advertising revenue is due to increases at the newspaper publishing and magazine publishing divisions, offset by a decline at the television broadcasting division due primarily to significant political revenues in 2002. The increase in circulation and subscriber revenue is due to an 8 percent increase in subscriber revenue at the cable division from continued growth in cable modem and digital service revenues, a 1 percent increase in circulation revenue at The Post, and a slight increase in Newsweek circulation revenues due to increased newsstand sales for both the domestic and international editions of Newsweek. Revenue growth at Kaplan, Inc. (about 43 percent of which was from acquisitions) accounted for the increase in education revenue.</w:t>
      </w:r>
    </w:p>
    <w:p>
      <w:pPr>
        <w:spacing w:after="0" w:line="174"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Operating costs and expenses for the year increased 12 percent to $2,475.1 million, from $2,206.6 million in 2002. The increase is primarily due to a significant increase in stock-based compensation at Kaplan, higher expenses from operating growth at Kaplan, early retirement program charges, higher newsprint prices and a reduced pension credit, offset by a $41.7 million pre-tax gain on the sale of land at The Washington Post newspaper.</w:t>
      </w:r>
    </w:p>
    <w:p>
      <w:pPr>
        <w:spacing w:after="0" w:line="16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Operating income declined 4 percent to $363.8 million, from $377.6 million in 2002, due largely to the $84.6 million increase in Kaplan stock compensation discussed above. Operating results for 2003 also include a $41.7 million pre-tax gain on the sale of land at The Washington Post newspaper, $34.1 million in pre-tax charges from early retirement programs at The Washington Post newspaper, and a $6.5 million charge for the Kaplan Educational Foundation. Operating results for 2002 included $19.0 million in pre-tax charges from early retirement programs. The Company’s year-to-date results were adversely impacted by a reduction in operating income at the television broadcasting division and a reduced net pension credit. Improved results at the Company’s newspaper publishing, magazine publishing and cable television divisions helped to offset these declines.</w:t>
      </w:r>
    </w:p>
    <w:p>
      <w:pPr>
        <w:spacing w:after="0" w:line="17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Company’s 2003 operating income includes $55.1 million of net pension credits, compared to $64.4 million in 2002. These amounts exclude $34.1 million and $19.0 million in charges related to early retirement programs in 2003 and 2002,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DIVISION RESULTS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 xml:space="preserve">Newspaper Publishing Division. </w:t>
      </w:r>
      <w:r>
        <w:rPr>
          <w:rFonts w:ascii="Arial" w:cs="Arial" w:eastAsia="Arial" w:hAnsi="Arial"/>
          <w:sz w:val="18"/>
          <w:szCs w:val="18"/>
          <w:color w:val="auto"/>
        </w:rPr>
        <w:t>Newspaper publishing division revenue in 2003 increased 4 percent to $872.8 million, from $842.0 million in 2002. Division</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income for 2003 totaled $134.2 million, an increase of 23 percent from operating income of $109.0 million in 2002. Operating results for 2003 include a fourth quarter $41.7 million pre-tax gain on the sale of land at The Washington Post newspaper and $34.1 million in pre-tax charges from early retirement programs at The Washington Post newspaper. Operating results for 2002 included a $2.9 million charge from an early retirement program at The Washington Post newspaper. Improved operating results for 2003 are due to increased advertising revenue and cost control initiatives employed throughout the division, offset by a 3 percent increase in newsprint expense, incremental costs associated with the war in Iraq, a reduced pension credit, and a small loss from a new commuter newspaper, Express, which was launched in August 2003. Operating margin at the newspaper publishing division was 15 percent for 2003 and 13 percent for 2002.</w:t>
      </w:r>
    </w:p>
    <w:p>
      <w:pPr>
        <w:spacing w:after="0" w:line="198"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Print advertising revenue at The Washington Post newspaper increased 3 percent to $572.2 million, from $555.7 million in 2002. The rise in print advertising revenue for 2003 was due to increases in general and preprint advertising revenue, which more than offset declines in classified and retail advertising revenue from volume declines. Classified recruitment advertising revenue decreased $6.1 million in 2003, due to a 14 percent volume decline. Classified recruitment advertising revenue increased by $0.8 million, or 6 percent, during the fourth quarter of 2003, with flat volume compared to 2002. This was the first quarter with an increase in classified recruitment advertising revenue since the third quarter of 2000.</w:t>
      </w:r>
    </w:p>
    <w:p>
      <w:pPr>
        <w:spacing w:after="0" w:line="170" w:lineRule="exact"/>
        <w:rPr>
          <w:sz w:val="20"/>
          <w:szCs w:val="20"/>
          <w:color w:val="auto"/>
        </w:rPr>
      </w:pPr>
    </w:p>
    <w:p>
      <w:pPr>
        <w:ind w:right="100"/>
        <w:spacing w:after="0" w:line="335" w:lineRule="auto"/>
        <w:rPr>
          <w:sz w:val="20"/>
          <w:szCs w:val="20"/>
          <w:color w:val="auto"/>
        </w:rPr>
      </w:pPr>
      <w:r>
        <w:rPr>
          <w:rFonts w:ascii="Arial" w:cs="Arial" w:eastAsia="Arial" w:hAnsi="Arial"/>
          <w:sz w:val="15"/>
          <w:szCs w:val="15"/>
          <w:color w:val="auto"/>
        </w:rPr>
        <w:t>Circulation revenue at The Post was up 1 percent for 2003 due to an increase in home delivery prices. Daily circulation at The Post declined 2.0 percent, and Sunday circulation declined 1.8 percent. Single copy sales contributed to the decline, with a 9 percent daily decrease and a 6 percent Sunday decrease. For the year ended December 28, 2003, average daily circulation at The Post totaled 745,000 (unaudited), and average Sunday circulation totaled 1,035,000 (unaudited).</w:t>
      </w:r>
    </w:p>
    <w:p>
      <w:pPr>
        <w:spacing w:after="0" w:line="142"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During 2003, revenue generated by the Company’s online publishing activities, primarily washingtonpost.com, increased 30 percent to $46.9 million, from $35.9 million in 2002. Local and national</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online advertising revenues grew 59 percent and revenues at the Jobs section of washingtonpost.com increased 29 percent.</w:t>
      </w:r>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As previously discussed, the Post launched a new commuter newspaper, Express, in August 2003. The new publication appears each morning, Monday through Friday, in tabloid form and is distributed free-of-charge in the Washington, D.C. area.</w:t>
      </w:r>
    </w:p>
    <w:p>
      <w:pPr>
        <w:spacing w:after="0" w:line="180" w:lineRule="exact"/>
        <w:rPr>
          <w:sz w:val="20"/>
          <w:szCs w:val="20"/>
          <w:color w:val="auto"/>
        </w:rPr>
      </w:pPr>
    </w:p>
    <w:p>
      <w:pPr>
        <w:jc w:val="both"/>
        <w:ind w:right="80"/>
        <w:spacing w:after="0" w:line="310" w:lineRule="auto"/>
        <w:rPr>
          <w:sz w:val="20"/>
          <w:szCs w:val="20"/>
          <w:color w:val="auto"/>
        </w:rPr>
      </w:pPr>
      <w:r>
        <w:rPr>
          <w:rFonts w:ascii="Arial" w:cs="Arial" w:eastAsia="Arial" w:hAnsi="Arial"/>
          <w:sz w:val="16"/>
          <w:szCs w:val="16"/>
          <w:b w:val="1"/>
          <w:bCs w:val="1"/>
          <w:color w:val="auto"/>
        </w:rPr>
        <w:t xml:space="preserve">Television Broadcasting Division. </w:t>
      </w:r>
      <w:r>
        <w:rPr>
          <w:rFonts w:ascii="Arial" w:cs="Arial" w:eastAsia="Arial" w:hAnsi="Arial"/>
          <w:sz w:val="16"/>
          <w:szCs w:val="16"/>
          <w:color w:val="auto"/>
        </w:rPr>
        <w:t>Revenue for the television broadcasting division decreased 8 percent to $315.1 million in 2003, from $343.6 million in 2002,</w:t>
      </w:r>
      <w:r>
        <w:rPr>
          <w:rFonts w:ascii="Arial" w:cs="Arial" w:eastAsia="Arial" w:hAnsi="Arial"/>
          <w:sz w:val="16"/>
          <w:szCs w:val="16"/>
          <w:b w:val="1"/>
          <w:bCs w:val="1"/>
          <w:color w:val="auto"/>
        </w:rPr>
        <w:t xml:space="preserve"> </w:t>
      </w:r>
      <w:r>
        <w:rPr>
          <w:rFonts w:ascii="Arial" w:cs="Arial" w:eastAsia="Arial" w:hAnsi="Arial"/>
          <w:sz w:val="16"/>
          <w:szCs w:val="16"/>
          <w:color w:val="auto"/>
        </w:rPr>
        <w:t>due to approximately $31.8 million in political advertising in 2002, $5.0 million in incremental Olympics-related advertising at the Company’s NBC affiliates in the first quarter of 2002, and several days of commercial-free coverage in connection with the Iraq war in March 2003.</w:t>
      </w:r>
    </w:p>
    <w:p>
      <w:pPr>
        <w:spacing w:after="0" w:line="157"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Operating income for 2003 decreased 17 percent to $139.7 million, from operating income of $168.8 million in 2002, primarily as a result of the revenue reductions discussed above. Operating margin at the broadcast division was 44 percent for 2003 and 49 percent for 2002.</w:t>
      </w:r>
    </w:p>
    <w:p>
      <w:pPr>
        <w:spacing w:after="0" w:line="13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Competitive market position remained strong for the Company’s television stations. WDIV in Detroit and KSAT in San Antonio were ranked number one in the November 2003 ratings period, Monday through Friday, sign-on to sign-off; WJXT in Jacksonville ranked second; WKMG in Orlando was tied for second; KPRC in Houston ranked third; and WPLG was third among English-language stations in the Miami market.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In July 2002, WJXT in Jacksonville, Florida began operations as an independent station when its network affiliation with CBS ended.</w:t>
      </w:r>
    </w:p>
    <w:p>
      <w:pPr>
        <w:spacing w:after="0" w:line="219" w:lineRule="exact"/>
        <w:rPr>
          <w:sz w:val="20"/>
          <w:szCs w:val="20"/>
          <w:color w:val="auto"/>
        </w:rPr>
      </w:pPr>
    </w:p>
    <w:p>
      <w:pPr>
        <w:ind w:right="40"/>
        <w:spacing w:after="0" w:line="310" w:lineRule="auto"/>
        <w:rPr>
          <w:sz w:val="20"/>
          <w:szCs w:val="20"/>
          <w:color w:val="auto"/>
        </w:rPr>
      </w:pPr>
      <w:r>
        <w:rPr>
          <w:rFonts w:ascii="Arial" w:cs="Arial" w:eastAsia="Arial" w:hAnsi="Arial"/>
          <w:sz w:val="16"/>
          <w:szCs w:val="16"/>
          <w:b w:val="1"/>
          <w:bCs w:val="1"/>
          <w:color w:val="auto"/>
        </w:rPr>
        <w:t xml:space="preserve">Magazine Publishing Division. </w:t>
      </w:r>
      <w:r>
        <w:rPr>
          <w:rFonts w:ascii="Arial" w:cs="Arial" w:eastAsia="Arial" w:hAnsi="Arial"/>
          <w:sz w:val="16"/>
          <w:szCs w:val="16"/>
          <w:color w:val="auto"/>
        </w:rPr>
        <w:t>Revenue for the magazine publishing division totaled $353.6 million for 2003, a 1 percent increase from $349.1 million in 2002.</w:t>
      </w:r>
      <w:r>
        <w:rPr>
          <w:rFonts w:ascii="Arial" w:cs="Arial" w:eastAsia="Arial" w:hAnsi="Arial"/>
          <w:sz w:val="16"/>
          <w:szCs w:val="16"/>
          <w:b w:val="1"/>
          <w:bCs w:val="1"/>
          <w:color w:val="auto"/>
        </w:rPr>
        <w:t xml:space="preserve"> </w:t>
      </w:r>
      <w:r>
        <w:rPr>
          <w:rFonts w:ascii="Arial" w:cs="Arial" w:eastAsia="Arial" w:hAnsi="Arial"/>
          <w:sz w:val="16"/>
          <w:szCs w:val="16"/>
          <w:color w:val="auto"/>
        </w:rPr>
        <w:t>The revenue increase in 2003 is due to increases in ad pages at Newsweek’s domestic edition, Arthur Frommer’s Budget Travel magazine, and the Company’s trade magazines, offset by lower advertising revenue at the international editions of Newsweek, particularly travel-related advertising at the Pacific edition.</w:t>
      </w:r>
    </w:p>
    <w:p>
      <w:pPr>
        <w:spacing w:after="0" w:line="1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Operating income totaled $43.5 million for 2003, an increase of 69 percent from operating income of $25.7 million in 2002. The improvement in operating results for 2003 is primarily attributable to $16.1 million in pre-tax charges in connection with early retirement programs at Newsweek in 2002, offset by a reduced pension credit.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Operating margin at the magazine publishing division was 12 percent for 2003 and 7 percent for 2002.</w:t>
      </w:r>
    </w:p>
    <w:p>
      <w:pPr>
        <w:spacing w:after="0" w:line="219"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Cable Television Division. </w:t>
      </w:r>
      <w:r>
        <w:rPr>
          <w:rFonts w:ascii="Arial" w:cs="Arial" w:eastAsia="Arial" w:hAnsi="Arial"/>
          <w:sz w:val="18"/>
          <w:szCs w:val="18"/>
          <w:color w:val="auto"/>
        </w:rPr>
        <w:t>Cable division revenue of $459.4 million for 2003 represents a 7 percent increase from revenue of $428.5 in 2002. The 2003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is principally due to rapid growth in the division’s cable modem and digital service revenues, offset by lower pay and basic revenues due to fewer average basic and pay subscribers during the year, and the lack of rate increases due to a decision to freeze most rates for Cable One subscribers in 2003 (the Company’s price increases normally take effect in the second quarter each year).</w:t>
      </w:r>
    </w:p>
    <w:p>
      <w:pPr>
        <w:spacing w:after="0" w:line="1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Cable division operating income increased 9 percent in 2003 to $88.4 million, from operating income of $80.9 million in 2002. The increase in operating income for 2003 is due mostly to the division’s revenue growth, offset by higher depreciation expense and an increase in technical, Internet, marketing and employee benefits costs. Operating margin at the cable television division was 19 percent in 2003 and 2002.</w:t>
      </w:r>
    </w:p>
    <w:p>
      <w:pPr>
        <w:spacing w:after="0" w:line="19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Depreciation expense increased due to significant capital spending in recent years that has enabled the cable division to offer digital and broadband cable services to its subscribers. The cable division began its rollout plan for these services in the third quarter of 2000. Depreciation expense in 2002 included a $5.4 million charge for obsolete assets. At December 31, 2003, the cable division had approximately 222,900 digital cable subscribers, representing a 31 percent penetration of the subscriber base. Both digital and cable modem services are now offered in virtually all of the cable division’s markets.</w:t>
      </w:r>
    </w:p>
    <w:p>
      <w:pPr>
        <w:spacing w:after="0" w:line="16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At December 31, 2003, the cable division had 720,800 basic subscribers, compared to 718,000 at the end of December 2002, with the increase due to significant marketing efforts in 2003 to stabilize the subscriber base. At December 31, 2003, the cable division had 133,800 CableONE.net service subscribers, compared to 79,400 at the end of December 2002, due to a large increase in the Company’s cable modem deployment and take-up rates. In 2003, the cable division launched a number of marketing initiatives, including door-to-door sales and bundled service offers with monthly discounts, which have resulted in increased customer subscription rates.</w:t>
      </w:r>
    </w:p>
    <w:p>
      <w:pPr>
        <w:spacing w:after="0" w:line="197"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At December 31, 2003, Revenue Generating Units (RGUs), as defined by the NCTA Standard Reporting Categories, totaled 1,077,500, compared to 993,600 as of December 31, 2002. The increase is due to an increase in the number of digital cable and high speed data customers.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Below are details of cable division capital expenditures for 2003 and 2002, as defined by the NCTA Standard Reporting Categories (in millions):</w:t>
      </w:r>
    </w:p>
    <w:p>
      <w:pPr>
        <w:spacing w:after="0" w:line="200" w:lineRule="exact"/>
        <w:rPr>
          <w:sz w:val="20"/>
          <w:szCs w:val="20"/>
          <w:color w:val="auto"/>
        </w:rPr>
      </w:pPr>
    </w:p>
    <w:p>
      <w:pPr>
        <w:spacing w:after="0" w:line="258" w:lineRule="exact"/>
        <w:rPr>
          <w:sz w:val="20"/>
          <w:szCs w:val="20"/>
          <w:color w:val="auto"/>
        </w:rPr>
      </w:pPr>
    </w:p>
    <w:tbl>
      <w:tblPr>
        <w:tblLayout w:type="fixed"/>
        <w:tblInd w:w="286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120" w:type="dxa"/>
            <w:vAlign w:val="bottom"/>
          </w:tcPr>
          <w:p>
            <w:pPr>
              <w:jc w:val="right"/>
              <w:ind w:right="252"/>
              <w:spacing w:after="0"/>
              <w:rPr>
                <w:sz w:val="20"/>
                <w:szCs w:val="20"/>
                <w:color w:val="auto"/>
              </w:rPr>
            </w:pPr>
            <w:r>
              <w:rPr>
                <w:rFonts w:ascii="Arial" w:cs="Arial" w:eastAsia="Arial" w:hAnsi="Arial"/>
                <w:sz w:val="18"/>
                <w:szCs w:val="18"/>
                <w:b w:val="1"/>
                <w:bCs w:val="1"/>
                <w:color w:val="auto"/>
              </w:rPr>
              <w:t>2003</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6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color w:val="auto"/>
              </w:rPr>
              <w:t>Customer premise equipment</w:t>
            </w:r>
          </w:p>
        </w:tc>
        <w:tc>
          <w:tcPr>
            <w:tcW w:w="1120" w:type="dxa"/>
            <w:vAlign w:val="bottom"/>
            <w:shd w:val="clear" w:color="auto" w:fill="EEEEEE"/>
          </w:tcPr>
          <w:p>
            <w:pPr>
              <w:jc w:val="right"/>
              <w:ind w:right="252"/>
              <w:spacing w:after="0"/>
              <w:rPr>
                <w:sz w:val="20"/>
                <w:szCs w:val="20"/>
                <w:color w:val="auto"/>
              </w:rPr>
            </w:pPr>
            <w:r>
              <w:rPr>
                <w:rFonts w:ascii="Arial" w:cs="Arial" w:eastAsia="Arial" w:hAnsi="Arial"/>
                <w:sz w:val="18"/>
                <w:szCs w:val="18"/>
                <w:b w:val="1"/>
                <w:bCs w:val="1"/>
                <w:color w:val="auto"/>
              </w:rPr>
              <w:t>$17.0</w:t>
            </w:r>
          </w:p>
        </w:tc>
        <w:tc>
          <w:tcPr>
            <w:tcW w:w="960" w:type="dxa"/>
            <w:vAlign w:val="bottom"/>
            <w:shd w:val="clear" w:color="auto" w:fill="EEEEEE"/>
          </w:tcPr>
          <w:p>
            <w:pPr>
              <w:jc w:val="right"/>
              <w:ind w:right="152"/>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Commercial</w:t>
            </w:r>
          </w:p>
        </w:tc>
        <w:tc>
          <w:tcPr>
            <w:tcW w:w="1120" w:type="dxa"/>
            <w:vAlign w:val="bottom"/>
          </w:tcPr>
          <w:p>
            <w:pPr>
              <w:jc w:val="right"/>
              <w:ind w:right="252"/>
              <w:spacing w:after="0"/>
              <w:rPr>
                <w:sz w:val="20"/>
                <w:szCs w:val="20"/>
                <w:color w:val="auto"/>
              </w:rPr>
            </w:pPr>
            <w:r>
              <w:rPr>
                <w:rFonts w:ascii="Arial" w:cs="Arial" w:eastAsia="Arial" w:hAnsi="Arial"/>
                <w:sz w:val="18"/>
                <w:szCs w:val="18"/>
                <w:b w:val="1"/>
                <w:bCs w:val="1"/>
                <w:color w:val="auto"/>
              </w:rPr>
              <w:t>0.1</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color w:val="auto"/>
              </w:rPr>
              <w:t>Scaleable infrastructure</w:t>
            </w:r>
          </w:p>
        </w:tc>
        <w:tc>
          <w:tcPr>
            <w:tcW w:w="1120" w:type="dxa"/>
            <w:vAlign w:val="bottom"/>
            <w:shd w:val="clear" w:color="auto" w:fill="EEEEEE"/>
          </w:tcPr>
          <w:p>
            <w:pPr>
              <w:jc w:val="right"/>
              <w:ind w:right="252"/>
              <w:spacing w:after="0"/>
              <w:rPr>
                <w:sz w:val="20"/>
                <w:szCs w:val="20"/>
                <w:color w:val="auto"/>
              </w:rPr>
            </w:pPr>
            <w:r>
              <w:rPr>
                <w:rFonts w:ascii="Arial" w:cs="Arial" w:eastAsia="Arial" w:hAnsi="Arial"/>
                <w:sz w:val="18"/>
                <w:szCs w:val="18"/>
                <w:b w:val="1"/>
                <w:bCs w:val="1"/>
                <w:color w:val="auto"/>
              </w:rPr>
              <w:t>5.3</w:t>
            </w:r>
          </w:p>
        </w:tc>
        <w:tc>
          <w:tcPr>
            <w:tcW w:w="960" w:type="dxa"/>
            <w:vAlign w:val="bottom"/>
            <w:shd w:val="clear" w:color="auto" w:fill="EEEEEE"/>
          </w:tcPr>
          <w:p>
            <w:pPr>
              <w:jc w:val="right"/>
              <w:ind w:right="152"/>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Line extensions</w:t>
            </w:r>
          </w:p>
        </w:tc>
        <w:tc>
          <w:tcPr>
            <w:tcW w:w="1120" w:type="dxa"/>
            <w:vAlign w:val="bottom"/>
          </w:tcPr>
          <w:p>
            <w:pPr>
              <w:jc w:val="right"/>
              <w:ind w:right="252"/>
              <w:spacing w:after="0"/>
              <w:rPr>
                <w:sz w:val="20"/>
                <w:szCs w:val="20"/>
                <w:color w:val="auto"/>
              </w:rPr>
            </w:pPr>
            <w:r>
              <w:rPr>
                <w:rFonts w:ascii="Arial" w:cs="Arial" w:eastAsia="Arial" w:hAnsi="Arial"/>
                <w:sz w:val="18"/>
                <w:szCs w:val="18"/>
                <w:b w:val="1"/>
                <w:bCs w:val="1"/>
                <w:color w:val="auto"/>
              </w:rPr>
              <w:t>10.6</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color w:val="auto"/>
              </w:rPr>
              <w:t>Upgrade/ rebuild</w:t>
            </w:r>
          </w:p>
        </w:tc>
        <w:tc>
          <w:tcPr>
            <w:tcW w:w="1120" w:type="dxa"/>
            <w:vAlign w:val="bottom"/>
            <w:shd w:val="clear" w:color="auto" w:fill="EEEEEE"/>
          </w:tcPr>
          <w:p>
            <w:pPr>
              <w:jc w:val="right"/>
              <w:ind w:right="252"/>
              <w:spacing w:after="0"/>
              <w:rPr>
                <w:sz w:val="20"/>
                <w:szCs w:val="20"/>
                <w:color w:val="auto"/>
              </w:rPr>
            </w:pPr>
            <w:r>
              <w:rPr>
                <w:rFonts w:ascii="Arial" w:cs="Arial" w:eastAsia="Arial" w:hAnsi="Arial"/>
                <w:sz w:val="18"/>
                <w:szCs w:val="18"/>
                <w:b w:val="1"/>
                <w:bCs w:val="1"/>
                <w:color w:val="auto"/>
              </w:rPr>
              <w:t>21.4</w:t>
            </w:r>
          </w:p>
        </w:tc>
        <w:tc>
          <w:tcPr>
            <w:tcW w:w="960" w:type="dxa"/>
            <w:vAlign w:val="bottom"/>
            <w:shd w:val="clear" w:color="auto" w:fill="EEEEEE"/>
          </w:tcPr>
          <w:p>
            <w:pPr>
              <w:jc w:val="right"/>
              <w:ind w:right="152"/>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Support capital</w:t>
            </w:r>
          </w:p>
        </w:tc>
        <w:tc>
          <w:tcPr>
            <w:tcW w:w="1120" w:type="dxa"/>
            <w:vAlign w:val="bottom"/>
          </w:tcPr>
          <w:p>
            <w:pPr>
              <w:jc w:val="right"/>
              <w:ind w:right="252"/>
              <w:spacing w:after="0"/>
              <w:rPr>
                <w:sz w:val="20"/>
                <w:szCs w:val="20"/>
                <w:color w:val="auto"/>
              </w:rPr>
            </w:pPr>
            <w:r>
              <w:rPr>
                <w:rFonts w:ascii="Arial" w:cs="Arial" w:eastAsia="Arial" w:hAnsi="Arial"/>
                <w:sz w:val="18"/>
                <w:szCs w:val="18"/>
                <w:b w:val="1"/>
                <w:bCs w:val="1"/>
                <w:color w:val="auto"/>
              </w:rPr>
              <w:t>11.5</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Borders>
              <w:right w:val="single" w:sz="8" w:color="EEEEEE"/>
            </w:tcBorders>
            <w:shd w:val="clear" w:color="auto" w:fill="EEEEEE"/>
          </w:tcPr>
          <w:p>
            <w:pPr>
              <w:ind w:left="140"/>
              <w:spacing w:after="0"/>
              <w:rPr>
                <w:sz w:val="20"/>
                <w:szCs w:val="20"/>
                <w:color w:val="auto"/>
              </w:rPr>
            </w:pPr>
            <w:r>
              <w:rPr>
                <w:rFonts w:ascii="Arial" w:cs="Arial" w:eastAsia="Arial" w:hAnsi="Arial"/>
                <w:sz w:val="18"/>
                <w:szCs w:val="18"/>
                <w:color w:val="auto"/>
              </w:rPr>
              <w:t>Total</w:t>
            </w:r>
          </w:p>
        </w:tc>
        <w:tc>
          <w:tcPr>
            <w:tcW w:w="1120" w:type="dxa"/>
            <w:vAlign w:val="bottom"/>
            <w:shd w:val="clear" w:color="auto" w:fill="EEEEEE"/>
          </w:tcPr>
          <w:p>
            <w:pPr>
              <w:jc w:val="right"/>
              <w:ind w:right="252"/>
              <w:spacing w:after="0"/>
              <w:rPr>
                <w:sz w:val="20"/>
                <w:szCs w:val="20"/>
                <w:color w:val="auto"/>
              </w:rPr>
            </w:pPr>
            <w:r>
              <w:rPr>
                <w:rFonts w:ascii="Arial" w:cs="Arial" w:eastAsia="Arial" w:hAnsi="Arial"/>
                <w:sz w:val="18"/>
                <w:szCs w:val="18"/>
                <w:b w:val="1"/>
                <w:bCs w:val="1"/>
                <w:color w:val="auto"/>
              </w:rPr>
              <w:t>$65.9</w:t>
            </w:r>
          </w:p>
        </w:tc>
        <w:tc>
          <w:tcPr>
            <w:tcW w:w="960" w:type="dxa"/>
            <w:vAlign w:val="bottom"/>
            <w:shd w:val="clear" w:color="auto" w:fill="EEEEEE"/>
          </w:tcPr>
          <w:p>
            <w:pPr>
              <w:jc w:val="right"/>
              <w:ind w:right="152"/>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20" w:type="dxa"/>
            <w:vAlign w:val="bottom"/>
            <w:tcBorders>
              <w:right w:val="single" w:sz="8" w:color="808080"/>
            </w:tcBorders>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 xml:space="preserve">Education Division. </w:t>
      </w:r>
      <w:r>
        <w:rPr>
          <w:rFonts w:ascii="Arial" w:cs="Arial" w:eastAsia="Arial" w:hAnsi="Arial"/>
          <w:sz w:val="18"/>
          <w:szCs w:val="18"/>
          <w:color w:val="auto"/>
        </w:rPr>
        <w:t>Education division revenue in 2003 increased 35 percent to $838.1 million, from $621.1 million in 2002. Kaplan reported an operating loss</w:t>
      </w:r>
      <w:r>
        <w:rPr>
          <w:rFonts w:ascii="Arial" w:cs="Arial" w:eastAsia="Arial" w:hAnsi="Arial"/>
          <w:sz w:val="18"/>
          <w:szCs w:val="18"/>
          <w:b w:val="1"/>
          <w:bCs w:val="1"/>
          <w:color w:val="auto"/>
        </w:rPr>
        <w:t xml:space="preserve"> </w:t>
      </w:r>
      <w:r>
        <w:rPr>
          <w:rFonts w:ascii="Arial" w:cs="Arial" w:eastAsia="Arial" w:hAnsi="Arial"/>
          <w:sz w:val="18"/>
          <w:szCs w:val="18"/>
          <w:color w:val="auto"/>
        </w:rPr>
        <w:t>of $11.7 million for the year, compared to operating income of $20.5 million in 2002. The decline is due to an $84.6 million increase in Kaplan stock compensation expense in 2003 and a $6.5 million contribution to the Kaplan Educational Foundation in the fourth quarter of 2003, offset by significant revenue growth during the year. Approximately</w:t>
      </w:r>
    </w:p>
    <w:p>
      <w:pPr>
        <w:sectPr>
          <w:pgSz w:w="11900" w:h="16838" w:orient="portrait"/>
          <w:cols w:equalWidth="0" w:num="1">
            <w:col w:w="11400"/>
          </w:cols>
          <w:pgMar w:left="240" w:top="941" w:right="259" w:bottom="105" w:gutter="0" w:footer="0" w:header="0"/>
        </w:sectPr>
      </w:pPr>
    </w:p>
    <w:bookmarkStart w:id="33" w:name="page34"/>
    <w:bookmarkEnd w:id="33"/>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160655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34" w:name="page35"/>
    <w:bookmarkEnd w:id="34"/>
    <w:p>
      <w:pPr>
        <w:spacing w:after="0" w:line="62"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43 percent of the increase in Kaplan revenue is from acquired businesses, primarily in the higher education division and the professional training schools that are part of supplemental education. A summary of operating results for 2003 compared to 2002 is as follows (in thousands):</w:t>
      </w:r>
    </w:p>
    <w:p>
      <w:pPr>
        <w:spacing w:after="0" w:line="133" w:lineRule="exact"/>
        <w:rPr>
          <w:sz w:val="20"/>
          <w:szCs w:val="20"/>
          <w:color w:val="auto"/>
        </w:rPr>
      </w:pPr>
    </w:p>
    <w:tbl>
      <w:tblPr>
        <w:tblLayout w:type="fixed"/>
        <w:tblInd w:w="286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72"/>
              <w:spacing w:after="0"/>
              <w:rPr>
                <w:sz w:val="20"/>
                <w:szCs w:val="20"/>
                <w:color w:val="auto"/>
              </w:rPr>
            </w:pPr>
            <w:r>
              <w:rPr>
                <w:rFonts w:ascii="Arial" w:cs="Arial" w:eastAsia="Arial" w:hAnsi="Arial"/>
                <w:sz w:val="18"/>
                <w:szCs w:val="18"/>
                <w:b w:val="1"/>
                <w:bCs w:val="1"/>
                <w:color w:val="auto"/>
              </w:rPr>
              <w:t>2003</w:t>
            </w:r>
          </w:p>
        </w:tc>
        <w:tc>
          <w:tcPr>
            <w:tcW w:w="280" w:type="dxa"/>
            <w:vAlign w:val="bottom"/>
          </w:tcPr>
          <w:p>
            <w:pPr>
              <w:spacing w:after="0"/>
              <w:rPr>
                <w:sz w:val="19"/>
                <w:szCs w:val="19"/>
                <w:color w:val="auto"/>
              </w:rPr>
            </w:pP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2002</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2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Revenue</w:t>
            </w:r>
          </w:p>
        </w:tc>
        <w:tc>
          <w:tcPr>
            <w:tcW w:w="2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200"/>
              <w:spacing w:after="0"/>
              <w:rPr>
                <w:sz w:val="20"/>
                <w:szCs w:val="20"/>
                <w:color w:val="auto"/>
              </w:rPr>
            </w:pPr>
            <w:r>
              <w:rPr>
                <w:rFonts w:ascii="Arial" w:cs="Arial" w:eastAsia="Arial" w:hAnsi="Arial"/>
                <w:sz w:val="18"/>
                <w:szCs w:val="18"/>
                <w:color w:val="auto"/>
              </w:rPr>
              <w:t>Supplemental education</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72"/>
              <w:spacing w:after="0"/>
              <w:rPr>
                <w:sz w:val="20"/>
                <w:szCs w:val="20"/>
                <w:color w:val="auto"/>
              </w:rPr>
            </w:pPr>
            <w:r>
              <w:rPr>
                <w:rFonts w:ascii="Arial" w:cs="Arial" w:eastAsia="Arial" w:hAnsi="Arial"/>
                <w:sz w:val="18"/>
                <w:szCs w:val="18"/>
                <w:b w:val="1"/>
                <w:bCs w:val="1"/>
                <w:color w:val="auto"/>
                <w:w w:val="92"/>
              </w:rPr>
              <w:t>471,767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2"/>
              <w:spacing w:after="0"/>
              <w:rPr>
                <w:sz w:val="20"/>
                <w:szCs w:val="20"/>
                <w:color w:val="auto"/>
              </w:rPr>
            </w:pPr>
            <w:r>
              <w:rPr>
                <w:rFonts w:ascii="Arial" w:cs="Arial" w:eastAsia="Arial" w:hAnsi="Arial"/>
                <w:sz w:val="18"/>
                <w:szCs w:val="18"/>
                <w:color w:val="auto"/>
                <w:w w:val="86"/>
              </w:rPr>
              <w:t>371,248</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Higher education</w:t>
            </w:r>
          </w:p>
        </w:tc>
        <w:tc>
          <w:tcPr>
            <w:tcW w:w="24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172"/>
              <w:spacing w:after="0"/>
              <w:rPr>
                <w:sz w:val="20"/>
                <w:szCs w:val="20"/>
                <w:color w:val="auto"/>
              </w:rPr>
            </w:pPr>
            <w:r>
              <w:rPr>
                <w:rFonts w:ascii="Arial" w:cs="Arial" w:eastAsia="Arial" w:hAnsi="Arial"/>
                <w:sz w:val="18"/>
                <w:szCs w:val="18"/>
                <w:b w:val="1"/>
                <w:bCs w:val="1"/>
                <w:color w:val="auto"/>
                <w:w w:val="92"/>
              </w:rPr>
              <w:t>366,310</w:t>
            </w:r>
          </w:p>
        </w:tc>
        <w:tc>
          <w:tcPr>
            <w:tcW w:w="28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w w:val="86"/>
              </w:rPr>
              <w:t>249,877</w:t>
            </w:r>
          </w:p>
        </w:tc>
        <w:tc>
          <w:tcPr>
            <w:tcW w:w="1200" w:type="dxa"/>
            <w:vAlign w:val="bottom"/>
            <w:shd w:val="clear" w:color="auto" w:fill="EEEEEE"/>
          </w:tcPr>
          <w:p>
            <w:pPr>
              <w:jc w:val="right"/>
              <w:ind w:right="152"/>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72"/>
              <w:spacing w:after="0"/>
              <w:rPr>
                <w:sz w:val="20"/>
                <w:szCs w:val="20"/>
                <w:color w:val="auto"/>
              </w:rPr>
            </w:pPr>
            <w:r>
              <w:rPr>
                <w:rFonts w:ascii="Arial" w:cs="Arial" w:eastAsia="Arial" w:hAnsi="Arial"/>
                <w:sz w:val="18"/>
                <w:szCs w:val="18"/>
                <w:b w:val="1"/>
                <w:bCs w:val="1"/>
                <w:color w:val="auto"/>
                <w:w w:val="92"/>
              </w:rPr>
              <w:t>838,077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2"/>
              <w:spacing w:after="0"/>
              <w:rPr>
                <w:sz w:val="20"/>
                <w:szCs w:val="20"/>
                <w:color w:val="auto"/>
              </w:rPr>
            </w:pPr>
            <w:r>
              <w:rPr>
                <w:rFonts w:ascii="Arial" w:cs="Arial" w:eastAsia="Arial" w:hAnsi="Arial"/>
                <w:sz w:val="18"/>
                <w:szCs w:val="18"/>
                <w:color w:val="auto"/>
                <w:w w:val="86"/>
              </w:rPr>
              <w:t>621,125</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Operating income (loss)</w:t>
            </w:r>
          </w:p>
        </w:tc>
        <w:tc>
          <w:tcPr>
            <w:tcW w:w="2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200"/>
              <w:spacing w:after="0"/>
              <w:rPr>
                <w:sz w:val="20"/>
                <w:szCs w:val="20"/>
                <w:color w:val="auto"/>
              </w:rPr>
            </w:pPr>
            <w:r>
              <w:rPr>
                <w:rFonts w:ascii="Arial" w:cs="Arial" w:eastAsia="Arial" w:hAnsi="Arial"/>
                <w:sz w:val="18"/>
                <w:szCs w:val="18"/>
                <w:color w:val="auto"/>
              </w:rPr>
              <w:t>Supplemental education</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72"/>
              <w:spacing w:after="0"/>
              <w:rPr>
                <w:sz w:val="20"/>
                <w:szCs w:val="20"/>
                <w:color w:val="auto"/>
              </w:rPr>
            </w:pPr>
            <w:r>
              <w:rPr>
                <w:rFonts w:ascii="Arial" w:cs="Arial" w:eastAsia="Arial" w:hAnsi="Arial"/>
                <w:sz w:val="18"/>
                <w:szCs w:val="18"/>
                <w:b w:val="1"/>
                <w:bCs w:val="1"/>
                <w:color w:val="auto"/>
              </w:rPr>
              <w:t>87,866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54,103</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Higher education</w:t>
            </w:r>
          </w:p>
        </w:tc>
        <w:tc>
          <w:tcPr>
            <w:tcW w:w="24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172"/>
              <w:spacing w:after="0"/>
              <w:rPr>
                <w:sz w:val="20"/>
                <w:szCs w:val="20"/>
                <w:color w:val="auto"/>
              </w:rPr>
            </w:pPr>
            <w:r>
              <w:rPr>
                <w:rFonts w:ascii="Arial" w:cs="Arial" w:eastAsia="Arial" w:hAnsi="Arial"/>
                <w:sz w:val="18"/>
                <w:szCs w:val="18"/>
                <w:b w:val="1"/>
                <w:bCs w:val="1"/>
                <w:color w:val="auto"/>
              </w:rPr>
              <w:t>57,606</w:t>
            </w:r>
          </w:p>
        </w:tc>
        <w:tc>
          <w:tcPr>
            <w:tcW w:w="28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rPr>
              <w:t>27,569</w:t>
            </w:r>
          </w:p>
        </w:tc>
        <w:tc>
          <w:tcPr>
            <w:tcW w:w="1200" w:type="dxa"/>
            <w:vAlign w:val="bottom"/>
            <w:shd w:val="clear" w:color="auto" w:fill="EEEEEE"/>
          </w:tcPr>
          <w:p>
            <w:pPr>
              <w:jc w:val="right"/>
              <w:ind w:right="152"/>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200"/>
              <w:spacing w:after="0"/>
              <w:rPr>
                <w:sz w:val="20"/>
                <w:szCs w:val="20"/>
                <w:color w:val="auto"/>
              </w:rPr>
            </w:pPr>
            <w:r>
              <w:rPr>
                <w:rFonts w:ascii="Arial" w:cs="Arial" w:eastAsia="Arial" w:hAnsi="Arial"/>
                <w:sz w:val="18"/>
                <w:szCs w:val="18"/>
                <w:color w:val="auto"/>
                <w:w w:val="93"/>
              </w:rPr>
              <w:t>Kaplan corporate overhead</w:t>
            </w:r>
          </w:p>
        </w:tc>
        <w:tc>
          <w:tcPr>
            <w:tcW w:w="240" w:type="dxa"/>
            <w:vAlign w:val="bottom"/>
          </w:tcPr>
          <w:p>
            <w:pPr>
              <w:spacing w:after="0"/>
              <w:rPr>
                <w:sz w:val="18"/>
                <w:szCs w:val="18"/>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b w:val="1"/>
                <w:bCs w:val="1"/>
                <w:color w:val="auto"/>
                <w:w w:val="98"/>
              </w:rPr>
              <w:t>(36,782)</w:t>
            </w:r>
          </w:p>
        </w:tc>
        <w:tc>
          <w:tcPr>
            <w:tcW w:w="280" w:type="dxa"/>
            <w:vAlign w:val="bottom"/>
          </w:tcPr>
          <w:p>
            <w:pPr>
              <w:spacing w:after="0"/>
              <w:rPr>
                <w:sz w:val="18"/>
                <w:szCs w:val="18"/>
                <w:color w:val="auto"/>
              </w:rPr>
            </w:pPr>
          </w:p>
        </w:tc>
        <w:tc>
          <w:tcPr>
            <w:tcW w:w="860" w:type="dxa"/>
            <w:vAlign w:val="bottom"/>
          </w:tcPr>
          <w:p>
            <w:pPr>
              <w:jc w:val="right"/>
              <w:ind w:right="132"/>
              <w:spacing w:after="0"/>
              <w:rPr>
                <w:sz w:val="20"/>
                <w:szCs w:val="20"/>
                <w:color w:val="auto"/>
              </w:rPr>
            </w:pPr>
            <w:r>
              <w:rPr>
                <w:rFonts w:ascii="Arial" w:cs="Arial" w:eastAsia="Arial" w:hAnsi="Arial"/>
                <w:sz w:val="18"/>
                <w:szCs w:val="18"/>
                <w:color w:val="auto"/>
                <w:w w:val="92"/>
              </w:rPr>
              <w:t>(26,143)</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112"/>
              <w:spacing w:after="0"/>
              <w:rPr>
                <w:sz w:val="20"/>
                <w:szCs w:val="20"/>
                <w:color w:val="auto"/>
              </w:rPr>
            </w:pPr>
            <w:r>
              <w:rPr>
                <w:rFonts w:ascii="Arial" w:cs="Arial" w:eastAsia="Arial" w:hAnsi="Arial"/>
                <w:sz w:val="18"/>
                <w:szCs w:val="18"/>
                <w:b w:val="1"/>
                <w:bCs w:val="1"/>
                <w:color w:val="auto"/>
                <w:w w:val="85"/>
              </w:rPr>
              <w:t>(120,399)</w:t>
            </w:r>
          </w:p>
        </w:tc>
        <w:tc>
          <w:tcPr>
            <w:tcW w:w="28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132"/>
              <w:spacing w:after="0"/>
              <w:rPr>
                <w:sz w:val="20"/>
                <w:szCs w:val="20"/>
                <w:color w:val="auto"/>
              </w:rPr>
            </w:pPr>
            <w:r>
              <w:rPr>
                <w:rFonts w:ascii="Arial" w:cs="Arial" w:eastAsia="Arial" w:hAnsi="Arial"/>
                <w:sz w:val="18"/>
                <w:szCs w:val="18"/>
                <w:color w:val="auto"/>
                <w:w w:val="92"/>
              </w:rPr>
              <w:t>(35,017)</w:t>
            </w:r>
          </w:p>
        </w:tc>
        <w:tc>
          <w:tcPr>
            <w:tcW w:w="120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12"/>
              <w:spacing w:after="0"/>
              <w:rPr>
                <w:sz w:val="20"/>
                <w:szCs w:val="20"/>
                <w:color w:val="auto"/>
              </w:rPr>
            </w:pPr>
            <w:r>
              <w:rPr>
                <w:rFonts w:ascii="Arial" w:cs="Arial" w:eastAsia="Arial" w:hAnsi="Arial"/>
                <w:sz w:val="18"/>
                <w:szCs w:val="18"/>
                <w:b w:val="1"/>
                <w:bCs w:val="1"/>
                <w:color w:val="auto"/>
                <w:w w:val="98"/>
              </w:rPr>
              <w:t>(11,709)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20,512</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Supplemental education includes Kaplan’s test preparation, professional training and Score! businesses. On March 31, 2003, Kaplan completed its acquisition of Financial Training Company (FTC) for £55.3 million ($87.4 million), financed through cash and debt. Headquartered in London, FTC provides test preparation services for accountants and financial services professionals, with training centers in the United Kingdom and Asia. The improvement in supplemental education results for 2003 is due to increased enrollment at Kaplan’s traditional test preparation business, significant increases in the professional real estate courses, and the FTC acquisition. Score! also contributed to the improved results, with increased enrollments at existing centers and the addition of 10 new centers compared to last year.</w:t>
      </w:r>
    </w:p>
    <w:p>
      <w:pPr>
        <w:spacing w:after="0" w:line="198"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Higher education includes all of Kaplan’s post-secondary education businesses, including fixed-facility colleges, as well as online post-secondary and career programs (various distance-learning businesses). Higher education results are showing significant growth due to student enrollment increases, high student retention rates and several acquisitions.</w:t>
      </w:r>
    </w:p>
    <w:p>
      <w:pPr>
        <w:spacing w:after="0" w:line="194"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Corporate overhead represents unallocated expenses of Kaplan’s corporate office, including a $6.5 million charge in the fourth quarter of 2003 for the Kaplan Educational Foundation, and expenses associated with the design and development of educational software that, if successfully completed, will benefit all of Kaplan’s business units.</w:t>
      </w:r>
    </w:p>
    <w:p>
      <w:pPr>
        <w:spacing w:after="0" w:line="194"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Other expense comprises accrued charges for stock-based incentive compensation arising from a stock option plan established for certain members of Kaplan’s management (the general provisions of which are discussed in Note G to the Consolidated Financial Statements) and amortization of certain intangibles. Under the stock-based incentive plan, the amount of compensation expense varies directly with the estimated fair value of Kaplan’s common stock and the number of options outstanding. The Company recorded expense of $119.1 million and $34.5 million for 2003 and 2002, respectively, related to this plan. The increase for 2003 reflects a significant increase in the value of Kaplan due to its rapid earnings growth and the general rise in valuations of education companies. See additional discussion above regarding the Company’s announcement in September 2003 of its offer to purchase 55 percent of the outstanding Kaplan stock options.</w:t>
      </w:r>
    </w:p>
    <w:p>
      <w:pPr>
        <w:spacing w:after="0" w:line="20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In February 2004, Kaplan announced that its higher education division acquired Texas School of Business, a career-oriented post-secondary school providing training in the fields of allied health and business.</w:t>
      </w:r>
    </w:p>
    <w:p>
      <w:pPr>
        <w:spacing w:after="0" w:line="180"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 xml:space="preserve">Corporate Office. </w:t>
      </w:r>
      <w:r>
        <w:rPr>
          <w:rFonts w:ascii="Arial" w:cs="Arial" w:eastAsia="Arial" w:hAnsi="Arial"/>
          <w:sz w:val="18"/>
          <w:szCs w:val="18"/>
          <w:color w:val="auto"/>
        </w:rPr>
        <w:t>The corporate office operating expenses increased to $30.3 million in 2003, from $27.4 million in 2002. The increase in expenses for 2003 is</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with several companywide technology projects.</w:t>
      </w:r>
    </w:p>
    <w:p>
      <w:pPr>
        <w:spacing w:after="0" w:line="17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color w:val="auto"/>
        </w:rPr>
        <w:t xml:space="preserve">Equity in Losses of Affiliates. </w:t>
      </w:r>
      <w:r>
        <w:rPr>
          <w:rFonts w:ascii="Arial" w:cs="Arial" w:eastAsia="Arial" w:hAnsi="Arial"/>
          <w:sz w:val="18"/>
          <w:szCs w:val="18"/>
          <w:color w:val="auto"/>
        </w:rPr>
        <w:t>The Company’s equity in losses of affiliates for 2003 was $9.8 million, compared to losses of $19.3 million for 2002.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affiliate investments at the end of 2003 consisted of a 49 percent interest in BrassRing LLC and a 49 percent interest in Bowater Mersey Paper Company Limited. BrassRing results improved in 2003, despite a second quarter charge arising from the shutdown of one of the BrassRing businesses, which increased the Company’s equity in losses of BrassRing by $2.2 million. The Company’s equity in losses of BrassRing totaled $7.7 million for 2003, compared to $13.9 million for 2002.</w:t>
      </w:r>
    </w:p>
    <w:p>
      <w:pPr>
        <w:spacing w:after="0" w:line="19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On January 1, 2003, the Company sold its 50 percent interest in the International Herald Tribune for $65 million and recorded an after-tax non-operating gain of $32.3 million in the first quarter of 2003.</w:t>
      </w:r>
    </w:p>
    <w:p>
      <w:pPr>
        <w:spacing w:after="0" w:line="180"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 xml:space="preserve">Non-Operating Items. </w:t>
      </w:r>
      <w:r>
        <w:rPr>
          <w:rFonts w:ascii="Arial" w:cs="Arial" w:eastAsia="Arial" w:hAnsi="Arial"/>
          <w:sz w:val="18"/>
          <w:szCs w:val="18"/>
          <w:color w:val="auto"/>
        </w:rPr>
        <w:t>The Company recorded other non-operating income, net, of $55.4 million in 2003, compared to $28.9 million in 2002. The 2003 non-operating income, net, mostly comprises a $49.8 million pre-tax gain from the sale of the Company’s 50 percent interest in the International Herald Tribune. The 2002 non-operating income, net, includes a pre-tax gain of $27.8 million on the exchange of certain cable systems in the fourth quarter of 2002 and a gain on the sale of marketable securities, offset by write-downs recorded on certain investments.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income (expense) for the years ended December 28, 2003 and December 29, 2002, follows (in millions):</w:t>
      </w:r>
    </w:p>
    <w:p>
      <w:pPr>
        <w:spacing w:after="0" w:line="200" w:lineRule="exact"/>
        <w:rPr>
          <w:sz w:val="20"/>
          <w:szCs w:val="20"/>
          <w:color w:val="auto"/>
        </w:rPr>
      </w:pPr>
    </w:p>
    <w:p>
      <w:pPr>
        <w:spacing w:after="0" w:line="235" w:lineRule="exact"/>
        <w:rPr>
          <w:sz w:val="20"/>
          <w:szCs w:val="20"/>
          <w:color w:val="auto"/>
        </w:rPr>
      </w:pPr>
    </w:p>
    <w:tbl>
      <w:tblPr>
        <w:tblLayout w:type="fixed"/>
        <w:tblInd w:w="286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140" w:type="dxa"/>
            <w:vAlign w:val="bottom"/>
          </w:tcPr>
          <w:p>
            <w:pPr>
              <w:jc w:val="right"/>
              <w:ind w:right="332"/>
              <w:spacing w:after="0"/>
              <w:rPr>
                <w:sz w:val="20"/>
                <w:szCs w:val="20"/>
                <w:color w:val="auto"/>
              </w:rPr>
            </w:pPr>
            <w:r>
              <w:rPr>
                <w:rFonts w:ascii="Arial" w:cs="Arial" w:eastAsia="Arial" w:hAnsi="Arial"/>
                <w:sz w:val="18"/>
                <w:szCs w:val="18"/>
                <w:b w:val="1"/>
                <w:bCs w:val="1"/>
                <w:color w:val="auto"/>
              </w:rPr>
              <w:t>2003</w:t>
            </w:r>
          </w:p>
        </w:tc>
        <w:tc>
          <w:tcPr>
            <w:tcW w:w="1100" w:type="dxa"/>
            <w:vAlign w:val="bottom"/>
          </w:tcPr>
          <w:p>
            <w:pPr>
              <w:jc w:val="right"/>
              <w:ind w:right="192"/>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EEEEEE"/>
          </w:tcPr>
          <w:p>
            <w:pPr>
              <w:spacing w:after="0"/>
              <w:rPr>
                <w:sz w:val="20"/>
                <w:szCs w:val="20"/>
                <w:color w:val="auto"/>
              </w:rPr>
            </w:pPr>
            <w:r>
              <w:rPr>
                <w:rFonts w:ascii="Arial" w:cs="Arial" w:eastAsia="Arial" w:hAnsi="Arial"/>
                <w:sz w:val="18"/>
                <w:szCs w:val="18"/>
                <w:color w:val="auto"/>
              </w:rPr>
              <w:t>Gain on sale of interest in IHT</w:t>
            </w:r>
          </w:p>
        </w:tc>
        <w:tc>
          <w:tcPr>
            <w:tcW w:w="1140" w:type="dxa"/>
            <w:vAlign w:val="bottom"/>
            <w:shd w:val="clear" w:color="auto" w:fill="EEEEEE"/>
          </w:tcPr>
          <w:p>
            <w:pPr>
              <w:jc w:val="right"/>
              <w:ind w:right="332"/>
              <w:spacing w:after="0"/>
              <w:rPr>
                <w:sz w:val="20"/>
                <w:szCs w:val="20"/>
                <w:color w:val="auto"/>
              </w:rPr>
            </w:pPr>
            <w:r>
              <w:rPr>
                <w:rFonts w:ascii="Arial" w:cs="Arial" w:eastAsia="Arial" w:hAnsi="Arial"/>
                <w:sz w:val="18"/>
                <w:szCs w:val="18"/>
                <w:b w:val="1"/>
                <w:bCs w:val="1"/>
                <w:color w:val="auto"/>
              </w:rPr>
              <w:t>$49.8</w:t>
            </w:r>
          </w:p>
        </w:tc>
        <w:tc>
          <w:tcPr>
            <w:tcW w:w="110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Foreign currency gains, net</w:t>
            </w:r>
          </w:p>
        </w:tc>
        <w:tc>
          <w:tcPr>
            <w:tcW w:w="1140" w:type="dxa"/>
            <w:vAlign w:val="bottom"/>
          </w:tcPr>
          <w:p>
            <w:pPr>
              <w:jc w:val="right"/>
              <w:ind w:right="332"/>
              <w:spacing w:after="0"/>
              <w:rPr>
                <w:sz w:val="20"/>
                <w:szCs w:val="20"/>
                <w:color w:val="auto"/>
              </w:rPr>
            </w:pPr>
            <w:r>
              <w:rPr>
                <w:rFonts w:ascii="Arial" w:cs="Arial" w:eastAsia="Arial" w:hAnsi="Arial"/>
                <w:sz w:val="18"/>
                <w:szCs w:val="18"/>
                <w:b w:val="1"/>
                <w:bCs w:val="1"/>
                <w:color w:val="auto"/>
              </w:rPr>
              <w:t>4.2</w:t>
            </w:r>
          </w:p>
        </w:tc>
        <w:tc>
          <w:tcPr>
            <w:tcW w:w="11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460" w:type="dxa"/>
            <w:vAlign w:val="bottom"/>
            <w:shd w:val="clear" w:color="auto" w:fill="EEEEEE"/>
          </w:tcPr>
          <w:p>
            <w:pPr>
              <w:spacing w:after="0"/>
              <w:rPr>
                <w:sz w:val="20"/>
                <w:szCs w:val="20"/>
                <w:color w:val="auto"/>
              </w:rPr>
            </w:pPr>
            <w:r>
              <w:rPr>
                <w:rFonts w:ascii="Arial" w:cs="Arial" w:eastAsia="Arial" w:hAnsi="Arial"/>
                <w:sz w:val="18"/>
                <w:szCs w:val="18"/>
                <w:color w:val="auto"/>
                <w:w w:val="97"/>
              </w:rPr>
              <w:t>Impairment write-downs on cost method and</w:t>
            </w:r>
          </w:p>
        </w:tc>
        <w:tc>
          <w:tcPr>
            <w:tcW w:w="1140" w:type="dxa"/>
            <w:vAlign w:val="bottom"/>
            <w:shd w:val="clear" w:color="auto" w:fill="EEEEEE"/>
          </w:tcPr>
          <w:p>
            <w:pPr>
              <w:jc w:val="right"/>
              <w:ind w:right="272"/>
              <w:spacing w:after="0"/>
              <w:rPr>
                <w:sz w:val="20"/>
                <w:szCs w:val="20"/>
                <w:color w:val="auto"/>
              </w:rPr>
            </w:pPr>
            <w:r>
              <w:rPr>
                <w:rFonts w:ascii="Arial" w:cs="Arial" w:eastAsia="Arial" w:hAnsi="Arial"/>
                <w:sz w:val="18"/>
                <w:szCs w:val="18"/>
                <w:b w:val="1"/>
                <w:bCs w:val="1"/>
                <w:color w:val="auto"/>
              </w:rPr>
              <w:t>(1.3)</w:t>
            </w:r>
          </w:p>
        </w:tc>
        <w:tc>
          <w:tcPr>
            <w:tcW w:w="1100" w:type="dxa"/>
            <w:vAlign w:val="bottom"/>
            <w:shd w:val="clear" w:color="auto" w:fill="EEEEEE"/>
          </w:tcPr>
          <w:p>
            <w:pPr>
              <w:jc w:val="right"/>
              <w:ind w:right="132"/>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bl>
    <w:p>
      <w:pPr>
        <w:sectPr>
          <w:pgSz w:w="11900" w:h="16900" w:orient="portrait"/>
          <w:cols w:equalWidth="0" w:num="1">
            <w:col w:w="11420"/>
          </w:cols>
          <w:pgMar w:left="240" w:top="941" w:right="239" w:bottom="0" w:gutter="0" w:footer="0" w:header="0"/>
        </w:sectPr>
      </w:pPr>
    </w:p>
    <w:bookmarkStart w:id="35" w:name="page36"/>
    <w:bookmarkEnd w:id="35"/>
    <w:p>
      <w:pPr>
        <w:ind w:left="3000"/>
        <w:spacing w:after="0"/>
        <w:rPr>
          <w:sz w:val="20"/>
          <w:szCs w:val="20"/>
          <w:color w:val="auto"/>
        </w:rPr>
      </w:pPr>
      <w:r>
        <w:rPr>
          <w:rFonts w:ascii="Arial" w:cs="Arial" w:eastAsia="Arial" w:hAnsi="Arial"/>
          <w:sz w:val="18"/>
          <w:szCs w:val="18"/>
          <w:color w:val="auto"/>
        </w:rPr>
        <w:t>other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-125730</wp:posOffset>
            </wp:positionV>
            <wp:extent cx="3618865"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618865" cy="137160"/>
                    </a:xfrm>
                    <a:prstGeom prst="rect">
                      <a:avLst/>
                    </a:prstGeom>
                    <a:noFill/>
                  </pic:spPr>
                </pic:pic>
              </a:graphicData>
            </a:graphic>
          </wp:anchor>
        </w:drawing>
      </w:r>
    </w:p>
    <w:tbl>
      <w:tblPr>
        <w:tblLayout w:type="fixed"/>
        <w:tblInd w:w="2860" w:type="dxa"/>
        <w:tblCellMar>
          <w:top w:w="0" w:type="dxa"/>
          <w:left w:w="0" w:type="dxa"/>
          <w:bottom w:w="0" w:type="dxa"/>
          <w:right w:w="0" w:type="dxa"/>
        </w:tblCellMar>
      </w:tblPr>
      <w:tr>
        <w:trPr>
          <w:trHeight w:val="218"/>
        </w:trPr>
        <w:tc>
          <w:tcPr>
            <w:tcW w:w="3440" w:type="dxa"/>
            <w:vAlign w:val="bottom"/>
            <w:gridSpan w:val="2"/>
          </w:tcPr>
          <w:p>
            <w:pPr>
              <w:spacing w:after="0"/>
              <w:rPr>
                <w:sz w:val="20"/>
                <w:szCs w:val="20"/>
                <w:color w:val="auto"/>
              </w:rPr>
            </w:pPr>
            <w:r>
              <w:rPr>
                <w:rFonts w:ascii="Arial" w:cs="Arial" w:eastAsia="Arial" w:hAnsi="Arial"/>
                <w:sz w:val="18"/>
                <w:szCs w:val="18"/>
                <w:color w:val="auto"/>
                <w:w w:val="97"/>
              </w:rPr>
              <w:t>Gain on exchange of cable system business</w:t>
            </w:r>
          </w:p>
        </w:tc>
        <w:tc>
          <w:tcPr>
            <w:tcW w:w="1160" w:type="dxa"/>
            <w:vAlign w:val="bottom"/>
          </w:tcPr>
          <w:p>
            <w:pPr>
              <w:jc w:val="right"/>
              <w:ind w:right="312"/>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92"/>
              <w:spacing w:after="0"/>
              <w:rPr>
                <w:sz w:val="20"/>
                <w:szCs w:val="20"/>
                <w:color w:val="auto"/>
              </w:rPr>
            </w:pPr>
            <w:r>
              <w:rPr>
                <w:rFonts w:ascii="Arial" w:cs="Arial" w:eastAsia="Arial" w:hAnsi="Arial"/>
                <w:sz w:val="18"/>
                <w:szCs w:val="18"/>
                <w:color w:val="auto"/>
              </w:rPr>
              <w:t>27.8</w:t>
            </w:r>
          </w:p>
        </w:tc>
      </w:tr>
      <w:tr>
        <w:trPr>
          <w:trHeight w:val="216"/>
        </w:trPr>
        <w:tc>
          <w:tcPr>
            <w:tcW w:w="20" w:type="dxa"/>
            <w:vAlign w:val="bottom"/>
          </w:tcPr>
          <w:p>
            <w:pPr>
              <w:spacing w:after="0"/>
              <w:rPr>
                <w:sz w:val="18"/>
                <w:szCs w:val="18"/>
                <w:color w:val="auto"/>
              </w:rPr>
            </w:pPr>
          </w:p>
        </w:tc>
        <w:tc>
          <w:tcPr>
            <w:tcW w:w="3420" w:type="dxa"/>
            <w:vAlign w:val="bottom"/>
            <w:shd w:val="clear" w:color="auto" w:fill="EEEEEE"/>
          </w:tcPr>
          <w:p>
            <w:pPr>
              <w:spacing w:after="0"/>
              <w:rPr>
                <w:sz w:val="20"/>
                <w:szCs w:val="20"/>
                <w:color w:val="auto"/>
              </w:rPr>
            </w:pPr>
            <w:r>
              <w:rPr>
                <w:rFonts w:ascii="Arial" w:cs="Arial" w:eastAsia="Arial" w:hAnsi="Arial"/>
                <w:sz w:val="18"/>
                <w:szCs w:val="18"/>
                <w:color w:val="auto"/>
              </w:rPr>
              <w:t>Gain on sale of marketable securities</w:t>
            </w:r>
          </w:p>
        </w:tc>
        <w:tc>
          <w:tcPr>
            <w:tcW w:w="1160" w:type="dxa"/>
            <w:vAlign w:val="bottom"/>
            <w:shd w:val="clear" w:color="auto" w:fill="EEEEEE"/>
          </w:tcPr>
          <w:p>
            <w:pPr>
              <w:jc w:val="right"/>
              <w:ind w:right="312"/>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rPr>
              <w:t>13.2</w:t>
            </w:r>
          </w:p>
        </w:tc>
      </w:tr>
      <w:tr>
        <w:trPr>
          <w:trHeight w:val="228"/>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Other gains</w:t>
            </w:r>
          </w:p>
        </w:tc>
        <w:tc>
          <w:tcPr>
            <w:tcW w:w="1160" w:type="dxa"/>
            <w:vAlign w:val="bottom"/>
          </w:tcPr>
          <w:p>
            <w:pPr>
              <w:jc w:val="right"/>
              <w:ind w:right="312"/>
              <w:spacing w:after="0"/>
              <w:rPr>
                <w:sz w:val="20"/>
                <w:szCs w:val="20"/>
                <w:color w:val="auto"/>
              </w:rPr>
            </w:pPr>
            <w:r>
              <w:rPr>
                <w:rFonts w:ascii="Arial" w:cs="Arial" w:eastAsia="Arial" w:hAnsi="Arial"/>
                <w:sz w:val="18"/>
                <w:szCs w:val="18"/>
                <w:b w:val="1"/>
                <w:bCs w:val="1"/>
                <w:color w:val="auto"/>
              </w:rPr>
              <w:t>2.7</w:t>
            </w:r>
          </w:p>
        </w:tc>
        <w:tc>
          <w:tcPr>
            <w:tcW w:w="1120" w:type="dxa"/>
            <w:vAlign w:val="bottom"/>
          </w:tcPr>
          <w:p>
            <w:pPr>
              <w:jc w:val="right"/>
              <w:ind w:right="192"/>
              <w:spacing w:after="0"/>
              <w:rPr>
                <w:sz w:val="20"/>
                <w:szCs w:val="20"/>
                <w:color w:val="auto"/>
              </w:rPr>
            </w:pPr>
            <w:r>
              <w:rPr>
                <w:rFonts w:ascii="Arial" w:cs="Arial" w:eastAsia="Arial" w:hAnsi="Arial"/>
                <w:sz w:val="18"/>
                <w:szCs w:val="18"/>
                <w:color w:val="auto"/>
              </w:rPr>
              <w:t>9.1</w:t>
            </w:r>
          </w:p>
        </w:tc>
      </w:tr>
      <w:tr>
        <w:trPr>
          <w:trHeight w:val="96"/>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2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Total</w:t>
            </w:r>
          </w:p>
        </w:tc>
        <w:tc>
          <w:tcPr>
            <w:tcW w:w="1160" w:type="dxa"/>
            <w:vAlign w:val="bottom"/>
            <w:shd w:val="clear" w:color="auto" w:fill="EEEEEE"/>
          </w:tcPr>
          <w:p>
            <w:pPr>
              <w:jc w:val="right"/>
              <w:ind w:right="312"/>
              <w:spacing w:after="0"/>
              <w:rPr>
                <w:sz w:val="20"/>
                <w:szCs w:val="20"/>
                <w:color w:val="auto"/>
              </w:rPr>
            </w:pPr>
            <w:r>
              <w:rPr>
                <w:rFonts w:ascii="Arial" w:cs="Arial" w:eastAsia="Arial" w:hAnsi="Arial"/>
                <w:sz w:val="18"/>
                <w:szCs w:val="18"/>
                <w:b w:val="1"/>
                <w:bCs w:val="1"/>
                <w:color w:val="auto"/>
              </w:rPr>
              <w:t>$55.4</w:t>
            </w:r>
          </w:p>
        </w:tc>
        <w:tc>
          <w:tcPr>
            <w:tcW w:w="112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rPr>
              <w:t>$ 28.9</w:t>
            </w:r>
          </w:p>
        </w:tc>
      </w:tr>
      <w:tr>
        <w:trPr>
          <w:trHeight w:val="105"/>
        </w:trPr>
        <w:tc>
          <w:tcPr>
            <w:tcW w:w="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61"/>
        </w:trPr>
        <w:tc>
          <w:tcPr>
            <w:tcW w:w="2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r>
    </w:tbl>
    <w:p>
      <w:pPr>
        <w:spacing w:after="0" w:line="31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incurred net interest expense of $26.9 million in 2003, compared to $33.5 million in 2002, due to lower average borrowings during 2003 compared to 2002. At December 28,</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6" w:name="page37"/>
    <w:bookmarkEnd w:id="36"/>
    <w:p>
      <w:pPr>
        <w:ind w:right="920"/>
        <w:spacing w:after="0" w:line="268" w:lineRule="auto"/>
        <w:rPr>
          <w:sz w:val="20"/>
          <w:szCs w:val="20"/>
          <w:color w:val="auto"/>
        </w:rPr>
      </w:pPr>
      <w:r>
        <w:rPr>
          <w:rFonts w:ascii="Arial" w:cs="Arial" w:eastAsia="Arial" w:hAnsi="Arial"/>
          <w:sz w:val="18"/>
          <w:szCs w:val="18"/>
          <w:color w:val="auto"/>
        </w:rPr>
        <w:t>2003, the Company had $631.1 million in borrowings outstanding at an average interest rate of 4.1 percent; at December 29, 2002, the Company had $664.8 million in borrowings outstanding.</w:t>
      </w:r>
    </w:p>
    <w:p>
      <w:pPr>
        <w:spacing w:after="0" w:line="180" w:lineRule="exact"/>
        <w:rPr>
          <w:sz w:val="20"/>
          <w:szCs w:val="20"/>
          <w:color w:val="auto"/>
        </w:rPr>
      </w:pPr>
    </w:p>
    <w:p>
      <w:pPr>
        <w:ind w:right="60"/>
        <w:spacing w:after="0" w:line="310"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The effective tax rate was 37.0 percent for 2003, compared to 38.8 percent for 2002. The 2003 effective tax rate benefited from the 35.1 percent</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tax rate applicable to the one-time gain arising from the sale of the Company’s interest in the International Herald Tribune. The Company’s effective tax rate also declined due to a decrease in the overall state tax rate. The Company expects an effective tax rate in 2004 of approximately 38.5 percent.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2002 COMPARED TO 2001</w:t>
      </w:r>
    </w:p>
    <w:p>
      <w:pPr>
        <w:spacing w:after="0" w:line="23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Net income for the fiscal year ended December 29, 2002 was $204.3 million ($21.34 per share), compared with net income for the fiscal year ended December 30, 2001 of $229.6 million ($24.06 per share). The Company’s 2002 results include a net non-operating gain from the exchange of certain cable systems (after-tax impact of $16.7 million, or $1.75 per share), a transitional goodwill impairment loss (after-tax impact of $12.1 million, or $1.27 per share), charges from early retirement programs (after-tax impact of $11.3 million, or $1.18 per share), and a net non-operating loss from the write-down of certain of the Company’s investments (after-tax impact of $2.3 million, or $0.24 per share). The Company’s 2001 results included net non-operating gains from the sale and exchange of certain cable systems (after-tax impact of $196.5 million, or $20.69 per share), a non-cash goodwill and other intangibles impairment charge recorded by one of the Company’s affiliates (after-tax impact of $19.9 million, or $2.10 per share), losses from the write-down of a non-operating parcel of land and certain cost method investments to their estimated fair value (after-tax impact of $18.3 million, or $1.93 per share), and an after-tax charge of $55.0 million, or $5.79 per share, for amortization of goodwill and other intangible assets that are no longer amortized under Statement of Financial Accounting Standards No. 142 (SFAS 142), “Goodwill and Other Intangible Assets.” The Company adopted SFAS 142 effective on the first day of its 2002 fiscal year.</w:t>
      </w:r>
    </w:p>
    <w:p>
      <w:pPr>
        <w:spacing w:after="0" w:line="177"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Revenue for 2002 was $2,584.2 million, up 7 percent compared to revenue of $2,411.0 million in 2001, with significant revenue growth at the education, cable and broadcast divisions. Advertising revenue increased 1 percent in 2002, and circulation and subscriber revenue increased 3 percent. Education revenue increased 26 percent in 2002, and other revenue increased 10 percent. The increase in advertising revenue is due primarily to significant political revenues at the broadcast division in 2002. The increase in circulation and subscriber revenue is due to an 11 percent increase in subscriber revenue at the cable division from rapidly growing cable modem and digital service revenues, and a 4 percent increase in circulation revenue at The Post due to circulation price increases. This increase was offset by a 14 percent decrease in Newsweek domestic circulation revenue due to difficult comparisons with 2001, when Newsweek saw spikes in newsstand sales from regular and special editions surrounding the events of September 11. Revenue growth at Kaplan, Inc. (about one-third of which was from acquisitions) accounted for the increase in education revenue.</w:t>
      </w:r>
    </w:p>
    <w:p>
      <w:pPr>
        <w:spacing w:after="0" w:line="17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Operating costs and expenses for the year increased 4 percent to $2,206.6 million, from $2,112.8 million in 2001 (excluding amortization of goodwill and other intangible assets that are no longer amortized under SFAS 142). The increase is primarily due to higher depreciation expense, higher stock-based compensation at the education division, early retirement program charges, and a reduced net pension credit, offset by lower expenses at the newspaper publishing and magazine publishing segments due to lower newsprint prices and tight cost controls.</w:t>
      </w:r>
    </w:p>
    <w:p>
      <w:pPr>
        <w:spacing w:after="0" w:line="19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Operating income increased 27 percent to $377.6 million, from $298.3 million in 2001, adjusted as if SFAS 142 had been adopted at the beginning of 2001. Operating results for 2002 include $19.0 million in pre-tax charges from early retirement programs. The Company benefited from improved operating results at the education and broadcast divisions, along with improved earnings at The Washington Post newspaper and the cable division. These factors were offset in part by increased depreciation expense, a reduced net pension credit, the early retirement program charges noted above, and higher stock-based compensation expense accruals at the education division.</w:t>
      </w:r>
    </w:p>
    <w:p>
      <w:pPr>
        <w:spacing w:after="0" w:line="19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Company’s 2002 operating income includes $64.4 million of net pension credits, compared to $76.9 million in 2001. These amounts exclude $19.0 million and $3.3 million in charges related to early retirement programs in 2002 and 2001,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DIVISION RESULTS</w:t>
      </w:r>
    </w:p>
    <w:p>
      <w:pPr>
        <w:spacing w:after="0" w:line="23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As discussed above, the Company adopted SFAS 142 effective on the first day of its 2002 fiscal year. All operating income comparisons presented below are on a pro forma basis as if SFAS 142 had been adopted at the beginning of 2001. Therefore, 2001 pro forma operating results exclude amortization charges of goodwill and certain other intangible assets that are no longer amortized under SFAS 142.</w:t>
      </w:r>
    </w:p>
    <w:p>
      <w:pPr>
        <w:spacing w:after="0" w:line="188"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b w:val="1"/>
          <w:bCs w:val="1"/>
          <w:color w:val="auto"/>
        </w:rPr>
        <w:t xml:space="preserve">Newspaper Publishing Division. </w:t>
      </w:r>
      <w:r>
        <w:rPr>
          <w:rFonts w:ascii="Arial" w:cs="Arial" w:eastAsia="Arial" w:hAnsi="Arial"/>
          <w:sz w:val="16"/>
          <w:szCs w:val="16"/>
          <w:color w:val="auto"/>
        </w:rPr>
        <w:t>Newspaper publishing division revenue in 2002 decreased slightly to $842.0 million, from $842.7 million in 2001. Division</w:t>
      </w:r>
      <w:r>
        <w:rPr>
          <w:rFonts w:ascii="Arial" w:cs="Arial" w:eastAsia="Arial" w:hAnsi="Arial"/>
          <w:sz w:val="16"/>
          <w:szCs w:val="16"/>
          <w:b w:val="1"/>
          <w:bCs w:val="1"/>
          <w:color w:val="auto"/>
        </w:rPr>
        <w:t xml:space="preserve"> </w:t>
      </w:r>
      <w:r>
        <w:rPr>
          <w:rFonts w:ascii="Arial" w:cs="Arial" w:eastAsia="Arial" w:hAnsi="Arial"/>
          <w:sz w:val="16"/>
          <w:szCs w:val="16"/>
          <w:color w:val="auto"/>
        </w:rPr>
        <w:t>operating income for 2002 totaled $109.0 million, an increase of 23 percent from pro forma operating income of $88.6 million in 2001. Improved operating results for 2002 reflect the benefits of cost control initiatives employed throughout the division and a 22 percent decrease in newsprint expense; these savings were partially offset by a pre-tax early retirement program charge of $2.9 million and a reduced net pension credit.</w:t>
      </w:r>
    </w:p>
    <w:p>
      <w:pPr>
        <w:spacing w:after="0" w:line="16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Print advertising revenue at The Washington Post newspaper decreased 3 percent to $555.7 million, from $574.3 million in 2001. The decrease in print advertising revenue for 2002 is due to a continued decline in recruitment advertising revenue, with volume decreases of 32 percent, offset by higher revenue from several advertising categories, including preprints, real estate and other classified advertising.</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37" w:name="page38"/>
    <w:bookmarkEnd w:id="37"/>
    <w:p>
      <w:pPr>
        <w:ind w:right="60"/>
        <w:spacing w:after="0" w:line="259" w:lineRule="auto"/>
        <w:rPr>
          <w:sz w:val="20"/>
          <w:szCs w:val="20"/>
          <w:color w:val="auto"/>
        </w:rPr>
      </w:pPr>
      <w:r>
        <w:rPr>
          <w:rFonts w:ascii="Arial" w:cs="Arial" w:eastAsia="Arial" w:hAnsi="Arial"/>
          <w:sz w:val="18"/>
          <w:szCs w:val="18"/>
          <w:color w:val="auto"/>
        </w:rPr>
        <w:t>Circulation revenues at The Post were up 4 percent for 2002 due to increases in single copy newsstand and home delivery prices in 2002. Daily circulation at The Post declined 1.7 percent and Sunday circulation declined 1.2 percent in 2002. For the year ended December 29, 2002, average daily circulation at The Post totaled 760,000 (unaudited) and average Sunday circulation totaled 1,054,000 (unaudited).</w:t>
      </w:r>
    </w:p>
    <w:p>
      <w:pPr>
        <w:spacing w:after="0" w:line="194"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Revenue generated by the Company’s online publishing activities, primarily washingtonpost.com, increased 18 percent to $35.9 million during the year, from $30.4 million in 2001. Local and national online advertising revenues grew 60 percent in 2002, while revenue at the Jobs section of washingtonpost.com decreased 1 percent in 2002.</w:t>
      </w:r>
    </w:p>
    <w:p>
      <w:pPr>
        <w:spacing w:after="0" w:line="188"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b w:val="1"/>
          <w:bCs w:val="1"/>
          <w:color w:val="auto"/>
        </w:rPr>
        <w:t xml:space="preserve">Television Broadcasting Division. </w:t>
      </w:r>
      <w:r>
        <w:rPr>
          <w:rFonts w:ascii="Arial" w:cs="Arial" w:eastAsia="Arial" w:hAnsi="Arial"/>
          <w:sz w:val="16"/>
          <w:szCs w:val="16"/>
          <w:color w:val="auto"/>
        </w:rPr>
        <w:t>Revenue at the television broadcasting division increased 9 percent to $343.6 million in 2002, from $314.0 million in 2001,</w:t>
      </w:r>
      <w:r>
        <w:rPr>
          <w:rFonts w:ascii="Arial" w:cs="Arial" w:eastAsia="Arial" w:hAnsi="Arial"/>
          <w:sz w:val="16"/>
          <w:szCs w:val="16"/>
          <w:b w:val="1"/>
          <w:bCs w:val="1"/>
          <w:color w:val="auto"/>
        </w:rPr>
        <w:t xml:space="preserve"> </w:t>
      </w:r>
      <w:r>
        <w:rPr>
          <w:rFonts w:ascii="Arial" w:cs="Arial" w:eastAsia="Arial" w:hAnsi="Arial"/>
          <w:sz w:val="16"/>
          <w:szCs w:val="16"/>
          <w:color w:val="auto"/>
        </w:rPr>
        <w:t>due primarily to $31.8 million in political advertising, as well as Olympics-related advertising at the Company’s NBC affiliates in the first quarter of 2002. Additionally, revenues in 2001 were lower due to a general softness in advertising and several days of commercial-free coverage following the events of September 11. These increases were partially offset by reduced network compensation revenues in 2002.</w:t>
      </w:r>
    </w:p>
    <w:p>
      <w:pPr>
        <w:spacing w:after="0" w:line="16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Competitive market position remained strong for the Company’s television stations. WDIV in Detroit was ranked number one in the latest ratings period, Monday through Friday, sign-on to sign-off; KSAT in San Antonio was tied for number one; WJXT in Jacksonville ranked second; WPLG was tied for second among English-language stations in the Miami market; and KPRC in Houston and WKMG in Orlando ranked third in their respective markets.</w:t>
      </w:r>
    </w:p>
    <w:p>
      <w:pPr>
        <w:spacing w:after="0" w:line="16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Operating income for 2002 increased 16 percent to $168.8 million, from pro forma operating income of $146.0 million in 2001. Operating income growth for 2002 is due to strong revenue growth, along with tight cost controls, partially offset by a reduced pension credit. Operating margin at the broadcast division was 49 percent for 2002 and 46 percent for 2001, excluding amortization of goodwill and other intangibles.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In July 2002, WJXT in Jacksonville, Florida, began operations as an independent station when its network affiliation with CBS ended.</w:t>
      </w:r>
    </w:p>
    <w:p>
      <w:pPr>
        <w:spacing w:after="0" w:line="21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color w:val="auto"/>
        </w:rPr>
        <w:t xml:space="preserve">Magazine Publishing Division. </w:t>
      </w:r>
      <w:r>
        <w:rPr>
          <w:rFonts w:ascii="Arial" w:cs="Arial" w:eastAsia="Arial" w:hAnsi="Arial"/>
          <w:sz w:val="16"/>
          <w:szCs w:val="16"/>
          <w:color w:val="auto"/>
        </w:rPr>
        <w:t>Revenue for the magazine publishing division totaled $349.1 million for 2002, a 7 percent decrease from $374.6 million in 2001.</w:t>
      </w:r>
      <w:r>
        <w:rPr>
          <w:rFonts w:ascii="Arial" w:cs="Arial" w:eastAsia="Arial" w:hAnsi="Arial"/>
          <w:sz w:val="16"/>
          <w:szCs w:val="16"/>
          <w:b w:val="1"/>
          <w:bCs w:val="1"/>
          <w:color w:val="auto"/>
        </w:rPr>
        <w:t xml:space="preserve"> </w:t>
      </w:r>
      <w:r>
        <w:rPr>
          <w:rFonts w:ascii="Arial" w:cs="Arial" w:eastAsia="Arial" w:hAnsi="Arial"/>
          <w:sz w:val="16"/>
          <w:szCs w:val="16"/>
          <w:color w:val="auto"/>
        </w:rPr>
        <w:t>Revenues for 2001 reflect a significant spike in newsstand circulation revenue at Newsweek due to regular and special editions related to the events of September 11. Advertising revenues were down for 2002, primarily due to declines in the international division. Operating income totaled $25.7 million for 2002, a decrease of 20 percent from pro forma operating income of $32.0 million in 2001. Operating results for 2002 include $16.1 million in pre-tax charges in connection with early retirement programs at Newsweek. Expenses for 2001 included approximately $5.0 million in nonrecurring costs associated with regular and special editions related to the events of September 11. Costs for 2002 also have declined due to payroll and other related cost savings from employees accepting early retirement programs offered by Newsweek, and from significant cost savings programs put into place at Newsweek’s international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Excluding amortization of goodwill and other intangibles, operating margin at the magazine publishing division was 7 percent for 2002 and 9 percent for 2001.</w:t>
      </w:r>
    </w:p>
    <w:p>
      <w:pPr>
        <w:spacing w:after="0" w:line="242" w:lineRule="exact"/>
        <w:rPr>
          <w:sz w:val="20"/>
          <w:szCs w:val="20"/>
          <w:color w:val="auto"/>
        </w:rPr>
      </w:pPr>
    </w:p>
    <w:p>
      <w:pPr>
        <w:ind w:right="440"/>
        <w:spacing w:after="0" w:line="309" w:lineRule="auto"/>
        <w:rPr>
          <w:sz w:val="20"/>
          <w:szCs w:val="20"/>
          <w:color w:val="auto"/>
        </w:rPr>
      </w:pPr>
      <w:r>
        <w:rPr>
          <w:rFonts w:ascii="Arial" w:cs="Arial" w:eastAsia="Arial" w:hAnsi="Arial"/>
          <w:sz w:val="15"/>
          <w:szCs w:val="15"/>
          <w:b w:val="1"/>
          <w:bCs w:val="1"/>
          <w:color w:val="auto"/>
        </w:rPr>
        <w:t xml:space="preserve">Cable Television Division. </w:t>
      </w:r>
      <w:r>
        <w:rPr>
          <w:rFonts w:ascii="Arial" w:cs="Arial" w:eastAsia="Arial" w:hAnsi="Arial"/>
          <w:sz w:val="15"/>
          <w:szCs w:val="15"/>
          <w:color w:val="auto"/>
        </w:rPr>
        <w:t>Cable division revenue of $428.5 million for 2002 represents an 11 percent increase from revenues of $386.0 in 2001. The 2002</w:t>
      </w:r>
      <w:r>
        <w:rPr>
          <w:rFonts w:ascii="Arial" w:cs="Arial" w:eastAsia="Arial" w:hAnsi="Arial"/>
          <w:sz w:val="15"/>
          <w:szCs w:val="15"/>
          <w:b w:val="1"/>
          <w:bCs w:val="1"/>
          <w:color w:val="auto"/>
        </w:rPr>
        <w:t xml:space="preserve"> </w:t>
      </w:r>
      <w:r>
        <w:rPr>
          <w:rFonts w:ascii="Arial" w:cs="Arial" w:eastAsia="Arial" w:hAnsi="Arial"/>
          <w:sz w:val="15"/>
          <w:szCs w:val="15"/>
          <w:color w:val="auto"/>
        </w:rPr>
        <w:t>revenue increase is principally due to rapid growth in the division’s cable modem and digital service revenues. Cable division operating income increased</w:t>
      </w:r>
    </w:p>
    <w:p>
      <w:pPr>
        <w:ind w:right="240"/>
        <w:spacing w:after="0" w:line="261" w:lineRule="auto"/>
        <w:rPr>
          <w:sz w:val="20"/>
          <w:szCs w:val="20"/>
          <w:color w:val="auto"/>
        </w:rPr>
      </w:pPr>
      <w:r>
        <w:rPr>
          <w:rFonts w:ascii="Arial" w:cs="Arial" w:eastAsia="Arial" w:hAnsi="Arial"/>
          <w:sz w:val="18"/>
          <w:szCs w:val="18"/>
          <w:color w:val="auto"/>
        </w:rPr>
        <w:t>15 percent in 2002 to $80.9 million, from pro forma operating income of $70.6 million in 2001. The increase in operating income for 2002 is due mostly to the division’s revenue growth, offset by higher depreciation expense and increased programming expense.</w:t>
      </w:r>
    </w:p>
    <w:p>
      <w:pPr>
        <w:spacing w:after="0" w:line="19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increase in depreciation expense for 2002 is primarily due to significant capital spending, primarily in 2001 and 2000, which has enabled the cable division to offer digital and broadband cable services to its subscribers; depreciation expense for 2002 also includes $5.4 million in charges for obsolete assets. The cable division began its rollout plan for these services in the third quarter of 2000. At December 31, 2002, the cable division had approximately 214,900 digital cable subscribers, representing a 30 percent penetration of the subscriber base in the markets where digital services are offered. Digital services are currently offered in markets serving 98 percent of the cable division’s subscriber base. The initial rollout plan for the new digital cable services included an offer for the cable division’s customers to obtain these services free for one year. At December 31, 2002, the cable division had 194,200 paying digital subscribers, compared to 31,000 at the end of 2001. Most of the benefits from these services began to show in the first quarter of 2002 and continued throughout the year, with the remaining portion of free one-year periods generally having ended by the close of 2002.</w:t>
      </w:r>
    </w:p>
    <w:p>
      <w:pPr>
        <w:spacing w:after="0" w:line="172"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At December 31, 2002, the cable division had 718,000 basic subscribers, compared to 752,700 at the end of December 2001, with the decrease due primarily to the difficult economic environment over the past year; basic customer disconnects for non-payment of bills have increased significantly. At December 31, 2002, the cable division had 79,400 CableONE.net service subscribers, compared to 46,400 at the end of December 2001, due to a large increase in the Company’s cable modem deployment (offered to 93 percent of homes passed at the end of December 2002) and subscriber penetration rates. Of these subscribers, 78,100 and 32,900 were cable modem subscribers at the end of 2002 and 2001, respectively, with the remainder being dial-up subscribers.</w:t>
      </w:r>
    </w:p>
    <w:p>
      <w:pPr>
        <w:spacing w:after="0" w:line="164"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 xml:space="preserve">Education Division. </w:t>
      </w:r>
      <w:r>
        <w:rPr>
          <w:rFonts w:ascii="Arial" w:cs="Arial" w:eastAsia="Arial" w:hAnsi="Arial"/>
          <w:sz w:val="18"/>
          <w:szCs w:val="18"/>
          <w:color w:val="auto"/>
        </w:rPr>
        <w:t>Education division revenue in 2002 increased 26 percent to $621.1 million, from $493.7 million in 2001. Kaplan reported operating income</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year of $20.5 million, compared to a pro forma operating loss of $13.1 million in 2001. Approximately one-third of the increase in Kaplan revenue and approximately $9 million of the increase in Kaplan operating income is from newly acquired businesses, primarily in the higher education division. Excluding goodwill amortization in 2001, a</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summary of operating results for 2002 compared to 2001 is as follows (in thousands):</w:t>
      </w:r>
    </w:p>
    <w:p>
      <w:pPr>
        <w:spacing w:after="0" w:line="219" w:lineRule="exact"/>
        <w:rPr>
          <w:sz w:val="20"/>
          <w:szCs w:val="20"/>
          <w:color w:val="auto"/>
        </w:rPr>
      </w:pPr>
    </w:p>
    <w:tbl>
      <w:tblPr>
        <w:tblLayout w:type="fixed"/>
        <w:tblInd w:w="286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172"/>
              <w:spacing w:after="0"/>
              <w:rPr>
                <w:sz w:val="20"/>
                <w:szCs w:val="20"/>
                <w:color w:val="auto"/>
              </w:rPr>
            </w:pPr>
            <w:r>
              <w:rPr>
                <w:rFonts w:ascii="Arial" w:cs="Arial" w:eastAsia="Arial" w:hAnsi="Arial"/>
                <w:sz w:val="18"/>
                <w:szCs w:val="18"/>
                <w:b w:val="1"/>
                <w:bCs w:val="1"/>
                <w:color w:val="auto"/>
              </w:rPr>
              <w:t>2002</w:t>
            </w:r>
          </w:p>
        </w:tc>
        <w:tc>
          <w:tcPr>
            <w:tcW w:w="300" w:type="dxa"/>
            <w:vAlign w:val="bottom"/>
          </w:tcPr>
          <w:p>
            <w:pPr>
              <w:spacing w:after="0"/>
              <w:rPr>
                <w:sz w:val="19"/>
                <w:szCs w:val="19"/>
                <w:color w:val="auto"/>
              </w:rPr>
            </w:pP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2001</w:t>
            </w: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Revenue</w:t>
            </w:r>
          </w:p>
        </w:tc>
        <w:tc>
          <w:tcPr>
            <w:tcW w:w="24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160"/>
              <w:spacing w:after="0"/>
              <w:rPr>
                <w:sz w:val="20"/>
                <w:szCs w:val="20"/>
                <w:color w:val="auto"/>
              </w:rPr>
            </w:pPr>
            <w:r>
              <w:rPr>
                <w:rFonts w:ascii="Arial" w:cs="Arial" w:eastAsia="Arial" w:hAnsi="Arial"/>
                <w:sz w:val="18"/>
                <w:szCs w:val="18"/>
                <w:color w:val="auto"/>
              </w:rPr>
              <w:t>Supplemental education</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72"/>
              <w:spacing w:after="0"/>
              <w:rPr>
                <w:sz w:val="20"/>
                <w:szCs w:val="20"/>
                <w:color w:val="auto"/>
              </w:rPr>
            </w:pPr>
            <w:r>
              <w:rPr>
                <w:rFonts w:ascii="Arial" w:cs="Arial" w:eastAsia="Arial" w:hAnsi="Arial"/>
                <w:sz w:val="18"/>
                <w:szCs w:val="18"/>
                <w:b w:val="1"/>
                <w:bCs w:val="1"/>
                <w:color w:val="auto"/>
                <w:w w:val="86"/>
              </w:rPr>
              <w:t>371,248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2"/>
              <w:spacing w:after="0"/>
              <w:rPr>
                <w:sz w:val="20"/>
                <w:szCs w:val="20"/>
                <w:color w:val="auto"/>
              </w:rPr>
            </w:pPr>
            <w:r>
              <w:rPr>
                <w:rFonts w:ascii="Arial" w:cs="Arial" w:eastAsia="Arial" w:hAnsi="Arial"/>
                <w:sz w:val="18"/>
                <w:szCs w:val="18"/>
                <w:color w:val="auto"/>
                <w:w w:val="86"/>
              </w:rPr>
              <w:t>328,039</w:t>
            </w: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Higher education</w:t>
            </w:r>
          </w:p>
        </w:tc>
        <w:tc>
          <w:tcPr>
            <w:tcW w:w="240" w:type="dxa"/>
            <w:vAlign w:val="bottom"/>
            <w:shd w:val="clear" w:color="auto" w:fill="EEEEEE"/>
          </w:tcPr>
          <w:p>
            <w:pPr>
              <w:spacing w:after="0"/>
              <w:rPr>
                <w:sz w:val="18"/>
                <w:szCs w:val="18"/>
                <w:color w:val="auto"/>
              </w:rPr>
            </w:pPr>
          </w:p>
        </w:tc>
        <w:tc>
          <w:tcPr>
            <w:tcW w:w="840" w:type="dxa"/>
            <w:vAlign w:val="bottom"/>
            <w:shd w:val="clear" w:color="auto" w:fill="EEEEEE"/>
          </w:tcPr>
          <w:p>
            <w:pPr>
              <w:jc w:val="right"/>
              <w:ind w:right="172"/>
              <w:spacing w:after="0"/>
              <w:rPr>
                <w:sz w:val="20"/>
                <w:szCs w:val="20"/>
                <w:color w:val="auto"/>
              </w:rPr>
            </w:pPr>
            <w:r>
              <w:rPr>
                <w:rFonts w:ascii="Arial" w:cs="Arial" w:eastAsia="Arial" w:hAnsi="Arial"/>
                <w:sz w:val="18"/>
                <w:szCs w:val="18"/>
                <w:b w:val="1"/>
                <w:bCs w:val="1"/>
                <w:color w:val="auto"/>
                <w:w w:val="86"/>
              </w:rPr>
              <w:t>249,877</w:t>
            </w:r>
          </w:p>
        </w:tc>
        <w:tc>
          <w:tcPr>
            <w:tcW w:w="30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w w:val="86"/>
              </w:rPr>
              <w:t>165,642</w:t>
            </w:r>
          </w:p>
        </w:tc>
        <w:tc>
          <w:tcPr>
            <w:tcW w:w="1180" w:type="dxa"/>
            <w:vAlign w:val="bottom"/>
            <w:shd w:val="clear" w:color="auto" w:fill="EEEEEE"/>
          </w:tcPr>
          <w:p>
            <w:pPr>
              <w:jc w:val="right"/>
              <w:ind w:right="152"/>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72"/>
              <w:spacing w:after="0"/>
              <w:rPr>
                <w:sz w:val="20"/>
                <w:szCs w:val="20"/>
                <w:color w:val="auto"/>
              </w:rPr>
            </w:pPr>
            <w:r>
              <w:rPr>
                <w:rFonts w:ascii="Arial" w:cs="Arial" w:eastAsia="Arial" w:hAnsi="Arial"/>
                <w:sz w:val="18"/>
                <w:szCs w:val="18"/>
                <w:b w:val="1"/>
                <w:bCs w:val="1"/>
                <w:color w:val="auto"/>
                <w:w w:val="86"/>
              </w:rPr>
              <w:t>621,125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2"/>
              <w:spacing w:after="0"/>
              <w:rPr>
                <w:sz w:val="20"/>
                <w:szCs w:val="20"/>
                <w:color w:val="auto"/>
              </w:rPr>
            </w:pPr>
            <w:r>
              <w:rPr>
                <w:rFonts w:ascii="Arial" w:cs="Arial" w:eastAsia="Arial" w:hAnsi="Arial"/>
                <w:sz w:val="18"/>
                <w:szCs w:val="18"/>
                <w:color w:val="auto"/>
                <w:w w:val="86"/>
              </w:rPr>
              <w:t>493,681</w:t>
            </w: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2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Operating income (loss)</w:t>
            </w:r>
          </w:p>
        </w:tc>
        <w:tc>
          <w:tcPr>
            <w:tcW w:w="24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160"/>
              <w:spacing w:after="0"/>
              <w:rPr>
                <w:sz w:val="20"/>
                <w:szCs w:val="20"/>
                <w:color w:val="auto"/>
              </w:rPr>
            </w:pPr>
            <w:r>
              <w:rPr>
                <w:rFonts w:ascii="Arial" w:cs="Arial" w:eastAsia="Arial" w:hAnsi="Arial"/>
                <w:sz w:val="18"/>
                <w:szCs w:val="18"/>
                <w:color w:val="auto"/>
              </w:rPr>
              <w:t>Supplemental education</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72"/>
              <w:spacing w:after="0"/>
              <w:rPr>
                <w:sz w:val="20"/>
                <w:szCs w:val="20"/>
                <w:color w:val="auto"/>
              </w:rPr>
            </w:pPr>
            <w:r>
              <w:rPr>
                <w:rFonts w:ascii="Arial" w:cs="Arial" w:eastAsia="Arial" w:hAnsi="Arial"/>
                <w:sz w:val="18"/>
                <w:szCs w:val="18"/>
                <w:b w:val="1"/>
                <w:bCs w:val="1"/>
                <w:color w:val="auto"/>
              </w:rPr>
              <w:t>54,103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27,509</w:t>
            </w: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Higher education</w:t>
            </w:r>
          </w:p>
        </w:tc>
        <w:tc>
          <w:tcPr>
            <w:tcW w:w="240" w:type="dxa"/>
            <w:vAlign w:val="bottom"/>
            <w:shd w:val="clear" w:color="auto" w:fill="EEEEEE"/>
          </w:tcPr>
          <w:p>
            <w:pPr>
              <w:spacing w:after="0"/>
              <w:rPr>
                <w:sz w:val="18"/>
                <w:szCs w:val="18"/>
                <w:color w:val="auto"/>
              </w:rPr>
            </w:pPr>
          </w:p>
        </w:tc>
        <w:tc>
          <w:tcPr>
            <w:tcW w:w="840" w:type="dxa"/>
            <w:vAlign w:val="bottom"/>
            <w:shd w:val="clear" w:color="auto" w:fill="EEEEEE"/>
          </w:tcPr>
          <w:p>
            <w:pPr>
              <w:jc w:val="right"/>
              <w:ind w:right="172"/>
              <w:spacing w:after="0"/>
              <w:rPr>
                <w:sz w:val="20"/>
                <w:szCs w:val="20"/>
                <w:color w:val="auto"/>
              </w:rPr>
            </w:pPr>
            <w:r>
              <w:rPr>
                <w:rFonts w:ascii="Arial" w:cs="Arial" w:eastAsia="Arial" w:hAnsi="Arial"/>
                <w:sz w:val="18"/>
                <w:szCs w:val="18"/>
                <w:b w:val="1"/>
                <w:bCs w:val="1"/>
                <w:color w:val="auto"/>
              </w:rPr>
              <w:t>27,569</w:t>
            </w:r>
          </w:p>
        </w:tc>
        <w:tc>
          <w:tcPr>
            <w:tcW w:w="30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rPr>
              <w:t>9,149</w:t>
            </w:r>
          </w:p>
        </w:tc>
        <w:tc>
          <w:tcPr>
            <w:tcW w:w="1180" w:type="dxa"/>
            <w:vAlign w:val="bottom"/>
            <w:shd w:val="clear" w:color="auto" w:fill="EEEEEE"/>
          </w:tcPr>
          <w:p>
            <w:pPr>
              <w:jc w:val="right"/>
              <w:ind w:right="152"/>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160"/>
              <w:spacing w:after="0"/>
              <w:rPr>
                <w:sz w:val="20"/>
                <w:szCs w:val="20"/>
                <w:color w:val="auto"/>
              </w:rPr>
            </w:pPr>
            <w:r>
              <w:rPr>
                <w:rFonts w:ascii="Arial" w:cs="Arial" w:eastAsia="Arial" w:hAnsi="Arial"/>
                <w:sz w:val="18"/>
                <w:szCs w:val="18"/>
                <w:color w:val="auto"/>
                <w:w w:val="96"/>
              </w:rPr>
              <w:t>Kaplan corporate overhead</w:t>
            </w:r>
          </w:p>
        </w:tc>
        <w:tc>
          <w:tcPr>
            <w:tcW w:w="240" w:type="dxa"/>
            <w:vAlign w:val="bottom"/>
          </w:tcPr>
          <w:p>
            <w:pPr>
              <w:spacing w:after="0"/>
              <w:rPr>
                <w:sz w:val="18"/>
                <w:szCs w:val="18"/>
                <w:color w:val="auto"/>
              </w:rPr>
            </w:pPr>
          </w:p>
        </w:tc>
        <w:tc>
          <w:tcPr>
            <w:tcW w:w="840" w:type="dxa"/>
            <w:vAlign w:val="bottom"/>
          </w:tcPr>
          <w:p>
            <w:pPr>
              <w:jc w:val="right"/>
              <w:ind w:right="132"/>
              <w:spacing w:after="0"/>
              <w:rPr>
                <w:sz w:val="20"/>
                <w:szCs w:val="20"/>
                <w:color w:val="auto"/>
              </w:rPr>
            </w:pPr>
            <w:r>
              <w:rPr>
                <w:rFonts w:ascii="Arial" w:cs="Arial" w:eastAsia="Arial" w:hAnsi="Arial"/>
                <w:sz w:val="18"/>
                <w:szCs w:val="18"/>
                <w:b w:val="1"/>
                <w:bCs w:val="1"/>
                <w:color w:val="auto"/>
                <w:w w:val="89"/>
              </w:rPr>
              <w:t>(26,143)</w:t>
            </w:r>
          </w:p>
        </w:tc>
        <w:tc>
          <w:tcPr>
            <w:tcW w:w="300" w:type="dxa"/>
            <w:vAlign w:val="bottom"/>
          </w:tcPr>
          <w:p>
            <w:pPr>
              <w:spacing w:after="0"/>
              <w:rPr>
                <w:sz w:val="18"/>
                <w:szCs w:val="18"/>
                <w:color w:val="auto"/>
              </w:rPr>
            </w:pPr>
          </w:p>
        </w:tc>
        <w:tc>
          <w:tcPr>
            <w:tcW w:w="860" w:type="dxa"/>
            <w:vAlign w:val="bottom"/>
          </w:tcPr>
          <w:p>
            <w:pPr>
              <w:jc w:val="right"/>
              <w:ind w:right="132"/>
              <w:spacing w:after="0"/>
              <w:rPr>
                <w:sz w:val="20"/>
                <w:szCs w:val="20"/>
                <w:color w:val="auto"/>
              </w:rPr>
            </w:pPr>
            <w:r>
              <w:rPr>
                <w:rFonts w:ascii="Arial" w:cs="Arial" w:eastAsia="Arial" w:hAnsi="Arial"/>
                <w:sz w:val="18"/>
                <w:szCs w:val="18"/>
                <w:color w:val="auto"/>
                <w:w w:val="92"/>
              </w:rPr>
              <w:t>(23,981)</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EEEEEE"/>
          </w:tcPr>
          <w:p>
            <w:pPr>
              <w:spacing w:after="0"/>
              <w:rPr>
                <w:sz w:val="18"/>
                <w:szCs w:val="18"/>
                <w:color w:val="auto"/>
              </w:rPr>
            </w:pPr>
          </w:p>
        </w:tc>
        <w:tc>
          <w:tcPr>
            <w:tcW w:w="840" w:type="dxa"/>
            <w:vAlign w:val="bottom"/>
            <w:shd w:val="clear" w:color="auto" w:fill="EEEEEE"/>
          </w:tcPr>
          <w:p>
            <w:pPr>
              <w:jc w:val="right"/>
              <w:ind w:right="132"/>
              <w:spacing w:after="0"/>
              <w:rPr>
                <w:sz w:val="20"/>
                <w:szCs w:val="20"/>
                <w:color w:val="auto"/>
              </w:rPr>
            </w:pPr>
            <w:r>
              <w:rPr>
                <w:rFonts w:ascii="Arial" w:cs="Arial" w:eastAsia="Arial" w:hAnsi="Arial"/>
                <w:sz w:val="18"/>
                <w:szCs w:val="18"/>
                <w:b w:val="1"/>
                <w:bCs w:val="1"/>
                <w:color w:val="auto"/>
                <w:w w:val="89"/>
              </w:rPr>
              <w:t>(35,017)</w:t>
            </w:r>
          </w:p>
        </w:tc>
        <w:tc>
          <w:tcPr>
            <w:tcW w:w="30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132"/>
              <w:spacing w:after="0"/>
              <w:rPr>
                <w:sz w:val="20"/>
                <w:szCs w:val="20"/>
                <w:color w:val="auto"/>
              </w:rPr>
            </w:pPr>
            <w:r>
              <w:rPr>
                <w:rFonts w:ascii="Arial" w:cs="Arial" w:eastAsia="Arial" w:hAnsi="Arial"/>
                <w:sz w:val="18"/>
                <w:szCs w:val="18"/>
                <w:color w:val="auto"/>
                <w:w w:val="92"/>
              </w:rPr>
              <w:t>(25,738)</w:t>
            </w:r>
          </w:p>
        </w:tc>
        <w:tc>
          <w:tcPr>
            <w:tcW w:w="118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72"/>
              <w:spacing w:after="0"/>
              <w:rPr>
                <w:sz w:val="20"/>
                <w:szCs w:val="20"/>
                <w:color w:val="auto"/>
              </w:rPr>
            </w:pPr>
            <w:r>
              <w:rPr>
                <w:rFonts w:ascii="Arial" w:cs="Arial" w:eastAsia="Arial" w:hAnsi="Arial"/>
                <w:sz w:val="18"/>
                <w:szCs w:val="18"/>
                <w:b w:val="1"/>
                <w:bCs w:val="1"/>
                <w:color w:val="auto"/>
              </w:rPr>
              <w:t>20,512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w w:val="92"/>
              </w:rPr>
              <w:t>(13,061)</w:t>
            </w: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2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Supplemental education includes Kaplan’s test preparation, professional training and Score! businesses. The improvement in supplemental education results for 2002 is due mostly to higher enrollments and to a lesser extent, higher prices at Kaplan’s traditional test preparation business (particularly the LSAT, MCAT and GRE prep courses), as well as higher revenues and operating income from Kaplan’s CFA® and real estate licensure preparation services. Score! also contributed to the improved results, with increased enrollment, higher prices and strong cost controls.</w:t>
      </w:r>
    </w:p>
    <w:p>
      <w:pPr>
        <w:spacing w:after="0" w:line="16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Higher education includes all of Kaplan’s post-secondary education businesses, including the fixed-facility colleges that were formerly part of Quest Education, as well as online post-secondary and career programs (various distance-learning businesses). Higher education results are showing significant growth due to student enrollment increases, high student retention rates and several acquisitions.</w:t>
      </w:r>
    </w:p>
    <w:p>
      <w:pPr>
        <w:spacing w:after="0" w:line="194"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Corporate overhead represents unallocated expenses of Kaplan, Inc.’s corporate office, including expenses associated with the design and development of educational software that, if successfully completed, will benefit all of Kaplan’s business units.</w:t>
      </w:r>
    </w:p>
    <w:p>
      <w:pPr>
        <w:spacing w:after="0" w:line="18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Other expense comprises primarily accrued charges for stock-based incentive compensation arising from a stock option plan established for certain members of Kaplan’s management and amortization of certain intangibles. Under the stock-based incentive plan, the amount of compensation expense varies directly with the estimated fair value of Kaplan’s common stock and the number of options outstanding. For 2002 and 2001, the Company recorded expense of $34.5 million and $25.3 million, respectively, related to this plan. The increase in other expense for 2002 is attributable to an increase in stock-based incentive compensation, which is due to an increase in Kaplan’s estimated value.</w:t>
      </w:r>
    </w:p>
    <w:p>
      <w:pPr>
        <w:spacing w:after="0" w:line="191" w:lineRule="exact"/>
        <w:rPr>
          <w:sz w:val="20"/>
          <w:szCs w:val="20"/>
          <w:color w:val="auto"/>
        </w:rPr>
      </w:pPr>
    </w:p>
    <w:p>
      <w:pPr>
        <w:ind w:right="360"/>
        <w:spacing w:after="0" w:line="301" w:lineRule="auto"/>
        <w:rPr>
          <w:sz w:val="20"/>
          <w:szCs w:val="20"/>
          <w:color w:val="auto"/>
        </w:rPr>
      </w:pPr>
      <w:r>
        <w:rPr>
          <w:rFonts w:ascii="Arial" w:cs="Arial" w:eastAsia="Arial" w:hAnsi="Arial"/>
          <w:sz w:val="16"/>
          <w:szCs w:val="16"/>
          <w:b w:val="1"/>
          <w:bCs w:val="1"/>
          <w:color w:val="auto"/>
        </w:rPr>
        <w:t xml:space="preserve">Equity in Losses of Affiliates. </w:t>
      </w:r>
      <w:r>
        <w:rPr>
          <w:rFonts w:ascii="Arial" w:cs="Arial" w:eastAsia="Arial" w:hAnsi="Arial"/>
          <w:sz w:val="16"/>
          <w:szCs w:val="16"/>
          <w:color w:val="auto"/>
        </w:rPr>
        <w:t>The Company’s equity in losses of affiliates for 2002 was $19.3 million, compared to losses of $68.7 million for 2001. The</w:t>
      </w:r>
      <w:r>
        <w:rPr>
          <w:rFonts w:ascii="Arial" w:cs="Arial" w:eastAsia="Arial" w:hAnsi="Arial"/>
          <w:sz w:val="16"/>
          <w:szCs w:val="16"/>
          <w:b w:val="1"/>
          <w:bCs w:val="1"/>
          <w:color w:val="auto"/>
        </w:rPr>
        <w:t xml:space="preserve"> </w:t>
      </w:r>
      <w:r>
        <w:rPr>
          <w:rFonts w:ascii="Arial" w:cs="Arial" w:eastAsia="Arial" w:hAnsi="Arial"/>
          <w:sz w:val="16"/>
          <w:szCs w:val="16"/>
          <w:color w:val="auto"/>
        </w:rPr>
        <w:t>improvements were primarily due to better operating results at BrassRing LLC, which accounted for approximately $13.9 million of 2002 equity in losses of affiliates, compared to $75.1 million in equity losses for 2001. The Company’s affiliate investments at the end of 2002 consisted of a 49.4 percent interest in BrassRing LLC, a 50 percent interest in the International Herald Tribune, and a 49 percent interest in Bowater Mersey Paper Company Limited.</w:t>
      </w:r>
    </w:p>
    <w:p>
      <w:pPr>
        <w:spacing w:after="0" w:line="157"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b w:val="1"/>
          <w:bCs w:val="1"/>
          <w:color w:val="auto"/>
        </w:rPr>
        <w:t xml:space="preserve">Non-Operating Items. </w:t>
      </w:r>
      <w:r>
        <w:rPr>
          <w:rFonts w:ascii="Arial" w:cs="Arial" w:eastAsia="Arial" w:hAnsi="Arial"/>
          <w:sz w:val="16"/>
          <w:szCs w:val="16"/>
          <w:color w:val="auto"/>
        </w:rPr>
        <w:t>The Company recorded other non-operating income, net, of $28.9 million in 2002, compared to $283.7 million of non-operating income,</w:t>
      </w:r>
      <w:r>
        <w:rPr>
          <w:rFonts w:ascii="Arial" w:cs="Arial" w:eastAsia="Arial" w:hAnsi="Arial"/>
          <w:sz w:val="16"/>
          <w:szCs w:val="16"/>
          <w:b w:val="1"/>
          <w:bCs w:val="1"/>
          <w:color w:val="auto"/>
        </w:rPr>
        <w:t xml:space="preserve"> </w:t>
      </w:r>
      <w:r>
        <w:rPr>
          <w:rFonts w:ascii="Arial" w:cs="Arial" w:eastAsia="Arial" w:hAnsi="Arial"/>
          <w:sz w:val="16"/>
          <w:szCs w:val="16"/>
          <w:color w:val="auto"/>
        </w:rPr>
        <w:t>net, for 2001. The 2002 non-operating income includes a pre-tax gain of $27.8 million on the exchange of certain cable systems in the fourth quarter of 2002 and a gain on the sale of marketable securities; these gains were offset by write-downs recorded on certain investments. The 2001 non-operating income mostly comprised gains arising from the sale and exchange of certain cable systems completed in the first quarter of 2001, offset by write-downs recorded on certain investments and a parcel of non-operating land to their estimated fair value.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income (expense) for the years ended December 29, 2002 and December 30, 2001, follows (in millions):</w:t>
      </w:r>
    </w:p>
    <w:p>
      <w:pPr>
        <w:spacing w:after="0" w:line="200" w:lineRule="exact"/>
        <w:rPr>
          <w:sz w:val="20"/>
          <w:szCs w:val="20"/>
          <w:color w:val="auto"/>
        </w:rPr>
      </w:pPr>
    </w:p>
    <w:p>
      <w:pPr>
        <w:spacing w:after="0" w:line="235" w:lineRule="exact"/>
        <w:rPr>
          <w:sz w:val="20"/>
          <w:szCs w:val="20"/>
          <w:color w:val="auto"/>
        </w:rPr>
      </w:pPr>
    </w:p>
    <w:tbl>
      <w:tblPr>
        <w:tblLayout w:type="fixed"/>
        <w:tblInd w:w="286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160" w:type="dxa"/>
            <w:vAlign w:val="bottom"/>
          </w:tcPr>
          <w:p>
            <w:pPr>
              <w:jc w:val="right"/>
              <w:ind w:right="292"/>
              <w:spacing w:after="0"/>
              <w:rPr>
                <w:sz w:val="20"/>
                <w:szCs w:val="20"/>
                <w:color w:val="auto"/>
              </w:rPr>
            </w:pPr>
            <w:r>
              <w:rPr>
                <w:rFonts w:ascii="Arial" w:cs="Arial" w:eastAsia="Arial" w:hAnsi="Arial"/>
                <w:sz w:val="18"/>
                <w:szCs w:val="18"/>
                <w:b w:val="1"/>
                <w:bCs w:val="1"/>
                <w:color w:val="auto"/>
              </w:rPr>
              <w:t>2002</w:t>
            </w:r>
          </w:p>
        </w:tc>
        <w:tc>
          <w:tcPr>
            <w:tcW w:w="1100" w:type="dxa"/>
            <w:vAlign w:val="bottom"/>
          </w:tcPr>
          <w:p>
            <w:pPr>
              <w:jc w:val="right"/>
              <w:ind w:right="192"/>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440" w:type="dxa"/>
            <w:vAlign w:val="bottom"/>
            <w:shd w:val="clear" w:color="auto" w:fill="EEEEEE"/>
          </w:tcPr>
          <w:p>
            <w:pPr>
              <w:spacing w:after="0"/>
              <w:rPr>
                <w:sz w:val="20"/>
                <w:szCs w:val="20"/>
                <w:color w:val="auto"/>
              </w:rPr>
            </w:pPr>
            <w:r>
              <w:rPr>
                <w:rFonts w:ascii="Arial" w:cs="Arial" w:eastAsia="Arial" w:hAnsi="Arial"/>
                <w:sz w:val="18"/>
                <w:szCs w:val="18"/>
                <w:color w:val="auto"/>
              </w:rPr>
              <w:t>Gain on sale or exchange of cable system</w:t>
            </w:r>
          </w:p>
        </w:tc>
        <w:tc>
          <w:tcPr>
            <w:tcW w:w="1160" w:type="dxa"/>
            <w:vAlign w:val="bottom"/>
            <w:vMerge w:val="restart"/>
            <w:shd w:val="clear" w:color="auto" w:fill="EEEEEE"/>
          </w:tcPr>
          <w:p>
            <w:pPr>
              <w:jc w:val="right"/>
              <w:ind w:right="292"/>
              <w:spacing w:after="0"/>
              <w:rPr>
                <w:sz w:val="20"/>
                <w:szCs w:val="20"/>
                <w:color w:val="auto"/>
              </w:rPr>
            </w:pPr>
            <w:r>
              <w:rPr>
                <w:rFonts w:ascii="Arial" w:cs="Arial" w:eastAsia="Arial" w:hAnsi="Arial"/>
                <w:sz w:val="18"/>
                <w:szCs w:val="18"/>
                <w:b w:val="1"/>
                <w:bCs w:val="1"/>
                <w:color w:val="auto"/>
              </w:rPr>
              <w:t>$ 27.8</w:t>
            </w:r>
          </w:p>
        </w:tc>
        <w:tc>
          <w:tcPr>
            <w:tcW w:w="1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businesses</w:t>
            </w:r>
          </w:p>
        </w:tc>
        <w:tc>
          <w:tcPr>
            <w:tcW w:w="1160" w:type="dxa"/>
            <w:vAlign w:val="bottom"/>
            <w:vMerge w:val="continue"/>
            <w:shd w:val="clear" w:color="auto" w:fill="EEEEEE"/>
          </w:tcPr>
          <w:p>
            <w:pPr>
              <w:spacing w:after="0"/>
              <w:rPr>
                <w:sz w:val="19"/>
                <w:szCs w:val="19"/>
                <w:color w:val="auto"/>
              </w:rPr>
            </w:pPr>
          </w:p>
        </w:tc>
        <w:tc>
          <w:tcPr>
            <w:tcW w:w="110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rPr>
              <w:t>$321.1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w w:val="96"/>
              </w:rPr>
              <w:t>Gain (loss) on sales of marketable securities</w:t>
            </w:r>
          </w:p>
        </w:tc>
        <w:tc>
          <w:tcPr>
            <w:tcW w:w="1160" w:type="dxa"/>
            <w:vAlign w:val="bottom"/>
          </w:tcPr>
          <w:p>
            <w:pPr>
              <w:jc w:val="right"/>
              <w:ind w:right="292"/>
              <w:spacing w:after="0"/>
              <w:rPr>
                <w:sz w:val="20"/>
                <w:szCs w:val="20"/>
                <w:color w:val="auto"/>
              </w:rPr>
            </w:pPr>
            <w:r>
              <w:rPr>
                <w:rFonts w:ascii="Arial" w:cs="Arial" w:eastAsia="Arial" w:hAnsi="Arial"/>
                <w:sz w:val="18"/>
                <w:szCs w:val="18"/>
                <w:b w:val="1"/>
                <w:bCs w:val="1"/>
                <w:color w:val="auto"/>
              </w:rPr>
              <w:t>13.2</w:t>
            </w: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40" w:type="dxa"/>
            <w:vAlign w:val="bottom"/>
            <w:shd w:val="clear" w:color="auto" w:fill="EEEEEE"/>
          </w:tcPr>
          <w:p>
            <w:pPr>
              <w:spacing w:after="0"/>
              <w:rPr>
                <w:sz w:val="20"/>
                <w:szCs w:val="20"/>
                <w:color w:val="auto"/>
              </w:rPr>
            </w:pPr>
            <w:r>
              <w:rPr>
                <w:rFonts w:ascii="Arial" w:cs="Arial" w:eastAsia="Arial" w:hAnsi="Arial"/>
                <w:sz w:val="18"/>
                <w:szCs w:val="18"/>
                <w:color w:val="auto"/>
                <w:w w:val="96"/>
              </w:rPr>
              <w:t>Impairment write-downs on cost method and</w:t>
            </w:r>
          </w:p>
        </w:tc>
        <w:tc>
          <w:tcPr>
            <w:tcW w:w="1160" w:type="dxa"/>
            <w:vAlign w:val="bottom"/>
            <w:vMerge w:val="restart"/>
            <w:shd w:val="clear" w:color="auto" w:fill="EEEEEE"/>
          </w:tcPr>
          <w:p>
            <w:pPr>
              <w:jc w:val="right"/>
              <w:ind w:right="232"/>
              <w:spacing w:after="0"/>
              <w:rPr>
                <w:sz w:val="20"/>
                <w:szCs w:val="20"/>
                <w:color w:val="auto"/>
              </w:rPr>
            </w:pPr>
            <w:r>
              <w:rPr>
                <w:rFonts w:ascii="Arial" w:cs="Arial" w:eastAsia="Arial" w:hAnsi="Arial"/>
                <w:sz w:val="18"/>
                <w:szCs w:val="18"/>
                <w:b w:val="1"/>
                <w:bCs w:val="1"/>
                <w:color w:val="auto"/>
              </w:rPr>
              <w:t>(21.2)</w:t>
            </w:r>
          </w:p>
        </w:tc>
        <w:tc>
          <w:tcPr>
            <w:tcW w:w="1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other investments</w:t>
            </w:r>
          </w:p>
        </w:tc>
        <w:tc>
          <w:tcPr>
            <w:tcW w:w="1160" w:type="dxa"/>
            <w:vAlign w:val="bottom"/>
            <w:vMerge w:val="continue"/>
            <w:shd w:val="clear" w:color="auto" w:fill="EEEEEE"/>
          </w:tcPr>
          <w:p>
            <w:pPr>
              <w:spacing w:after="0"/>
              <w:rPr>
                <w:sz w:val="19"/>
                <w:szCs w:val="19"/>
                <w:color w:val="auto"/>
              </w:rPr>
            </w:pPr>
          </w:p>
        </w:tc>
        <w:tc>
          <w:tcPr>
            <w:tcW w:w="1100" w:type="dxa"/>
            <w:vAlign w:val="bottom"/>
            <w:shd w:val="clear" w:color="auto" w:fill="EEEEEE"/>
          </w:tcPr>
          <w:p>
            <w:pPr>
              <w:jc w:val="right"/>
              <w:ind w:right="132"/>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w w:val="93"/>
              </w:rPr>
              <w:t>Impairment write-down of non-operating asset</w:t>
            </w:r>
          </w:p>
        </w:tc>
        <w:tc>
          <w:tcPr>
            <w:tcW w:w="1160" w:type="dxa"/>
            <w:vAlign w:val="bottom"/>
          </w:tcPr>
          <w:p>
            <w:pPr>
              <w:jc w:val="right"/>
              <w:ind w:right="292"/>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1160" w:type="dxa"/>
            <w:vAlign w:val="bottom"/>
            <w:shd w:val="clear" w:color="auto" w:fill="EEEEEE"/>
          </w:tcPr>
          <w:p>
            <w:pPr>
              <w:jc w:val="right"/>
              <w:ind w:right="292"/>
              <w:spacing w:after="0"/>
              <w:rPr>
                <w:sz w:val="20"/>
                <w:szCs w:val="20"/>
                <w:color w:val="auto"/>
              </w:rPr>
            </w:pPr>
            <w:r>
              <w:rPr>
                <w:rFonts w:ascii="Arial" w:cs="Arial" w:eastAsia="Arial" w:hAnsi="Arial"/>
                <w:sz w:val="18"/>
                <w:szCs w:val="18"/>
                <w:b w:val="1"/>
                <w:bCs w:val="1"/>
                <w:color w:val="auto"/>
              </w:rPr>
              <w:t>9.1</w:t>
            </w:r>
          </w:p>
        </w:tc>
        <w:tc>
          <w:tcPr>
            <w:tcW w:w="1100" w:type="dxa"/>
            <w:vAlign w:val="bottom"/>
            <w:shd w:val="clear" w:color="auto" w:fill="EEEEEE"/>
          </w:tcPr>
          <w:p>
            <w:pPr>
              <w:jc w:val="right"/>
              <w:ind w:right="13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440" w:type="dxa"/>
            <w:vAlign w:val="bottom"/>
          </w:tcPr>
          <w:p>
            <w:pPr>
              <w:ind w:left="120"/>
              <w:spacing w:after="0"/>
              <w:rPr>
                <w:sz w:val="20"/>
                <w:szCs w:val="20"/>
                <w:color w:val="auto"/>
              </w:rPr>
            </w:pPr>
            <w:r>
              <w:rPr>
                <w:rFonts w:ascii="Arial" w:cs="Arial" w:eastAsia="Arial" w:hAnsi="Arial"/>
                <w:sz w:val="18"/>
                <w:szCs w:val="18"/>
                <w:color w:val="auto"/>
              </w:rPr>
              <w:t>Total</w:t>
            </w:r>
          </w:p>
        </w:tc>
        <w:tc>
          <w:tcPr>
            <w:tcW w:w="1160" w:type="dxa"/>
            <w:vAlign w:val="bottom"/>
          </w:tcPr>
          <w:p>
            <w:pPr>
              <w:jc w:val="right"/>
              <w:ind w:right="292"/>
              <w:spacing w:after="0"/>
              <w:rPr>
                <w:sz w:val="20"/>
                <w:szCs w:val="20"/>
                <w:color w:val="auto"/>
              </w:rPr>
            </w:pPr>
            <w:r>
              <w:rPr>
                <w:rFonts w:ascii="Arial" w:cs="Arial" w:eastAsia="Arial" w:hAnsi="Arial"/>
                <w:sz w:val="18"/>
                <w:szCs w:val="18"/>
                <w:b w:val="1"/>
                <w:bCs w:val="1"/>
                <w:color w:val="auto"/>
              </w:rPr>
              <w:t>$ 28.9</w:t>
            </w:r>
          </w:p>
        </w:tc>
        <w:tc>
          <w:tcPr>
            <w:tcW w:w="1100" w:type="dxa"/>
            <w:vAlign w:val="bottom"/>
          </w:tcPr>
          <w:p>
            <w:pPr>
              <w:jc w:val="right"/>
              <w:ind w:right="192"/>
              <w:spacing w:after="0"/>
              <w:rPr>
                <w:sz w:val="20"/>
                <w:szCs w:val="20"/>
                <w:color w:val="auto"/>
              </w:rPr>
            </w:pPr>
            <w:r>
              <w:rPr>
                <w:rFonts w:ascii="Arial" w:cs="Arial" w:eastAsia="Arial" w:hAnsi="Arial"/>
                <w:sz w:val="18"/>
                <w:szCs w:val="18"/>
                <w:color w:val="auto"/>
              </w:rPr>
              <w:t>$283.7</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440" w:type="dxa"/>
            <w:vAlign w:val="bottom"/>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The Company incurred net interest expense of $33.5 million in 2002, compared to $47.5 million in 2001. At December 29, 2002, the Company had</w:t>
      </w:r>
    </w:p>
    <w:p>
      <w:pPr>
        <w:spacing w:after="0" w:line="38"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$664.8 million in borrowings outstanding at an average interest rate of 4.0 percent; at December 30, 2001, the Company had $933.1 million in borrowings outstanding.</w:t>
      </w:r>
    </w:p>
    <w:p>
      <w:pPr>
        <w:sectPr>
          <w:pgSz w:w="11900" w:h="16838" w:orient="portrait"/>
          <w:cols w:equalWidth="0" w:num="1">
            <w:col w:w="11380"/>
          </w:cols>
          <w:pgMar w:left="240" w:top="941" w:right="279" w:bottom="168" w:gutter="0" w:footer="0" w:header="0"/>
        </w:sectPr>
      </w:pPr>
    </w:p>
    <w:bookmarkStart w:id="39" w:name="page40"/>
    <w:bookmarkEnd w:id="39"/>
    <w:p>
      <w:pPr>
        <w:spacing w:after="0" w:line="301"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The effective tax rate was 38.8 percent for 2002, compared to 40.7 percent for 2001. Excluding the effect of the cable gain transactions,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effective rate approximated 38.7 percent for 2002 and 50.2 percent for 2001. The effective tax rate for 2002 declined primarily because the Company no longer has any permanent difference from goodwill amortization not deductible for tax purposes as a result of the adoption of SFAS 142. The Company’s effective tax rate also has declined due to an increase in operating earnings and a decrease in the overall state tax rate.</w:t>
      </w:r>
    </w:p>
    <w:p>
      <w:pPr>
        <w:spacing w:after="0" w:line="157"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color w:val="auto"/>
        </w:rPr>
        <w:t xml:space="preserve">Cumulative Effect of Change in Accounting Principle. </w:t>
      </w:r>
      <w:r>
        <w:rPr>
          <w:rFonts w:ascii="Arial" w:cs="Arial" w:eastAsia="Arial" w:hAnsi="Arial"/>
          <w:sz w:val="18"/>
          <w:szCs w:val="18"/>
          <w:color w:val="auto"/>
        </w:rPr>
        <w:t>In 2002, the Company completed its SFAS 142 transitional goodwill impairment test, resulting in an</w:t>
      </w:r>
      <w:r>
        <w:rPr>
          <w:rFonts w:ascii="Arial" w:cs="Arial" w:eastAsia="Arial" w:hAnsi="Arial"/>
          <w:sz w:val="18"/>
          <w:szCs w:val="18"/>
          <w:b w:val="1"/>
          <w:bCs w:val="1"/>
          <w:color w:val="auto"/>
        </w:rPr>
        <w:t xml:space="preserve"> </w:t>
      </w:r>
      <w:r>
        <w:rPr>
          <w:rFonts w:ascii="Arial" w:cs="Arial" w:eastAsia="Arial" w:hAnsi="Arial"/>
          <w:sz w:val="18"/>
          <w:szCs w:val="18"/>
          <w:color w:val="auto"/>
        </w:rPr>
        <w:t>after-tax impairment loss of $12.1 million, or $1.27 per share, related to PostNewsweek Tech Media (part of the magazine publishing segment). This loss is included in the Company’s 2002 results as a cumulative effect of change in accounting principle.</w:t>
      </w:r>
    </w:p>
    <w:p>
      <w:pPr>
        <w:spacing w:after="0" w:line="200" w:lineRule="exact"/>
        <w:rPr>
          <w:sz w:val="20"/>
          <w:szCs w:val="20"/>
          <w:color w:val="auto"/>
        </w:rPr>
      </w:pPr>
    </w:p>
    <w:p>
      <w:pPr>
        <w:spacing w:after="0" w:line="23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Acquisitions, Exchanges and Dispositions. </w:t>
      </w:r>
      <w:r>
        <w:rPr>
          <w:rFonts w:ascii="Arial" w:cs="Arial" w:eastAsia="Arial" w:hAnsi="Arial"/>
          <w:sz w:val="16"/>
          <w:szCs w:val="16"/>
          <w:color w:val="auto"/>
        </w:rPr>
        <w:t>During 2003, Kaplan acquired 13 businesses in its higher education and professional divisions for a total of</w:t>
      </w:r>
    </w:p>
    <w:p>
      <w:pPr>
        <w:spacing w:after="0" w:line="4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$166.8 million, financed through cash and debt, with $36.7 million remaining to be paid. The largest of these was the March 2003 acquisition of the stock of Financial Training Company (FTC), for £55.3 million ($87.4 million). Headquartered in London, FTC provides test preparation services for accountants and financial services professionals, with 28 training centers in the United Kingdom as well as operations in Asia. This acquisition was financed through cash and debt, and $29.7 million remains to be paid, primarily to employees of the business. In November 2003, Kaplan acquired Dublin Business School, Ireland’s largest private undergraduate institution, serving approximately 5,000 students. Most of the purchase price for the 2003 Kaplan acquisitions was allocated to goodwill and other intangibles and property, plant and equipment.</w:t>
      </w:r>
    </w:p>
    <w:p>
      <w:pPr>
        <w:spacing w:after="0" w:line="202"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In addition, the cable division acquired three additional systems in 2003 for $2.8 million. Most of the purchase price for these acquisitions was allocated to franchise agreements, an indefinite-lived intangible asset.</w:t>
      </w:r>
    </w:p>
    <w:p>
      <w:pPr>
        <w:spacing w:after="0" w:line="18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On January 1, 2003, the Company sold its 50 percent interest in the International Herald Tribune for $65 million and the Company recorded an after-tax non-operating gain of $32.3 million ($3.38 per share) in the first quarter of 2003.</w:t>
      </w:r>
    </w:p>
    <w:p>
      <w:pPr>
        <w:spacing w:after="0" w:line="18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During 2002, Kaplan acquired several businesses in its higher education and test preparation divisions for approximately $42.2 million. In November 2002, the Company completed a cable system exchange transaction with Time Warner Cable which consisted of the exchange by the Company of its cable system in Akron, Ohio serving about 15,500 subscribers, and $5.2 million to Time Warner Cable, for cable systems serving about 20,300 subscribers in Kansas. The non-cash, non-operating gain resulting from the exchange transaction increased net income by $16.7 million, or $1.75 per share.</w:t>
      </w:r>
    </w:p>
    <w:p>
      <w:pPr>
        <w:spacing w:after="0" w:line="16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During 2001, the Company completed acquisitions and exchanges totaling $422.8 million (including estimated fair value of cable systems surrendered). These principally included the purchase of Southern Maryland Newspapers, a division of Chesapeake Publishing Corporation, and a cable system exchange with AT&amp;T Broadband. During 2001, the Company also acquired a provider of CFA® exam preparation services and a company that provides pre-certification training for real estate, insurance and securities professionals.</w:t>
      </w:r>
    </w:p>
    <w:p>
      <w:pPr>
        <w:spacing w:after="0" w:line="19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Southern Maryland Newspapers publishes the Maryland Independent in Charles County, Maryland; The Enterprise in St. Mary’s County, Maryland; and The Calvert Recorder in Calvert County, Maryland, with a combined total paid circulation of approximately 50,000.</w:t>
      </w:r>
    </w:p>
    <w:p>
      <w:pPr>
        <w:spacing w:after="0" w:line="18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cable system exchange with AT&amp;T Broadband was completed in March 2001 and consisted of the exchange by the Company of its cable systems in Modesto and Santa Rosa, California, and approximately $42.0 million to AT&amp;T Broadband for cable systems serving approximately 155,000 subscribers principally located in Idaho. In a related transaction in January 2001, the Company completed the sale of a cable system serving about 15,000 subscribers in Greenwood, Indiana, for $61.9 million. The gain resulting from the cable system sale and exchange transactions increased net income by $196.5 million, or $20.69 per share. For income tax purposes, substantial components of the cable system sale and exchange transactions qualify as like-kind exchanges and therefore, a large portion of these transactions does not result in a current tax liability.</w:t>
      </w:r>
    </w:p>
    <w:p>
      <w:pPr>
        <w:spacing w:after="0" w:line="16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auto"/>
        </w:rPr>
        <w:t xml:space="preserve">Capital Expenditures. </w:t>
      </w:r>
      <w:r>
        <w:rPr>
          <w:rFonts w:ascii="Arial" w:cs="Arial" w:eastAsia="Arial" w:hAnsi="Arial"/>
          <w:sz w:val="18"/>
          <w:szCs w:val="18"/>
          <w:color w:val="auto"/>
        </w:rPr>
        <w:t>During 2003, the Company’s capital expenditures totaled $125.6 million. The Company’s capital expenditures for 2003, 2002 and 2001</w:t>
      </w:r>
      <w:r>
        <w:rPr>
          <w:rFonts w:ascii="Arial" w:cs="Arial" w:eastAsia="Arial" w:hAnsi="Arial"/>
          <w:sz w:val="18"/>
          <w:szCs w:val="18"/>
          <w:b w:val="1"/>
          <w:bCs w:val="1"/>
          <w:color w:val="auto"/>
        </w:rPr>
        <w:t xml:space="preserve"> </w:t>
      </w:r>
      <w:r>
        <w:rPr>
          <w:rFonts w:ascii="Arial" w:cs="Arial" w:eastAsia="Arial" w:hAnsi="Arial"/>
          <w:sz w:val="18"/>
          <w:szCs w:val="18"/>
          <w:color w:val="auto"/>
        </w:rPr>
        <w:t>are disclosed in Note N to the Consolidated Financial Statements. The Company estimates that its capital expenditures will be in the range of $200 million to $225 million in 2004.</w:t>
      </w:r>
    </w:p>
    <w:p>
      <w:pPr>
        <w:spacing w:after="0" w:line="186"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 xml:space="preserve">Kaplan Stock Compensation Plan. </w:t>
      </w:r>
      <w:r>
        <w:rPr>
          <w:rFonts w:ascii="Arial" w:cs="Arial" w:eastAsia="Arial" w:hAnsi="Arial"/>
          <w:sz w:val="18"/>
          <w:szCs w:val="18"/>
          <w:color w:val="auto"/>
        </w:rPr>
        <w:t>As discussed above, in connection with the Company’s September 2003 offer totaling $138 million for approximately 55</w:t>
      </w:r>
      <w:r>
        <w:rPr>
          <w:rFonts w:ascii="Arial" w:cs="Arial" w:eastAsia="Arial" w:hAnsi="Arial"/>
          <w:sz w:val="18"/>
          <w:szCs w:val="18"/>
          <w:b w:val="1"/>
          <w:bCs w:val="1"/>
          <w:color w:val="auto"/>
        </w:rPr>
        <w:t xml:space="preserve"> </w:t>
      </w:r>
      <w:r>
        <w:rPr>
          <w:rFonts w:ascii="Arial" w:cs="Arial" w:eastAsia="Arial" w:hAnsi="Arial"/>
          <w:sz w:val="18"/>
          <w:szCs w:val="18"/>
          <w:color w:val="auto"/>
        </w:rPr>
        <w:t>percent of the stock options outstanding at Kaplan, the Company paid out $118.7 million in the fourth quarter of 2003.</w:t>
      </w:r>
    </w:p>
    <w:p>
      <w:pPr>
        <w:spacing w:after="0" w:line="174"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b w:val="1"/>
          <w:bCs w:val="1"/>
          <w:color w:val="auto"/>
        </w:rPr>
        <w:t xml:space="preserve">Investments in Marketable Equity Securities. </w:t>
      </w:r>
      <w:r>
        <w:rPr>
          <w:rFonts w:ascii="Arial" w:cs="Arial" w:eastAsia="Arial" w:hAnsi="Arial"/>
          <w:sz w:val="18"/>
          <w:szCs w:val="18"/>
          <w:color w:val="auto"/>
        </w:rPr>
        <w:t>At December 28, 2003, the fair value of the Company’s investments in marketable equity securities was $248.0</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which includes $245.3 million in Berkshire Hathaway Inc. Class A and B common stock and $2.7 million of various common stocks of publicly traded companies with e-commerce business concentrations.</w:t>
      </w:r>
    </w:p>
    <w:p>
      <w:pPr>
        <w:spacing w:after="0" w:line="192" w:lineRule="exact"/>
        <w:rPr>
          <w:sz w:val="20"/>
          <w:szCs w:val="20"/>
          <w:color w:val="auto"/>
        </w:rPr>
      </w:pPr>
    </w:p>
    <w:p>
      <w:pPr>
        <w:jc w:val="both"/>
        <w:ind w:right="100"/>
        <w:spacing w:after="0" w:line="332" w:lineRule="auto"/>
        <w:rPr>
          <w:sz w:val="20"/>
          <w:szCs w:val="20"/>
          <w:color w:val="auto"/>
        </w:rPr>
      </w:pPr>
      <w:r>
        <w:rPr>
          <w:rFonts w:ascii="Arial" w:cs="Arial" w:eastAsia="Arial" w:hAnsi="Arial"/>
          <w:sz w:val="16"/>
          <w:szCs w:val="16"/>
          <w:color w:val="auto"/>
        </w:rPr>
        <w:t>At December 28, 2003, the gross unrealized gain related to the Company’s Berkshire Hathaway Inc. stock investment totaled $60.4 million; the gross unrealized gain on this investment was $29.9 million at December 29, 2002. The Company presently intends to hold the Berkshire Hathaway stock long term.</w:t>
      </w:r>
    </w:p>
    <w:p>
      <w:pPr>
        <w:spacing w:after="0" w:line="13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Cost Method Investments. </w:t>
      </w:r>
      <w:r>
        <w:rPr>
          <w:rFonts w:ascii="Arial" w:cs="Arial" w:eastAsia="Arial" w:hAnsi="Arial"/>
          <w:sz w:val="18"/>
          <w:szCs w:val="18"/>
          <w:color w:val="auto"/>
        </w:rPr>
        <w:t>At December 28, 2003 and December 29, 2002, the Company held minority investments in various non-public companies.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represented by these investments have products or services that in most cases have potential strategic relevance to the Company’s operating units. The Company records its investment in these companies at the lower of cost or estimated fair value. During 2003 and 2002, the Company invested $0.8 million and $0.3 million, respectively, in various cost method investees. At December 28, 2003 and December 29, 2002, the carrying value of the Company’s cost method investments totaled $9.6 million and $9.5 million, respectively.</w:t>
      </w:r>
    </w:p>
    <w:p>
      <w:pPr>
        <w:spacing w:after="0" w:line="193"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b w:val="1"/>
          <w:bCs w:val="1"/>
          <w:color w:val="auto"/>
        </w:rPr>
        <w:t xml:space="preserve">Common Stock Repurchases and Dividend Rate. </w:t>
      </w:r>
      <w:r>
        <w:rPr>
          <w:rFonts w:ascii="Arial" w:cs="Arial" w:eastAsia="Arial" w:hAnsi="Arial"/>
          <w:sz w:val="18"/>
          <w:szCs w:val="18"/>
          <w:color w:val="auto"/>
        </w:rPr>
        <w:t>During 2003, 2002 and 2001, the Company repurchased 910 shares, 1,229 shares and 714 shares,</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of its Class B common stock at a cost of $0.7 million, $0.8 million and $0.4 million. At December 28, 2003, the Company had authorization from the Board of Directors to purchase up to 542,800 shares of Class B common stock. The annual dividend rate for 2004 was increased to $7.00 per share, from $5.80 per share in 2003, and from $5.60 per share in 2002.</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color w:val="auto"/>
        </w:rPr>
        <w:t xml:space="preserve">Liquidity. </w:t>
      </w:r>
      <w:r>
        <w:rPr>
          <w:rFonts w:ascii="Arial" w:cs="Arial" w:eastAsia="Arial" w:hAnsi="Arial"/>
          <w:sz w:val="16"/>
          <w:szCs w:val="16"/>
          <w:color w:val="auto"/>
        </w:rPr>
        <w:t>At December 28, 2003, the Company had $87.4 million in cash and cash equivalents, compared to $28.8 million at December 29, 2002.</w:t>
      </w:r>
    </w:p>
    <w:p>
      <w:pPr>
        <w:spacing w:after="0" w:line="254"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At December 28, 2003, the Company had $188.3 million in commercial paper borrowings outstanding at an average interest rate of 1.1 percent with various maturities through the first quarter of 2004. In addition, the Company had outstanding $398.7 million of 5.5 percent, 10-year unsecured notes due February 2009. These notes require semiannual interest payments of $11.0 million payable on February 15 and August 15. The Company also had $44.1 million in other debt.</w:t>
      </w:r>
    </w:p>
    <w:p>
      <w:pPr>
        <w:spacing w:after="0" w:line="14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2003, the Company’s borrowings, net of repayments, decreased by $33.7 million, with the decrease primarily due to cash flow from operations. While the Company paid down $71.0 million in commercial paper borrowings during 2003, the Company also partially financed $36.7 million in acquisitions during this period.</w:t>
      </w:r>
    </w:p>
    <w:p>
      <w:pPr>
        <w:spacing w:after="0" w:line="194"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During the third quarter of 2003, the Company replaced its $350 million 364-day revolving credit facility with a new $250 million revolving credit facility, which expires in August 2004. The Company’s five-year $350 million revolving credit facility, which expires in August 2007, remains in effect. These revolving credit facility agreements support the issuance of the Company’s short-term commercial paper and provide for general corporate purposes.</w:t>
      </w:r>
    </w:p>
    <w:p>
      <w:pPr>
        <w:spacing w:after="0" w:line="16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During 2003 and 2002, the Company had average borrowings outstanding of approximately $605.7 million and $793.7 million, respectively, at average annual interest rates of approximately 4.2 percent and 3.7 percent, respectively. The Company incurred net interest expense on borrowings of $26.9 million and $33.5 million during 2003 and 2002, respectively.</w:t>
      </w:r>
    </w:p>
    <w:p>
      <w:pPr>
        <w:spacing w:after="0" w:line="19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At December 28, 2003 and December 29, 2002, the Company had a working capital deficit of $216.0 million and $353.2 million, respectively. The Company maintains working capital levels consistent with its underlying business requirements and consistently generates cash from operations in excess of required interest or principal payments. The Company has classified all of its commercial paper borrowing obligations as a current liability at December 28, 2003 and December 29, 2002, as the Company intends to pay down commercial paper borrowings from operating cash flow. However, the Company continues to maintain the ability to refinance such obligations on a long-term basis through new debt issuance and/or its revolving credit facility agreements.</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net cash provided by operating activities, as reported in the Company’s Consolidated Statements of Cash Flows, was $337.7 million in 2003 as compared to $497.5 million in 2002. The decline is primarily due to significant payments for Kaplan stock options in 2003, and a large increase in the company’s income tax payments in 2003.</w:t>
      </w:r>
    </w:p>
    <w:p>
      <w:pPr>
        <w:spacing w:after="0" w:line="19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Company expects to fund its estimated capital needs primarily through internally generated funds and, to a lesser extent, commercial paper borrowings. In management’s opinion, the Company will have ample liquidity to meet its various cash needs in 2004.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reflects a summary of the Company’s contractual obligations and commercial commitments as of December 28, 2003: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20" w:type="dxa"/>
            <w:vAlign w:val="bottom"/>
            <w:gridSpan w:val="3"/>
          </w:tcPr>
          <w:p>
            <w:pPr>
              <w:spacing w:after="0"/>
              <w:rPr>
                <w:sz w:val="20"/>
                <w:szCs w:val="20"/>
                <w:color w:val="auto"/>
              </w:rPr>
            </w:pPr>
            <w:r>
              <w:rPr>
                <w:rFonts w:ascii="Arial" w:cs="Arial" w:eastAsia="Arial" w:hAnsi="Arial"/>
                <w:sz w:val="18"/>
                <w:szCs w:val="18"/>
                <w:b w:val="1"/>
                <w:bCs w:val="1"/>
                <w:color w:val="auto"/>
              </w:rPr>
              <w:t>Contractual Obligations</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520" w:type="dxa"/>
            <w:vAlign w:val="bottom"/>
            <w:gridSpan w:val="3"/>
          </w:tcPr>
          <w:p>
            <w:pPr>
              <w:spacing w:after="0"/>
              <w:rPr>
                <w:sz w:val="20"/>
                <w:szCs w:val="20"/>
                <w:color w:val="auto"/>
              </w:rPr>
            </w:pPr>
            <w:r>
              <w:rPr>
                <w:rFonts w:ascii="Arial" w:cs="Arial" w:eastAsia="Arial" w:hAnsi="Arial"/>
                <w:sz w:val="18"/>
                <w:szCs w:val="18"/>
                <w:b w:val="1"/>
                <w:bCs w:val="1"/>
                <w:color w:val="auto"/>
              </w:rPr>
              <w:t>(in thousands)</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60" w:type="dxa"/>
            <w:vAlign w:val="bottom"/>
          </w:tcPr>
          <w:p>
            <w:pPr>
              <w:jc w:val="right"/>
              <w:ind w:right="192"/>
              <w:spacing w:after="0"/>
              <w:rPr>
                <w:sz w:val="20"/>
                <w:szCs w:val="20"/>
                <w:color w:val="auto"/>
              </w:rPr>
            </w:pPr>
            <w:r>
              <w:rPr>
                <w:rFonts w:ascii="Arial" w:cs="Arial" w:eastAsia="Arial" w:hAnsi="Arial"/>
                <w:sz w:val="18"/>
                <w:szCs w:val="18"/>
                <w:b w:val="1"/>
                <w:bCs w:val="1"/>
                <w:color w:val="auto"/>
              </w:rPr>
              <w:t>2004</w:t>
            </w:r>
          </w:p>
        </w:tc>
        <w:tc>
          <w:tcPr>
            <w:tcW w:w="220" w:type="dxa"/>
            <w:vAlign w:val="bottom"/>
          </w:tcPr>
          <w:p>
            <w:pPr>
              <w:spacing w:after="0"/>
              <w:rPr>
                <w:sz w:val="24"/>
                <w:szCs w:val="24"/>
                <w:color w:val="auto"/>
              </w:rPr>
            </w:pPr>
          </w:p>
        </w:tc>
        <w:tc>
          <w:tcPr>
            <w:tcW w:w="720" w:type="dxa"/>
            <w:vAlign w:val="bottom"/>
          </w:tcPr>
          <w:p>
            <w:pPr>
              <w:jc w:val="right"/>
              <w:ind w:right="192"/>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4"/>
                <w:szCs w:val="24"/>
                <w:color w:val="auto"/>
              </w:rPr>
            </w:pPr>
          </w:p>
        </w:tc>
        <w:tc>
          <w:tcPr>
            <w:tcW w:w="740" w:type="dxa"/>
            <w:vAlign w:val="bottom"/>
          </w:tcPr>
          <w:p>
            <w:pPr>
              <w:jc w:val="right"/>
              <w:ind w:right="192"/>
              <w:spacing w:after="0"/>
              <w:rPr>
                <w:sz w:val="20"/>
                <w:szCs w:val="20"/>
                <w:color w:val="auto"/>
              </w:rPr>
            </w:pPr>
            <w:r>
              <w:rPr>
                <w:rFonts w:ascii="Arial" w:cs="Arial" w:eastAsia="Arial" w:hAnsi="Arial"/>
                <w:sz w:val="18"/>
                <w:szCs w:val="18"/>
                <w:b w:val="1"/>
                <w:bCs w:val="1"/>
                <w:color w:val="auto"/>
              </w:rPr>
              <w:t>2006</w:t>
            </w:r>
          </w:p>
        </w:tc>
        <w:tc>
          <w:tcPr>
            <w:tcW w:w="240" w:type="dxa"/>
            <w:vAlign w:val="bottom"/>
          </w:tcPr>
          <w:p>
            <w:pPr>
              <w:spacing w:after="0"/>
              <w:rPr>
                <w:sz w:val="24"/>
                <w:szCs w:val="24"/>
                <w:color w:val="auto"/>
              </w:rPr>
            </w:pPr>
          </w:p>
        </w:tc>
        <w:tc>
          <w:tcPr>
            <w:tcW w:w="720" w:type="dxa"/>
            <w:vAlign w:val="bottom"/>
          </w:tcPr>
          <w:p>
            <w:pPr>
              <w:jc w:val="right"/>
              <w:ind w:right="192"/>
              <w:spacing w:after="0"/>
              <w:rPr>
                <w:sz w:val="20"/>
                <w:szCs w:val="20"/>
                <w:color w:val="auto"/>
              </w:rPr>
            </w:pPr>
            <w:r>
              <w:rPr>
                <w:rFonts w:ascii="Arial" w:cs="Arial" w:eastAsia="Arial" w:hAnsi="Arial"/>
                <w:sz w:val="18"/>
                <w:szCs w:val="18"/>
                <w:b w:val="1"/>
                <w:bCs w:val="1"/>
                <w:color w:val="auto"/>
              </w:rPr>
              <w:t>2007</w:t>
            </w:r>
          </w:p>
        </w:tc>
        <w:tc>
          <w:tcPr>
            <w:tcW w:w="240" w:type="dxa"/>
            <w:vAlign w:val="bottom"/>
          </w:tcPr>
          <w:p>
            <w:pPr>
              <w:spacing w:after="0"/>
              <w:rPr>
                <w:sz w:val="24"/>
                <w:szCs w:val="24"/>
                <w:color w:val="auto"/>
              </w:rPr>
            </w:pPr>
          </w:p>
        </w:tc>
        <w:tc>
          <w:tcPr>
            <w:tcW w:w="840" w:type="dxa"/>
            <w:vAlign w:val="bottom"/>
          </w:tcPr>
          <w:p>
            <w:pPr>
              <w:jc w:val="right"/>
              <w:ind w:right="312"/>
              <w:spacing w:after="0"/>
              <w:rPr>
                <w:sz w:val="20"/>
                <w:szCs w:val="20"/>
                <w:color w:val="auto"/>
              </w:rPr>
            </w:pPr>
            <w:r>
              <w:rPr>
                <w:rFonts w:ascii="Arial" w:cs="Arial" w:eastAsia="Arial" w:hAnsi="Arial"/>
                <w:sz w:val="18"/>
                <w:szCs w:val="18"/>
                <w:b w:val="1"/>
                <w:bCs w:val="1"/>
                <w:color w:val="auto"/>
              </w:rPr>
              <w:t>2008</w:t>
            </w:r>
          </w:p>
        </w:tc>
        <w:tc>
          <w:tcPr>
            <w:tcW w:w="1340" w:type="dxa"/>
            <w:vAlign w:val="bottom"/>
            <w:gridSpan w:val="2"/>
          </w:tcPr>
          <w:p>
            <w:pPr>
              <w:jc w:val="right"/>
              <w:ind w:right="172"/>
              <w:spacing w:after="0"/>
              <w:rPr>
                <w:sz w:val="20"/>
                <w:szCs w:val="20"/>
                <w:color w:val="auto"/>
              </w:rPr>
            </w:pPr>
            <w:r>
              <w:rPr>
                <w:rFonts w:ascii="Arial" w:cs="Arial" w:eastAsia="Arial" w:hAnsi="Arial"/>
                <w:sz w:val="18"/>
                <w:szCs w:val="18"/>
                <w:b w:val="1"/>
                <w:bCs w:val="1"/>
                <w:color w:val="auto"/>
              </w:rPr>
              <w:t>Thereafter</w:t>
            </w:r>
          </w:p>
        </w:tc>
        <w:tc>
          <w:tcPr>
            <w:tcW w:w="340" w:type="dxa"/>
            <w:vAlign w:val="bottom"/>
          </w:tcPr>
          <w:p>
            <w:pPr>
              <w:spacing w:after="0"/>
              <w:rPr>
                <w:sz w:val="24"/>
                <w:szCs w:val="24"/>
                <w:color w:val="auto"/>
              </w:rPr>
            </w:pPr>
          </w:p>
        </w:tc>
        <w:tc>
          <w:tcPr>
            <w:tcW w:w="860" w:type="dxa"/>
            <w:vAlign w:val="bottom"/>
          </w:tcPr>
          <w:p>
            <w:pPr>
              <w:jc w:val="right"/>
              <w:ind w:right="23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10"/>
        </w:trPr>
        <w:tc>
          <w:tcPr>
            <w:tcW w:w="5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29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Commercial paper</w:t>
            </w:r>
          </w:p>
        </w:tc>
        <w:tc>
          <w:tcPr>
            <w:tcW w:w="86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w w:val="93"/>
              </w:rPr>
              <w:t>$188,316</w:t>
            </w: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EEEEE"/>
          </w:tcPr>
          <w:p>
            <w:pPr>
              <w:jc w:val="right"/>
              <w:ind w:right="172"/>
              <w:spacing w:after="0"/>
              <w:rPr>
                <w:sz w:val="20"/>
                <w:szCs w:val="20"/>
                <w:color w:val="auto"/>
              </w:rPr>
            </w:pPr>
            <w:r>
              <w:rPr>
                <w:rFonts w:ascii="Arial" w:cs="Arial" w:eastAsia="Arial" w:hAnsi="Arial"/>
                <w:sz w:val="18"/>
                <w:szCs w:val="18"/>
                <w:color w:val="auto"/>
              </w:rPr>
              <w:t>—</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188,316</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20,304</w:t>
            </w:r>
          </w:p>
        </w:tc>
        <w:tc>
          <w:tcPr>
            <w:tcW w:w="22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4,114</w:t>
            </w:r>
          </w:p>
        </w:tc>
        <w:tc>
          <w:tcPr>
            <w:tcW w:w="220" w:type="dxa"/>
            <w:vAlign w:val="bottom"/>
          </w:tcPr>
          <w:p>
            <w:pPr>
              <w:spacing w:after="0"/>
              <w:rPr>
                <w:sz w:val="18"/>
                <w:szCs w:val="18"/>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18,846</w:t>
            </w:r>
          </w:p>
        </w:tc>
        <w:tc>
          <w:tcPr>
            <w:tcW w:w="24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839</w:t>
            </w:r>
          </w:p>
        </w:tc>
        <w:tc>
          <w:tcPr>
            <w:tcW w:w="240" w:type="dxa"/>
            <w:vAlign w:val="bottom"/>
          </w:tcPr>
          <w:p>
            <w:pPr>
              <w:spacing w:after="0"/>
              <w:rPr>
                <w:sz w:val="18"/>
                <w:szCs w:val="18"/>
                <w:color w:val="auto"/>
              </w:rPr>
            </w:pPr>
          </w:p>
        </w:tc>
        <w:tc>
          <w:tcPr>
            <w:tcW w:w="840" w:type="dxa"/>
            <w:vAlign w:val="bottom"/>
          </w:tcPr>
          <w:p>
            <w:pPr>
              <w:jc w:val="right"/>
              <w:ind w:right="172"/>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18"/>
                <w:szCs w:val="18"/>
                <w:color w:val="auto"/>
              </w:rPr>
            </w:pPr>
          </w:p>
        </w:tc>
        <w:tc>
          <w:tcPr>
            <w:tcW w:w="900" w:type="dxa"/>
            <w:vAlign w:val="bottom"/>
          </w:tcPr>
          <w:p>
            <w:pPr>
              <w:jc w:val="right"/>
              <w:ind w:right="232"/>
              <w:spacing w:after="0"/>
              <w:rPr>
                <w:sz w:val="20"/>
                <w:szCs w:val="20"/>
                <w:color w:val="auto"/>
              </w:rPr>
            </w:pPr>
            <w:r>
              <w:rPr>
                <w:rFonts w:ascii="Arial" w:cs="Arial" w:eastAsia="Arial" w:hAnsi="Arial"/>
                <w:sz w:val="18"/>
                <w:szCs w:val="18"/>
                <w:color w:val="auto"/>
                <w:w w:val="86"/>
              </w:rPr>
              <w:t>398,663</w:t>
            </w:r>
          </w:p>
        </w:tc>
        <w:tc>
          <w:tcPr>
            <w:tcW w:w="340" w:type="dxa"/>
            <w:vAlign w:val="bottom"/>
          </w:tcPr>
          <w:p>
            <w:pPr>
              <w:spacing w:after="0"/>
              <w:rPr>
                <w:sz w:val="18"/>
                <w:szCs w:val="18"/>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442,774</w:t>
            </w:r>
          </w:p>
        </w:tc>
        <w:tc>
          <w:tcPr>
            <w:tcW w:w="0" w:type="dxa"/>
            <w:vAlign w:val="bottom"/>
          </w:tcPr>
          <w:p>
            <w:pPr>
              <w:spacing w:after="0"/>
              <w:rPr>
                <w:sz w:val="1"/>
                <w:szCs w:val="1"/>
                <w:color w:val="auto"/>
              </w:rPr>
            </w:pPr>
          </w:p>
        </w:tc>
      </w:tr>
      <w:tr>
        <w:trPr>
          <w:trHeight w:val="257"/>
        </w:trPr>
        <w:tc>
          <w:tcPr>
            <w:tcW w:w="580" w:type="dxa"/>
            <w:vAlign w:val="bottom"/>
          </w:tcPr>
          <w:p>
            <w:pPr>
              <w:spacing w:after="0"/>
              <w:rPr>
                <w:sz w:val="22"/>
                <w:szCs w:val="22"/>
                <w:color w:val="auto"/>
              </w:rPr>
            </w:pPr>
          </w:p>
        </w:tc>
        <w:tc>
          <w:tcPr>
            <w:tcW w:w="2940" w:type="dxa"/>
            <w:vAlign w:val="bottom"/>
            <w:gridSpan w:val="2"/>
            <w:shd w:val="clear" w:color="auto" w:fill="EEEEEE"/>
          </w:tcPr>
          <w:p>
            <w:pPr>
              <w:spacing w:after="0" w:line="256" w:lineRule="exact"/>
              <w:rPr>
                <w:sz w:val="20"/>
                <w:szCs w:val="20"/>
                <w:color w:val="auto"/>
              </w:rPr>
            </w:pPr>
            <w:r>
              <w:rPr>
                <w:rFonts w:ascii="Arial" w:cs="Arial" w:eastAsia="Arial" w:hAnsi="Arial"/>
                <w:sz w:val="18"/>
                <w:szCs w:val="18"/>
                <w:color w:val="auto"/>
                <w:w w:val="89"/>
              </w:rPr>
              <w:t xml:space="preserve">Programming purchase commitments </w:t>
            </w:r>
            <w:r>
              <w:rPr>
                <w:rFonts w:ascii="Arial" w:cs="Arial" w:eastAsia="Arial" w:hAnsi="Arial"/>
                <w:sz w:val="29"/>
                <w:szCs w:val="29"/>
                <w:color w:val="auto"/>
                <w:w w:val="89"/>
                <w:vertAlign w:val="superscript"/>
              </w:rPr>
              <w:t>(1)</w:t>
            </w:r>
          </w:p>
        </w:tc>
        <w:tc>
          <w:tcPr>
            <w:tcW w:w="86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119,874</w:t>
            </w:r>
          </w:p>
        </w:tc>
        <w:tc>
          <w:tcPr>
            <w:tcW w:w="220" w:type="dxa"/>
            <w:vAlign w:val="bottom"/>
            <w:shd w:val="clear" w:color="auto" w:fill="EEEEEE"/>
          </w:tcPr>
          <w:p>
            <w:pPr>
              <w:spacing w:after="0"/>
              <w:rPr>
                <w:sz w:val="22"/>
                <w:szCs w:val="22"/>
                <w:color w:val="auto"/>
              </w:rPr>
            </w:pPr>
          </w:p>
        </w:tc>
        <w:tc>
          <w:tcPr>
            <w:tcW w:w="72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84,308</w:t>
            </w:r>
          </w:p>
        </w:tc>
        <w:tc>
          <w:tcPr>
            <w:tcW w:w="220" w:type="dxa"/>
            <w:vAlign w:val="bottom"/>
            <w:shd w:val="clear" w:color="auto" w:fill="EEEEEE"/>
          </w:tcPr>
          <w:p>
            <w:pPr>
              <w:spacing w:after="0"/>
              <w:rPr>
                <w:sz w:val="22"/>
                <w:szCs w:val="22"/>
                <w:color w:val="auto"/>
              </w:rPr>
            </w:pPr>
          </w:p>
        </w:tc>
        <w:tc>
          <w:tcPr>
            <w:tcW w:w="740" w:type="dxa"/>
            <w:vAlign w:val="bottom"/>
            <w:shd w:val="clear" w:color="auto" w:fill="EEEEEE"/>
          </w:tcPr>
          <w:p>
            <w:pPr>
              <w:jc w:val="right"/>
              <w:ind w:right="72"/>
              <w:spacing w:after="0"/>
              <w:rPr>
                <w:sz w:val="20"/>
                <w:szCs w:val="20"/>
                <w:color w:val="auto"/>
              </w:rPr>
            </w:pPr>
            <w:r>
              <w:rPr>
                <w:rFonts w:ascii="Arial" w:cs="Arial" w:eastAsia="Arial" w:hAnsi="Arial"/>
                <w:sz w:val="18"/>
                <w:szCs w:val="18"/>
                <w:color w:val="auto"/>
              </w:rPr>
              <w:t>64,822</w:t>
            </w:r>
          </w:p>
        </w:tc>
        <w:tc>
          <w:tcPr>
            <w:tcW w:w="240" w:type="dxa"/>
            <w:vAlign w:val="bottom"/>
            <w:shd w:val="clear" w:color="auto" w:fill="EEEEEE"/>
          </w:tcPr>
          <w:p>
            <w:pPr>
              <w:spacing w:after="0"/>
              <w:rPr>
                <w:sz w:val="22"/>
                <w:szCs w:val="22"/>
                <w:color w:val="auto"/>
              </w:rPr>
            </w:pPr>
          </w:p>
        </w:tc>
        <w:tc>
          <w:tcPr>
            <w:tcW w:w="72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50,026</w:t>
            </w:r>
          </w:p>
        </w:tc>
        <w:tc>
          <w:tcPr>
            <w:tcW w:w="240" w:type="dxa"/>
            <w:vAlign w:val="bottom"/>
            <w:shd w:val="clear" w:color="auto" w:fill="EEEEEE"/>
          </w:tcPr>
          <w:p>
            <w:pPr>
              <w:spacing w:after="0"/>
              <w:rPr>
                <w:sz w:val="22"/>
                <w:szCs w:val="22"/>
                <w:color w:val="auto"/>
              </w:rPr>
            </w:pPr>
          </w:p>
        </w:tc>
        <w:tc>
          <w:tcPr>
            <w:tcW w:w="840" w:type="dxa"/>
            <w:vAlign w:val="bottom"/>
            <w:shd w:val="clear" w:color="auto" w:fill="EEEEEE"/>
          </w:tcPr>
          <w:p>
            <w:pPr>
              <w:jc w:val="right"/>
              <w:ind w:right="172"/>
              <w:spacing w:after="0"/>
              <w:rPr>
                <w:sz w:val="20"/>
                <w:szCs w:val="20"/>
                <w:color w:val="auto"/>
              </w:rPr>
            </w:pPr>
            <w:r>
              <w:rPr>
                <w:rFonts w:ascii="Arial" w:cs="Arial" w:eastAsia="Arial" w:hAnsi="Arial"/>
                <w:sz w:val="18"/>
                <w:szCs w:val="18"/>
                <w:color w:val="auto"/>
              </w:rPr>
              <w:t>28,460</w:t>
            </w:r>
          </w:p>
        </w:tc>
        <w:tc>
          <w:tcPr>
            <w:tcW w:w="440" w:type="dxa"/>
            <w:vAlign w:val="bottom"/>
            <w:shd w:val="clear" w:color="auto" w:fill="EEEEEE"/>
          </w:tcPr>
          <w:p>
            <w:pPr>
              <w:spacing w:after="0"/>
              <w:rPr>
                <w:sz w:val="22"/>
                <w:szCs w:val="22"/>
                <w:color w:val="auto"/>
              </w:rPr>
            </w:pPr>
          </w:p>
        </w:tc>
        <w:tc>
          <w:tcPr>
            <w:tcW w:w="90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rPr>
              <w:t>15,707</w:t>
            </w:r>
          </w:p>
        </w:tc>
        <w:tc>
          <w:tcPr>
            <w:tcW w:w="340" w:type="dxa"/>
            <w:vAlign w:val="bottom"/>
            <w:shd w:val="clear" w:color="auto" w:fill="EEEEEE"/>
          </w:tcPr>
          <w:p>
            <w:pPr>
              <w:spacing w:after="0"/>
              <w:rPr>
                <w:sz w:val="22"/>
                <w:szCs w:val="22"/>
                <w:color w:val="auto"/>
              </w:rPr>
            </w:pPr>
          </w:p>
        </w:tc>
        <w:tc>
          <w:tcPr>
            <w:tcW w:w="86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363,197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69,104</w:t>
            </w:r>
          </w:p>
        </w:tc>
        <w:tc>
          <w:tcPr>
            <w:tcW w:w="22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63,905</w:t>
            </w:r>
          </w:p>
        </w:tc>
        <w:tc>
          <w:tcPr>
            <w:tcW w:w="220" w:type="dxa"/>
            <w:vAlign w:val="bottom"/>
          </w:tcPr>
          <w:p>
            <w:pPr>
              <w:spacing w:after="0"/>
              <w:rPr>
                <w:sz w:val="18"/>
                <w:szCs w:val="18"/>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57,945</w:t>
            </w:r>
          </w:p>
        </w:tc>
        <w:tc>
          <w:tcPr>
            <w:tcW w:w="240" w:type="dxa"/>
            <w:vAlign w:val="bottom"/>
          </w:tcPr>
          <w:p>
            <w:pPr>
              <w:spacing w:after="0"/>
              <w:rPr>
                <w:sz w:val="18"/>
                <w:szCs w:val="18"/>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54,095</w:t>
            </w:r>
          </w:p>
        </w:tc>
        <w:tc>
          <w:tcPr>
            <w:tcW w:w="240" w:type="dxa"/>
            <w:vAlign w:val="bottom"/>
          </w:tcPr>
          <w:p>
            <w:pPr>
              <w:spacing w:after="0"/>
              <w:rPr>
                <w:sz w:val="18"/>
                <w:szCs w:val="18"/>
                <w:color w:val="auto"/>
              </w:rPr>
            </w:pPr>
          </w:p>
        </w:tc>
        <w:tc>
          <w:tcPr>
            <w:tcW w:w="840" w:type="dxa"/>
            <w:vAlign w:val="bottom"/>
          </w:tcPr>
          <w:p>
            <w:pPr>
              <w:jc w:val="right"/>
              <w:ind w:right="172"/>
              <w:spacing w:after="0"/>
              <w:rPr>
                <w:sz w:val="20"/>
                <w:szCs w:val="20"/>
                <w:color w:val="auto"/>
              </w:rPr>
            </w:pPr>
            <w:r>
              <w:rPr>
                <w:rFonts w:ascii="Arial" w:cs="Arial" w:eastAsia="Arial" w:hAnsi="Arial"/>
                <w:sz w:val="18"/>
                <w:szCs w:val="18"/>
                <w:color w:val="auto"/>
              </w:rPr>
              <w:t>45,603</w:t>
            </w:r>
          </w:p>
        </w:tc>
        <w:tc>
          <w:tcPr>
            <w:tcW w:w="440" w:type="dxa"/>
            <w:vAlign w:val="bottom"/>
          </w:tcPr>
          <w:p>
            <w:pPr>
              <w:spacing w:after="0"/>
              <w:rPr>
                <w:sz w:val="18"/>
                <w:szCs w:val="18"/>
                <w:color w:val="auto"/>
              </w:rPr>
            </w:pPr>
          </w:p>
        </w:tc>
        <w:tc>
          <w:tcPr>
            <w:tcW w:w="900" w:type="dxa"/>
            <w:vAlign w:val="bottom"/>
          </w:tcPr>
          <w:p>
            <w:pPr>
              <w:jc w:val="right"/>
              <w:ind w:right="232"/>
              <w:spacing w:after="0"/>
              <w:rPr>
                <w:sz w:val="20"/>
                <w:szCs w:val="20"/>
                <w:color w:val="auto"/>
              </w:rPr>
            </w:pPr>
            <w:r>
              <w:rPr>
                <w:rFonts w:ascii="Arial" w:cs="Arial" w:eastAsia="Arial" w:hAnsi="Arial"/>
                <w:sz w:val="18"/>
                <w:szCs w:val="18"/>
                <w:color w:val="auto"/>
                <w:w w:val="86"/>
              </w:rPr>
              <w:t>135,826</w:t>
            </w:r>
          </w:p>
        </w:tc>
        <w:tc>
          <w:tcPr>
            <w:tcW w:w="340" w:type="dxa"/>
            <w:vAlign w:val="bottom"/>
          </w:tcPr>
          <w:p>
            <w:pPr>
              <w:spacing w:after="0"/>
              <w:rPr>
                <w:sz w:val="18"/>
                <w:szCs w:val="18"/>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426,478</w:t>
            </w:r>
          </w:p>
        </w:tc>
        <w:tc>
          <w:tcPr>
            <w:tcW w:w="0" w:type="dxa"/>
            <w:vAlign w:val="bottom"/>
          </w:tcPr>
          <w:p>
            <w:pPr>
              <w:spacing w:after="0"/>
              <w:rPr>
                <w:sz w:val="1"/>
                <w:szCs w:val="1"/>
                <w:color w:val="auto"/>
              </w:rPr>
            </w:pPr>
          </w:p>
        </w:tc>
      </w:tr>
      <w:tr>
        <w:trPr>
          <w:trHeight w:val="257"/>
        </w:trPr>
        <w:tc>
          <w:tcPr>
            <w:tcW w:w="580" w:type="dxa"/>
            <w:vAlign w:val="bottom"/>
          </w:tcPr>
          <w:p>
            <w:pPr>
              <w:spacing w:after="0"/>
              <w:rPr>
                <w:sz w:val="22"/>
                <w:szCs w:val="22"/>
                <w:color w:val="auto"/>
              </w:rPr>
            </w:pPr>
          </w:p>
        </w:tc>
        <w:tc>
          <w:tcPr>
            <w:tcW w:w="2940" w:type="dxa"/>
            <w:vAlign w:val="bottom"/>
            <w:gridSpan w:val="2"/>
            <w:shd w:val="clear" w:color="auto" w:fill="EEEEEE"/>
          </w:tcPr>
          <w:p>
            <w:pPr>
              <w:spacing w:after="0" w:line="256" w:lineRule="exact"/>
              <w:rPr>
                <w:sz w:val="20"/>
                <w:szCs w:val="20"/>
                <w:color w:val="auto"/>
              </w:rPr>
            </w:pPr>
            <w:r>
              <w:rPr>
                <w:rFonts w:ascii="Arial" w:cs="Arial" w:eastAsia="Arial" w:hAnsi="Arial"/>
                <w:sz w:val="18"/>
                <w:szCs w:val="18"/>
                <w:color w:val="auto"/>
              </w:rPr>
              <w:t xml:space="preserve">Other purchase obligations </w:t>
            </w:r>
            <w:r>
              <w:rPr>
                <w:rFonts w:ascii="Arial" w:cs="Arial" w:eastAsia="Arial" w:hAnsi="Arial"/>
                <w:sz w:val="29"/>
                <w:szCs w:val="29"/>
                <w:color w:val="auto"/>
                <w:vertAlign w:val="superscript"/>
              </w:rPr>
              <w:t>(2)</w:t>
            </w:r>
          </w:p>
        </w:tc>
        <w:tc>
          <w:tcPr>
            <w:tcW w:w="86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310,401</w:t>
            </w:r>
          </w:p>
        </w:tc>
        <w:tc>
          <w:tcPr>
            <w:tcW w:w="220" w:type="dxa"/>
            <w:vAlign w:val="bottom"/>
            <w:shd w:val="clear" w:color="auto" w:fill="EEEEEE"/>
          </w:tcPr>
          <w:p>
            <w:pPr>
              <w:spacing w:after="0"/>
              <w:rPr>
                <w:sz w:val="22"/>
                <w:szCs w:val="22"/>
                <w:color w:val="auto"/>
              </w:rPr>
            </w:pPr>
          </w:p>
        </w:tc>
        <w:tc>
          <w:tcPr>
            <w:tcW w:w="72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74,386</w:t>
            </w:r>
          </w:p>
        </w:tc>
        <w:tc>
          <w:tcPr>
            <w:tcW w:w="220" w:type="dxa"/>
            <w:vAlign w:val="bottom"/>
            <w:shd w:val="clear" w:color="auto" w:fill="EEEEEE"/>
          </w:tcPr>
          <w:p>
            <w:pPr>
              <w:spacing w:after="0"/>
              <w:rPr>
                <w:sz w:val="22"/>
                <w:szCs w:val="22"/>
                <w:color w:val="auto"/>
              </w:rPr>
            </w:pPr>
          </w:p>
        </w:tc>
        <w:tc>
          <w:tcPr>
            <w:tcW w:w="740" w:type="dxa"/>
            <w:vAlign w:val="bottom"/>
            <w:shd w:val="clear" w:color="auto" w:fill="EEEEEE"/>
          </w:tcPr>
          <w:p>
            <w:pPr>
              <w:jc w:val="right"/>
              <w:ind w:right="72"/>
              <w:spacing w:after="0"/>
              <w:rPr>
                <w:sz w:val="20"/>
                <w:szCs w:val="20"/>
                <w:color w:val="auto"/>
              </w:rPr>
            </w:pPr>
            <w:r>
              <w:rPr>
                <w:rFonts w:ascii="Arial" w:cs="Arial" w:eastAsia="Arial" w:hAnsi="Arial"/>
                <w:sz w:val="18"/>
                <w:szCs w:val="18"/>
                <w:color w:val="auto"/>
              </w:rPr>
              <w:t>52,166</w:t>
            </w:r>
          </w:p>
        </w:tc>
        <w:tc>
          <w:tcPr>
            <w:tcW w:w="240" w:type="dxa"/>
            <w:vAlign w:val="bottom"/>
            <w:shd w:val="clear" w:color="auto" w:fill="EEEEEE"/>
          </w:tcPr>
          <w:p>
            <w:pPr>
              <w:spacing w:after="0"/>
              <w:rPr>
                <w:sz w:val="22"/>
                <w:szCs w:val="22"/>
                <w:color w:val="auto"/>
              </w:rPr>
            </w:pPr>
          </w:p>
        </w:tc>
        <w:tc>
          <w:tcPr>
            <w:tcW w:w="72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44,015</w:t>
            </w:r>
          </w:p>
        </w:tc>
        <w:tc>
          <w:tcPr>
            <w:tcW w:w="240" w:type="dxa"/>
            <w:vAlign w:val="bottom"/>
            <w:shd w:val="clear" w:color="auto" w:fill="EEEEEE"/>
          </w:tcPr>
          <w:p>
            <w:pPr>
              <w:spacing w:after="0"/>
              <w:rPr>
                <w:sz w:val="22"/>
                <w:szCs w:val="22"/>
                <w:color w:val="auto"/>
              </w:rPr>
            </w:pPr>
          </w:p>
        </w:tc>
        <w:tc>
          <w:tcPr>
            <w:tcW w:w="840" w:type="dxa"/>
            <w:vAlign w:val="bottom"/>
            <w:shd w:val="clear" w:color="auto" w:fill="EEEEEE"/>
          </w:tcPr>
          <w:p>
            <w:pPr>
              <w:jc w:val="right"/>
              <w:ind w:right="172"/>
              <w:spacing w:after="0"/>
              <w:rPr>
                <w:sz w:val="20"/>
                <w:szCs w:val="20"/>
                <w:color w:val="auto"/>
              </w:rPr>
            </w:pPr>
            <w:r>
              <w:rPr>
                <w:rFonts w:ascii="Arial" w:cs="Arial" w:eastAsia="Arial" w:hAnsi="Arial"/>
                <w:sz w:val="18"/>
                <w:szCs w:val="18"/>
                <w:color w:val="auto"/>
              </w:rPr>
              <w:t>35,585</w:t>
            </w:r>
          </w:p>
        </w:tc>
        <w:tc>
          <w:tcPr>
            <w:tcW w:w="440" w:type="dxa"/>
            <w:vAlign w:val="bottom"/>
            <w:shd w:val="clear" w:color="auto" w:fill="EEEEEE"/>
          </w:tcPr>
          <w:p>
            <w:pPr>
              <w:spacing w:after="0"/>
              <w:rPr>
                <w:sz w:val="22"/>
                <w:szCs w:val="22"/>
                <w:color w:val="auto"/>
              </w:rPr>
            </w:pPr>
          </w:p>
        </w:tc>
        <w:tc>
          <w:tcPr>
            <w:tcW w:w="90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w w:val="86"/>
              </w:rPr>
              <w:t>133,760</w:t>
            </w:r>
          </w:p>
        </w:tc>
        <w:tc>
          <w:tcPr>
            <w:tcW w:w="340" w:type="dxa"/>
            <w:vAlign w:val="bottom"/>
            <w:shd w:val="clear" w:color="auto" w:fill="EEEEEE"/>
          </w:tcPr>
          <w:p>
            <w:pPr>
              <w:spacing w:after="0"/>
              <w:rPr>
                <w:sz w:val="22"/>
                <w:szCs w:val="22"/>
                <w:color w:val="auto"/>
              </w:rPr>
            </w:pPr>
          </w:p>
        </w:tc>
        <w:tc>
          <w:tcPr>
            <w:tcW w:w="86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650,313</w:t>
            </w:r>
          </w:p>
        </w:tc>
        <w:tc>
          <w:tcPr>
            <w:tcW w:w="0" w:type="dxa"/>
            <w:vAlign w:val="bottom"/>
          </w:tcPr>
          <w:p>
            <w:pPr>
              <w:spacing w:after="0"/>
              <w:rPr>
                <w:sz w:val="1"/>
                <w:szCs w:val="1"/>
                <w:color w:val="auto"/>
              </w:rPr>
            </w:pPr>
          </w:p>
        </w:tc>
      </w:tr>
      <w:tr>
        <w:trPr>
          <w:trHeight w:val="365"/>
        </w:trPr>
        <w:tc>
          <w:tcPr>
            <w:tcW w:w="580" w:type="dxa"/>
            <w:vAlign w:val="bottom"/>
          </w:tcPr>
          <w:p>
            <w:pPr>
              <w:spacing w:after="0"/>
              <w:rPr>
                <w:sz w:val="24"/>
                <w:szCs w:val="24"/>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 xml:space="preserve">Long-term liabilities </w:t>
            </w:r>
            <w:r>
              <w:rPr>
                <w:rFonts w:ascii="Arial" w:cs="Arial" w:eastAsia="Arial" w:hAnsi="Arial"/>
                <w:sz w:val="29"/>
                <w:szCs w:val="29"/>
                <w:color w:val="auto"/>
                <w:vertAlign w:val="superscript"/>
              </w:rPr>
              <w:t>(3)</w:t>
            </w:r>
          </w:p>
        </w:tc>
        <w:tc>
          <w:tcPr>
            <w:tcW w:w="860" w:type="dxa"/>
            <w:vAlign w:val="bottom"/>
            <w:tcBorders>
              <w:bottom w:val="single" w:sz="8" w:color="808080"/>
            </w:tcBorders>
          </w:tcPr>
          <w:p>
            <w:pPr>
              <w:jc w:val="right"/>
              <w:ind w:right="52"/>
              <w:spacing w:after="0"/>
              <w:rPr>
                <w:sz w:val="20"/>
                <w:szCs w:val="20"/>
                <w:color w:val="auto"/>
              </w:rPr>
            </w:pPr>
            <w:r>
              <w:rPr>
                <w:rFonts w:ascii="Arial" w:cs="Arial" w:eastAsia="Arial" w:hAnsi="Arial"/>
                <w:sz w:val="18"/>
                <w:szCs w:val="18"/>
                <w:color w:val="auto"/>
              </w:rPr>
              <w:t>6,500</w:t>
            </w:r>
          </w:p>
        </w:tc>
        <w:tc>
          <w:tcPr>
            <w:tcW w:w="2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jc w:val="right"/>
              <w:ind w:right="52"/>
              <w:spacing w:after="0"/>
              <w:rPr>
                <w:sz w:val="20"/>
                <w:szCs w:val="20"/>
                <w:color w:val="auto"/>
              </w:rPr>
            </w:pPr>
            <w:r>
              <w:rPr>
                <w:rFonts w:ascii="Arial" w:cs="Arial" w:eastAsia="Arial" w:hAnsi="Arial"/>
                <w:sz w:val="18"/>
                <w:szCs w:val="18"/>
                <w:color w:val="auto"/>
              </w:rPr>
              <w:t>7,100</w:t>
            </w:r>
          </w:p>
        </w:tc>
        <w:tc>
          <w:tcPr>
            <w:tcW w:w="2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jc w:val="right"/>
              <w:ind w:right="72"/>
              <w:spacing w:after="0"/>
              <w:rPr>
                <w:sz w:val="20"/>
                <w:szCs w:val="20"/>
                <w:color w:val="auto"/>
              </w:rPr>
            </w:pPr>
            <w:r>
              <w:rPr>
                <w:rFonts w:ascii="Arial" w:cs="Arial" w:eastAsia="Arial" w:hAnsi="Arial"/>
                <w:sz w:val="18"/>
                <w:szCs w:val="18"/>
                <w:color w:val="auto"/>
              </w:rPr>
              <w:t>7,600</w:t>
            </w:r>
          </w:p>
        </w:tc>
        <w:tc>
          <w:tcPr>
            <w:tcW w:w="24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jc w:val="right"/>
              <w:ind w:right="52"/>
              <w:spacing w:after="0"/>
              <w:rPr>
                <w:sz w:val="20"/>
                <w:szCs w:val="20"/>
                <w:color w:val="auto"/>
              </w:rPr>
            </w:pPr>
            <w:r>
              <w:rPr>
                <w:rFonts w:ascii="Arial" w:cs="Arial" w:eastAsia="Arial" w:hAnsi="Arial"/>
                <w:sz w:val="18"/>
                <w:szCs w:val="18"/>
                <w:color w:val="auto"/>
              </w:rPr>
              <w:t>8,150</w:t>
            </w:r>
          </w:p>
        </w:tc>
        <w:tc>
          <w:tcPr>
            <w:tcW w:w="2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jc w:val="right"/>
              <w:ind w:right="172"/>
              <w:spacing w:after="0"/>
              <w:rPr>
                <w:sz w:val="20"/>
                <w:szCs w:val="20"/>
                <w:color w:val="auto"/>
              </w:rPr>
            </w:pPr>
            <w:r>
              <w:rPr>
                <w:rFonts w:ascii="Arial" w:cs="Arial" w:eastAsia="Arial" w:hAnsi="Arial"/>
                <w:sz w:val="18"/>
                <w:szCs w:val="18"/>
                <w:color w:val="auto"/>
              </w:rPr>
              <w:t>8,700</w:t>
            </w:r>
          </w:p>
        </w:tc>
        <w:tc>
          <w:tcPr>
            <w:tcW w:w="4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jc w:val="right"/>
              <w:ind w:right="232"/>
              <w:spacing w:after="0"/>
              <w:rPr>
                <w:sz w:val="20"/>
                <w:szCs w:val="20"/>
                <w:color w:val="auto"/>
              </w:rPr>
            </w:pPr>
            <w:r>
              <w:rPr>
                <w:rFonts w:ascii="Arial" w:cs="Arial" w:eastAsia="Arial" w:hAnsi="Arial"/>
                <w:sz w:val="18"/>
                <w:szCs w:val="18"/>
                <w:color w:val="auto"/>
                <w:w w:val="86"/>
              </w:rPr>
              <w:t>115,342</w:t>
            </w:r>
          </w:p>
        </w:tc>
        <w:tc>
          <w:tcPr>
            <w:tcW w:w="34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jc w:val="right"/>
              <w:ind w:right="52"/>
              <w:spacing w:after="0"/>
              <w:rPr>
                <w:sz w:val="20"/>
                <w:szCs w:val="20"/>
                <w:color w:val="auto"/>
              </w:rPr>
            </w:pPr>
            <w:r>
              <w:rPr>
                <w:rFonts w:ascii="Arial" w:cs="Arial" w:eastAsia="Arial" w:hAnsi="Arial"/>
                <w:sz w:val="18"/>
                <w:szCs w:val="18"/>
                <w:color w:val="auto"/>
              </w:rPr>
              <w:t>153,392</w:t>
            </w: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29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w w:val="93"/>
              </w:rPr>
              <w:t>$714,499</w:t>
            </w: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w w:val="86"/>
              </w:rPr>
              <w:t>233,813</w:t>
            </w: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ind w:right="72"/>
              <w:spacing w:after="0"/>
              <w:rPr>
                <w:sz w:val="20"/>
                <w:szCs w:val="20"/>
                <w:color w:val="auto"/>
              </w:rPr>
            </w:pPr>
            <w:r>
              <w:rPr>
                <w:rFonts w:ascii="Arial" w:cs="Arial" w:eastAsia="Arial" w:hAnsi="Arial"/>
                <w:sz w:val="18"/>
                <w:szCs w:val="18"/>
                <w:color w:val="auto"/>
                <w:w w:val="86"/>
              </w:rPr>
              <w:t>201,379</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w w:val="86"/>
              </w:rPr>
              <w:t>157,125</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EEEEE"/>
          </w:tcPr>
          <w:p>
            <w:pPr>
              <w:jc w:val="right"/>
              <w:ind w:right="172"/>
              <w:spacing w:after="0"/>
              <w:rPr>
                <w:sz w:val="20"/>
                <w:szCs w:val="20"/>
                <w:color w:val="auto"/>
              </w:rPr>
            </w:pPr>
            <w:r>
              <w:rPr>
                <w:rFonts w:ascii="Arial" w:cs="Arial" w:eastAsia="Arial" w:hAnsi="Arial"/>
                <w:sz w:val="18"/>
                <w:szCs w:val="18"/>
                <w:color w:val="auto"/>
                <w:w w:val="86"/>
              </w:rPr>
              <w:t>118,356</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w w:val="86"/>
              </w:rPr>
              <w:t>799,298</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w w:val="87"/>
              </w:rPr>
              <w:t>2,224,470</w:t>
            </w: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21"/>
        </w:trPr>
        <w:tc>
          <w:tcPr>
            <w:tcW w:w="58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60" w:right="8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commitments for the Company’s television broadcasting and cable television businesses that are reflected in the Company’s consolidated balance sheet and commitments to purchase programming to be produced in future years.</w:t>
      </w:r>
    </w:p>
    <w:p>
      <w:pPr>
        <w:spacing w:after="0" w:line="212" w:lineRule="exact"/>
        <w:rPr>
          <w:rFonts w:ascii="Arial" w:cs="Arial" w:eastAsia="Arial" w:hAnsi="Arial"/>
          <w:sz w:val="18"/>
          <w:szCs w:val="18"/>
          <w:color w:val="auto"/>
        </w:rPr>
      </w:pPr>
    </w:p>
    <w:p>
      <w:pPr>
        <w:ind w:left="460" w:hanging="452"/>
        <w:spacing w:after="0" w:line="256"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purchase obligations related to newsprint contracts, printing contracts, employment agreements, circulation distribution agreements, capital projects and other legally binding commitments. Other purchase orders made in the ordinary course of business are excluded from the table above. Any amounts for which the Company is liable under purchase orders are reflected in the Company’s consolidated balance sheet as accounts payable and accrued liabilities.</w:t>
      </w:r>
    </w:p>
    <w:p>
      <w:pPr>
        <w:spacing w:after="0" w:line="224"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Primarily made up of postretirement benefit obligations other than pensions. The Company has other long-term liabilities excluded from the table above, including obligations for deferred compensation, long-term incentive plans and long-term deferred revenue.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Commercial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720" w:type="dxa"/>
            <w:vAlign w:val="bottom"/>
          </w:tcPr>
          <w:p>
            <w:pPr>
              <w:jc w:val="right"/>
              <w:ind w:right="452"/>
              <w:spacing w:after="0"/>
              <w:rPr>
                <w:sz w:val="20"/>
                <w:szCs w:val="20"/>
                <w:color w:val="auto"/>
              </w:rPr>
            </w:pPr>
            <w:r>
              <w:rPr>
                <w:rFonts w:ascii="Arial" w:cs="Arial" w:eastAsia="Arial" w:hAnsi="Arial"/>
                <w:sz w:val="18"/>
                <w:szCs w:val="18"/>
                <w:b w:val="1"/>
                <w:bCs w:val="1"/>
                <w:color w:val="auto"/>
              </w:rPr>
              <w:t>Lines of</w:t>
            </w:r>
          </w:p>
        </w:tc>
        <w:tc>
          <w:tcPr>
            <w:tcW w:w="0" w:type="dxa"/>
            <w:vAlign w:val="bottom"/>
          </w:tcPr>
          <w:p>
            <w:pPr>
              <w:spacing w:after="0"/>
              <w:rPr>
                <w:sz w:val="1"/>
                <w:szCs w:val="1"/>
                <w:color w:val="auto"/>
              </w:rPr>
            </w:pPr>
          </w:p>
        </w:tc>
      </w:tr>
      <w:tr>
        <w:trPr>
          <w:trHeight w:val="228"/>
        </w:trPr>
        <w:tc>
          <w:tcPr>
            <w:tcW w:w="3120" w:type="dxa"/>
            <w:vAlign w:val="bottom"/>
            <w:gridSpan w:val="2"/>
          </w:tcPr>
          <w:p>
            <w:pPr>
              <w:jc w:val="right"/>
              <w:ind w:right="2252"/>
              <w:spacing w:after="0"/>
              <w:rPr>
                <w:sz w:val="20"/>
                <w:szCs w:val="20"/>
                <w:color w:val="auto"/>
              </w:rPr>
            </w:pPr>
            <w:r>
              <w:rPr>
                <w:rFonts w:ascii="Arial" w:cs="Arial" w:eastAsia="Arial" w:hAnsi="Arial"/>
                <w:sz w:val="18"/>
                <w:szCs w:val="18"/>
                <w:color w:val="auto"/>
                <w:w w:val="84"/>
              </w:rPr>
              <w:t>Fiscal Year</w:t>
            </w:r>
          </w:p>
        </w:tc>
        <w:tc>
          <w:tcPr>
            <w:tcW w:w="3720" w:type="dxa"/>
            <w:vAlign w:val="bottom"/>
          </w:tcPr>
          <w:p>
            <w:pPr>
              <w:jc w:val="right"/>
              <w:ind w:right="512"/>
              <w:spacing w:after="0"/>
              <w:rPr>
                <w:sz w:val="20"/>
                <w:szCs w:val="20"/>
                <w:color w:val="auto"/>
              </w:rPr>
            </w:pPr>
            <w:r>
              <w:rPr>
                <w:rFonts w:ascii="Arial" w:cs="Arial" w:eastAsia="Arial" w:hAnsi="Arial"/>
                <w:sz w:val="18"/>
                <w:szCs w:val="18"/>
                <w:b w:val="1"/>
                <w:bCs w:val="1"/>
                <w:color w:val="auto"/>
              </w:rPr>
              <w:t>Credit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100" w:type="dxa"/>
            <w:vAlign w:val="bottom"/>
            <w:tcBorders>
              <w:bottom w:val="single" w:sz="8" w:color="808080"/>
            </w:tcBorders>
          </w:tcPr>
          <w:p>
            <w:pPr>
              <w:spacing w:after="0"/>
              <w:rPr>
                <w:sz w:val="9"/>
                <w:szCs w:val="9"/>
                <w:color w:val="auto"/>
              </w:rPr>
            </w:pPr>
          </w:p>
        </w:tc>
        <w:tc>
          <w:tcPr>
            <w:tcW w:w="37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00" w:type="dxa"/>
            <w:vAlign w:val="bottom"/>
          </w:tcPr>
          <w:p>
            <w:pPr>
              <w:spacing w:after="0"/>
              <w:rPr>
                <w:sz w:val="8"/>
                <w:szCs w:val="8"/>
                <w:color w:val="auto"/>
              </w:rPr>
            </w:pPr>
          </w:p>
        </w:tc>
        <w:tc>
          <w:tcPr>
            <w:tcW w:w="3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EEEEEE"/>
          </w:tcPr>
          <w:p>
            <w:pPr>
              <w:jc w:val="right"/>
              <w:ind w:right="2412"/>
              <w:spacing w:after="0"/>
              <w:rPr>
                <w:sz w:val="20"/>
                <w:szCs w:val="20"/>
                <w:color w:val="auto"/>
              </w:rPr>
            </w:pPr>
            <w:r>
              <w:rPr>
                <w:rFonts w:ascii="Arial" w:cs="Arial" w:eastAsia="Arial" w:hAnsi="Arial"/>
                <w:sz w:val="18"/>
                <w:szCs w:val="18"/>
                <w:color w:val="auto"/>
              </w:rPr>
              <w:t>2004</w:t>
            </w:r>
          </w:p>
        </w:tc>
        <w:tc>
          <w:tcPr>
            <w:tcW w:w="3720" w:type="dxa"/>
            <w:vAlign w:val="bottom"/>
            <w:shd w:val="clear" w:color="auto" w:fill="EEEEEE"/>
          </w:tcPr>
          <w:p>
            <w:pPr>
              <w:jc w:val="right"/>
              <w:ind w:right="592"/>
              <w:spacing w:after="0"/>
              <w:rPr>
                <w:sz w:val="20"/>
                <w:szCs w:val="20"/>
                <w:color w:val="auto"/>
              </w:rPr>
            </w:pPr>
            <w:r>
              <w:rPr>
                <w:rFonts w:ascii="Arial" w:cs="Arial" w:eastAsia="Arial" w:hAnsi="Arial"/>
                <w:sz w:val="18"/>
                <w:szCs w:val="18"/>
                <w:color w:val="auto"/>
              </w:rPr>
              <w:t>$ 250,000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jc w:val="right"/>
              <w:ind w:right="2412"/>
              <w:spacing w:after="0"/>
              <w:rPr>
                <w:sz w:val="20"/>
                <w:szCs w:val="20"/>
                <w:color w:val="auto"/>
              </w:rPr>
            </w:pPr>
            <w:r>
              <w:rPr>
                <w:rFonts w:ascii="Arial" w:cs="Arial" w:eastAsia="Arial" w:hAnsi="Arial"/>
                <w:sz w:val="18"/>
                <w:szCs w:val="18"/>
                <w:color w:val="auto"/>
              </w:rPr>
              <w:t>2005</w:t>
            </w:r>
          </w:p>
        </w:tc>
        <w:tc>
          <w:tcPr>
            <w:tcW w:w="3720" w:type="dxa"/>
            <w:vAlign w:val="bottom"/>
          </w:tcPr>
          <w:p>
            <w:pPr>
              <w:jc w:val="right"/>
              <w:ind w:right="5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EEEEE"/>
          </w:tcPr>
          <w:p>
            <w:pPr>
              <w:jc w:val="right"/>
              <w:ind w:right="2412"/>
              <w:spacing w:after="0"/>
              <w:rPr>
                <w:sz w:val="20"/>
                <w:szCs w:val="20"/>
                <w:color w:val="auto"/>
              </w:rPr>
            </w:pPr>
            <w:r>
              <w:rPr>
                <w:rFonts w:ascii="Arial" w:cs="Arial" w:eastAsia="Arial" w:hAnsi="Arial"/>
                <w:sz w:val="18"/>
                <w:szCs w:val="18"/>
                <w:color w:val="auto"/>
              </w:rPr>
              <w:t>2006</w:t>
            </w:r>
          </w:p>
        </w:tc>
        <w:tc>
          <w:tcPr>
            <w:tcW w:w="3720" w:type="dxa"/>
            <w:vAlign w:val="bottom"/>
            <w:shd w:val="clear" w:color="auto" w:fill="EEEEEE"/>
          </w:tcPr>
          <w:p>
            <w:pPr>
              <w:jc w:val="right"/>
              <w:ind w:right="5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400"/>
          </w:cols>
          <w:pgMar w:left="240" w:top="935" w:right="259" w:bottom="0" w:gutter="0" w:footer="0" w:header="0"/>
        </w:sectPr>
      </w:pPr>
    </w:p>
    <w:bookmarkStart w:id="42" w:name="page43"/>
    <w:bookmarkEnd w:id="42"/>
    <w:p>
      <w:pPr>
        <w:spacing w:after="0" w:line="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3100" w:type="dxa"/>
            <w:vAlign w:val="bottom"/>
            <w:gridSpan w:val="2"/>
          </w:tcPr>
          <w:p>
            <w:pPr>
              <w:jc w:val="right"/>
              <w:ind w:right="2392"/>
              <w:spacing w:after="0"/>
              <w:rPr>
                <w:sz w:val="20"/>
                <w:szCs w:val="20"/>
                <w:color w:val="auto"/>
              </w:rPr>
            </w:pPr>
            <w:r>
              <w:rPr>
                <w:rFonts w:ascii="Arial" w:cs="Arial" w:eastAsia="Arial" w:hAnsi="Arial"/>
                <w:sz w:val="18"/>
                <w:szCs w:val="18"/>
                <w:color w:val="auto"/>
              </w:rPr>
              <w:t>2007</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350,000</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80" w:type="dxa"/>
            <w:vAlign w:val="bottom"/>
            <w:shd w:val="clear" w:color="auto" w:fill="EEEEEE"/>
          </w:tcPr>
          <w:p>
            <w:pPr>
              <w:jc w:val="right"/>
              <w:ind w:right="2392"/>
              <w:spacing w:after="0"/>
              <w:rPr>
                <w:sz w:val="20"/>
                <w:szCs w:val="20"/>
                <w:color w:val="auto"/>
              </w:rPr>
            </w:pPr>
            <w:r>
              <w:rPr>
                <w:rFonts w:ascii="Arial" w:cs="Arial" w:eastAsia="Arial" w:hAnsi="Arial"/>
                <w:sz w:val="18"/>
                <w:szCs w:val="18"/>
                <w:color w:val="auto"/>
              </w:rPr>
              <w:t>2008</w:t>
            </w:r>
          </w:p>
        </w:tc>
        <w:tc>
          <w:tcPr>
            <w:tcW w:w="246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Thereafter</w:t>
            </w:r>
          </w:p>
        </w:tc>
        <w:tc>
          <w:tcPr>
            <w:tcW w:w="2460" w:type="dxa"/>
            <w:vAlign w:val="bottom"/>
          </w:tcPr>
          <w:p>
            <w:pPr>
              <w:spacing w:after="0"/>
              <w:rPr>
                <w:sz w:val="19"/>
                <w:szCs w:val="19"/>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24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30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EEEEEE"/>
          </w:tcPr>
          <w:p>
            <w:pPr>
              <w:spacing w:after="0"/>
              <w:rPr>
                <w:sz w:val="20"/>
                <w:szCs w:val="20"/>
                <w:color w:val="auto"/>
              </w:rPr>
            </w:pPr>
            <w:r>
              <w:rPr>
                <w:rFonts w:ascii="Arial" w:cs="Arial" w:eastAsia="Arial" w:hAnsi="Arial"/>
                <w:sz w:val="18"/>
                <w:szCs w:val="18"/>
                <w:color w:val="auto"/>
              </w:rPr>
              <w:t>Total</w:t>
            </w:r>
          </w:p>
        </w:tc>
        <w:tc>
          <w:tcPr>
            <w:tcW w:w="30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$ 600,000</w:t>
            </w: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246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line="378" w:lineRule="auto"/>
        <w:rPr>
          <w:sz w:val="20"/>
          <w:szCs w:val="20"/>
          <w:color w:val="auto"/>
        </w:rPr>
      </w:pPr>
      <w:r>
        <w:rPr>
          <w:rFonts w:ascii="Arial" w:cs="Arial" w:eastAsia="Arial" w:hAnsi="Arial"/>
          <w:sz w:val="15"/>
          <w:szCs w:val="15"/>
          <w:b w:val="1"/>
          <w:bCs w:val="1"/>
          <w:color w:val="auto"/>
        </w:rPr>
        <w:t xml:space="preserve">Other. </w:t>
      </w:r>
      <w:r>
        <w:rPr>
          <w:rFonts w:ascii="Arial" w:cs="Arial" w:eastAsia="Arial" w:hAnsi="Arial"/>
          <w:sz w:val="15"/>
          <w:szCs w:val="15"/>
          <w:color w:val="auto"/>
        </w:rPr>
        <w:t>The Company does not have any off-balance sheet arrangements or financing activities with special-purpose entities (SPEs). Transactions with related</w:t>
      </w:r>
      <w:r>
        <w:rPr>
          <w:rFonts w:ascii="Arial" w:cs="Arial" w:eastAsia="Arial" w:hAnsi="Arial"/>
          <w:sz w:val="15"/>
          <w:szCs w:val="15"/>
          <w:b w:val="1"/>
          <w:bCs w:val="1"/>
          <w:color w:val="auto"/>
        </w:rPr>
        <w:t xml:space="preserve"> </w:t>
      </w:r>
      <w:r>
        <w:rPr>
          <w:rFonts w:ascii="Arial" w:cs="Arial" w:eastAsia="Arial" w:hAnsi="Arial"/>
          <w:sz w:val="15"/>
          <w:szCs w:val="15"/>
          <w:color w:val="auto"/>
        </w:rPr>
        <w:t>parties, as discussed in Note C to the Consolidated Financial Statements, are in the ordinary course of business and are conducted on an arm’s-length basis.</w:t>
      </w:r>
    </w:p>
    <w:p>
      <w:pPr>
        <w:spacing w:after="0" w:line="35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131" w:right="57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amounts reported in the financial statements. In preparing these financial statements, management has made their best estimates and judgments of certain amounts included in the financial statements. Actual results will inevitably differ to some extent from these estimates.</w:t>
      </w:r>
    </w:p>
    <w:p>
      <w:pPr>
        <w:spacing w:after="0" w:line="16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following are accounting policies that management believes are the most important to the Company’s portrayal of the Company’s financial condition and results and require management’s most difficult, subjective or complex judgments.</w:t>
      </w:r>
    </w:p>
    <w:p>
      <w:pPr>
        <w:spacing w:after="0" w:line="180" w:lineRule="exact"/>
        <w:rPr>
          <w:sz w:val="20"/>
          <w:szCs w:val="20"/>
          <w:color w:val="auto"/>
        </w:rPr>
      </w:pPr>
    </w:p>
    <w:p>
      <w:pPr>
        <w:ind w:right="100"/>
        <w:spacing w:after="0" w:line="311" w:lineRule="auto"/>
        <w:rPr>
          <w:sz w:val="20"/>
          <w:szCs w:val="20"/>
          <w:color w:val="auto"/>
        </w:rPr>
      </w:pPr>
      <w:r>
        <w:rPr>
          <w:rFonts w:ascii="Arial" w:cs="Arial" w:eastAsia="Arial" w:hAnsi="Arial"/>
          <w:sz w:val="15"/>
          <w:szCs w:val="15"/>
          <w:b w:val="1"/>
          <w:bCs w:val="1"/>
          <w:color w:val="auto"/>
        </w:rPr>
        <w:t xml:space="preserve">Revenue Recognition and Trade Accounts Receivable, Less Estimated Returns, Doubtful Accounts and Allowances. </w:t>
      </w:r>
      <w:r>
        <w:rPr>
          <w:rFonts w:ascii="Arial" w:cs="Arial" w:eastAsia="Arial" w:hAnsi="Arial"/>
          <w:sz w:val="15"/>
          <w:szCs w:val="15"/>
          <w:color w:val="auto"/>
        </w:rPr>
        <w:t>The Company’s revenue recognition</w:t>
      </w:r>
      <w:r>
        <w:rPr>
          <w:rFonts w:ascii="Arial" w:cs="Arial" w:eastAsia="Arial" w:hAnsi="Arial"/>
          <w:sz w:val="15"/>
          <w:szCs w:val="15"/>
          <w:b w:val="1"/>
          <w:bCs w:val="1"/>
          <w:color w:val="auto"/>
        </w:rPr>
        <w:t xml:space="preserve"> </w:t>
      </w:r>
      <w:r>
        <w:rPr>
          <w:rFonts w:ascii="Arial" w:cs="Arial" w:eastAsia="Arial" w:hAnsi="Arial"/>
          <w:sz w:val="15"/>
          <w:szCs w:val="15"/>
          <w:color w:val="auto"/>
        </w:rPr>
        <w:t>policies are described in Note A to the consolidated financial statements. Revenues from magazine retail sales are recognized on the later of delivery or the cover date, with adequate provision made for anticipated sales returns. The Company bases its estimates for sales returns on historical experience and has not experienced significant fluctuations between estimated and actual return activity. Education revenue is generally recognized ratably over the period during which educational services are delivered. For example, at Kaplan’s test preparation division, estimates of average student course length are developed for each course, along with estimates for the anticipated level of student drops and refunds from test performance guarantees, and these estimates are evaluated on an ongoing basis and adjusted as necessary. As Kaplan’s businesses and related course offerings have expanded, including distance-learning businesses, and contracts with school districts as part of its K12 business, the complexity and significance of management estimates have increased.</w:t>
      </w:r>
    </w:p>
    <w:p>
      <w:pPr>
        <w:spacing w:after="0" w:line="16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Accounts receivable have been reduced by an allowance for amounts that may be uncollectible in the future. This estimated allowance is based primarily on the aging category, historical trends and management’s evaluation of the financial condition of the customer. Accounts receivable also have been reduced by an estimate of advertising rate adjustments and discounts, based on estimates of advertising volumes for contract customers who are eligible for advertising rate adjustments and discounts.</w:t>
      </w:r>
    </w:p>
    <w:p>
      <w:pPr>
        <w:spacing w:after="0" w:line="191" w:lineRule="exact"/>
        <w:rPr>
          <w:sz w:val="20"/>
          <w:szCs w:val="20"/>
          <w:color w:val="auto"/>
        </w:rPr>
      </w:pPr>
    </w:p>
    <w:p>
      <w:pPr>
        <w:ind w:right="100"/>
        <w:spacing w:after="0" w:line="303" w:lineRule="auto"/>
        <w:rPr>
          <w:sz w:val="20"/>
          <w:szCs w:val="20"/>
          <w:color w:val="auto"/>
        </w:rPr>
      </w:pPr>
      <w:r>
        <w:rPr>
          <w:rFonts w:ascii="Arial" w:cs="Arial" w:eastAsia="Arial" w:hAnsi="Arial"/>
          <w:sz w:val="15"/>
          <w:szCs w:val="15"/>
          <w:b w:val="1"/>
          <w:bCs w:val="1"/>
          <w:color w:val="auto"/>
        </w:rPr>
        <w:t xml:space="preserve">Pension Costs. </w:t>
      </w:r>
      <w:r>
        <w:rPr>
          <w:rFonts w:ascii="Arial" w:cs="Arial" w:eastAsia="Arial" w:hAnsi="Arial"/>
          <w:sz w:val="15"/>
          <w:szCs w:val="15"/>
          <w:color w:val="auto"/>
        </w:rPr>
        <w:t>Excluding special termination benefits related to early retirement programs, the Company’s net pension credit was $55.1 million, $64.4 million</w:t>
      </w:r>
      <w:r>
        <w:rPr>
          <w:rFonts w:ascii="Arial" w:cs="Arial" w:eastAsia="Arial" w:hAnsi="Arial"/>
          <w:sz w:val="15"/>
          <w:szCs w:val="15"/>
          <w:b w:val="1"/>
          <w:bCs w:val="1"/>
          <w:color w:val="auto"/>
        </w:rPr>
        <w:t xml:space="preserve"> </w:t>
      </w:r>
      <w:r>
        <w:rPr>
          <w:rFonts w:ascii="Arial" w:cs="Arial" w:eastAsia="Arial" w:hAnsi="Arial"/>
          <w:sz w:val="15"/>
          <w:szCs w:val="15"/>
          <w:color w:val="auto"/>
        </w:rPr>
        <w:t>and $76.9 million for 2003, 2002 and 2001, respectively. The Company’s pension benefit costs are actuarially determined and are impacted significantly by the Company’s assumptions related to future events, including the discount rate, expected return on plan assets and rate of compensation increases. At December 30, 2001, the Company modified certain assumptions surrounding the Company’s pension plans. Specifically, the Company reduced its assumptions on the discount rate from 7.5 percent to 7.0 percent and expected return on plan assets from 9.0 percent to 7.5 percent. These assumption changes resulted in a reduction of approximately $20 million in the Company’s net pension credit in 2002. At December 29, 2002, the Company reduced its discount rate assumption to</w:t>
      </w:r>
    </w:p>
    <w:p>
      <w:pPr>
        <w:spacing w:after="0" w:line="2"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6.75 percent. Due to the reduction in the discount rate, lower than expected investment returns in 2002, and an amendment to the pension retirement program for certain employees at the Post effective June 1, 2003, the pension credit for 2003 declined by $9.3 million compared to 2002. At December 28, 2003, the Company reduced its discount rate assumption to 6.25 percent. Due to the reduction in the discount rate, the plan amendment from June 2003, and a reduction in the estimated actuarial gain amortization, offset by higher than expected investment returns in 2003, the pension credit for 2004 is expected to be down by about $14 million compared to 2003. For each one-half percent increase or decrease to the Company’s assumed expected return on plan assets, the pension credit increases or decreases by approximately $6.5 million. For each one-half percent increase or decrease to the Company’s assumed discount rate, the pension credit increases or decreases by approximately $5 million. The Company’s actual rate of return on plan assets was 16.7 percent in 2003, (2.3) percent in 2002, and</w:t>
      </w:r>
    </w:p>
    <w:p>
      <w:pPr>
        <w:spacing w:after="0" w:line="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10.9 percent in 2001, based on plan assets at the beginning of each year. Note H to the Consolidated Financial Statements provides additional details surrounding pension costs and related assumptions.</w:t>
      </w:r>
    </w:p>
    <w:p>
      <w:pPr>
        <w:spacing w:after="0" w:line="186"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 xml:space="preserve">Kaplan Stock Option Plan. </w:t>
      </w:r>
      <w:r>
        <w:rPr>
          <w:rFonts w:ascii="Arial" w:cs="Arial" w:eastAsia="Arial" w:hAnsi="Arial"/>
          <w:sz w:val="16"/>
          <w:szCs w:val="16"/>
          <w:color w:val="auto"/>
        </w:rPr>
        <w:t>The Kaplan stock option plan was adopted in 1997 and initially reserved 15 percent, or 150,000 shares of Kaplan’s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for options to be granted under the plan to certain members of Kaplan management. Under the provisions of this plan, options are issued with an exercise price equal to the estimated fair value of Kaplan’s common stock, and options vest ratably over five years. Upon exercise, an option holder may either purchase vested shares at the exercise price or elect to receive cash equal to the difference between the exercise price and the then fair value. The amount of compensation expense varies directly with the estimated fair value of Kaplan’s common stock and the number of options outstanding. The estimated fair value of Kaplan’s common stock is based upon a comparison of operating results and public market values of other education companies and is determined by the Company’s compensation committee of the Board of Directors, with input from management and an independent outside valuation firm. Over the past several years, the value of education companies has fluctuated significantly, and consequently, there has been significant volatility in the amounts recorded as expense each year as well as on a quarterly basis.</w:t>
      </w:r>
    </w:p>
    <w:p>
      <w:pPr>
        <w:spacing w:after="0" w:line="17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September 2003, the committee set the fair value price of Kaplan common stock at $1,625 per share, which is determined after deducting intercompany debt from Kaplan’s enterprise value. Also in September 2003, the Company announced an offer totaling $138 million for approximately 55 percent of the stock options outstanding at Kaplan. The Company’s offer included a 10 percent premium over the current valuation price of Kaplan common stock of $1,625 per share; by the end of October 2003, 100 percent of the eligible stock options were tendered. The Company paid out $118.7 million in the fourth quarter of 2003; the remainder of the payouts, related to 14,463 tendered stock options, will be made at the time of their scheduled vesting, from 2004 to 2007, if the option holder is still employed at Kaplan. Additionally, stock com-</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4" w:name="page45"/>
    <w:bookmarkEnd w:id="44"/>
    <w:p>
      <w:pPr>
        <w:ind w:right="40"/>
        <w:spacing w:after="0" w:line="306" w:lineRule="auto"/>
        <w:rPr>
          <w:sz w:val="20"/>
          <w:szCs w:val="20"/>
          <w:color w:val="auto"/>
        </w:rPr>
      </w:pPr>
      <w:r>
        <w:rPr>
          <w:rFonts w:ascii="Arial" w:cs="Arial" w:eastAsia="Arial" w:hAnsi="Arial"/>
          <w:sz w:val="16"/>
          <w:szCs w:val="16"/>
          <w:color w:val="auto"/>
        </w:rPr>
        <w:t>pensation expense will be recorded on these remaining exercised stock options over the remaining vesting periods of 2004 to 2007. A small number of key Kaplan executives will continue to hold the remaining 68,000 outstanding Kaplan stock options (representing about 4.8 percent of Kaplan’s common stock), with roughly half of these options expiring in 2007 and half expiring in 2011. The Company does not expect to issue additional Kaplan stock options in the future.</w:t>
      </w:r>
    </w:p>
    <w:p>
      <w:pPr>
        <w:spacing w:after="0" w:line="16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For 2003, 2002 and 2001, the Company recorded expense of $119.1 million, $34.5 million and $25.3 million, respectively, related to this plan. In 2003 and 2002, payouts from option exercises totaled $119.6 million and $0.2 million, respectively. At December 28, 2003, the Company’s stock-based compensation accrual balance totaled $73.9 million. If Kaplan’s profits increase and the value of education companies remains relatively high in 2004, there will be significant Kaplan stock-based compensation expense again in 2004, although at an otherwise much reduced level due to the buyout offer made in September 2003. Note G to the Consolidated Financial Statements provides additional details surrounding the Kaplan Stock Option Plan.</w:t>
      </w:r>
    </w:p>
    <w:p>
      <w:pPr>
        <w:spacing w:after="0" w:line="164"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b w:val="1"/>
          <w:bCs w:val="1"/>
          <w:color w:val="auto"/>
        </w:rPr>
        <w:t xml:space="preserve">Goodwill and Other Intangibles. </w:t>
      </w:r>
      <w:r>
        <w:rPr>
          <w:rFonts w:ascii="Arial" w:cs="Arial" w:eastAsia="Arial" w:hAnsi="Arial"/>
          <w:sz w:val="16"/>
          <w:szCs w:val="16"/>
          <w:color w:val="auto"/>
        </w:rPr>
        <w:t>The Company reviews the carrying value of goodwill and indefinite-lived intangible assets at least annually, utilizing a</w:t>
      </w:r>
      <w:r>
        <w:rPr>
          <w:rFonts w:ascii="Arial" w:cs="Arial" w:eastAsia="Arial" w:hAnsi="Arial"/>
          <w:sz w:val="16"/>
          <w:szCs w:val="16"/>
          <w:b w:val="1"/>
          <w:bCs w:val="1"/>
          <w:color w:val="auto"/>
        </w:rPr>
        <w:t xml:space="preserve"> </w:t>
      </w:r>
      <w:r>
        <w:rPr>
          <w:rFonts w:ascii="Arial" w:cs="Arial" w:eastAsia="Arial" w:hAnsi="Arial"/>
          <w:sz w:val="16"/>
          <w:szCs w:val="16"/>
          <w:color w:val="auto"/>
        </w:rPr>
        <w:t>discounted cash flow model (in the case of the Company’s cable systems, both a discounted cash flow model and an estimated fair market value per cable subscriber approach are considered). The Company must make assumptions regarding estimated future cash flows and market values to determine a reporting unit’s estimated fair value. In reviewing the carrying value of goodwill and indefinite-lived intangible assets at the cable division, the Company aggregates its cable systems on a regional basis. If these estimates or related assumptions change in the future, the Company may be required to record an impairment charge. At December 28, 2003, the Company has $1,457.6 million in goodwill and other intangibles.</w:t>
      </w:r>
    </w:p>
    <w:p>
      <w:pPr>
        <w:spacing w:after="0" w:line="165"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 xml:space="preserve">Cost Method Investments. </w:t>
      </w:r>
      <w:r>
        <w:rPr>
          <w:rFonts w:ascii="Arial" w:cs="Arial" w:eastAsia="Arial" w:hAnsi="Arial"/>
          <w:sz w:val="16"/>
          <w:szCs w:val="16"/>
          <w:color w:val="auto"/>
        </w:rPr>
        <w:t>The Company uses the cost method of accounting for its minority investments in non-public companies where it does not have</w:t>
      </w:r>
      <w:r>
        <w:rPr>
          <w:rFonts w:ascii="Arial" w:cs="Arial" w:eastAsia="Arial" w:hAnsi="Arial"/>
          <w:sz w:val="16"/>
          <w:szCs w:val="16"/>
          <w:b w:val="1"/>
          <w:bCs w:val="1"/>
          <w:color w:val="auto"/>
        </w:rPr>
        <w:t xml:space="preserve"> </w:t>
      </w:r>
      <w:r>
        <w:rPr>
          <w:rFonts w:ascii="Arial" w:cs="Arial" w:eastAsia="Arial" w:hAnsi="Arial"/>
          <w:sz w:val="16"/>
          <w:szCs w:val="16"/>
          <w:color w:val="auto"/>
        </w:rPr>
        <w:t>significant influence over the operations and management of the investee. Most of the companies represented by these cost method investments have concentrations in Internet-related business activities. Investments are recorded at the lower of cost or fair value as estimated by management. Fair value estimates are based on a review of the investees’ product development activities, historical financial results and projected discounted cash flows. These estimates are highly judgmental, given the inherent lack of marketability of investments in private companies. The Company has recorded write-down charges on cost method investments of $1.1 million, $19.2 million and $29.4 million in 2003, 2002 and 2001, respectively. Note C to the Consolidated Financial Statements provides additional details surrounding cost method investments.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b w:val="1"/>
          <w:bCs w:val="1"/>
          <w:color w:val="auto"/>
        </w:rPr>
        <w:t xml:space="preserve">New Accounting Pronouncements. </w:t>
      </w:r>
      <w:r>
        <w:rPr>
          <w:rFonts w:ascii="Arial" w:cs="Arial" w:eastAsia="Arial" w:hAnsi="Arial"/>
          <w:sz w:val="16"/>
          <w:szCs w:val="16"/>
          <w:color w:val="auto"/>
        </w:rPr>
        <w:t>In January 2003, the Financial Accounting Standards Board (the FASB) released Interpretation No. 46, “Consolidation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Variable Interest Entities (FIN 46). FIN 46 requires primary beneficiaries of Variable Interest Entities (VIEs) to consolidate those entities. In December 2003, the FASB published a revision to FIN 46 (FIN 46R) to clarify some of the provisions of FIN 46 and to defer the effective date of implementation for certain entities. Under the guidance of FIN 46R, entities that do not have interests in structures that are commonly referred to as SPEs are required to apply the provisions of the interpretation in financial statements for periods ending after March 14, 2004. The Company does not have any interests in VIEs, including SPEs, and therefore, FIN 46 and FIN 46R did not have any impact on the Company in 2003 and are not expected to have any impact on the Company in 2004.</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45" w:name="page46"/>
    <w:bookmarkEnd w:id="45"/>
    <w:p>
      <w:pPr>
        <w:ind w:left="4060"/>
        <w:spacing w:after="0"/>
        <w:rPr>
          <w:sz w:val="20"/>
          <w:szCs w:val="20"/>
          <w:color w:val="auto"/>
        </w:rPr>
      </w:pPr>
      <w:r>
        <w:rPr>
          <w:rFonts w:ascii="Arial" w:cs="Arial" w:eastAsia="Arial" w:hAnsi="Arial"/>
          <w:sz w:val="18"/>
          <w:szCs w:val="18"/>
          <w:b w:val="1"/>
          <w:bCs w:val="1"/>
          <w:color w:val="auto"/>
        </w:rPr>
        <w:t>REPORT OF INDEPENDENT AUDITORS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The Washington Post Company:</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our opinion, the consolidated financial statements referred to under Item 15(a)(i) on page 23 and listed in the index on page 25 present fairly, in all material respects, the financial position of The Washington Post Company and its subsidiaries at December 28, 2003 and December 29, 2002, and the results of their operations and their cash flows for each of the three fiscal years in the period ended December 28, 2003, in conformity with accounting principles generally accepted in the United States of America. In addition, in our opinion, the financial statement schedule referred to under Item 15(a)(i) on page 23 presents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81"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As discussed in Note A to the financial statements, the Company ceased amortizing certain goodwill and intangibles as a result of the adoption of Statement of Financial Accounting Standards No. 142, “Goodwill and Other Intangible Assets,” effective on the first day of its 2002 fiscal year. Also as discussed in Note A, the Company adopted the fair-value-based method of accounting for stock options as outlined in Statement of Financial Accounting Standards No. 123, “Accounting for Stock-Based Compensation,” beginning with stock options granted in fiscal 2002 and thereafter.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Washington, D.C.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20, 2004</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46" w:name="page47"/>
    <w:bookmarkEnd w:id="46"/>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100" w:type="dxa"/>
            <w:vAlign w:val="bottom"/>
            <w:gridSpan w:val="5"/>
          </w:tcPr>
          <w:p>
            <w:pPr>
              <w:ind w:left="3840"/>
              <w:spacing w:after="0"/>
              <w:rPr>
                <w:sz w:val="20"/>
                <w:szCs w:val="20"/>
                <w:color w:val="auto"/>
              </w:rPr>
            </w:pPr>
            <w:r>
              <w:rPr>
                <w:rFonts w:ascii="Arial" w:cs="Arial" w:eastAsia="Arial" w:hAnsi="Arial"/>
                <w:sz w:val="18"/>
                <w:szCs w:val="18"/>
                <w:b w:val="1"/>
                <w:bCs w:val="1"/>
                <w:color w:val="auto"/>
              </w:rPr>
              <w:t>CONSOLIDATED STATEMENTS OF INCOME</w:t>
            </w:r>
          </w:p>
        </w:tc>
        <w:tc>
          <w:tcPr>
            <w:tcW w:w="1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500" w:type="dxa"/>
            <w:vAlign w:val="bottom"/>
            <w:gridSpan w:val="2"/>
          </w:tcPr>
          <w:p>
            <w:pPr>
              <w:jc w:val="right"/>
              <w:ind w:right="612"/>
              <w:spacing w:after="0"/>
              <w:rPr>
                <w:sz w:val="20"/>
                <w:szCs w:val="20"/>
                <w:color w:val="auto"/>
              </w:rPr>
            </w:pPr>
            <w:r>
              <w:rPr>
                <w:rFonts w:ascii="Arial" w:cs="Arial" w:eastAsia="Arial" w:hAnsi="Arial"/>
                <w:sz w:val="18"/>
                <w:szCs w:val="18"/>
                <w:color w:val="auto"/>
              </w:rPr>
              <w:t>Fiscal year ended</w:t>
            </w: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40" w:type="dxa"/>
            <w:vAlign w:val="bottom"/>
            <w:tcBorders>
              <w:bottom w:val="single" w:sz="8" w:color="808080"/>
            </w:tcBorders>
            <w:gridSpan w:val="2"/>
          </w:tcPr>
          <w:p>
            <w:pPr>
              <w:spacing w:after="0"/>
              <w:rPr>
                <w:sz w:val="9"/>
                <w:szCs w:val="9"/>
                <w:color w:val="auto"/>
              </w:rPr>
            </w:pPr>
          </w:p>
        </w:tc>
        <w:tc>
          <w:tcPr>
            <w:tcW w:w="2500" w:type="dxa"/>
            <w:vAlign w:val="bottom"/>
            <w:tcBorders>
              <w:bottom w:val="single" w:sz="8" w:color="808080"/>
            </w:tcBorders>
            <w:gridSpan w:val="2"/>
          </w:tcPr>
          <w:p>
            <w:pPr>
              <w:spacing w:after="0"/>
              <w:rPr>
                <w:sz w:val="9"/>
                <w:szCs w:val="9"/>
                <w:color w:val="auto"/>
              </w:rPr>
            </w:pPr>
          </w:p>
        </w:tc>
        <w:tc>
          <w:tcPr>
            <w:tcW w:w="1920" w:type="dxa"/>
            <w:vAlign w:val="bottom"/>
            <w:tcBorders>
              <w:bottom w:val="single" w:sz="8" w:color="808080"/>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gridSpan w:val="2"/>
          </w:tcPr>
          <w:p>
            <w:pPr>
              <w:jc w:val="right"/>
              <w:ind w:right="372"/>
              <w:spacing w:after="0"/>
              <w:rPr>
                <w:sz w:val="20"/>
                <w:szCs w:val="20"/>
                <w:color w:val="auto"/>
              </w:rPr>
            </w:pPr>
            <w:r>
              <w:rPr>
                <w:rFonts w:ascii="Arial" w:cs="Arial" w:eastAsia="Arial" w:hAnsi="Arial"/>
                <w:sz w:val="18"/>
                <w:szCs w:val="18"/>
                <w:b w:val="1"/>
                <w:bCs w:val="1"/>
                <w:color w:val="auto"/>
              </w:rPr>
              <w:t>December 28,</w:t>
            </w:r>
          </w:p>
        </w:tc>
        <w:tc>
          <w:tcPr>
            <w:tcW w:w="2500" w:type="dxa"/>
            <w:vAlign w:val="bottom"/>
            <w:gridSpan w:val="2"/>
          </w:tcPr>
          <w:p>
            <w:pPr>
              <w:jc w:val="right"/>
              <w:ind w:right="492"/>
              <w:spacing w:after="0"/>
              <w:rPr>
                <w:sz w:val="20"/>
                <w:szCs w:val="20"/>
                <w:color w:val="auto"/>
              </w:rPr>
            </w:pPr>
            <w:r>
              <w:rPr>
                <w:rFonts w:ascii="Arial" w:cs="Arial" w:eastAsia="Arial" w:hAnsi="Arial"/>
                <w:sz w:val="18"/>
                <w:szCs w:val="18"/>
                <w:color w:val="auto"/>
              </w:rPr>
              <w:t>December 29,</w:t>
            </w:r>
          </w:p>
        </w:tc>
        <w:tc>
          <w:tcPr>
            <w:tcW w:w="1920" w:type="dxa"/>
            <w:vAlign w:val="bottom"/>
            <w:gridSpan w:val="2"/>
          </w:tcPr>
          <w:p>
            <w:pPr>
              <w:jc w:val="center"/>
              <w:ind w:left="172"/>
              <w:spacing w:after="0"/>
              <w:rPr>
                <w:sz w:val="20"/>
                <w:szCs w:val="20"/>
                <w:color w:val="auto"/>
              </w:rPr>
            </w:pPr>
            <w:r>
              <w:rPr>
                <w:rFonts w:ascii="Arial" w:cs="Arial" w:eastAsia="Arial" w:hAnsi="Arial"/>
                <w:sz w:val="18"/>
                <w:szCs w:val="18"/>
                <w:color w:val="auto"/>
                <w:w w:val="86"/>
              </w:rPr>
              <w:t>December 30,</w:t>
            </w:r>
          </w:p>
        </w:tc>
        <w:tc>
          <w:tcPr>
            <w:tcW w:w="0" w:type="dxa"/>
            <w:vAlign w:val="bottom"/>
          </w:tcPr>
          <w:p>
            <w:pPr>
              <w:spacing w:after="0"/>
              <w:rPr>
                <w:sz w:val="1"/>
                <w:szCs w:val="1"/>
                <w:color w:val="auto"/>
              </w:rPr>
            </w:pPr>
          </w:p>
        </w:tc>
      </w:tr>
      <w:tr>
        <w:trPr>
          <w:trHeight w:val="228"/>
        </w:trPr>
        <w:tc>
          <w:tcPr>
            <w:tcW w:w="4960" w:type="dxa"/>
            <w:vAlign w:val="bottom"/>
            <w:gridSpan w:val="3"/>
          </w:tcPr>
          <w:p>
            <w:pPr>
              <w:spacing w:after="0"/>
              <w:rPr>
                <w:sz w:val="20"/>
                <w:szCs w:val="20"/>
                <w:color w:val="auto"/>
              </w:rPr>
            </w:pPr>
            <w:r>
              <w:rPr>
                <w:rFonts w:ascii="Arial" w:cs="Arial" w:eastAsia="Arial" w:hAnsi="Arial"/>
                <w:sz w:val="18"/>
                <w:szCs w:val="18"/>
                <w:b w:val="1"/>
                <w:bCs w:val="1"/>
                <w:color w:val="auto"/>
              </w:rPr>
              <w:t>(in thousands, except per share amounts)</w:t>
            </w:r>
          </w:p>
        </w:tc>
        <w:tc>
          <w:tcPr>
            <w:tcW w:w="760" w:type="dxa"/>
            <w:vAlign w:val="bottom"/>
          </w:tcPr>
          <w:p>
            <w:pPr>
              <w:spacing w:after="0"/>
              <w:rPr>
                <w:sz w:val="19"/>
                <w:szCs w:val="19"/>
                <w:color w:val="auto"/>
              </w:rPr>
            </w:pPr>
          </w:p>
        </w:tc>
        <w:tc>
          <w:tcPr>
            <w:tcW w:w="1280" w:type="dxa"/>
            <w:vAlign w:val="bottom"/>
          </w:tcPr>
          <w:p>
            <w:pPr>
              <w:jc w:val="right"/>
              <w:ind w:right="712"/>
              <w:spacing w:after="0"/>
              <w:rPr>
                <w:sz w:val="20"/>
                <w:szCs w:val="20"/>
                <w:color w:val="auto"/>
              </w:rPr>
            </w:pPr>
            <w:r>
              <w:rPr>
                <w:rFonts w:ascii="Arial" w:cs="Arial" w:eastAsia="Arial" w:hAnsi="Arial"/>
                <w:sz w:val="18"/>
                <w:szCs w:val="18"/>
                <w:b w:val="1"/>
                <w:bCs w:val="1"/>
                <w:color w:val="auto"/>
              </w:rPr>
              <w:t>2003</w:t>
            </w:r>
          </w:p>
        </w:tc>
        <w:tc>
          <w:tcPr>
            <w:tcW w:w="1120" w:type="dxa"/>
            <w:vAlign w:val="bottom"/>
          </w:tcPr>
          <w:p>
            <w:pPr>
              <w:spacing w:after="0"/>
              <w:rPr>
                <w:sz w:val="19"/>
                <w:szCs w:val="19"/>
                <w:color w:val="auto"/>
              </w:rPr>
            </w:pPr>
          </w:p>
        </w:tc>
        <w:tc>
          <w:tcPr>
            <w:tcW w:w="1380" w:type="dxa"/>
            <w:vAlign w:val="bottom"/>
          </w:tcPr>
          <w:p>
            <w:pPr>
              <w:jc w:val="right"/>
              <w:ind w:right="812"/>
              <w:spacing w:after="0"/>
              <w:rPr>
                <w:sz w:val="20"/>
                <w:szCs w:val="20"/>
                <w:color w:val="auto"/>
              </w:rPr>
            </w:pPr>
            <w:r>
              <w:rPr>
                <w:rFonts w:ascii="Arial" w:cs="Arial" w:eastAsia="Arial" w:hAnsi="Arial"/>
                <w:sz w:val="18"/>
                <w:szCs w:val="18"/>
                <w:color w:val="auto"/>
              </w:rPr>
              <w:t>2002</w:t>
            </w:r>
          </w:p>
        </w:tc>
        <w:tc>
          <w:tcPr>
            <w:tcW w:w="780" w:type="dxa"/>
            <w:vAlign w:val="bottom"/>
          </w:tcPr>
          <w:p>
            <w:pPr>
              <w:spacing w:after="0"/>
              <w:rPr>
                <w:sz w:val="19"/>
                <w:szCs w:val="19"/>
                <w:color w:val="auto"/>
              </w:rPr>
            </w:pPr>
          </w:p>
        </w:tc>
        <w:tc>
          <w:tcPr>
            <w:tcW w:w="1140" w:type="dxa"/>
            <w:vAlign w:val="bottom"/>
          </w:tcPr>
          <w:p>
            <w:pPr>
              <w:jc w:val="center"/>
              <w:ind w:right="452"/>
              <w:spacing w:after="0"/>
              <w:rPr>
                <w:sz w:val="20"/>
                <w:szCs w:val="20"/>
                <w:color w:val="auto"/>
              </w:rPr>
            </w:pPr>
            <w:r>
              <w:rPr>
                <w:rFonts w:ascii="Arial" w:cs="Arial" w:eastAsia="Arial" w:hAnsi="Arial"/>
                <w:sz w:val="18"/>
                <w:szCs w:val="18"/>
                <w:color w:val="auto"/>
                <w:w w:val="89"/>
              </w:rPr>
              <w:t>2001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7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tcBorders>
              <w:right w:val="single" w:sz="8" w:color="EEEEEE"/>
            </w:tcBorders>
            <w:gridSpan w:val="2"/>
            <w:shd w:val="clear" w:color="auto" w:fill="EEEEEE"/>
          </w:tcPr>
          <w:p>
            <w:pPr>
              <w:spacing w:after="0"/>
              <w:rPr>
                <w:sz w:val="20"/>
                <w:szCs w:val="20"/>
                <w:color w:val="auto"/>
              </w:rPr>
            </w:pPr>
            <w:r>
              <w:rPr>
                <w:rFonts w:ascii="Arial" w:cs="Arial" w:eastAsia="Arial" w:hAnsi="Arial"/>
                <w:sz w:val="18"/>
                <w:szCs w:val="18"/>
                <w:b w:val="1"/>
                <w:bCs w:val="1"/>
                <w:color w:val="auto"/>
              </w:rPr>
              <w:t>Operating Revenues</w:t>
            </w:r>
          </w:p>
        </w:tc>
        <w:tc>
          <w:tcPr>
            <w:tcW w:w="76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260"/>
              <w:spacing w:after="0"/>
              <w:rPr>
                <w:sz w:val="20"/>
                <w:szCs w:val="20"/>
                <w:color w:val="auto"/>
              </w:rPr>
            </w:pPr>
            <w:r>
              <w:rPr>
                <w:rFonts w:ascii="Arial" w:cs="Arial" w:eastAsia="Arial" w:hAnsi="Arial"/>
                <w:sz w:val="18"/>
                <w:szCs w:val="18"/>
                <w:color w:val="auto"/>
              </w:rPr>
              <w:t>Advertising</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492"/>
              <w:spacing w:after="0"/>
              <w:rPr>
                <w:sz w:val="20"/>
                <w:szCs w:val="20"/>
                <w:color w:val="auto"/>
              </w:rPr>
            </w:pPr>
            <w:r>
              <w:rPr>
                <w:rFonts w:ascii="Arial" w:cs="Arial" w:eastAsia="Arial" w:hAnsi="Arial"/>
                <w:sz w:val="18"/>
                <w:szCs w:val="18"/>
                <w:b w:val="1"/>
                <w:bCs w:val="1"/>
                <w:color w:val="auto"/>
                <w:w w:val="84"/>
              </w:rPr>
              <w:t>1,233,358</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92"/>
              <w:spacing w:after="0"/>
              <w:rPr>
                <w:sz w:val="20"/>
                <w:szCs w:val="20"/>
                <w:color w:val="auto"/>
              </w:rPr>
            </w:pPr>
            <w:r>
              <w:rPr>
                <w:rFonts w:ascii="Arial" w:cs="Arial" w:eastAsia="Arial" w:hAnsi="Arial"/>
                <w:sz w:val="18"/>
                <w:szCs w:val="18"/>
                <w:color w:val="auto"/>
                <w:w w:val="84"/>
              </w:rPr>
              <w:t>1,226,834</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52"/>
              <w:spacing w:after="0"/>
              <w:rPr>
                <w:sz w:val="20"/>
                <w:szCs w:val="20"/>
                <w:color w:val="auto"/>
              </w:rPr>
            </w:pPr>
            <w:r>
              <w:rPr>
                <w:rFonts w:ascii="Arial" w:cs="Arial" w:eastAsia="Arial" w:hAnsi="Arial"/>
                <w:sz w:val="18"/>
                <w:szCs w:val="18"/>
                <w:color w:val="auto"/>
                <w:w w:val="84"/>
              </w:rPr>
              <w:t>1,209,327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right w:val="single" w:sz="8" w:color="EEEEEE"/>
            </w:tcBorders>
            <w:gridSpan w:val="2"/>
            <w:shd w:val="clear" w:color="auto" w:fill="EEEEEE"/>
          </w:tcPr>
          <w:p>
            <w:pPr>
              <w:ind w:left="260"/>
              <w:spacing w:after="0"/>
              <w:rPr>
                <w:sz w:val="20"/>
                <w:szCs w:val="20"/>
                <w:color w:val="auto"/>
              </w:rPr>
            </w:pPr>
            <w:r>
              <w:rPr>
                <w:rFonts w:ascii="Arial" w:cs="Arial" w:eastAsia="Arial" w:hAnsi="Arial"/>
                <w:sz w:val="18"/>
                <w:szCs w:val="18"/>
                <w:color w:val="auto"/>
              </w:rPr>
              <w:t>Circulation and subscriber</w:t>
            </w:r>
          </w:p>
        </w:tc>
        <w:tc>
          <w:tcPr>
            <w:tcW w:w="760" w:type="dxa"/>
            <w:vAlign w:val="bottom"/>
            <w:shd w:val="clear" w:color="auto" w:fill="EEEEEE"/>
          </w:tcPr>
          <w:p>
            <w:pPr>
              <w:spacing w:after="0"/>
              <w:rPr>
                <w:sz w:val="18"/>
                <w:szCs w:val="18"/>
                <w:color w:val="auto"/>
              </w:rPr>
            </w:pPr>
          </w:p>
        </w:tc>
        <w:tc>
          <w:tcPr>
            <w:tcW w:w="1280" w:type="dxa"/>
            <w:vAlign w:val="bottom"/>
            <w:shd w:val="clear" w:color="auto" w:fill="EEEEEE"/>
          </w:tcPr>
          <w:p>
            <w:pPr>
              <w:jc w:val="right"/>
              <w:ind w:right="492"/>
              <w:spacing w:after="0"/>
              <w:rPr>
                <w:sz w:val="20"/>
                <w:szCs w:val="20"/>
                <w:color w:val="auto"/>
              </w:rPr>
            </w:pPr>
            <w:r>
              <w:rPr>
                <w:rFonts w:ascii="Arial" w:cs="Arial" w:eastAsia="Arial" w:hAnsi="Arial"/>
                <w:sz w:val="18"/>
                <w:szCs w:val="18"/>
                <w:b w:val="1"/>
                <w:bCs w:val="1"/>
                <w:color w:val="auto"/>
              </w:rPr>
              <w:t>706,248</w:t>
            </w:r>
          </w:p>
        </w:tc>
        <w:tc>
          <w:tcPr>
            <w:tcW w:w="1120" w:type="dxa"/>
            <w:vAlign w:val="bottom"/>
            <w:shd w:val="clear" w:color="auto" w:fill="EEEEEE"/>
          </w:tcPr>
          <w:p>
            <w:pPr>
              <w:spacing w:after="0"/>
              <w:rPr>
                <w:sz w:val="18"/>
                <w:szCs w:val="18"/>
                <w:color w:val="auto"/>
              </w:rPr>
            </w:pPr>
          </w:p>
        </w:tc>
        <w:tc>
          <w:tcPr>
            <w:tcW w:w="1380" w:type="dxa"/>
            <w:vAlign w:val="bottom"/>
            <w:shd w:val="clear" w:color="auto" w:fill="EEEEEE"/>
          </w:tcPr>
          <w:p>
            <w:pPr>
              <w:jc w:val="right"/>
              <w:ind w:right="592"/>
              <w:spacing w:after="0"/>
              <w:rPr>
                <w:sz w:val="20"/>
                <w:szCs w:val="20"/>
                <w:color w:val="auto"/>
              </w:rPr>
            </w:pPr>
            <w:r>
              <w:rPr>
                <w:rFonts w:ascii="Arial" w:cs="Arial" w:eastAsia="Arial" w:hAnsi="Arial"/>
                <w:sz w:val="18"/>
                <w:szCs w:val="18"/>
                <w:color w:val="auto"/>
              </w:rPr>
              <w:t>675,136</w:t>
            </w:r>
          </w:p>
        </w:tc>
        <w:tc>
          <w:tcPr>
            <w:tcW w:w="780" w:type="dxa"/>
            <w:vAlign w:val="bottom"/>
            <w:shd w:val="clear" w:color="auto" w:fill="EEEEEE"/>
          </w:tcPr>
          <w:p>
            <w:pPr>
              <w:spacing w:after="0"/>
              <w:rPr>
                <w:sz w:val="18"/>
                <w:szCs w:val="18"/>
                <w:color w:val="auto"/>
              </w:rPr>
            </w:pPr>
          </w:p>
        </w:tc>
        <w:tc>
          <w:tcPr>
            <w:tcW w:w="114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653,028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260"/>
              <w:spacing w:after="0"/>
              <w:rPr>
                <w:sz w:val="20"/>
                <w:szCs w:val="20"/>
                <w:color w:val="auto"/>
              </w:rPr>
            </w:pPr>
            <w:r>
              <w:rPr>
                <w:rFonts w:ascii="Arial" w:cs="Arial" w:eastAsia="Arial" w:hAnsi="Arial"/>
                <w:sz w:val="18"/>
                <w:szCs w:val="18"/>
                <w:color w:val="auto"/>
              </w:rPr>
              <w:t>Education</w:t>
            </w:r>
          </w:p>
        </w:tc>
        <w:tc>
          <w:tcPr>
            <w:tcW w:w="760" w:type="dxa"/>
            <w:vAlign w:val="bottom"/>
          </w:tcPr>
          <w:p>
            <w:pPr>
              <w:spacing w:after="0"/>
              <w:rPr>
                <w:sz w:val="18"/>
                <w:szCs w:val="18"/>
                <w:color w:val="auto"/>
              </w:rPr>
            </w:pPr>
          </w:p>
        </w:tc>
        <w:tc>
          <w:tcPr>
            <w:tcW w:w="1280" w:type="dxa"/>
            <w:vAlign w:val="bottom"/>
          </w:tcPr>
          <w:p>
            <w:pPr>
              <w:jc w:val="right"/>
              <w:ind w:right="492"/>
              <w:spacing w:after="0"/>
              <w:rPr>
                <w:sz w:val="20"/>
                <w:szCs w:val="20"/>
                <w:color w:val="auto"/>
              </w:rPr>
            </w:pPr>
            <w:r>
              <w:rPr>
                <w:rFonts w:ascii="Arial" w:cs="Arial" w:eastAsia="Arial" w:hAnsi="Arial"/>
                <w:sz w:val="18"/>
                <w:szCs w:val="18"/>
                <w:b w:val="1"/>
                <w:bCs w:val="1"/>
                <w:color w:val="auto"/>
              </w:rPr>
              <w:t>838,077</w:t>
            </w:r>
          </w:p>
        </w:tc>
        <w:tc>
          <w:tcPr>
            <w:tcW w:w="1120" w:type="dxa"/>
            <w:vAlign w:val="bottom"/>
          </w:tcPr>
          <w:p>
            <w:pPr>
              <w:spacing w:after="0"/>
              <w:rPr>
                <w:sz w:val="18"/>
                <w:szCs w:val="18"/>
                <w:color w:val="auto"/>
              </w:rPr>
            </w:pPr>
          </w:p>
        </w:tc>
        <w:tc>
          <w:tcPr>
            <w:tcW w:w="1380" w:type="dxa"/>
            <w:vAlign w:val="bottom"/>
          </w:tcPr>
          <w:p>
            <w:pPr>
              <w:jc w:val="right"/>
              <w:ind w:right="592"/>
              <w:spacing w:after="0"/>
              <w:rPr>
                <w:sz w:val="20"/>
                <w:szCs w:val="20"/>
                <w:color w:val="auto"/>
              </w:rPr>
            </w:pPr>
            <w:r>
              <w:rPr>
                <w:rFonts w:ascii="Arial" w:cs="Arial" w:eastAsia="Arial" w:hAnsi="Arial"/>
                <w:sz w:val="18"/>
                <w:szCs w:val="18"/>
                <w:color w:val="auto"/>
              </w:rPr>
              <w:t>621,125</w:t>
            </w:r>
          </w:p>
        </w:tc>
        <w:tc>
          <w:tcPr>
            <w:tcW w:w="780" w:type="dxa"/>
            <w:vAlign w:val="bottom"/>
          </w:tcPr>
          <w:p>
            <w:pPr>
              <w:spacing w:after="0"/>
              <w:rPr>
                <w:sz w:val="18"/>
                <w:szCs w:val="18"/>
                <w:color w:val="auto"/>
              </w:rPr>
            </w:pP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493,271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right w:val="single" w:sz="8" w:color="EEEEEE"/>
            </w:tcBorders>
            <w:gridSpan w:val="2"/>
            <w:shd w:val="clear" w:color="auto" w:fill="EEEEEE"/>
          </w:tcPr>
          <w:p>
            <w:pPr>
              <w:ind w:left="260"/>
              <w:spacing w:after="0"/>
              <w:rPr>
                <w:sz w:val="20"/>
                <w:szCs w:val="20"/>
                <w:color w:val="auto"/>
              </w:rPr>
            </w:pPr>
            <w:r>
              <w:rPr>
                <w:rFonts w:ascii="Arial" w:cs="Arial" w:eastAsia="Arial" w:hAnsi="Arial"/>
                <w:sz w:val="18"/>
                <w:szCs w:val="18"/>
                <w:color w:val="auto"/>
              </w:rPr>
              <w:t>Other</w:t>
            </w:r>
          </w:p>
        </w:tc>
        <w:tc>
          <w:tcPr>
            <w:tcW w:w="760" w:type="dxa"/>
            <w:vAlign w:val="bottom"/>
            <w:shd w:val="clear" w:color="auto" w:fill="EEEEEE"/>
          </w:tcPr>
          <w:p>
            <w:pPr>
              <w:spacing w:after="0"/>
              <w:rPr>
                <w:sz w:val="18"/>
                <w:szCs w:val="18"/>
                <w:color w:val="auto"/>
              </w:rPr>
            </w:pPr>
          </w:p>
        </w:tc>
        <w:tc>
          <w:tcPr>
            <w:tcW w:w="1280" w:type="dxa"/>
            <w:vAlign w:val="bottom"/>
            <w:shd w:val="clear" w:color="auto" w:fill="EEEEEE"/>
          </w:tcPr>
          <w:p>
            <w:pPr>
              <w:jc w:val="right"/>
              <w:ind w:right="492"/>
              <w:spacing w:after="0"/>
              <w:rPr>
                <w:sz w:val="20"/>
                <w:szCs w:val="20"/>
                <w:color w:val="auto"/>
              </w:rPr>
            </w:pPr>
            <w:r>
              <w:rPr>
                <w:rFonts w:ascii="Arial" w:cs="Arial" w:eastAsia="Arial" w:hAnsi="Arial"/>
                <w:sz w:val="18"/>
                <w:szCs w:val="18"/>
                <w:b w:val="1"/>
                <w:bCs w:val="1"/>
                <w:color w:val="auto"/>
              </w:rPr>
              <w:t>61,228</w:t>
            </w:r>
          </w:p>
        </w:tc>
        <w:tc>
          <w:tcPr>
            <w:tcW w:w="1120" w:type="dxa"/>
            <w:vAlign w:val="bottom"/>
            <w:shd w:val="clear" w:color="auto" w:fill="EEEEEE"/>
          </w:tcPr>
          <w:p>
            <w:pPr>
              <w:spacing w:after="0"/>
              <w:rPr>
                <w:sz w:val="18"/>
                <w:szCs w:val="18"/>
                <w:color w:val="auto"/>
              </w:rPr>
            </w:pPr>
          </w:p>
        </w:tc>
        <w:tc>
          <w:tcPr>
            <w:tcW w:w="1380" w:type="dxa"/>
            <w:vAlign w:val="bottom"/>
            <w:shd w:val="clear" w:color="auto" w:fill="EEEEEE"/>
          </w:tcPr>
          <w:p>
            <w:pPr>
              <w:jc w:val="right"/>
              <w:ind w:right="592"/>
              <w:spacing w:after="0"/>
              <w:rPr>
                <w:sz w:val="20"/>
                <w:szCs w:val="20"/>
                <w:color w:val="auto"/>
              </w:rPr>
            </w:pPr>
            <w:r>
              <w:rPr>
                <w:rFonts w:ascii="Arial" w:cs="Arial" w:eastAsia="Arial" w:hAnsi="Arial"/>
                <w:sz w:val="18"/>
                <w:szCs w:val="18"/>
                <w:color w:val="auto"/>
              </w:rPr>
              <w:t>61,108</w:t>
            </w:r>
          </w:p>
        </w:tc>
        <w:tc>
          <w:tcPr>
            <w:tcW w:w="780" w:type="dxa"/>
            <w:vAlign w:val="bottom"/>
            <w:shd w:val="clear" w:color="auto" w:fill="EEEEEE"/>
          </w:tcPr>
          <w:p>
            <w:pPr>
              <w:spacing w:after="0"/>
              <w:rPr>
                <w:sz w:val="18"/>
                <w:szCs w:val="18"/>
                <w:color w:val="auto"/>
              </w:rPr>
            </w:pPr>
          </w:p>
        </w:tc>
        <w:tc>
          <w:tcPr>
            <w:tcW w:w="114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55,398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80" w:type="dxa"/>
            <w:vAlign w:val="bottom"/>
          </w:tcPr>
          <w:p>
            <w:pPr>
              <w:jc w:val="right"/>
              <w:ind w:right="492"/>
              <w:spacing w:after="0"/>
              <w:rPr>
                <w:sz w:val="20"/>
                <w:szCs w:val="20"/>
                <w:color w:val="auto"/>
              </w:rPr>
            </w:pPr>
            <w:r>
              <w:rPr>
                <w:rFonts w:ascii="Arial" w:cs="Arial" w:eastAsia="Arial" w:hAnsi="Arial"/>
                <w:sz w:val="18"/>
                <w:szCs w:val="18"/>
                <w:b w:val="1"/>
                <w:bCs w:val="1"/>
                <w:color w:val="auto"/>
                <w:w w:val="84"/>
              </w:rPr>
              <w:t>2,838,911</w:t>
            </w:r>
          </w:p>
        </w:tc>
        <w:tc>
          <w:tcPr>
            <w:tcW w:w="1120" w:type="dxa"/>
            <w:vAlign w:val="bottom"/>
          </w:tcPr>
          <w:p>
            <w:pPr>
              <w:spacing w:after="0"/>
              <w:rPr>
                <w:sz w:val="19"/>
                <w:szCs w:val="19"/>
                <w:color w:val="auto"/>
              </w:rPr>
            </w:pPr>
          </w:p>
        </w:tc>
        <w:tc>
          <w:tcPr>
            <w:tcW w:w="1380" w:type="dxa"/>
            <w:vAlign w:val="bottom"/>
          </w:tcPr>
          <w:p>
            <w:pPr>
              <w:jc w:val="right"/>
              <w:ind w:right="592"/>
              <w:spacing w:after="0"/>
              <w:rPr>
                <w:sz w:val="20"/>
                <w:szCs w:val="20"/>
                <w:color w:val="auto"/>
              </w:rPr>
            </w:pPr>
            <w:r>
              <w:rPr>
                <w:rFonts w:ascii="Arial" w:cs="Arial" w:eastAsia="Arial" w:hAnsi="Arial"/>
                <w:sz w:val="18"/>
                <w:szCs w:val="18"/>
                <w:color w:val="auto"/>
                <w:w w:val="84"/>
              </w:rPr>
              <w:t>2,584,203</w:t>
            </w:r>
          </w:p>
        </w:tc>
        <w:tc>
          <w:tcPr>
            <w:tcW w:w="780" w:type="dxa"/>
            <w:vAlign w:val="bottom"/>
          </w:tcPr>
          <w:p>
            <w:pPr>
              <w:spacing w:after="0"/>
              <w:rPr>
                <w:sz w:val="19"/>
                <w:szCs w:val="19"/>
                <w:color w:val="auto"/>
              </w:rPr>
            </w:pPr>
          </w:p>
        </w:tc>
        <w:tc>
          <w:tcPr>
            <w:tcW w:w="1140" w:type="dxa"/>
            <w:vAlign w:val="bottom"/>
          </w:tcPr>
          <w:p>
            <w:pPr>
              <w:jc w:val="right"/>
              <w:ind w:right="352"/>
              <w:spacing w:after="0"/>
              <w:rPr>
                <w:sz w:val="20"/>
                <w:szCs w:val="20"/>
                <w:color w:val="auto"/>
              </w:rPr>
            </w:pPr>
            <w:r>
              <w:rPr>
                <w:rFonts w:ascii="Arial" w:cs="Arial" w:eastAsia="Arial" w:hAnsi="Arial"/>
                <w:sz w:val="18"/>
                <w:szCs w:val="18"/>
                <w:color w:val="auto"/>
                <w:w w:val="84"/>
              </w:rPr>
              <w:t>2,411,024</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tcBorders>
              <w:right w:val="single" w:sz="8" w:color="EEEEEE"/>
            </w:tcBorders>
            <w:gridSpan w:val="2"/>
            <w:shd w:val="clear" w:color="auto" w:fill="EEEEEE"/>
          </w:tcPr>
          <w:p>
            <w:pPr>
              <w:spacing w:after="0"/>
              <w:rPr>
                <w:sz w:val="20"/>
                <w:szCs w:val="20"/>
                <w:color w:val="auto"/>
              </w:rPr>
            </w:pPr>
            <w:r>
              <w:rPr>
                <w:rFonts w:ascii="Arial" w:cs="Arial" w:eastAsia="Arial" w:hAnsi="Arial"/>
                <w:sz w:val="18"/>
                <w:szCs w:val="18"/>
                <w:b w:val="1"/>
                <w:bCs w:val="1"/>
                <w:color w:val="auto"/>
              </w:rPr>
              <w:t>Operating Costs and Expenses</w:t>
            </w:r>
          </w:p>
        </w:tc>
        <w:tc>
          <w:tcPr>
            <w:tcW w:w="76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260"/>
              <w:spacing w:after="0"/>
              <w:rPr>
                <w:sz w:val="20"/>
                <w:szCs w:val="20"/>
                <w:color w:val="auto"/>
              </w:rPr>
            </w:pPr>
            <w:r>
              <w:rPr>
                <w:rFonts w:ascii="Arial" w:cs="Arial" w:eastAsia="Arial" w:hAnsi="Arial"/>
                <w:sz w:val="18"/>
                <w:szCs w:val="18"/>
                <w:color w:val="auto"/>
              </w:rPr>
              <w:t>Operating</w:t>
            </w:r>
          </w:p>
        </w:tc>
        <w:tc>
          <w:tcPr>
            <w:tcW w:w="760" w:type="dxa"/>
            <w:vAlign w:val="bottom"/>
          </w:tcPr>
          <w:p>
            <w:pPr>
              <w:spacing w:after="0"/>
              <w:rPr>
                <w:sz w:val="18"/>
                <w:szCs w:val="18"/>
                <w:color w:val="auto"/>
              </w:rPr>
            </w:pPr>
          </w:p>
        </w:tc>
        <w:tc>
          <w:tcPr>
            <w:tcW w:w="1280" w:type="dxa"/>
            <w:vAlign w:val="bottom"/>
          </w:tcPr>
          <w:p>
            <w:pPr>
              <w:jc w:val="right"/>
              <w:ind w:right="492"/>
              <w:spacing w:after="0"/>
              <w:rPr>
                <w:sz w:val="20"/>
                <w:szCs w:val="20"/>
                <w:color w:val="auto"/>
              </w:rPr>
            </w:pPr>
            <w:r>
              <w:rPr>
                <w:rFonts w:ascii="Arial" w:cs="Arial" w:eastAsia="Arial" w:hAnsi="Arial"/>
                <w:sz w:val="18"/>
                <w:szCs w:val="18"/>
                <w:b w:val="1"/>
                <w:bCs w:val="1"/>
                <w:color w:val="auto"/>
                <w:w w:val="84"/>
              </w:rPr>
              <w:t>1,549,262</w:t>
            </w:r>
          </w:p>
        </w:tc>
        <w:tc>
          <w:tcPr>
            <w:tcW w:w="1120" w:type="dxa"/>
            <w:vAlign w:val="bottom"/>
          </w:tcPr>
          <w:p>
            <w:pPr>
              <w:spacing w:after="0"/>
              <w:rPr>
                <w:sz w:val="18"/>
                <w:szCs w:val="18"/>
                <w:color w:val="auto"/>
              </w:rPr>
            </w:pPr>
          </w:p>
        </w:tc>
        <w:tc>
          <w:tcPr>
            <w:tcW w:w="1380" w:type="dxa"/>
            <w:vAlign w:val="bottom"/>
          </w:tcPr>
          <w:p>
            <w:pPr>
              <w:jc w:val="right"/>
              <w:ind w:right="592"/>
              <w:spacing w:after="0"/>
              <w:rPr>
                <w:sz w:val="20"/>
                <w:szCs w:val="20"/>
                <w:color w:val="auto"/>
              </w:rPr>
            </w:pPr>
            <w:r>
              <w:rPr>
                <w:rFonts w:ascii="Arial" w:cs="Arial" w:eastAsia="Arial" w:hAnsi="Arial"/>
                <w:sz w:val="18"/>
                <w:szCs w:val="18"/>
                <w:color w:val="auto"/>
                <w:w w:val="84"/>
              </w:rPr>
              <w:t>1,369,955</w:t>
            </w:r>
          </w:p>
        </w:tc>
        <w:tc>
          <w:tcPr>
            <w:tcW w:w="780" w:type="dxa"/>
            <w:vAlign w:val="bottom"/>
          </w:tcPr>
          <w:p>
            <w:pPr>
              <w:spacing w:after="0"/>
              <w:rPr>
                <w:sz w:val="18"/>
                <w:szCs w:val="18"/>
                <w:color w:val="auto"/>
              </w:rPr>
            </w:pPr>
          </w:p>
        </w:tc>
        <w:tc>
          <w:tcPr>
            <w:tcW w:w="1140" w:type="dxa"/>
            <w:vAlign w:val="bottom"/>
          </w:tcPr>
          <w:p>
            <w:pPr>
              <w:jc w:val="right"/>
              <w:ind w:right="352"/>
              <w:spacing w:after="0"/>
              <w:rPr>
                <w:sz w:val="20"/>
                <w:szCs w:val="20"/>
                <w:color w:val="auto"/>
              </w:rPr>
            </w:pPr>
            <w:r>
              <w:rPr>
                <w:rFonts w:ascii="Arial" w:cs="Arial" w:eastAsia="Arial" w:hAnsi="Arial"/>
                <w:sz w:val="18"/>
                <w:szCs w:val="18"/>
                <w:color w:val="auto"/>
                <w:w w:val="84"/>
              </w:rPr>
              <w:t>1,387,101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right w:val="single" w:sz="8" w:color="EEEEEE"/>
            </w:tcBorders>
            <w:gridSpan w:val="2"/>
            <w:shd w:val="clear" w:color="auto" w:fill="EEEEEE"/>
          </w:tcPr>
          <w:p>
            <w:pPr>
              <w:ind w:left="260"/>
              <w:spacing w:after="0"/>
              <w:rPr>
                <w:sz w:val="20"/>
                <w:szCs w:val="20"/>
                <w:color w:val="auto"/>
              </w:rPr>
            </w:pPr>
            <w:r>
              <w:rPr>
                <w:rFonts w:ascii="Arial" w:cs="Arial" w:eastAsia="Arial" w:hAnsi="Arial"/>
                <w:sz w:val="18"/>
                <w:szCs w:val="18"/>
                <w:color w:val="auto"/>
              </w:rPr>
              <w:t>Selling, general and administrative</w:t>
            </w:r>
          </w:p>
        </w:tc>
        <w:tc>
          <w:tcPr>
            <w:tcW w:w="760" w:type="dxa"/>
            <w:vAlign w:val="bottom"/>
            <w:shd w:val="clear" w:color="auto" w:fill="EEEEEE"/>
          </w:tcPr>
          <w:p>
            <w:pPr>
              <w:spacing w:after="0"/>
              <w:rPr>
                <w:sz w:val="18"/>
                <w:szCs w:val="18"/>
                <w:color w:val="auto"/>
              </w:rPr>
            </w:pPr>
          </w:p>
        </w:tc>
        <w:tc>
          <w:tcPr>
            <w:tcW w:w="1280" w:type="dxa"/>
            <w:vAlign w:val="bottom"/>
            <w:shd w:val="clear" w:color="auto" w:fill="EEEEEE"/>
          </w:tcPr>
          <w:p>
            <w:pPr>
              <w:jc w:val="right"/>
              <w:ind w:right="492"/>
              <w:spacing w:after="0"/>
              <w:rPr>
                <w:sz w:val="20"/>
                <w:szCs w:val="20"/>
                <w:color w:val="auto"/>
              </w:rPr>
            </w:pPr>
            <w:r>
              <w:rPr>
                <w:rFonts w:ascii="Arial" w:cs="Arial" w:eastAsia="Arial" w:hAnsi="Arial"/>
                <w:sz w:val="18"/>
                <w:szCs w:val="18"/>
                <w:b w:val="1"/>
                <w:bCs w:val="1"/>
                <w:color w:val="auto"/>
              </w:rPr>
              <w:t>792,292</w:t>
            </w:r>
          </w:p>
        </w:tc>
        <w:tc>
          <w:tcPr>
            <w:tcW w:w="1120" w:type="dxa"/>
            <w:vAlign w:val="bottom"/>
            <w:shd w:val="clear" w:color="auto" w:fill="EEEEEE"/>
          </w:tcPr>
          <w:p>
            <w:pPr>
              <w:spacing w:after="0"/>
              <w:rPr>
                <w:sz w:val="18"/>
                <w:szCs w:val="18"/>
                <w:color w:val="auto"/>
              </w:rPr>
            </w:pPr>
          </w:p>
        </w:tc>
        <w:tc>
          <w:tcPr>
            <w:tcW w:w="1380" w:type="dxa"/>
            <w:vAlign w:val="bottom"/>
            <w:shd w:val="clear" w:color="auto" w:fill="EEEEEE"/>
          </w:tcPr>
          <w:p>
            <w:pPr>
              <w:jc w:val="right"/>
              <w:ind w:right="592"/>
              <w:spacing w:after="0"/>
              <w:rPr>
                <w:sz w:val="20"/>
                <w:szCs w:val="20"/>
                <w:color w:val="auto"/>
              </w:rPr>
            </w:pPr>
            <w:r>
              <w:rPr>
                <w:rFonts w:ascii="Arial" w:cs="Arial" w:eastAsia="Arial" w:hAnsi="Arial"/>
                <w:sz w:val="18"/>
                <w:szCs w:val="18"/>
                <w:color w:val="auto"/>
              </w:rPr>
              <w:t>664,095</w:t>
            </w:r>
          </w:p>
        </w:tc>
        <w:tc>
          <w:tcPr>
            <w:tcW w:w="780" w:type="dxa"/>
            <w:vAlign w:val="bottom"/>
            <w:shd w:val="clear" w:color="auto" w:fill="EEEEEE"/>
          </w:tcPr>
          <w:p>
            <w:pPr>
              <w:spacing w:after="0"/>
              <w:rPr>
                <w:sz w:val="18"/>
                <w:szCs w:val="18"/>
                <w:color w:val="auto"/>
              </w:rPr>
            </w:pPr>
          </w:p>
        </w:tc>
        <w:tc>
          <w:tcPr>
            <w:tcW w:w="114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586,758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260"/>
              <w:spacing w:after="0"/>
              <w:rPr>
                <w:sz w:val="20"/>
                <w:szCs w:val="20"/>
                <w:color w:val="auto"/>
              </w:rPr>
            </w:pPr>
            <w:r>
              <w:rPr>
                <w:rFonts w:ascii="Arial" w:cs="Arial" w:eastAsia="Arial" w:hAnsi="Arial"/>
                <w:sz w:val="18"/>
                <w:szCs w:val="18"/>
                <w:color w:val="auto"/>
              </w:rPr>
              <w:t>Gain on sale of land</w:t>
            </w:r>
          </w:p>
        </w:tc>
        <w:tc>
          <w:tcPr>
            <w:tcW w:w="760" w:type="dxa"/>
            <w:vAlign w:val="bottom"/>
          </w:tcPr>
          <w:p>
            <w:pPr>
              <w:spacing w:after="0"/>
              <w:rPr>
                <w:sz w:val="18"/>
                <w:szCs w:val="18"/>
                <w:color w:val="auto"/>
              </w:rPr>
            </w:pPr>
          </w:p>
        </w:tc>
        <w:tc>
          <w:tcPr>
            <w:tcW w:w="1280" w:type="dxa"/>
            <w:vAlign w:val="bottom"/>
          </w:tcPr>
          <w:p>
            <w:pPr>
              <w:jc w:val="right"/>
              <w:ind w:right="432"/>
              <w:spacing w:after="0"/>
              <w:rPr>
                <w:sz w:val="20"/>
                <w:szCs w:val="20"/>
                <w:color w:val="auto"/>
              </w:rPr>
            </w:pPr>
            <w:r>
              <w:rPr>
                <w:rFonts w:ascii="Arial" w:cs="Arial" w:eastAsia="Arial" w:hAnsi="Arial"/>
                <w:sz w:val="18"/>
                <w:szCs w:val="18"/>
                <w:b w:val="1"/>
                <w:bCs w:val="1"/>
                <w:color w:val="auto"/>
              </w:rPr>
              <w:t>(41,747)</w:t>
            </w:r>
          </w:p>
        </w:tc>
        <w:tc>
          <w:tcPr>
            <w:tcW w:w="1120" w:type="dxa"/>
            <w:vAlign w:val="bottom"/>
          </w:tcPr>
          <w:p>
            <w:pPr>
              <w:spacing w:after="0"/>
              <w:rPr>
                <w:sz w:val="18"/>
                <w:szCs w:val="18"/>
                <w:color w:val="auto"/>
              </w:rPr>
            </w:pPr>
          </w:p>
        </w:tc>
        <w:tc>
          <w:tcPr>
            <w:tcW w:w="1380" w:type="dxa"/>
            <w:vAlign w:val="bottom"/>
          </w:tcPr>
          <w:p>
            <w:pPr>
              <w:jc w:val="right"/>
              <w:ind w:right="592"/>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right w:val="single" w:sz="8" w:color="EEEEEE"/>
            </w:tcBorders>
            <w:gridSpan w:val="2"/>
            <w:shd w:val="clear" w:color="auto" w:fill="EEEEEE"/>
          </w:tcPr>
          <w:p>
            <w:pPr>
              <w:ind w:left="260"/>
              <w:spacing w:after="0"/>
              <w:rPr>
                <w:sz w:val="20"/>
                <w:szCs w:val="20"/>
                <w:color w:val="auto"/>
              </w:rPr>
            </w:pPr>
            <w:r>
              <w:rPr>
                <w:rFonts w:ascii="Arial" w:cs="Arial" w:eastAsia="Arial" w:hAnsi="Arial"/>
                <w:sz w:val="18"/>
                <w:szCs w:val="18"/>
                <w:color w:val="auto"/>
              </w:rPr>
              <w:t>Depreciation of property, plant and equipment</w:t>
            </w:r>
          </w:p>
        </w:tc>
        <w:tc>
          <w:tcPr>
            <w:tcW w:w="760" w:type="dxa"/>
            <w:vAlign w:val="bottom"/>
            <w:shd w:val="clear" w:color="auto" w:fill="EEEEEE"/>
          </w:tcPr>
          <w:p>
            <w:pPr>
              <w:spacing w:after="0"/>
              <w:rPr>
                <w:sz w:val="18"/>
                <w:szCs w:val="18"/>
                <w:color w:val="auto"/>
              </w:rPr>
            </w:pPr>
          </w:p>
        </w:tc>
        <w:tc>
          <w:tcPr>
            <w:tcW w:w="1280" w:type="dxa"/>
            <w:vAlign w:val="bottom"/>
            <w:shd w:val="clear" w:color="auto" w:fill="EEEEEE"/>
          </w:tcPr>
          <w:p>
            <w:pPr>
              <w:jc w:val="right"/>
              <w:ind w:right="492"/>
              <w:spacing w:after="0"/>
              <w:rPr>
                <w:sz w:val="20"/>
                <w:szCs w:val="20"/>
                <w:color w:val="auto"/>
              </w:rPr>
            </w:pPr>
            <w:r>
              <w:rPr>
                <w:rFonts w:ascii="Arial" w:cs="Arial" w:eastAsia="Arial" w:hAnsi="Arial"/>
                <w:sz w:val="18"/>
                <w:szCs w:val="18"/>
                <w:b w:val="1"/>
                <w:bCs w:val="1"/>
                <w:color w:val="auto"/>
              </w:rPr>
              <w:t>173,848</w:t>
            </w:r>
          </w:p>
        </w:tc>
        <w:tc>
          <w:tcPr>
            <w:tcW w:w="1120" w:type="dxa"/>
            <w:vAlign w:val="bottom"/>
            <w:shd w:val="clear" w:color="auto" w:fill="EEEEEE"/>
          </w:tcPr>
          <w:p>
            <w:pPr>
              <w:spacing w:after="0"/>
              <w:rPr>
                <w:sz w:val="18"/>
                <w:szCs w:val="18"/>
                <w:color w:val="auto"/>
              </w:rPr>
            </w:pPr>
          </w:p>
        </w:tc>
        <w:tc>
          <w:tcPr>
            <w:tcW w:w="1380" w:type="dxa"/>
            <w:vAlign w:val="bottom"/>
            <w:shd w:val="clear" w:color="auto" w:fill="EEEEEE"/>
          </w:tcPr>
          <w:p>
            <w:pPr>
              <w:jc w:val="right"/>
              <w:ind w:right="592"/>
              <w:spacing w:after="0"/>
              <w:rPr>
                <w:sz w:val="20"/>
                <w:szCs w:val="20"/>
                <w:color w:val="auto"/>
              </w:rPr>
            </w:pPr>
            <w:r>
              <w:rPr>
                <w:rFonts w:ascii="Arial" w:cs="Arial" w:eastAsia="Arial" w:hAnsi="Arial"/>
                <w:sz w:val="18"/>
                <w:szCs w:val="18"/>
                <w:color w:val="auto"/>
              </w:rPr>
              <w:t>171,908</w:t>
            </w:r>
          </w:p>
        </w:tc>
        <w:tc>
          <w:tcPr>
            <w:tcW w:w="780" w:type="dxa"/>
            <w:vAlign w:val="bottom"/>
            <w:shd w:val="clear" w:color="auto" w:fill="EEEEEE"/>
          </w:tcPr>
          <w:p>
            <w:pPr>
              <w:spacing w:after="0"/>
              <w:rPr>
                <w:sz w:val="18"/>
                <w:szCs w:val="18"/>
                <w:color w:val="auto"/>
              </w:rPr>
            </w:pPr>
          </w:p>
        </w:tc>
        <w:tc>
          <w:tcPr>
            <w:tcW w:w="114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138,300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40" w:type="dxa"/>
            <w:vAlign w:val="bottom"/>
            <w:gridSpan w:val="2"/>
          </w:tcPr>
          <w:p>
            <w:pPr>
              <w:ind w:left="260"/>
              <w:spacing w:after="0"/>
              <w:rPr>
                <w:sz w:val="20"/>
                <w:szCs w:val="20"/>
                <w:color w:val="auto"/>
              </w:rPr>
            </w:pPr>
            <w:r>
              <w:rPr>
                <w:rFonts w:ascii="Arial" w:cs="Arial" w:eastAsia="Arial" w:hAnsi="Arial"/>
                <w:sz w:val="18"/>
                <w:szCs w:val="18"/>
                <w:color w:val="auto"/>
              </w:rPr>
              <w:t>Amortization of goodwill and other intangibles</w:t>
            </w:r>
          </w:p>
        </w:tc>
        <w:tc>
          <w:tcPr>
            <w:tcW w:w="760" w:type="dxa"/>
            <w:vAlign w:val="bottom"/>
          </w:tcPr>
          <w:p>
            <w:pPr>
              <w:spacing w:after="0"/>
              <w:rPr>
                <w:sz w:val="19"/>
                <w:szCs w:val="19"/>
                <w:color w:val="auto"/>
              </w:rPr>
            </w:pPr>
          </w:p>
        </w:tc>
        <w:tc>
          <w:tcPr>
            <w:tcW w:w="1280" w:type="dxa"/>
            <w:vAlign w:val="bottom"/>
          </w:tcPr>
          <w:p>
            <w:pPr>
              <w:jc w:val="right"/>
              <w:ind w:right="492"/>
              <w:spacing w:after="0"/>
              <w:rPr>
                <w:sz w:val="20"/>
                <w:szCs w:val="20"/>
                <w:color w:val="auto"/>
              </w:rPr>
            </w:pPr>
            <w:r>
              <w:rPr>
                <w:rFonts w:ascii="Arial" w:cs="Arial" w:eastAsia="Arial" w:hAnsi="Arial"/>
                <w:sz w:val="18"/>
                <w:szCs w:val="18"/>
                <w:b w:val="1"/>
                <w:bCs w:val="1"/>
                <w:color w:val="auto"/>
              </w:rPr>
              <w:t>1,436</w:t>
            </w:r>
          </w:p>
        </w:tc>
        <w:tc>
          <w:tcPr>
            <w:tcW w:w="1120" w:type="dxa"/>
            <w:vAlign w:val="bottom"/>
          </w:tcPr>
          <w:p>
            <w:pPr>
              <w:spacing w:after="0"/>
              <w:rPr>
                <w:sz w:val="19"/>
                <w:szCs w:val="19"/>
                <w:color w:val="auto"/>
              </w:rPr>
            </w:pPr>
          </w:p>
        </w:tc>
        <w:tc>
          <w:tcPr>
            <w:tcW w:w="1380" w:type="dxa"/>
            <w:vAlign w:val="bottom"/>
          </w:tcPr>
          <w:p>
            <w:pPr>
              <w:jc w:val="right"/>
              <w:ind w:right="592"/>
              <w:spacing w:after="0"/>
              <w:rPr>
                <w:sz w:val="20"/>
                <w:szCs w:val="20"/>
                <w:color w:val="auto"/>
              </w:rPr>
            </w:pPr>
            <w:r>
              <w:rPr>
                <w:rFonts w:ascii="Arial" w:cs="Arial" w:eastAsia="Arial" w:hAnsi="Arial"/>
                <w:sz w:val="18"/>
                <w:szCs w:val="18"/>
                <w:color w:val="auto"/>
              </w:rPr>
              <w:t>655</w:t>
            </w:r>
          </w:p>
        </w:tc>
        <w:tc>
          <w:tcPr>
            <w:tcW w:w="780" w:type="dxa"/>
            <w:vAlign w:val="bottom"/>
          </w:tcPr>
          <w:p>
            <w:pPr>
              <w:spacing w:after="0"/>
              <w:rPr>
                <w:sz w:val="19"/>
                <w:szCs w:val="19"/>
                <w:color w:val="auto"/>
              </w:rPr>
            </w:pP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78,933</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280" w:type="dxa"/>
            <w:vAlign w:val="bottom"/>
            <w:shd w:val="clear" w:color="auto" w:fill="EEEEEE"/>
          </w:tcPr>
          <w:p>
            <w:pPr>
              <w:jc w:val="right"/>
              <w:ind w:right="492"/>
              <w:spacing w:after="0"/>
              <w:rPr>
                <w:sz w:val="20"/>
                <w:szCs w:val="20"/>
                <w:color w:val="auto"/>
              </w:rPr>
            </w:pPr>
            <w:r>
              <w:rPr>
                <w:rFonts w:ascii="Arial" w:cs="Arial" w:eastAsia="Arial" w:hAnsi="Arial"/>
                <w:sz w:val="18"/>
                <w:szCs w:val="18"/>
                <w:b w:val="1"/>
                <w:bCs w:val="1"/>
                <w:color w:val="auto"/>
                <w:w w:val="84"/>
              </w:rPr>
              <w:t>2,475,091</w:t>
            </w:r>
          </w:p>
        </w:tc>
        <w:tc>
          <w:tcPr>
            <w:tcW w:w="1120" w:type="dxa"/>
            <w:vAlign w:val="bottom"/>
            <w:shd w:val="clear" w:color="auto" w:fill="EEEEEE"/>
          </w:tcPr>
          <w:p>
            <w:pPr>
              <w:spacing w:after="0"/>
              <w:rPr>
                <w:sz w:val="18"/>
                <w:szCs w:val="18"/>
                <w:color w:val="auto"/>
              </w:rPr>
            </w:pPr>
          </w:p>
        </w:tc>
        <w:tc>
          <w:tcPr>
            <w:tcW w:w="1380" w:type="dxa"/>
            <w:vAlign w:val="bottom"/>
            <w:shd w:val="clear" w:color="auto" w:fill="EEEEEE"/>
          </w:tcPr>
          <w:p>
            <w:pPr>
              <w:jc w:val="right"/>
              <w:ind w:right="592"/>
              <w:spacing w:after="0"/>
              <w:rPr>
                <w:sz w:val="20"/>
                <w:szCs w:val="20"/>
                <w:color w:val="auto"/>
              </w:rPr>
            </w:pPr>
            <w:r>
              <w:rPr>
                <w:rFonts w:ascii="Arial" w:cs="Arial" w:eastAsia="Arial" w:hAnsi="Arial"/>
                <w:sz w:val="18"/>
                <w:szCs w:val="18"/>
                <w:color w:val="auto"/>
                <w:w w:val="84"/>
              </w:rPr>
              <w:t>2,206,613</w:t>
            </w:r>
          </w:p>
        </w:tc>
        <w:tc>
          <w:tcPr>
            <w:tcW w:w="780" w:type="dxa"/>
            <w:vAlign w:val="bottom"/>
            <w:shd w:val="clear" w:color="auto" w:fill="EEEEEE"/>
          </w:tcPr>
          <w:p>
            <w:pPr>
              <w:spacing w:after="0"/>
              <w:rPr>
                <w:sz w:val="18"/>
                <w:szCs w:val="18"/>
                <w:color w:val="auto"/>
              </w:rPr>
            </w:pPr>
          </w:p>
        </w:tc>
        <w:tc>
          <w:tcPr>
            <w:tcW w:w="114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w w:val="84"/>
              </w:rPr>
              <w:t>2,191,092</w:t>
            </w:r>
          </w:p>
        </w:tc>
        <w:tc>
          <w:tcPr>
            <w:tcW w:w="0" w:type="dxa"/>
            <w:vAlign w:val="bottom"/>
          </w:tcPr>
          <w:p>
            <w:pPr>
              <w:spacing w:after="0"/>
              <w:rPr>
                <w:sz w:val="1"/>
                <w:szCs w:val="1"/>
                <w:color w:val="auto"/>
              </w:rPr>
            </w:pPr>
          </w:p>
        </w:tc>
      </w:tr>
      <w:tr>
        <w:trPr>
          <w:trHeight w:val="108"/>
        </w:trPr>
        <w:tc>
          <w:tcPr>
            <w:tcW w:w="480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4960" w:type="dxa"/>
            <w:vAlign w:val="bottom"/>
            <w:gridSpan w:val="3"/>
          </w:tcPr>
          <w:p>
            <w:pPr>
              <w:spacing w:after="0"/>
              <w:rPr>
                <w:sz w:val="20"/>
                <w:szCs w:val="20"/>
                <w:color w:val="auto"/>
              </w:rPr>
            </w:pPr>
            <w:r>
              <w:rPr>
                <w:rFonts w:ascii="Arial" w:cs="Arial" w:eastAsia="Arial" w:hAnsi="Arial"/>
                <w:sz w:val="18"/>
                <w:szCs w:val="18"/>
                <w:b w:val="1"/>
                <w:bCs w:val="1"/>
                <w:color w:val="auto"/>
              </w:rPr>
              <w:t>Income from Operations</w:t>
            </w:r>
          </w:p>
        </w:tc>
        <w:tc>
          <w:tcPr>
            <w:tcW w:w="760" w:type="dxa"/>
            <w:vAlign w:val="bottom"/>
          </w:tcPr>
          <w:p>
            <w:pPr>
              <w:spacing w:after="0"/>
              <w:rPr>
                <w:sz w:val="24"/>
                <w:szCs w:val="24"/>
                <w:color w:val="auto"/>
              </w:rPr>
            </w:pPr>
          </w:p>
        </w:tc>
        <w:tc>
          <w:tcPr>
            <w:tcW w:w="1280" w:type="dxa"/>
            <w:vAlign w:val="bottom"/>
          </w:tcPr>
          <w:p>
            <w:pPr>
              <w:jc w:val="right"/>
              <w:ind w:right="492"/>
              <w:spacing w:after="0"/>
              <w:rPr>
                <w:sz w:val="20"/>
                <w:szCs w:val="20"/>
                <w:color w:val="auto"/>
              </w:rPr>
            </w:pPr>
            <w:r>
              <w:rPr>
                <w:rFonts w:ascii="Arial" w:cs="Arial" w:eastAsia="Arial" w:hAnsi="Arial"/>
                <w:sz w:val="18"/>
                <w:szCs w:val="18"/>
                <w:b w:val="1"/>
                <w:bCs w:val="1"/>
                <w:color w:val="auto"/>
              </w:rPr>
              <w:t>363,820</w:t>
            </w:r>
          </w:p>
        </w:tc>
        <w:tc>
          <w:tcPr>
            <w:tcW w:w="1120" w:type="dxa"/>
            <w:vAlign w:val="bottom"/>
          </w:tcPr>
          <w:p>
            <w:pPr>
              <w:spacing w:after="0"/>
              <w:rPr>
                <w:sz w:val="24"/>
                <w:szCs w:val="24"/>
                <w:color w:val="auto"/>
              </w:rPr>
            </w:pPr>
          </w:p>
        </w:tc>
        <w:tc>
          <w:tcPr>
            <w:tcW w:w="1380" w:type="dxa"/>
            <w:vAlign w:val="bottom"/>
          </w:tcPr>
          <w:p>
            <w:pPr>
              <w:jc w:val="right"/>
              <w:ind w:right="592"/>
              <w:spacing w:after="0"/>
              <w:rPr>
                <w:sz w:val="20"/>
                <w:szCs w:val="20"/>
                <w:color w:val="auto"/>
              </w:rPr>
            </w:pPr>
            <w:r>
              <w:rPr>
                <w:rFonts w:ascii="Arial" w:cs="Arial" w:eastAsia="Arial" w:hAnsi="Arial"/>
                <w:sz w:val="18"/>
                <w:szCs w:val="18"/>
                <w:color w:val="auto"/>
              </w:rPr>
              <w:t>377,590</w:t>
            </w:r>
          </w:p>
        </w:tc>
        <w:tc>
          <w:tcPr>
            <w:tcW w:w="780" w:type="dxa"/>
            <w:vAlign w:val="bottom"/>
          </w:tcPr>
          <w:p>
            <w:pPr>
              <w:spacing w:after="0"/>
              <w:rPr>
                <w:sz w:val="24"/>
                <w:szCs w:val="24"/>
                <w:color w:val="auto"/>
              </w:rPr>
            </w:pP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219,932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40" w:type="dxa"/>
            <w:vAlign w:val="bottom"/>
            <w:tcBorders>
              <w:right w:val="single" w:sz="8" w:color="EEEEEE"/>
            </w:tcBorders>
            <w:gridSpan w:val="2"/>
            <w:shd w:val="clear" w:color="auto" w:fill="EEEEEE"/>
          </w:tcPr>
          <w:p>
            <w:pPr>
              <w:ind w:left="260"/>
              <w:spacing w:after="0"/>
              <w:rPr>
                <w:sz w:val="20"/>
                <w:szCs w:val="20"/>
                <w:color w:val="auto"/>
              </w:rPr>
            </w:pPr>
            <w:r>
              <w:rPr>
                <w:rFonts w:ascii="Arial" w:cs="Arial" w:eastAsia="Arial" w:hAnsi="Arial"/>
                <w:sz w:val="18"/>
                <w:szCs w:val="18"/>
                <w:color w:val="auto"/>
              </w:rPr>
              <w:t>Equity in losses of affiliates</w:t>
            </w:r>
          </w:p>
        </w:tc>
        <w:tc>
          <w:tcPr>
            <w:tcW w:w="760" w:type="dxa"/>
            <w:vAlign w:val="bottom"/>
            <w:shd w:val="clear" w:color="auto" w:fill="EEEEEE"/>
          </w:tcPr>
          <w:p>
            <w:pPr>
              <w:spacing w:after="0"/>
              <w:rPr>
                <w:sz w:val="18"/>
                <w:szCs w:val="18"/>
                <w:color w:val="auto"/>
              </w:rPr>
            </w:pPr>
          </w:p>
        </w:tc>
        <w:tc>
          <w:tcPr>
            <w:tcW w:w="1280" w:type="dxa"/>
            <w:vAlign w:val="bottom"/>
            <w:shd w:val="clear" w:color="auto" w:fill="EEEEEE"/>
          </w:tcPr>
          <w:p>
            <w:pPr>
              <w:jc w:val="right"/>
              <w:ind w:right="432"/>
              <w:spacing w:after="0"/>
              <w:rPr>
                <w:sz w:val="20"/>
                <w:szCs w:val="20"/>
                <w:color w:val="auto"/>
              </w:rPr>
            </w:pPr>
            <w:r>
              <w:rPr>
                <w:rFonts w:ascii="Arial" w:cs="Arial" w:eastAsia="Arial" w:hAnsi="Arial"/>
                <w:sz w:val="18"/>
                <w:szCs w:val="18"/>
                <w:b w:val="1"/>
                <w:bCs w:val="1"/>
                <w:color w:val="auto"/>
              </w:rPr>
              <w:t>(9,766)</w:t>
            </w:r>
          </w:p>
        </w:tc>
        <w:tc>
          <w:tcPr>
            <w:tcW w:w="1120" w:type="dxa"/>
            <w:vAlign w:val="bottom"/>
            <w:shd w:val="clear" w:color="auto" w:fill="EEEEEE"/>
          </w:tcPr>
          <w:p>
            <w:pPr>
              <w:spacing w:after="0"/>
              <w:rPr>
                <w:sz w:val="18"/>
                <w:szCs w:val="18"/>
                <w:color w:val="auto"/>
              </w:rPr>
            </w:pPr>
          </w:p>
        </w:tc>
        <w:tc>
          <w:tcPr>
            <w:tcW w:w="1380" w:type="dxa"/>
            <w:vAlign w:val="bottom"/>
            <w:shd w:val="clear" w:color="auto" w:fill="EEEEEE"/>
          </w:tcPr>
          <w:p>
            <w:pPr>
              <w:jc w:val="right"/>
              <w:ind w:right="532"/>
              <w:spacing w:after="0"/>
              <w:rPr>
                <w:sz w:val="20"/>
                <w:szCs w:val="20"/>
                <w:color w:val="auto"/>
              </w:rPr>
            </w:pPr>
            <w:r>
              <w:rPr>
                <w:rFonts w:ascii="Arial" w:cs="Arial" w:eastAsia="Arial" w:hAnsi="Arial"/>
                <w:sz w:val="18"/>
                <w:szCs w:val="18"/>
                <w:color w:val="auto"/>
              </w:rPr>
              <w:t>(19,308)</w:t>
            </w:r>
          </w:p>
        </w:tc>
        <w:tc>
          <w:tcPr>
            <w:tcW w:w="780" w:type="dxa"/>
            <w:vAlign w:val="bottom"/>
            <w:shd w:val="clear" w:color="auto" w:fill="EEEEEE"/>
          </w:tcPr>
          <w:p>
            <w:pPr>
              <w:spacing w:after="0"/>
              <w:rPr>
                <w:sz w:val="18"/>
                <w:szCs w:val="18"/>
                <w:color w:val="auto"/>
              </w:rPr>
            </w:pPr>
          </w:p>
        </w:tc>
        <w:tc>
          <w:tcPr>
            <w:tcW w:w="114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(68,659)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260"/>
              <w:spacing w:after="0"/>
              <w:rPr>
                <w:sz w:val="20"/>
                <w:szCs w:val="20"/>
                <w:color w:val="auto"/>
              </w:rPr>
            </w:pPr>
            <w:r>
              <w:rPr>
                <w:rFonts w:ascii="Arial" w:cs="Arial" w:eastAsia="Arial" w:hAnsi="Arial"/>
                <w:sz w:val="18"/>
                <w:szCs w:val="18"/>
                <w:color w:val="auto"/>
              </w:rPr>
              <w:t>Interest income</w:t>
            </w:r>
          </w:p>
        </w:tc>
        <w:tc>
          <w:tcPr>
            <w:tcW w:w="760" w:type="dxa"/>
            <w:vAlign w:val="bottom"/>
          </w:tcPr>
          <w:p>
            <w:pPr>
              <w:spacing w:after="0"/>
              <w:rPr>
                <w:sz w:val="18"/>
                <w:szCs w:val="18"/>
                <w:color w:val="auto"/>
              </w:rPr>
            </w:pPr>
          </w:p>
        </w:tc>
        <w:tc>
          <w:tcPr>
            <w:tcW w:w="1280" w:type="dxa"/>
            <w:vAlign w:val="bottom"/>
          </w:tcPr>
          <w:p>
            <w:pPr>
              <w:jc w:val="right"/>
              <w:ind w:right="492"/>
              <w:spacing w:after="0"/>
              <w:rPr>
                <w:sz w:val="20"/>
                <w:szCs w:val="20"/>
                <w:color w:val="auto"/>
              </w:rPr>
            </w:pPr>
            <w:r>
              <w:rPr>
                <w:rFonts w:ascii="Arial" w:cs="Arial" w:eastAsia="Arial" w:hAnsi="Arial"/>
                <w:sz w:val="18"/>
                <w:szCs w:val="18"/>
                <w:b w:val="1"/>
                <w:bCs w:val="1"/>
                <w:color w:val="auto"/>
              </w:rPr>
              <w:t>953</w:t>
            </w:r>
          </w:p>
        </w:tc>
        <w:tc>
          <w:tcPr>
            <w:tcW w:w="1120" w:type="dxa"/>
            <w:vAlign w:val="bottom"/>
          </w:tcPr>
          <w:p>
            <w:pPr>
              <w:spacing w:after="0"/>
              <w:rPr>
                <w:sz w:val="18"/>
                <w:szCs w:val="18"/>
                <w:color w:val="auto"/>
              </w:rPr>
            </w:pPr>
          </w:p>
        </w:tc>
        <w:tc>
          <w:tcPr>
            <w:tcW w:w="1380" w:type="dxa"/>
            <w:vAlign w:val="bottom"/>
          </w:tcPr>
          <w:p>
            <w:pPr>
              <w:jc w:val="right"/>
              <w:ind w:right="592"/>
              <w:spacing w:after="0"/>
              <w:rPr>
                <w:sz w:val="20"/>
                <w:szCs w:val="20"/>
                <w:color w:val="auto"/>
              </w:rPr>
            </w:pPr>
            <w:r>
              <w:rPr>
                <w:rFonts w:ascii="Arial" w:cs="Arial" w:eastAsia="Arial" w:hAnsi="Arial"/>
                <w:sz w:val="18"/>
                <w:szCs w:val="18"/>
                <w:color w:val="auto"/>
              </w:rPr>
              <w:t>332</w:t>
            </w:r>
          </w:p>
        </w:tc>
        <w:tc>
          <w:tcPr>
            <w:tcW w:w="780" w:type="dxa"/>
            <w:vAlign w:val="bottom"/>
          </w:tcPr>
          <w:p>
            <w:pPr>
              <w:spacing w:after="0"/>
              <w:rPr>
                <w:sz w:val="18"/>
                <w:szCs w:val="18"/>
                <w:color w:val="auto"/>
              </w:rPr>
            </w:pP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2,167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right w:val="single" w:sz="8" w:color="EEEEEE"/>
            </w:tcBorders>
            <w:gridSpan w:val="2"/>
            <w:shd w:val="clear" w:color="auto" w:fill="EEEEEE"/>
          </w:tcPr>
          <w:p>
            <w:pPr>
              <w:ind w:left="260"/>
              <w:spacing w:after="0"/>
              <w:rPr>
                <w:sz w:val="20"/>
                <w:szCs w:val="20"/>
                <w:color w:val="auto"/>
              </w:rPr>
            </w:pPr>
            <w:r>
              <w:rPr>
                <w:rFonts w:ascii="Arial" w:cs="Arial" w:eastAsia="Arial" w:hAnsi="Arial"/>
                <w:sz w:val="18"/>
                <w:szCs w:val="18"/>
                <w:color w:val="auto"/>
              </w:rPr>
              <w:t>Interest expense</w:t>
            </w:r>
          </w:p>
        </w:tc>
        <w:tc>
          <w:tcPr>
            <w:tcW w:w="760" w:type="dxa"/>
            <w:vAlign w:val="bottom"/>
            <w:shd w:val="clear" w:color="auto" w:fill="EEEEEE"/>
          </w:tcPr>
          <w:p>
            <w:pPr>
              <w:spacing w:after="0"/>
              <w:rPr>
                <w:sz w:val="18"/>
                <w:szCs w:val="18"/>
                <w:color w:val="auto"/>
              </w:rPr>
            </w:pPr>
          </w:p>
        </w:tc>
        <w:tc>
          <w:tcPr>
            <w:tcW w:w="1280" w:type="dxa"/>
            <w:vAlign w:val="bottom"/>
            <w:shd w:val="clear" w:color="auto" w:fill="EEEEEE"/>
          </w:tcPr>
          <w:p>
            <w:pPr>
              <w:jc w:val="right"/>
              <w:ind w:right="432"/>
              <w:spacing w:after="0"/>
              <w:rPr>
                <w:sz w:val="20"/>
                <w:szCs w:val="20"/>
                <w:color w:val="auto"/>
              </w:rPr>
            </w:pPr>
            <w:r>
              <w:rPr>
                <w:rFonts w:ascii="Arial" w:cs="Arial" w:eastAsia="Arial" w:hAnsi="Arial"/>
                <w:sz w:val="18"/>
                <w:szCs w:val="18"/>
                <w:b w:val="1"/>
                <w:bCs w:val="1"/>
                <w:color w:val="auto"/>
              </w:rPr>
              <w:t>(27,804)</w:t>
            </w:r>
          </w:p>
        </w:tc>
        <w:tc>
          <w:tcPr>
            <w:tcW w:w="1120" w:type="dxa"/>
            <w:vAlign w:val="bottom"/>
            <w:shd w:val="clear" w:color="auto" w:fill="EEEEEE"/>
          </w:tcPr>
          <w:p>
            <w:pPr>
              <w:spacing w:after="0"/>
              <w:rPr>
                <w:sz w:val="18"/>
                <w:szCs w:val="18"/>
                <w:color w:val="auto"/>
              </w:rPr>
            </w:pPr>
          </w:p>
        </w:tc>
        <w:tc>
          <w:tcPr>
            <w:tcW w:w="1380" w:type="dxa"/>
            <w:vAlign w:val="bottom"/>
            <w:shd w:val="clear" w:color="auto" w:fill="EEEEEE"/>
          </w:tcPr>
          <w:p>
            <w:pPr>
              <w:jc w:val="right"/>
              <w:ind w:right="532"/>
              <w:spacing w:after="0"/>
              <w:rPr>
                <w:sz w:val="20"/>
                <w:szCs w:val="20"/>
                <w:color w:val="auto"/>
              </w:rPr>
            </w:pPr>
            <w:r>
              <w:rPr>
                <w:rFonts w:ascii="Arial" w:cs="Arial" w:eastAsia="Arial" w:hAnsi="Arial"/>
                <w:sz w:val="18"/>
                <w:szCs w:val="18"/>
                <w:color w:val="auto"/>
              </w:rPr>
              <w:t>(33,819)</w:t>
            </w:r>
          </w:p>
        </w:tc>
        <w:tc>
          <w:tcPr>
            <w:tcW w:w="780" w:type="dxa"/>
            <w:vAlign w:val="bottom"/>
            <w:shd w:val="clear" w:color="auto" w:fill="EEEEEE"/>
          </w:tcPr>
          <w:p>
            <w:pPr>
              <w:spacing w:after="0"/>
              <w:rPr>
                <w:sz w:val="18"/>
                <w:szCs w:val="18"/>
                <w:color w:val="auto"/>
              </w:rPr>
            </w:pPr>
          </w:p>
        </w:tc>
        <w:tc>
          <w:tcPr>
            <w:tcW w:w="114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(49,640)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40" w:type="dxa"/>
            <w:vAlign w:val="bottom"/>
            <w:gridSpan w:val="2"/>
          </w:tcPr>
          <w:p>
            <w:pPr>
              <w:ind w:left="260"/>
              <w:spacing w:after="0"/>
              <w:rPr>
                <w:sz w:val="20"/>
                <w:szCs w:val="20"/>
                <w:color w:val="auto"/>
              </w:rPr>
            </w:pPr>
            <w:r>
              <w:rPr>
                <w:rFonts w:ascii="Arial" w:cs="Arial" w:eastAsia="Arial" w:hAnsi="Arial"/>
                <w:sz w:val="18"/>
                <w:szCs w:val="18"/>
                <w:color w:val="auto"/>
              </w:rPr>
              <w:t>Other income (expense), net</w:t>
            </w:r>
          </w:p>
        </w:tc>
        <w:tc>
          <w:tcPr>
            <w:tcW w:w="760" w:type="dxa"/>
            <w:vAlign w:val="bottom"/>
          </w:tcPr>
          <w:p>
            <w:pPr>
              <w:spacing w:after="0"/>
              <w:rPr>
                <w:sz w:val="19"/>
                <w:szCs w:val="19"/>
                <w:color w:val="auto"/>
              </w:rPr>
            </w:pPr>
          </w:p>
        </w:tc>
        <w:tc>
          <w:tcPr>
            <w:tcW w:w="1280" w:type="dxa"/>
            <w:vAlign w:val="bottom"/>
          </w:tcPr>
          <w:p>
            <w:pPr>
              <w:jc w:val="right"/>
              <w:ind w:right="492"/>
              <w:spacing w:after="0"/>
              <w:rPr>
                <w:sz w:val="20"/>
                <w:szCs w:val="20"/>
                <w:color w:val="auto"/>
              </w:rPr>
            </w:pPr>
            <w:r>
              <w:rPr>
                <w:rFonts w:ascii="Arial" w:cs="Arial" w:eastAsia="Arial" w:hAnsi="Arial"/>
                <w:sz w:val="18"/>
                <w:szCs w:val="18"/>
                <w:b w:val="1"/>
                <w:bCs w:val="1"/>
                <w:color w:val="auto"/>
              </w:rPr>
              <w:t>55,385</w:t>
            </w:r>
          </w:p>
        </w:tc>
        <w:tc>
          <w:tcPr>
            <w:tcW w:w="1120" w:type="dxa"/>
            <w:vAlign w:val="bottom"/>
          </w:tcPr>
          <w:p>
            <w:pPr>
              <w:spacing w:after="0"/>
              <w:rPr>
                <w:sz w:val="19"/>
                <w:szCs w:val="19"/>
                <w:color w:val="auto"/>
              </w:rPr>
            </w:pPr>
          </w:p>
        </w:tc>
        <w:tc>
          <w:tcPr>
            <w:tcW w:w="1380" w:type="dxa"/>
            <w:vAlign w:val="bottom"/>
          </w:tcPr>
          <w:p>
            <w:pPr>
              <w:jc w:val="right"/>
              <w:ind w:right="592"/>
              <w:spacing w:after="0"/>
              <w:rPr>
                <w:sz w:val="20"/>
                <w:szCs w:val="20"/>
                <w:color w:val="auto"/>
              </w:rPr>
            </w:pPr>
            <w:r>
              <w:rPr>
                <w:rFonts w:ascii="Arial" w:cs="Arial" w:eastAsia="Arial" w:hAnsi="Arial"/>
                <w:sz w:val="18"/>
                <w:szCs w:val="18"/>
                <w:color w:val="auto"/>
              </w:rPr>
              <w:t>28,873</w:t>
            </w:r>
          </w:p>
        </w:tc>
        <w:tc>
          <w:tcPr>
            <w:tcW w:w="780" w:type="dxa"/>
            <w:vAlign w:val="bottom"/>
          </w:tcPr>
          <w:p>
            <w:pPr>
              <w:spacing w:after="0"/>
              <w:rPr>
                <w:sz w:val="19"/>
                <w:szCs w:val="19"/>
                <w:color w:val="auto"/>
              </w:rPr>
            </w:pP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283,739</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940" w:type="dxa"/>
            <w:vAlign w:val="bottom"/>
            <w:tcBorders>
              <w:right w:val="single" w:sz="8" w:color="EEEEEE"/>
            </w:tcBorders>
            <w:gridSpan w:val="2"/>
            <w:shd w:val="clear" w:color="auto" w:fill="EEEEEE"/>
          </w:tcPr>
          <w:p>
            <w:pPr>
              <w:spacing w:after="0" w:line="201" w:lineRule="exact"/>
              <w:rPr>
                <w:sz w:val="20"/>
                <w:szCs w:val="20"/>
                <w:color w:val="auto"/>
              </w:rPr>
            </w:pPr>
            <w:r>
              <w:rPr>
                <w:rFonts w:ascii="Arial" w:cs="Arial" w:eastAsia="Arial" w:hAnsi="Arial"/>
                <w:sz w:val="18"/>
                <w:szCs w:val="18"/>
                <w:b w:val="1"/>
                <w:bCs w:val="1"/>
                <w:color w:val="auto"/>
              </w:rPr>
              <w:t>Income Before Income Taxes and Cumulative Effect of</w:t>
            </w:r>
          </w:p>
        </w:tc>
        <w:tc>
          <w:tcPr>
            <w:tcW w:w="76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138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Borders>
              <w:right w:val="single" w:sz="8" w:color="EEEEEE"/>
            </w:tcBorders>
            <w:gridSpan w:val="2"/>
            <w:shd w:val="clear" w:color="auto" w:fill="EEEEEE"/>
          </w:tcPr>
          <w:p>
            <w:pPr>
              <w:ind w:left="120"/>
              <w:spacing w:after="0"/>
              <w:rPr>
                <w:sz w:val="20"/>
                <w:szCs w:val="20"/>
                <w:color w:val="auto"/>
              </w:rPr>
            </w:pPr>
            <w:r>
              <w:rPr>
                <w:rFonts w:ascii="Arial" w:cs="Arial" w:eastAsia="Arial" w:hAnsi="Arial"/>
                <w:sz w:val="18"/>
                <w:szCs w:val="18"/>
                <w:b w:val="1"/>
                <w:bCs w:val="1"/>
                <w:color w:val="auto"/>
              </w:rPr>
              <w:t>Change in Accounting Principle</w:t>
            </w:r>
          </w:p>
        </w:tc>
        <w:tc>
          <w:tcPr>
            <w:tcW w:w="760" w:type="dxa"/>
            <w:vAlign w:val="bottom"/>
            <w:shd w:val="clear" w:color="auto" w:fill="EEEEEE"/>
          </w:tcPr>
          <w:p>
            <w:pPr>
              <w:spacing w:after="0"/>
              <w:rPr>
                <w:sz w:val="20"/>
                <w:szCs w:val="20"/>
                <w:color w:val="auto"/>
              </w:rPr>
            </w:pPr>
          </w:p>
        </w:tc>
        <w:tc>
          <w:tcPr>
            <w:tcW w:w="1280" w:type="dxa"/>
            <w:vAlign w:val="bottom"/>
            <w:shd w:val="clear" w:color="auto" w:fill="EEEEEE"/>
          </w:tcPr>
          <w:p>
            <w:pPr>
              <w:jc w:val="right"/>
              <w:ind w:right="492"/>
              <w:spacing w:after="0"/>
              <w:rPr>
                <w:sz w:val="20"/>
                <w:szCs w:val="20"/>
                <w:color w:val="auto"/>
              </w:rPr>
            </w:pPr>
            <w:r>
              <w:rPr>
                <w:rFonts w:ascii="Arial" w:cs="Arial" w:eastAsia="Arial" w:hAnsi="Arial"/>
                <w:sz w:val="18"/>
                <w:szCs w:val="18"/>
                <w:b w:val="1"/>
                <w:bCs w:val="1"/>
                <w:color w:val="auto"/>
              </w:rPr>
              <w:t>382,588</w:t>
            </w:r>
          </w:p>
        </w:tc>
        <w:tc>
          <w:tcPr>
            <w:tcW w:w="1120" w:type="dxa"/>
            <w:vAlign w:val="bottom"/>
            <w:shd w:val="clear" w:color="auto" w:fill="EEEEEE"/>
          </w:tcPr>
          <w:p>
            <w:pPr>
              <w:spacing w:after="0"/>
              <w:rPr>
                <w:sz w:val="20"/>
                <w:szCs w:val="20"/>
                <w:color w:val="auto"/>
              </w:rPr>
            </w:pPr>
          </w:p>
        </w:tc>
        <w:tc>
          <w:tcPr>
            <w:tcW w:w="1380" w:type="dxa"/>
            <w:vAlign w:val="bottom"/>
            <w:shd w:val="clear" w:color="auto" w:fill="EEEEEE"/>
          </w:tcPr>
          <w:p>
            <w:pPr>
              <w:jc w:val="right"/>
              <w:ind w:right="592"/>
              <w:spacing w:after="0"/>
              <w:rPr>
                <w:sz w:val="20"/>
                <w:szCs w:val="20"/>
                <w:color w:val="auto"/>
              </w:rPr>
            </w:pPr>
            <w:r>
              <w:rPr>
                <w:rFonts w:ascii="Arial" w:cs="Arial" w:eastAsia="Arial" w:hAnsi="Arial"/>
                <w:sz w:val="18"/>
                <w:szCs w:val="18"/>
                <w:color w:val="auto"/>
              </w:rPr>
              <w:t>353,668</w:t>
            </w:r>
          </w:p>
        </w:tc>
        <w:tc>
          <w:tcPr>
            <w:tcW w:w="780" w:type="dxa"/>
            <w:vAlign w:val="bottom"/>
            <w:shd w:val="clear" w:color="auto" w:fill="EEEEEE"/>
          </w:tcPr>
          <w:p>
            <w:pPr>
              <w:spacing w:after="0"/>
              <w:rPr>
                <w:sz w:val="20"/>
                <w:szCs w:val="20"/>
                <w:color w:val="auto"/>
              </w:rPr>
            </w:pPr>
          </w:p>
        </w:tc>
        <w:tc>
          <w:tcPr>
            <w:tcW w:w="114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387,539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Provision for Income Taxes</w:t>
            </w:r>
          </w:p>
        </w:tc>
        <w:tc>
          <w:tcPr>
            <w:tcW w:w="760" w:type="dxa"/>
            <w:vAlign w:val="bottom"/>
          </w:tcPr>
          <w:p>
            <w:pPr>
              <w:spacing w:after="0"/>
              <w:rPr>
                <w:sz w:val="19"/>
                <w:szCs w:val="19"/>
                <w:color w:val="auto"/>
              </w:rPr>
            </w:pPr>
          </w:p>
        </w:tc>
        <w:tc>
          <w:tcPr>
            <w:tcW w:w="1280" w:type="dxa"/>
            <w:vAlign w:val="bottom"/>
          </w:tcPr>
          <w:p>
            <w:pPr>
              <w:jc w:val="right"/>
              <w:ind w:right="492"/>
              <w:spacing w:after="0"/>
              <w:rPr>
                <w:sz w:val="20"/>
                <w:szCs w:val="20"/>
                <w:color w:val="auto"/>
              </w:rPr>
            </w:pPr>
            <w:r>
              <w:rPr>
                <w:rFonts w:ascii="Arial" w:cs="Arial" w:eastAsia="Arial" w:hAnsi="Arial"/>
                <w:sz w:val="18"/>
                <w:szCs w:val="18"/>
                <w:b w:val="1"/>
                <w:bCs w:val="1"/>
                <w:color w:val="auto"/>
              </w:rPr>
              <w:t>141,500</w:t>
            </w:r>
          </w:p>
        </w:tc>
        <w:tc>
          <w:tcPr>
            <w:tcW w:w="1120" w:type="dxa"/>
            <w:vAlign w:val="bottom"/>
          </w:tcPr>
          <w:p>
            <w:pPr>
              <w:spacing w:after="0"/>
              <w:rPr>
                <w:sz w:val="19"/>
                <w:szCs w:val="19"/>
                <w:color w:val="auto"/>
              </w:rPr>
            </w:pPr>
          </w:p>
        </w:tc>
        <w:tc>
          <w:tcPr>
            <w:tcW w:w="1380" w:type="dxa"/>
            <w:vAlign w:val="bottom"/>
          </w:tcPr>
          <w:p>
            <w:pPr>
              <w:jc w:val="right"/>
              <w:ind w:right="592"/>
              <w:spacing w:after="0"/>
              <w:rPr>
                <w:sz w:val="20"/>
                <w:szCs w:val="20"/>
                <w:color w:val="auto"/>
              </w:rPr>
            </w:pPr>
            <w:r>
              <w:rPr>
                <w:rFonts w:ascii="Arial" w:cs="Arial" w:eastAsia="Arial" w:hAnsi="Arial"/>
                <w:sz w:val="18"/>
                <w:szCs w:val="18"/>
                <w:color w:val="auto"/>
              </w:rPr>
              <w:t>137,300</w:t>
            </w:r>
          </w:p>
        </w:tc>
        <w:tc>
          <w:tcPr>
            <w:tcW w:w="780" w:type="dxa"/>
            <w:vAlign w:val="bottom"/>
          </w:tcPr>
          <w:p>
            <w:pPr>
              <w:spacing w:after="0"/>
              <w:rPr>
                <w:sz w:val="19"/>
                <w:szCs w:val="19"/>
                <w:color w:val="auto"/>
              </w:rPr>
            </w:pP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157,900</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4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940" w:type="dxa"/>
            <w:vAlign w:val="bottom"/>
            <w:tcBorders>
              <w:right w:val="single" w:sz="8" w:color="EEEEEE"/>
            </w:tcBorders>
            <w:gridSpan w:val="2"/>
            <w:shd w:val="clear" w:color="auto" w:fill="EEEEEE"/>
          </w:tcPr>
          <w:p>
            <w:pPr>
              <w:spacing w:after="0" w:line="201" w:lineRule="exact"/>
              <w:rPr>
                <w:sz w:val="20"/>
                <w:szCs w:val="20"/>
                <w:color w:val="auto"/>
              </w:rPr>
            </w:pPr>
            <w:r>
              <w:rPr>
                <w:rFonts w:ascii="Arial" w:cs="Arial" w:eastAsia="Arial" w:hAnsi="Arial"/>
                <w:sz w:val="18"/>
                <w:szCs w:val="18"/>
                <w:b w:val="1"/>
                <w:bCs w:val="1"/>
                <w:color w:val="auto"/>
                <w:w w:val="97"/>
              </w:rPr>
              <w:t>Income Before Cumulative Effect of Change in Accounting</w:t>
            </w:r>
          </w:p>
        </w:tc>
        <w:tc>
          <w:tcPr>
            <w:tcW w:w="76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138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Borders>
              <w:right w:val="single" w:sz="8" w:color="EEEEEE"/>
            </w:tcBorders>
            <w:gridSpan w:val="2"/>
            <w:shd w:val="clear" w:color="auto" w:fill="EEEEEE"/>
          </w:tcPr>
          <w:p>
            <w:pPr>
              <w:ind w:left="120"/>
              <w:spacing w:after="0"/>
              <w:rPr>
                <w:sz w:val="20"/>
                <w:szCs w:val="20"/>
                <w:color w:val="auto"/>
              </w:rPr>
            </w:pPr>
            <w:r>
              <w:rPr>
                <w:rFonts w:ascii="Arial" w:cs="Arial" w:eastAsia="Arial" w:hAnsi="Arial"/>
                <w:sz w:val="18"/>
                <w:szCs w:val="18"/>
                <w:b w:val="1"/>
                <w:bCs w:val="1"/>
                <w:color w:val="auto"/>
              </w:rPr>
              <w:t>Principle</w:t>
            </w:r>
          </w:p>
        </w:tc>
        <w:tc>
          <w:tcPr>
            <w:tcW w:w="760" w:type="dxa"/>
            <w:vAlign w:val="bottom"/>
            <w:shd w:val="clear" w:color="auto" w:fill="EEEEEE"/>
          </w:tcPr>
          <w:p>
            <w:pPr>
              <w:spacing w:after="0"/>
              <w:rPr>
                <w:sz w:val="20"/>
                <w:szCs w:val="20"/>
                <w:color w:val="auto"/>
              </w:rPr>
            </w:pPr>
          </w:p>
        </w:tc>
        <w:tc>
          <w:tcPr>
            <w:tcW w:w="1280" w:type="dxa"/>
            <w:vAlign w:val="bottom"/>
            <w:shd w:val="clear" w:color="auto" w:fill="EEEEEE"/>
          </w:tcPr>
          <w:p>
            <w:pPr>
              <w:jc w:val="right"/>
              <w:ind w:right="492"/>
              <w:spacing w:after="0"/>
              <w:rPr>
                <w:sz w:val="20"/>
                <w:szCs w:val="20"/>
                <w:color w:val="auto"/>
              </w:rPr>
            </w:pPr>
            <w:r>
              <w:rPr>
                <w:rFonts w:ascii="Arial" w:cs="Arial" w:eastAsia="Arial" w:hAnsi="Arial"/>
                <w:sz w:val="18"/>
                <w:szCs w:val="18"/>
                <w:b w:val="1"/>
                <w:bCs w:val="1"/>
                <w:color w:val="auto"/>
              </w:rPr>
              <w:t>241,088</w:t>
            </w:r>
          </w:p>
        </w:tc>
        <w:tc>
          <w:tcPr>
            <w:tcW w:w="1120" w:type="dxa"/>
            <w:vAlign w:val="bottom"/>
            <w:shd w:val="clear" w:color="auto" w:fill="EEEEEE"/>
          </w:tcPr>
          <w:p>
            <w:pPr>
              <w:spacing w:after="0"/>
              <w:rPr>
                <w:sz w:val="20"/>
                <w:szCs w:val="20"/>
                <w:color w:val="auto"/>
              </w:rPr>
            </w:pPr>
          </w:p>
        </w:tc>
        <w:tc>
          <w:tcPr>
            <w:tcW w:w="1380" w:type="dxa"/>
            <w:vAlign w:val="bottom"/>
            <w:shd w:val="clear" w:color="auto" w:fill="EEEEEE"/>
          </w:tcPr>
          <w:p>
            <w:pPr>
              <w:jc w:val="right"/>
              <w:ind w:right="592"/>
              <w:spacing w:after="0"/>
              <w:rPr>
                <w:sz w:val="20"/>
                <w:szCs w:val="20"/>
                <w:color w:val="auto"/>
              </w:rPr>
            </w:pPr>
            <w:r>
              <w:rPr>
                <w:rFonts w:ascii="Arial" w:cs="Arial" w:eastAsia="Arial" w:hAnsi="Arial"/>
                <w:sz w:val="18"/>
                <w:szCs w:val="18"/>
                <w:color w:val="auto"/>
              </w:rPr>
              <w:t>216,368</w:t>
            </w:r>
          </w:p>
        </w:tc>
        <w:tc>
          <w:tcPr>
            <w:tcW w:w="780" w:type="dxa"/>
            <w:vAlign w:val="bottom"/>
            <w:shd w:val="clear" w:color="auto" w:fill="EEEEEE"/>
          </w:tcPr>
          <w:p>
            <w:pPr>
              <w:spacing w:after="0"/>
              <w:rPr>
                <w:sz w:val="20"/>
                <w:szCs w:val="20"/>
                <w:color w:val="auto"/>
              </w:rPr>
            </w:pPr>
          </w:p>
        </w:tc>
        <w:tc>
          <w:tcPr>
            <w:tcW w:w="114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229,639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4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w w:val="99"/>
              </w:rPr>
              <w:t>Cumulative Effect of Change in Method of Accounting for</w:t>
            </w:r>
          </w:p>
        </w:tc>
        <w:tc>
          <w:tcPr>
            <w:tcW w:w="7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40" w:type="dxa"/>
            <w:vAlign w:val="bottom"/>
            <w:gridSpan w:val="2"/>
          </w:tcPr>
          <w:p>
            <w:pPr>
              <w:ind w:left="120"/>
              <w:spacing w:after="0"/>
              <w:rPr>
                <w:sz w:val="20"/>
                <w:szCs w:val="20"/>
                <w:color w:val="auto"/>
              </w:rPr>
            </w:pPr>
            <w:r>
              <w:rPr>
                <w:rFonts w:ascii="Arial" w:cs="Arial" w:eastAsia="Arial" w:hAnsi="Arial"/>
                <w:sz w:val="18"/>
                <w:szCs w:val="18"/>
                <w:b w:val="1"/>
                <w:bCs w:val="1"/>
                <w:color w:val="auto"/>
              </w:rPr>
              <w:t>Goodwill and Other Intangible Assets, Net of Taxes</w:t>
            </w:r>
          </w:p>
        </w:tc>
        <w:tc>
          <w:tcPr>
            <w:tcW w:w="760" w:type="dxa"/>
            <w:vAlign w:val="bottom"/>
          </w:tcPr>
          <w:p>
            <w:pPr>
              <w:spacing w:after="0"/>
              <w:rPr>
                <w:sz w:val="19"/>
                <w:szCs w:val="19"/>
                <w:color w:val="auto"/>
              </w:rPr>
            </w:pPr>
          </w:p>
        </w:tc>
        <w:tc>
          <w:tcPr>
            <w:tcW w:w="1280" w:type="dxa"/>
            <w:vAlign w:val="bottom"/>
          </w:tcPr>
          <w:p>
            <w:pPr>
              <w:jc w:val="right"/>
              <w:ind w:right="492"/>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spacing w:after="0"/>
              <w:rPr>
                <w:sz w:val="19"/>
                <w:szCs w:val="19"/>
                <w:color w:val="auto"/>
              </w:rPr>
            </w:pPr>
          </w:p>
        </w:tc>
        <w:tc>
          <w:tcPr>
            <w:tcW w:w="1380" w:type="dxa"/>
            <w:vAlign w:val="bottom"/>
          </w:tcPr>
          <w:p>
            <w:pPr>
              <w:jc w:val="right"/>
              <w:ind w:right="532"/>
              <w:spacing w:after="0"/>
              <w:rPr>
                <w:sz w:val="20"/>
                <w:szCs w:val="20"/>
                <w:color w:val="auto"/>
              </w:rPr>
            </w:pPr>
            <w:r>
              <w:rPr>
                <w:rFonts w:ascii="Arial" w:cs="Arial" w:eastAsia="Arial" w:hAnsi="Arial"/>
                <w:sz w:val="18"/>
                <w:szCs w:val="18"/>
                <w:color w:val="auto"/>
              </w:rPr>
              <w:t>(12,100)</w:t>
            </w:r>
          </w:p>
        </w:tc>
        <w:tc>
          <w:tcPr>
            <w:tcW w:w="780" w:type="dxa"/>
            <w:vAlign w:val="bottom"/>
          </w:tcPr>
          <w:p>
            <w:pPr>
              <w:spacing w:after="0"/>
              <w:rPr>
                <w:sz w:val="19"/>
                <w:szCs w:val="19"/>
                <w:color w:val="auto"/>
              </w:rPr>
            </w:pP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tcBorders>
              <w:right w:val="single" w:sz="8" w:color="EEEEEE"/>
            </w:tcBorders>
            <w:gridSpan w:val="2"/>
            <w:shd w:val="clear" w:color="auto" w:fill="EEEEEE"/>
          </w:tcPr>
          <w:p>
            <w:pPr>
              <w:spacing w:after="0"/>
              <w:rPr>
                <w:sz w:val="20"/>
                <w:szCs w:val="20"/>
                <w:color w:val="auto"/>
              </w:rPr>
            </w:pPr>
            <w:r>
              <w:rPr>
                <w:rFonts w:ascii="Arial" w:cs="Arial" w:eastAsia="Arial" w:hAnsi="Arial"/>
                <w:sz w:val="18"/>
                <w:szCs w:val="18"/>
                <w:b w:val="1"/>
                <w:bCs w:val="1"/>
                <w:color w:val="auto"/>
              </w:rPr>
              <w:t>Net Income</w:t>
            </w:r>
          </w:p>
        </w:tc>
        <w:tc>
          <w:tcPr>
            <w:tcW w:w="760" w:type="dxa"/>
            <w:vAlign w:val="bottom"/>
            <w:shd w:val="clear" w:color="auto" w:fill="EEEEEE"/>
          </w:tcPr>
          <w:p>
            <w:pPr>
              <w:spacing w:after="0"/>
              <w:rPr>
                <w:sz w:val="18"/>
                <w:szCs w:val="18"/>
                <w:color w:val="auto"/>
              </w:rPr>
            </w:pPr>
          </w:p>
        </w:tc>
        <w:tc>
          <w:tcPr>
            <w:tcW w:w="1280" w:type="dxa"/>
            <w:vAlign w:val="bottom"/>
            <w:shd w:val="clear" w:color="auto" w:fill="EEEEEE"/>
          </w:tcPr>
          <w:p>
            <w:pPr>
              <w:jc w:val="right"/>
              <w:ind w:right="492"/>
              <w:spacing w:after="0"/>
              <w:rPr>
                <w:sz w:val="20"/>
                <w:szCs w:val="20"/>
                <w:color w:val="auto"/>
              </w:rPr>
            </w:pPr>
            <w:r>
              <w:rPr>
                <w:rFonts w:ascii="Arial" w:cs="Arial" w:eastAsia="Arial" w:hAnsi="Arial"/>
                <w:sz w:val="18"/>
                <w:szCs w:val="18"/>
                <w:b w:val="1"/>
                <w:bCs w:val="1"/>
                <w:color w:val="auto"/>
              </w:rPr>
              <w:t>241,088</w:t>
            </w:r>
          </w:p>
        </w:tc>
        <w:tc>
          <w:tcPr>
            <w:tcW w:w="1120" w:type="dxa"/>
            <w:vAlign w:val="bottom"/>
            <w:shd w:val="clear" w:color="auto" w:fill="EEEEEE"/>
          </w:tcPr>
          <w:p>
            <w:pPr>
              <w:spacing w:after="0"/>
              <w:rPr>
                <w:sz w:val="18"/>
                <w:szCs w:val="18"/>
                <w:color w:val="auto"/>
              </w:rPr>
            </w:pPr>
          </w:p>
        </w:tc>
        <w:tc>
          <w:tcPr>
            <w:tcW w:w="1380" w:type="dxa"/>
            <w:vAlign w:val="bottom"/>
            <w:shd w:val="clear" w:color="auto" w:fill="EEEEEE"/>
          </w:tcPr>
          <w:p>
            <w:pPr>
              <w:jc w:val="right"/>
              <w:ind w:right="592"/>
              <w:spacing w:after="0"/>
              <w:rPr>
                <w:sz w:val="20"/>
                <w:szCs w:val="20"/>
                <w:color w:val="auto"/>
              </w:rPr>
            </w:pPr>
            <w:r>
              <w:rPr>
                <w:rFonts w:ascii="Arial" w:cs="Arial" w:eastAsia="Arial" w:hAnsi="Arial"/>
                <w:sz w:val="18"/>
                <w:szCs w:val="18"/>
                <w:color w:val="auto"/>
              </w:rPr>
              <w:t>204,268</w:t>
            </w:r>
          </w:p>
        </w:tc>
        <w:tc>
          <w:tcPr>
            <w:tcW w:w="780" w:type="dxa"/>
            <w:vAlign w:val="bottom"/>
            <w:shd w:val="clear" w:color="auto" w:fill="EEEEEE"/>
          </w:tcPr>
          <w:p>
            <w:pPr>
              <w:spacing w:after="0"/>
              <w:rPr>
                <w:sz w:val="18"/>
                <w:szCs w:val="18"/>
                <w:color w:val="auto"/>
              </w:rPr>
            </w:pPr>
          </w:p>
        </w:tc>
        <w:tc>
          <w:tcPr>
            <w:tcW w:w="114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229,639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Redeemable Preferred Stock Dividends</w:t>
            </w:r>
          </w:p>
        </w:tc>
        <w:tc>
          <w:tcPr>
            <w:tcW w:w="760" w:type="dxa"/>
            <w:vAlign w:val="bottom"/>
          </w:tcPr>
          <w:p>
            <w:pPr>
              <w:spacing w:after="0"/>
              <w:rPr>
                <w:sz w:val="19"/>
                <w:szCs w:val="19"/>
                <w:color w:val="auto"/>
              </w:rPr>
            </w:pPr>
          </w:p>
        </w:tc>
        <w:tc>
          <w:tcPr>
            <w:tcW w:w="1280" w:type="dxa"/>
            <w:vAlign w:val="bottom"/>
          </w:tcPr>
          <w:p>
            <w:pPr>
              <w:jc w:val="right"/>
              <w:ind w:right="432"/>
              <w:spacing w:after="0"/>
              <w:rPr>
                <w:sz w:val="20"/>
                <w:szCs w:val="20"/>
                <w:color w:val="auto"/>
              </w:rPr>
            </w:pPr>
            <w:r>
              <w:rPr>
                <w:rFonts w:ascii="Arial" w:cs="Arial" w:eastAsia="Arial" w:hAnsi="Arial"/>
                <w:sz w:val="18"/>
                <w:szCs w:val="18"/>
                <w:b w:val="1"/>
                <w:bCs w:val="1"/>
                <w:color w:val="auto"/>
              </w:rPr>
              <w:t>(1,027)</w:t>
            </w:r>
          </w:p>
        </w:tc>
        <w:tc>
          <w:tcPr>
            <w:tcW w:w="1120" w:type="dxa"/>
            <w:vAlign w:val="bottom"/>
          </w:tcPr>
          <w:p>
            <w:pPr>
              <w:spacing w:after="0"/>
              <w:rPr>
                <w:sz w:val="19"/>
                <w:szCs w:val="19"/>
                <w:color w:val="auto"/>
              </w:rPr>
            </w:pPr>
          </w:p>
        </w:tc>
        <w:tc>
          <w:tcPr>
            <w:tcW w:w="1380" w:type="dxa"/>
            <w:vAlign w:val="bottom"/>
          </w:tcPr>
          <w:p>
            <w:pPr>
              <w:jc w:val="right"/>
              <w:ind w:right="532"/>
              <w:spacing w:after="0"/>
              <w:rPr>
                <w:sz w:val="20"/>
                <w:szCs w:val="20"/>
                <w:color w:val="auto"/>
              </w:rPr>
            </w:pPr>
            <w:r>
              <w:rPr>
                <w:rFonts w:ascii="Arial" w:cs="Arial" w:eastAsia="Arial" w:hAnsi="Arial"/>
                <w:sz w:val="18"/>
                <w:szCs w:val="18"/>
                <w:color w:val="auto"/>
              </w:rPr>
              <w:t>(1,033)</w:t>
            </w:r>
          </w:p>
        </w:tc>
        <w:tc>
          <w:tcPr>
            <w:tcW w:w="780" w:type="dxa"/>
            <w:vAlign w:val="bottom"/>
          </w:tcPr>
          <w:p>
            <w:pPr>
              <w:spacing w:after="0"/>
              <w:rPr>
                <w:sz w:val="19"/>
                <w:szCs w:val="19"/>
                <w:color w:val="auto"/>
              </w:rPr>
            </w:pPr>
          </w:p>
        </w:tc>
        <w:tc>
          <w:tcPr>
            <w:tcW w:w="1140" w:type="dxa"/>
            <w:vAlign w:val="bottom"/>
          </w:tcPr>
          <w:p>
            <w:pPr>
              <w:jc w:val="right"/>
              <w:ind w:right="292"/>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tcBorders>
              <w:right w:val="single" w:sz="8" w:color="EEEEEE"/>
            </w:tcBorders>
            <w:gridSpan w:val="2"/>
            <w:shd w:val="clear" w:color="auto" w:fill="EEEEEE"/>
          </w:tcPr>
          <w:p>
            <w:pPr>
              <w:spacing w:after="0"/>
              <w:rPr>
                <w:sz w:val="20"/>
                <w:szCs w:val="20"/>
                <w:color w:val="auto"/>
              </w:rPr>
            </w:pPr>
            <w:r>
              <w:rPr>
                <w:rFonts w:ascii="Arial" w:cs="Arial" w:eastAsia="Arial" w:hAnsi="Arial"/>
                <w:sz w:val="18"/>
                <w:szCs w:val="18"/>
                <w:b w:val="1"/>
                <w:bCs w:val="1"/>
                <w:color w:val="auto"/>
              </w:rPr>
              <w:t>Net Income Available for Common Shares</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EEEEEE"/>
          </w:tcPr>
          <w:p>
            <w:pPr>
              <w:jc w:val="right"/>
              <w:ind w:right="492"/>
              <w:spacing w:after="0"/>
              <w:rPr>
                <w:sz w:val="20"/>
                <w:szCs w:val="20"/>
                <w:color w:val="auto"/>
              </w:rPr>
            </w:pPr>
            <w:r>
              <w:rPr>
                <w:rFonts w:ascii="Arial" w:cs="Arial" w:eastAsia="Arial" w:hAnsi="Arial"/>
                <w:sz w:val="18"/>
                <w:szCs w:val="18"/>
                <w:b w:val="1"/>
                <w:bCs w:val="1"/>
                <w:color w:val="auto"/>
              </w:rPr>
              <w:t>240,061</w:t>
            </w: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EEEEEE"/>
          </w:tcPr>
          <w:p>
            <w:pPr>
              <w:jc w:val="right"/>
              <w:ind w:right="592"/>
              <w:spacing w:after="0"/>
              <w:rPr>
                <w:sz w:val="20"/>
                <w:szCs w:val="20"/>
                <w:color w:val="auto"/>
              </w:rPr>
            </w:pPr>
            <w:r>
              <w:rPr>
                <w:rFonts w:ascii="Arial" w:cs="Arial" w:eastAsia="Arial" w:hAnsi="Arial"/>
                <w:sz w:val="18"/>
                <w:szCs w:val="18"/>
                <w:color w:val="auto"/>
              </w:rPr>
              <w:t>203,235</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228,587</w:t>
            </w:r>
          </w:p>
        </w:tc>
        <w:tc>
          <w:tcPr>
            <w:tcW w:w="0" w:type="dxa"/>
            <w:vAlign w:val="bottom"/>
          </w:tcPr>
          <w:p>
            <w:pPr>
              <w:spacing w:after="0"/>
              <w:rPr>
                <w:sz w:val="1"/>
                <w:szCs w:val="1"/>
                <w:color w:val="auto"/>
              </w:rPr>
            </w:pPr>
          </w:p>
        </w:tc>
      </w:tr>
      <w:tr>
        <w:trPr>
          <w:trHeight w:val="105"/>
        </w:trPr>
        <w:tc>
          <w:tcPr>
            <w:tcW w:w="480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800" w:type="dxa"/>
            <w:vAlign w:val="bottom"/>
            <w:gridSpan w:val="2"/>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4960" w:type="dxa"/>
            <w:vAlign w:val="bottom"/>
            <w:gridSpan w:val="3"/>
          </w:tcPr>
          <w:p>
            <w:pPr>
              <w:spacing w:after="0"/>
              <w:rPr>
                <w:sz w:val="20"/>
                <w:szCs w:val="20"/>
                <w:color w:val="auto"/>
              </w:rPr>
            </w:pPr>
            <w:r>
              <w:rPr>
                <w:rFonts w:ascii="Arial" w:cs="Arial" w:eastAsia="Arial" w:hAnsi="Arial"/>
                <w:sz w:val="18"/>
                <w:szCs w:val="18"/>
                <w:b w:val="1"/>
                <w:bCs w:val="1"/>
                <w:color w:val="auto"/>
              </w:rPr>
              <w:t>Basic Earnings per Common Share:</w:t>
            </w: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Borders>
              <w:right w:val="single" w:sz="8" w:color="EEEEEE"/>
            </w:tcBorders>
            <w:gridSpan w:val="2"/>
            <w:shd w:val="clear" w:color="auto" w:fill="EEEEEE"/>
          </w:tcPr>
          <w:p>
            <w:pPr>
              <w:ind w:left="260"/>
              <w:spacing w:after="0" w:line="203" w:lineRule="exact"/>
              <w:rPr>
                <w:sz w:val="20"/>
                <w:szCs w:val="20"/>
                <w:color w:val="auto"/>
              </w:rPr>
            </w:pPr>
            <w:r>
              <w:rPr>
                <w:rFonts w:ascii="Arial" w:cs="Arial" w:eastAsia="Arial" w:hAnsi="Arial"/>
                <w:sz w:val="18"/>
                <w:szCs w:val="18"/>
                <w:b w:val="1"/>
                <w:bCs w:val="1"/>
                <w:color w:val="auto"/>
              </w:rPr>
              <w:t>Before Cumulative Effect of Change in Accounting</w:t>
            </w:r>
          </w:p>
        </w:tc>
        <w:tc>
          <w:tcPr>
            <w:tcW w:w="76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138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Borders>
              <w:right w:val="single" w:sz="8" w:color="EEEEEE"/>
            </w:tcBorders>
            <w:gridSpan w:val="2"/>
            <w:shd w:val="clear" w:color="auto" w:fill="EEEEEE"/>
          </w:tcPr>
          <w:p>
            <w:pPr>
              <w:ind w:left="400"/>
              <w:spacing w:after="0"/>
              <w:rPr>
                <w:sz w:val="20"/>
                <w:szCs w:val="20"/>
                <w:color w:val="auto"/>
              </w:rPr>
            </w:pPr>
            <w:r>
              <w:rPr>
                <w:rFonts w:ascii="Arial" w:cs="Arial" w:eastAsia="Arial" w:hAnsi="Arial"/>
                <w:sz w:val="18"/>
                <w:szCs w:val="18"/>
                <w:b w:val="1"/>
                <w:bCs w:val="1"/>
                <w:color w:val="auto"/>
              </w:rPr>
              <w:t>Principle</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EEEEEE"/>
          </w:tcPr>
          <w:p>
            <w:pPr>
              <w:jc w:val="right"/>
              <w:ind w:right="492"/>
              <w:spacing w:after="0"/>
              <w:rPr>
                <w:sz w:val="20"/>
                <w:szCs w:val="20"/>
                <w:color w:val="auto"/>
              </w:rPr>
            </w:pPr>
            <w:r>
              <w:rPr>
                <w:rFonts w:ascii="Arial" w:cs="Arial" w:eastAsia="Arial" w:hAnsi="Arial"/>
                <w:sz w:val="18"/>
                <w:szCs w:val="18"/>
                <w:b w:val="1"/>
                <w:bCs w:val="1"/>
                <w:color w:val="auto"/>
              </w:rPr>
              <w:t>25.19</w:t>
            </w: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EEEEEE"/>
          </w:tcPr>
          <w:p>
            <w:pPr>
              <w:jc w:val="right"/>
              <w:ind w:right="592"/>
              <w:spacing w:after="0"/>
              <w:rPr>
                <w:sz w:val="20"/>
                <w:szCs w:val="20"/>
                <w:color w:val="auto"/>
              </w:rPr>
            </w:pPr>
            <w:r>
              <w:rPr>
                <w:rFonts w:ascii="Arial" w:cs="Arial" w:eastAsia="Arial" w:hAnsi="Arial"/>
                <w:sz w:val="18"/>
                <w:szCs w:val="18"/>
                <w:color w:val="auto"/>
              </w:rPr>
              <w:t>22.65</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24.10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40" w:type="dxa"/>
            <w:vAlign w:val="bottom"/>
            <w:gridSpan w:val="2"/>
          </w:tcPr>
          <w:p>
            <w:pPr>
              <w:ind w:left="260"/>
              <w:spacing w:after="0"/>
              <w:rPr>
                <w:sz w:val="20"/>
                <w:szCs w:val="20"/>
                <w:color w:val="auto"/>
              </w:rPr>
            </w:pPr>
            <w:r>
              <w:rPr>
                <w:rFonts w:ascii="Arial" w:cs="Arial" w:eastAsia="Arial" w:hAnsi="Arial"/>
                <w:sz w:val="18"/>
                <w:szCs w:val="18"/>
                <w:b w:val="1"/>
                <w:bCs w:val="1"/>
                <w:color w:val="auto"/>
              </w:rPr>
              <w:t>Cumulative Effect of Change in Accounting Principle</w:t>
            </w:r>
          </w:p>
        </w:tc>
        <w:tc>
          <w:tcPr>
            <w:tcW w:w="760" w:type="dxa"/>
            <w:vAlign w:val="bottom"/>
          </w:tcPr>
          <w:p>
            <w:pPr>
              <w:spacing w:after="0"/>
              <w:rPr>
                <w:sz w:val="19"/>
                <w:szCs w:val="19"/>
                <w:color w:val="auto"/>
              </w:rPr>
            </w:pPr>
          </w:p>
        </w:tc>
        <w:tc>
          <w:tcPr>
            <w:tcW w:w="1280" w:type="dxa"/>
            <w:vAlign w:val="bottom"/>
          </w:tcPr>
          <w:p>
            <w:pPr>
              <w:jc w:val="right"/>
              <w:ind w:right="492"/>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spacing w:after="0"/>
              <w:rPr>
                <w:sz w:val="19"/>
                <w:szCs w:val="19"/>
                <w:color w:val="auto"/>
              </w:rPr>
            </w:pPr>
          </w:p>
        </w:tc>
        <w:tc>
          <w:tcPr>
            <w:tcW w:w="1380" w:type="dxa"/>
            <w:vAlign w:val="bottom"/>
          </w:tcPr>
          <w:p>
            <w:pPr>
              <w:jc w:val="right"/>
              <w:ind w:right="532"/>
              <w:spacing w:after="0"/>
              <w:rPr>
                <w:sz w:val="20"/>
                <w:szCs w:val="20"/>
                <w:color w:val="auto"/>
              </w:rPr>
            </w:pPr>
            <w:r>
              <w:rPr>
                <w:rFonts w:ascii="Arial" w:cs="Arial" w:eastAsia="Arial" w:hAnsi="Arial"/>
                <w:sz w:val="18"/>
                <w:szCs w:val="18"/>
                <w:color w:val="auto"/>
              </w:rPr>
              <w:t>(1.27)</w:t>
            </w:r>
          </w:p>
        </w:tc>
        <w:tc>
          <w:tcPr>
            <w:tcW w:w="780" w:type="dxa"/>
            <w:vAlign w:val="bottom"/>
          </w:tcPr>
          <w:p>
            <w:pPr>
              <w:spacing w:after="0"/>
              <w:rPr>
                <w:sz w:val="19"/>
                <w:szCs w:val="19"/>
                <w:color w:val="auto"/>
              </w:rPr>
            </w:pP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right w:val="single" w:sz="8" w:color="EEEEEE"/>
            </w:tcBorders>
            <w:gridSpan w:val="2"/>
            <w:shd w:val="clear" w:color="auto" w:fill="EEEEEE"/>
          </w:tcPr>
          <w:p>
            <w:pPr>
              <w:ind w:left="260"/>
              <w:spacing w:after="0"/>
              <w:rPr>
                <w:sz w:val="20"/>
                <w:szCs w:val="20"/>
                <w:color w:val="auto"/>
              </w:rPr>
            </w:pPr>
            <w:r>
              <w:rPr>
                <w:rFonts w:ascii="Arial" w:cs="Arial" w:eastAsia="Arial" w:hAnsi="Arial"/>
                <w:sz w:val="18"/>
                <w:szCs w:val="18"/>
                <w:b w:val="1"/>
                <w:bCs w:val="1"/>
                <w:color w:val="auto"/>
              </w:rPr>
              <w:t>Net Income Available for Common Shares</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EEEEEE"/>
          </w:tcPr>
          <w:p>
            <w:pPr>
              <w:jc w:val="right"/>
              <w:ind w:right="492"/>
              <w:spacing w:after="0"/>
              <w:rPr>
                <w:sz w:val="20"/>
                <w:szCs w:val="20"/>
                <w:color w:val="auto"/>
              </w:rPr>
            </w:pPr>
            <w:r>
              <w:rPr>
                <w:rFonts w:ascii="Arial" w:cs="Arial" w:eastAsia="Arial" w:hAnsi="Arial"/>
                <w:sz w:val="18"/>
                <w:szCs w:val="18"/>
                <w:b w:val="1"/>
                <w:bCs w:val="1"/>
                <w:color w:val="auto"/>
              </w:rPr>
              <w:t>25.19</w:t>
            </w: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EEEEEE"/>
          </w:tcPr>
          <w:p>
            <w:pPr>
              <w:jc w:val="right"/>
              <w:ind w:right="592"/>
              <w:spacing w:after="0"/>
              <w:rPr>
                <w:sz w:val="20"/>
                <w:szCs w:val="20"/>
                <w:color w:val="auto"/>
              </w:rPr>
            </w:pPr>
            <w:r>
              <w:rPr>
                <w:rFonts w:ascii="Arial" w:cs="Arial" w:eastAsia="Arial" w:hAnsi="Arial"/>
                <w:sz w:val="18"/>
                <w:szCs w:val="18"/>
                <w:color w:val="auto"/>
              </w:rPr>
              <w:t>21.38</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24.10</w:t>
            </w:r>
          </w:p>
        </w:tc>
        <w:tc>
          <w:tcPr>
            <w:tcW w:w="0" w:type="dxa"/>
            <w:vAlign w:val="bottom"/>
          </w:tcPr>
          <w:p>
            <w:pPr>
              <w:spacing w:after="0"/>
              <w:rPr>
                <w:sz w:val="1"/>
                <w:szCs w:val="1"/>
                <w:color w:val="auto"/>
              </w:rPr>
            </w:pPr>
          </w:p>
        </w:tc>
      </w:tr>
      <w:tr>
        <w:trPr>
          <w:trHeight w:val="105"/>
        </w:trPr>
        <w:tc>
          <w:tcPr>
            <w:tcW w:w="480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800" w:type="dxa"/>
            <w:vAlign w:val="bottom"/>
            <w:gridSpan w:val="2"/>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4960" w:type="dxa"/>
            <w:vAlign w:val="bottom"/>
            <w:gridSpan w:val="3"/>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Borders>
              <w:right w:val="single" w:sz="8" w:color="EEEEEE"/>
            </w:tcBorders>
            <w:gridSpan w:val="2"/>
            <w:shd w:val="clear" w:color="auto" w:fill="EEEEEE"/>
          </w:tcPr>
          <w:p>
            <w:pPr>
              <w:ind w:left="260"/>
              <w:spacing w:after="0" w:line="203" w:lineRule="exact"/>
              <w:rPr>
                <w:sz w:val="20"/>
                <w:szCs w:val="20"/>
                <w:color w:val="auto"/>
              </w:rPr>
            </w:pPr>
            <w:r>
              <w:rPr>
                <w:rFonts w:ascii="Arial" w:cs="Arial" w:eastAsia="Arial" w:hAnsi="Arial"/>
                <w:sz w:val="18"/>
                <w:szCs w:val="18"/>
                <w:b w:val="1"/>
                <w:bCs w:val="1"/>
                <w:color w:val="auto"/>
              </w:rPr>
              <w:t>Before Cumulative Effect of Change in Accounting</w:t>
            </w:r>
          </w:p>
        </w:tc>
        <w:tc>
          <w:tcPr>
            <w:tcW w:w="76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138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Borders>
              <w:right w:val="single" w:sz="8" w:color="EEEEEE"/>
            </w:tcBorders>
            <w:gridSpan w:val="2"/>
            <w:shd w:val="clear" w:color="auto" w:fill="EEEEEE"/>
          </w:tcPr>
          <w:p>
            <w:pPr>
              <w:ind w:left="400"/>
              <w:spacing w:after="0"/>
              <w:rPr>
                <w:sz w:val="20"/>
                <w:szCs w:val="20"/>
                <w:color w:val="auto"/>
              </w:rPr>
            </w:pPr>
            <w:r>
              <w:rPr>
                <w:rFonts w:ascii="Arial" w:cs="Arial" w:eastAsia="Arial" w:hAnsi="Arial"/>
                <w:sz w:val="18"/>
                <w:szCs w:val="18"/>
                <w:b w:val="1"/>
                <w:bCs w:val="1"/>
                <w:color w:val="auto"/>
              </w:rPr>
              <w:t>Principle</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EEEEEE"/>
          </w:tcPr>
          <w:p>
            <w:pPr>
              <w:jc w:val="right"/>
              <w:ind w:right="492"/>
              <w:spacing w:after="0"/>
              <w:rPr>
                <w:sz w:val="20"/>
                <w:szCs w:val="20"/>
                <w:color w:val="auto"/>
              </w:rPr>
            </w:pPr>
            <w:r>
              <w:rPr>
                <w:rFonts w:ascii="Arial" w:cs="Arial" w:eastAsia="Arial" w:hAnsi="Arial"/>
                <w:sz w:val="18"/>
                <w:szCs w:val="18"/>
                <w:b w:val="1"/>
                <w:bCs w:val="1"/>
                <w:color w:val="auto"/>
              </w:rPr>
              <w:t>25.12</w:t>
            </w: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EEEEEE"/>
          </w:tcPr>
          <w:p>
            <w:pPr>
              <w:jc w:val="right"/>
              <w:ind w:right="592"/>
              <w:spacing w:after="0"/>
              <w:rPr>
                <w:sz w:val="20"/>
                <w:szCs w:val="20"/>
                <w:color w:val="auto"/>
              </w:rPr>
            </w:pPr>
            <w:r>
              <w:rPr>
                <w:rFonts w:ascii="Arial" w:cs="Arial" w:eastAsia="Arial" w:hAnsi="Arial"/>
                <w:sz w:val="18"/>
                <w:szCs w:val="18"/>
                <w:color w:val="auto"/>
              </w:rPr>
              <w:t>22.61</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24.06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40" w:type="dxa"/>
            <w:vAlign w:val="bottom"/>
            <w:gridSpan w:val="2"/>
          </w:tcPr>
          <w:p>
            <w:pPr>
              <w:ind w:left="260"/>
              <w:spacing w:after="0"/>
              <w:rPr>
                <w:sz w:val="20"/>
                <w:szCs w:val="20"/>
                <w:color w:val="auto"/>
              </w:rPr>
            </w:pPr>
            <w:r>
              <w:rPr>
                <w:rFonts w:ascii="Arial" w:cs="Arial" w:eastAsia="Arial" w:hAnsi="Arial"/>
                <w:sz w:val="18"/>
                <w:szCs w:val="18"/>
                <w:b w:val="1"/>
                <w:bCs w:val="1"/>
                <w:color w:val="auto"/>
              </w:rPr>
              <w:t>Cumulative Effect of Change in Accounting Principle</w:t>
            </w:r>
          </w:p>
        </w:tc>
        <w:tc>
          <w:tcPr>
            <w:tcW w:w="760" w:type="dxa"/>
            <w:vAlign w:val="bottom"/>
          </w:tcPr>
          <w:p>
            <w:pPr>
              <w:spacing w:after="0"/>
              <w:rPr>
                <w:sz w:val="19"/>
                <w:szCs w:val="19"/>
                <w:color w:val="auto"/>
              </w:rPr>
            </w:pPr>
          </w:p>
        </w:tc>
        <w:tc>
          <w:tcPr>
            <w:tcW w:w="1280" w:type="dxa"/>
            <w:vAlign w:val="bottom"/>
          </w:tcPr>
          <w:p>
            <w:pPr>
              <w:jc w:val="right"/>
              <w:ind w:right="492"/>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spacing w:after="0"/>
              <w:rPr>
                <w:sz w:val="19"/>
                <w:szCs w:val="19"/>
                <w:color w:val="auto"/>
              </w:rPr>
            </w:pPr>
          </w:p>
        </w:tc>
        <w:tc>
          <w:tcPr>
            <w:tcW w:w="1380" w:type="dxa"/>
            <w:vAlign w:val="bottom"/>
          </w:tcPr>
          <w:p>
            <w:pPr>
              <w:jc w:val="right"/>
              <w:ind w:right="532"/>
              <w:spacing w:after="0"/>
              <w:rPr>
                <w:sz w:val="20"/>
                <w:szCs w:val="20"/>
                <w:color w:val="auto"/>
              </w:rPr>
            </w:pPr>
            <w:r>
              <w:rPr>
                <w:rFonts w:ascii="Arial" w:cs="Arial" w:eastAsia="Arial" w:hAnsi="Arial"/>
                <w:sz w:val="18"/>
                <w:szCs w:val="18"/>
                <w:color w:val="auto"/>
              </w:rPr>
              <w:t>(1.27)</w:t>
            </w:r>
          </w:p>
        </w:tc>
        <w:tc>
          <w:tcPr>
            <w:tcW w:w="780" w:type="dxa"/>
            <w:vAlign w:val="bottom"/>
          </w:tcPr>
          <w:p>
            <w:pPr>
              <w:spacing w:after="0"/>
              <w:rPr>
                <w:sz w:val="19"/>
                <w:szCs w:val="19"/>
                <w:color w:val="auto"/>
              </w:rPr>
            </w:pP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right w:val="single" w:sz="8" w:color="EEEEEE"/>
            </w:tcBorders>
            <w:gridSpan w:val="2"/>
            <w:shd w:val="clear" w:color="auto" w:fill="EEEEEE"/>
          </w:tcPr>
          <w:p>
            <w:pPr>
              <w:ind w:left="260"/>
              <w:spacing w:after="0"/>
              <w:rPr>
                <w:sz w:val="20"/>
                <w:szCs w:val="20"/>
                <w:color w:val="auto"/>
              </w:rPr>
            </w:pPr>
            <w:r>
              <w:rPr>
                <w:rFonts w:ascii="Arial" w:cs="Arial" w:eastAsia="Arial" w:hAnsi="Arial"/>
                <w:sz w:val="18"/>
                <w:szCs w:val="18"/>
                <w:b w:val="1"/>
                <w:bCs w:val="1"/>
                <w:color w:val="auto"/>
              </w:rPr>
              <w:t>Net Income Available for Common Shares</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EEEEEE"/>
          </w:tcPr>
          <w:p>
            <w:pPr>
              <w:jc w:val="right"/>
              <w:ind w:right="492"/>
              <w:spacing w:after="0"/>
              <w:rPr>
                <w:sz w:val="20"/>
                <w:szCs w:val="20"/>
                <w:color w:val="auto"/>
              </w:rPr>
            </w:pPr>
            <w:r>
              <w:rPr>
                <w:rFonts w:ascii="Arial" w:cs="Arial" w:eastAsia="Arial" w:hAnsi="Arial"/>
                <w:sz w:val="18"/>
                <w:szCs w:val="18"/>
                <w:b w:val="1"/>
                <w:bCs w:val="1"/>
                <w:color w:val="auto"/>
              </w:rPr>
              <w:t>25.12</w:t>
            </w:r>
          </w:p>
        </w:tc>
        <w:tc>
          <w:tcPr>
            <w:tcW w:w="11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EEEEEE"/>
          </w:tcPr>
          <w:p>
            <w:pPr>
              <w:jc w:val="right"/>
              <w:ind w:right="592"/>
              <w:spacing w:after="0"/>
              <w:rPr>
                <w:sz w:val="20"/>
                <w:szCs w:val="20"/>
                <w:color w:val="auto"/>
              </w:rPr>
            </w:pPr>
            <w:r>
              <w:rPr>
                <w:rFonts w:ascii="Arial" w:cs="Arial" w:eastAsia="Arial" w:hAnsi="Arial"/>
                <w:sz w:val="18"/>
                <w:szCs w:val="18"/>
                <w:color w:val="auto"/>
              </w:rPr>
              <w:t>21.34</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24.06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4700" w:type="dxa"/>
            <w:vAlign w:val="bottom"/>
            <w:gridSpan w:val="5"/>
          </w:tcPr>
          <w:p>
            <w:pPr>
              <w:spacing w:after="0"/>
              <w:rPr>
                <w:sz w:val="9"/>
                <w:szCs w:val="9"/>
                <w:color w:val="auto"/>
              </w:rPr>
            </w:pPr>
          </w:p>
        </w:tc>
        <w:tc>
          <w:tcPr>
            <w:tcW w:w="7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8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4540" w:type="dxa"/>
            <w:vAlign w:val="bottom"/>
            <w:gridSpan w:val="4"/>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9480" w:type="dxa"/>
            <w:vAlign w:val="bottom"/>
            <w:gridSpan w:val="6"/>
          </w:tcPr>
          <w:p>
            <w:pPr>
              <w:jc w:val="right"/>
              <w:ind w:right="1032"/>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500" w:type="dxa"/>
            <w:vAlign w:val="bottom"/>
            <w:gridSpan w:val="2"/>
          </w:tcPr>
          <w:p>
            <w:pPr>
              <w:jc w:val="right"/>
              <w:ind w:right="652"/>
              <w:spacing w:after="0"/>
              <w:rPr>
                <w:sz w:val="20"/>
                <w:szCs w:val="20"/>
                <w:color w:val="auto"/>
              </w:rPr>
            </w:pPr>
            <w:r>
              <w:rPr>
                <w:rFonts w:ascii="Arial" w:cs="Arial" w:eastAsia="Arial" w:hAnsi="Arial"/>
                <w:sz w:val="18"/>
                <w:szCs w:val="18"/>
                <w:b w:val="1"/>
                <w:bCs w:val="1"/>
                <w:color w:val="auto"/>
              </w:rPr>
              <w:t>Fiscal year ended</w:t>
            </w: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040" w:type="dxa"/>
            <w:vAlign w:val="bottom"/>
            <w:tcBorders>
              <w:bottom w:val="single" w:sz="8" w:color="808080"/>
            </w:tcBorders>
            <w:gridSpan w:val="2"/>
          </w:tcPr>
          <w:p>
            <w:pPr>
              <w:spacing w:after="0"/>
              <w:rPr>
                <w:sz w:val="9"/>
                <w:szCs w:val="9"/>
                <w:color w:val="auto"/>
              </w:rPr>
            </w:pPr>
          </w:p>
        </w:tc>
        <w:tc>
          <w:tcPr>
            <w:tcW w:w="2500" w:type="dxa"/>
            <w:vAlign w:val="bottom"/>
            <w:tcBorders>
              <w:bottom w:val="single" w:sz="8" w:color="808080"/>
            </w:tcBorders>
            <w:gridSpan w:val="2"/>
          </w:tcPr>
          <w:p>
            <w:pPr>
              <w:spacing w:after="0"/>
              <w:rPr>
                <w:sz w:val="9"/>
                <w:szCs w:val="9"/>
                <w:color w:val="auto"/>
              </w:rPr>
            </w:pPr>
          </w:p>
        </w:tc>
        <w:tc>
          <w:tcPr>
            <w:tcW w:w="1920" w:type="dxa"/>
            <w:vAlign w:val="bottom"/>
            <w:tcBorders>
              <w:bottom w:val="single" w:sz="8" w:color="808080"/>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gridSpan w:val="2"/>
          </w:tcPr>
          <w:p>
            <w:pPr>
              <w:jc w:val="right"/>
              <w:ind w:right="492"/>
              <w:spacing w:after="0"/>
              <w:rPr>
                <w:sz w:val="20"/>
                <w:szCs w:val="20"/>
                <w:color w:val="auto"/>
              </w:rPr>
            </w:pPr>
            <w:r>
              <w:rPr>
                <w:rFonts w:ascii="Arial" w:cs="Arial" w:eastAsia="Arial" w:hAnsi="Arial"/>
                <w:sz w:val="18"/>
                <w:szCs w:val="18"/>
                <w:b w:val="1"/>
                <w:bCs w:val="1"/>
                <w:color w:val="auto"/>
              </w:rPr>
              <w:t>December 28,</w:t>
            </w:r>
          </w:p>
        </w:tc>
        <w:tc>
          <w:tcPr>
            <w:tcW w:w="2500" w:type="dxa"/>
            <w:vAlign w:val="bottom"/>
            <w:gridSpan w:val="2"/>
          </w:tcPr>
          <w:p>
            <w:pPr>
              <w:jc w:val="right"/>
              <w:ind w:right="532"/>
              <w:spacing w:after="0"/>
              <w:rPr>
                <w:sz w:val="20"/>
                <w:szCs w:val="20"/>
                <w:color w:val="auto"/>
              </w:rPr>
            </w:pPr>
            <w:r>
              <w:rPr>
                <w:rFonts w:ascii="Arial" w:cs="Arial" w:eastAsia="Arial" w:hAnsi="Arial"/>
                <w:sz w:val="18"/>
                <w:szCs w:val="18"/>
                <w:color w:val="auto"/>
              </w:rPr>
              <w:t>December 29,</w:t>
            </w:r>
          </w:p>
        </w:tc>
        <w:tc>
          <w:tcPr>
            <w:tcW w:w="1920" w:type="dxa"/>
            <w:vAlign w:val="bottom"/>
            <w:gridSpan w:val="2"/>
          </w:tcPr>
          <w:p>
            <w:pPr>
              <w:jc w:val="center"/>
              <w:ind w:left="132"/>
              <w:spacing w:after="0"/>
              <w:rPr>
                <w:sz w:val="20"/>
                <w:szCs w:val="20"/>
                <w:color w:val="auto"/>
              </w:rPr>
            </w:pPr>
            <w:r>
              <w:rPr>
                <w:rFonts w:ascii="Arial" w:cs="Arial" w:eastAsia="Arial" w:hAnsi="Arial"/>
                <w:sz w:val="18"/>
                <w:szCs w:val="18"/>
                <w:color w:val="auto"/>
                <w:w w:val="86"/>
              </w:rPr>
              <w:t>December 30,</w:t>
            </w:r>
          </w:p>
        </w:tc>
        <w:tc>
          <w:tcPr>
            <w:tcW w:w="0" w:type="dxa"/>
            <w:vAlign w:val="bottom"/>
          </w:tcPr>
          <w:p>
            <w:pPr>
              <w:spacing w:after="0"/>
              <w:rPr>
                <w:sz w:val="1"/>
                <w:szCs w:val="1"/>
                <w:color w:val="auto"/>
              </w:rPr>
            </w:pPr>
          </w:p>
        </w:tc>
      </w:tr>
      <w:tr>
        <w:trPr>
          <w:trHeight w:val="228"/>
        </w:trPr>
        <w:tc>
          <w:tcPr>
            <w:tcW w:w="4960" w:type="dxa"/>
            <w:vAlign w:val="bottom"/>
            <w:gridSpan w:val="3"/>
          </w:tcPr>
          <w:p>
            <w:pPr>
              <w:spacing w:after="0"/>
              <w:rPr>
                <w:sz w:val="20"/>
                <w:szCs w:val="20"/>
                <w:color w:val="auto"/>
              </w:rPr>
            </w:pPr>
            <w:r>
              <w:rPr>
                <w:rFonts w:ascii="Arial" w:cs="Arial" w:eastAsia="Arial" w:hAnsi="Arial"/>
                <w:sz w:val="18"/>
                <w:szCs w:val="18"/>
                <w:b w:val="1"/>
                <w:bCs w:val="1"/>
                <w:color w:val="auto"/>
              </w:rPr>
              <w:t>(in thousands)</w:t>
            </w:r>
          </w:p>
        </w:tc>
        <w:tc>
          <w:tcPr>
            <w:tcW w:w="760" w:type="dxa"/>
            <w:vAlign w:val="bottom"/>
          </w:tcPr>
          <w:p>
            <w:pPr>
              <w:spacing w:after="0"/>
              <w:rPr>
                <w:sz w:val="19"/>
                <w:szCs w:val="19"/>
                <w:color w:val="auto"/>
              </w:rPr>
            </w:pPr>
          </w:p>
        </w:tc>
        <w:tc>
          <w:tcPr>
            <w:tcW w:w="1280" w:type="dxa"/>
            <w:vAlign w:val="bottom"/>
          </w:tcPr>
          <w:p>
            <w:pPr>
              <w:jc w:val="right"/>
              <w:ind w:right="812"/>
              <w:spacing w:after="0"/>
              <w:rPr>
                <w:sz w:val="20"/>
                <w:szCs w:val="20"/>
                <w:color w:val="auto"/>
              </w:rPr>
            </w:pPr>
            <w:r>
              <w:rPr>
                <w:rFonts w:ascii="Arial" w:cs="Arial" w:eastAsia="Arial" w:hAnsi="Arial"/>
                <w:sz w:val="18"/>
                <w:szCs w:val="18"/>
                <w:b w:val="1"/>
                <w:bCs w:val="1"/>
                <w:color w:val="auto"/>
                <w:w w:val="89"/>
              </w:rPr>
              <w:t>2003</w:t>
            </w:r>
          </w:p>
        </w:tc>
        <w:tc>
          <w:tcPr>
            <w:tcW w:w="1120" w:type="dxa"/>
            <w:vAlign w:val="bottom"/>
          </w:tcPr>
          <w:p>
            <w:pPr>
              <w:spacing w:after="0"/>
              <w:rPr>
                <w:sz w:val="19"/>
                <w:szCs w:val="19"/>
                <w:color w:val="auto"/>
              </w:rPr>
            </w:pPr>
          </w:p>
        </w:tc>
        <w:tc>
          <w:tcPr>
            <w:tcW w:w="1380" w:type="dxa"/>
            <w:vAlign w:val="bottom"/>
          </w:tcPr>
          <w:p>
            <w:pPr>
              <w:jc w:val="right"/>
              <w:ind w:right="852"/>
              <w:spacing w:after="0"/>
              <w:rPr>
                <w:sz w:val="20"/>
                <w:szCs w:val="20"/>
                <w:color w:val="auto"/>
              </w:rPr>
            </w:pPr>
            <w:r>
              <w:rPr>
                <w:rFonts w:ascii="Arial" w:cs="Arial" w:eastAsia="Arial" w:hAnsi="Arial"/>
                <w:sz w:val="18"/>
                <w:szCs w:val="18"/>
                <w:color w:val="auto"/>
              </w:rPr>
              <w:t>2002</w:t>
            </w:r>
          </w:p>
        </w:tc>
        <w:tc>
          <w:tcPr>
            <w:tcW w:w="780" w:type="dxa"/>
            <w:vAlign w:val="bottom"/>
          </w:tcPr>
          <w:p>
            <w:pPr>
              <w:spacing w:after="0"/>
              <w:rPr>
                <w:sz w:val="19"/>
                <w:szCs w:val="19"/>
                <w:color w:val="auto"/>
              </w:rPr>
            </w:pPr>
          </w:p>
        </w:tc>
        <w:tc>
          <w:tcPr>
            <w:tcW w:w="1140" w:type="dxa"/>
            <w:vAlign w:val="bottom"/>
          </w:tcPr>
          <w:p>
            <w:pPr>
              <w:jc w:val="center"/>
              <w:ind w:right="452"/>
              <w:spacing w:after="0"/>
              <w:rPr>
                <w:sz w:val="20"/>
                <w:szCs w:val="20"/>
                <w:color w:val="auto"/>
              </w:rPr>
            </w:pPr>
            <w:r>
              <w:rPr>
                <w:rFonts w:ascii="Arial" w:cs="Arial" w:eastAsia="Arial" w:hAnsi="Arial"/>
                <w:sz w:val="18"/>
                <w:szCs w:val="18"/>
                <w:color w:val="auto"/>
                <w:w w:val="89"/>
              </w:rPr>
              <w:t>2001</w:t>
            </w:r>
          </w:p>
        </w:tc>
        <w:tc>
          <w:tcPr>
            <w:tcW w:w="0" w:type="dxa"/>
            <w:vAlign w:val="bottom"/>
          </w:tcPr>
          <w:p>
            <w:pPr>
              <w:spacing w:after="0"/>
              <w:rPr>
                <w:sz w:val="1"/>
                <w:szCs w:val="1"/>
                <w:color w:val="auto"/>
              </w:rPr>
            </w:pPr>
          </w:p>
        </w:tc>
      </w:tr>
      <w:tr>
        <w:trPr>
          <w:trHeight w:val="110"/>
        </w:trPr>
        <w:tc>
          <w:tcPr>
            <w:tcW w:w="20" w:type="dxa"/>
            <w:vAlign w:val="bottom"/>
            <w:tcBorders>
              <w:bottom w:val="single" w:sz="8" w:color="808080"/>
            </w:tcBorders>
          </w:tcPr>
          <w:p>
            <w:pPr>
              <w:spacing w:after="0"/>
              <w:rPr>
                <w:sz w:val="9"/>
                <w:szCs w:val="9"/>
                <w:color w:val="auto"/>
              </w:rPr>
            </w:pPr>
          </w:p>
        </w:tc>
        <w:tc>
          <w:tcPr>
            <w:tcW w:w="47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780" w:type="dxa"/>
            <w:vAlign w:val="bottom"/>
            <w:tcBorders>
              <w:bottom w:val="single" w:sz="8" w:color="EEEEEE"/>
            </w:tcBorders>
          </w:tcPr>
          <w:p>
            <w:pPr>
              <w:spacing w:after="0"/>
              <w:rPr>
                <w:sz w:val="12"/>
                <w:szCs w:val="12"/>
                <w:color w:val="auto"/>
              </w:rPr>
            </w:pPr>
          </w:p>
        </w:tc>
        <w:tc>
          <w:tcPr>
            <w:tcW w:w="160" w:type="dxa"/>
            <w:vAlign w:val="bottom"/>
            <w:tcBorders>
              <w:bottom w:val="single" w:sz="8" w:color="EEEEEE"/>
            </w:tcBorders>
          </w:tcPr>
          <w:p>
            <w:pPr>
              <w:spacing w:after="0"/>
              <w:rPr>
                <w:sz w:val="12"/>
                <w:szCs w:val="12"/>
                <w:color w:val="auto"/>
              </w:rPr>
            </w:pPr>
          </w:p>
        </w:tc>
        <w:tc>
          <w:tcPr>
            <w:tcW w:w="760" w:type="dxa"/>
            <w:vAlign w:val="bottom"/>
            <w:tcBorders>
              <w:bottom w:val="single" w:sz="8" w:color="EEEEEE"/>
            </w:tcBorders>
          </w:tcPr>
          <w:p>
            <w:pPr>
              <w:spacing w:after="0"/>
              <w:rPr>
                <w:sz w:val="12"/>
                <w:szCs w:val="12"/>
                <w:color w:val="auto"/>
              </w:rPr>
            </w:pPr>
          </w:p>
        </w:tc>
        <w:tc>
          <w:tcPr>
            <w:tcW w:w="1280" w:type="dxa"/>
            <w:vAlign w:val="bottom"/>
            <w:tcBorders>
              <w:bottom w:val="single" w:sz="8" w:color="EEEEEE"/>
            </w:tcBorders>
          </w:tcPr>
          <w:p>
            <w:pPr>
              <w:spacing w:after="0"/>
              <w:rPr>
                <w:sz w:val="12"/>
                <w:szCs w:val="12"/>
                <w:color w:val="auto"/>
              </w:rPr>
            </w:pPr>
          </w:p>
        </w:tc>
        <w:tc>
          <w:tcPr>
            <w:tcW w:w="1120" w:type="dxa"/>
            <w:vAlign w:val="bottom"/>
            <w:tcBorders>
              <w:bottom w:val="single" w:sz="8" w:color="EEEEEE"/>
            </w:tcBorders>
          </w:tcPr>
          <w:p>
            <w:pPr>
              <w:spacing w:after="0"/>
              <w:rPr>
                <w:sz w:val="12"/>
                <w:szCs w:val="12"/>
                <w:color w:val="auto"/>
              </w:rPr>
            </w:pPr>
          </w:p>
        </w:tc>
        <w:tc>
          <w:tcPr>
            <w:tcW w:w="1380" w:type="dxa"/>
            <w:vAlign w:val="bottom"/>
            <w:tcBorders>
              <w:bottom w:val="single" w:sz="8" w:color="EEEEEE"/>
            </w:tcBorders>
          </w:tcPr>
          <w:p>
            <w:pPr>
              <w:spacing w:after="0"/>
              <w:rPr>
                <w:sz w:val="12"/>
                <w:szCs w:val="12"/>
                <w:color w:val="auto"/>
              </w:rPr>
            </w:pPr>
          </w:p>
        </w:tc>
        <w:tc>
          <w:tcPr>
            <w:tcW w:w="780" w:type="dxa"/>
            <w:vAlign w:val="bottom"/>
            <w:tcBorders>
              <w:bottom w:val="single" w:sz="8" w:color="EEEEEE"/>
            </w:tcBorders>
          </w:tcPr>
          <w:p>
            <w:pPr>
              <w:spacing w:after="0"/>
              <w:rPr>
                <w:sz w:val="12"/>
                <w:szCs w:val="12"/>
                <w:color w:val="auto"/>
              </w:rPr>
            </w:pPr>
          </w:p>
        </w:tc>
        <w:tc>
          <w:tcPr>
            <w:tcW w:w="1140" w:type="dxa"/>
            <w:vAlign w:val="bottom"/>
            <w:tcBorders>
              <w:bottom w:val="single" w:sz="8" w:color="EEEEEE"/>
            </w:tcBorders>
          </w:tcPr>
          <w:p>
            <w:pPr>
              <w:spacing w:after="0"/>
              <w:rPr>
                <w:sz w:val="12"/>
                <w:szCs w:val="12"/>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935" w:right="239" w:bottom="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Income</w:t>
            </w:r>
          </w:p>
        </w:tc>
        <w:tc>
          <w:tcPr>
            <w:tcW w:w="2360" w:type="dxa"/>
            <w:vAlign w:val="bottom"/>
            <w:shd w:val="clear" w:color="auto" w:fill="EEEEEE"/>
          </w:tcPr>
          <w:p>
            <w:pPr>
              <w:jc w:val="right"/>
              <w:ind w:right="872"/>
              <w:spacing w:after="0"/>
              <w:rPr>
                <w:sz w:val="20"/>
                <w:szCs w:val="20"/>
                <w:color w:val="auto"/>
              </w:rPr>
            </w:pPr>
            <w:r>
              <w:rPr>
                <w:rFonts w:ascii="Arial" w:cs="Arial" w:eastAsia="Arial" w:hAnsi="Arial"/>
                <w:sz w:val="18"/>
                <w:szCs w:val="18"/>
                <w:b w:val="1"/>
                <w:bCs w:val="1"/>
                <w:color w:val="auto"/>
              </w:rPr>
              <w:t>$241,088</w:t>
            </w:r>
          </w:p>
        </w:tc>
        <w:tc>
          <w:tcPr>
            <w:tcW w:w="2320" w:type="dxa"/>
            <w:vAlign w:val="bottom"/>
            <w:shd w:val="clear" w:color="auto" w:fill="EEEEEE"/>
          </w:tcPr>
          <w:p>
            <w:pPr>
              <w:jc w:val="right"/>
              <w:ind w:right="672"/>
              <w:spacing w:after="0"/>
              <w:rPr>
                <w:sz w:val="20"/>
                <w:szCs w:val="20"/>
                <w:color w:val="auto"/>
              </w:rPr>
            </w:pPr>
            <w:r>
              <w:rPr>
                <w:rFonts w:ascii="Arial" w:cs="Arial" w:eastAsia="Arial" w:hAnsi="Arial"/>
                <w:sz w:val="18"/>
                <w:szCs w:val="18"/>
                <w:color w:val="auto"/>
              </w:rPr>
              <w:t>$204,268</w:t>
            </w:r>
          </w:p>
        </w:tc>
        <w:tc>
          <w:tcPr>
            <w:tcW w:w="1940" w:type="dxa"/>
            <w:vAlign w:val="bottom"/>
            <w:shd w:val="clear" w:color="auto" w:fill="EEEEEE"/>
          </w:tcPr>
          <w:p>
            <w:pPr>
              <w:jc w:val="right"/>
              <w:ind w:right="472"/>
              <w:spacing w:after="0"/>
              <w:rPr>
                <w:sz w:val="20"/>
                <w:szCs w:val="20"/>
                <w:color w:val="auto"/>
              </w:rPr>
            </w:pPr>
            <w:r>
              <w:rPr>
                <w:rFonts w:ascii="Arial" w:cs="Arial" w:eastAsia="Arial" w:hAnsi="Arial"/>
                <w:sz w:val="18"/>
                <w:szCs w:val="18"/>
                <w:color w:val="auto"/>
              </w:rPr>
              <w:t>$229,639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Other Comprehensive Income (Loss)</w:t>
            </w:r>
          </w:p>
        </w:tc>
        <w:tc>
          <w:tcPr>
            <w:tcW w:w="23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2360" w:type="dxa"/>
            <w:vAlign w:val="bottom"/>
            <w:shd w:val="clear" w:color="auto" w:fill="EEEEEE"/>
          </w:tcPr>
          <w:p>
            <w:pPr>
              <w:jc w:val="right"/>
              <w:ind w:right="872"/>
              <w:spacing w:after="0"/>
              <w:rPr>
                <w:sz w:val="20"/>
                <w:szCs w:val="20"/>
                <w:color w:val="auto"/>
              </w:rPr>
            </w:pPr>
            <w:r>
              <w:rPr>
                <w:rFonts w:ascii="Arial" w:cs="Arial" w:eastAsia="Arial" w:hAnsi="Arial"/>
                <w:sz w:val="18"/>
                <w:szCs w:val="18"/>
                <w:b w:val="1"/>
                <w:bCs w:val="1"/>
                <w:color w:val="auto"/>
              </w:rPr>
              <w:t>13,416</w:t>
            </w:r>
          </w:p>
        </w:tc>
        <w:tc>
          <w:tcPr>
            <w:tcW w:w="2320" w:type="dxa"/>
            <w:vAlign w:val="bottom"/>
            <w:shd w:val="clear" w:color="auto" w:fill="EEEEEE"/>
          </w:tcPr>
          <w:p>
            <w:pPr>
              <w:jc w:val="right"/>
              <w:ind w:right="672"/>
              <w:spacing w:after="0"/>
              <w:rPr>
                <w:sz w:val="20"/>
                <w:szCs w:val="20"/>
                <w:color w:val="auto"/>
              </w:rPr>
            </w:pPr>
            <w:r>
              <w:rPr>
                <w:rFonts w:ascii="Arial" w:cs="Arial" w:eastAsia="Arial" w:hAnsi="Arial"/>
                <w:sz w:val="18"/>
                <w:szCs w:val="18"/>
                <w:color w:val="auto"/>
              </w:rPr>
              <w:t>2,167</w:t>
            </w:r>
          </w:p>
        </w:tc>
        <w:tc>
          <w:tcPr>
            <w:tcW w:w="1940" w:type="dxa"/>
            <w:vAlign w:val="bottom"/>
            <w:shd w:val="clear" w:color="auto" w:fill="EEEEEE"/>
          </w:tcPr>
          <w:p>
            <w:pPr>
              <w:jc w:val="right"/>
              <w:ind w:right="412"/>
              <w:spacing w:after="0"/>
              <w:rPr>
                <w:sz w:val="20"/>
                <w:szCs w:val="20"/>
                <w:color w:val="auto"/>
              </w:rPr>
            </w:pPr>
            <w:r>
              <w:rPr>
                <w:rFonts w:ascii="Arial" w:cs="Arial" w:eastAsia="Arial" w:hAnsi="Arial"/>
                <w:sz w:val="18"/>
                <w:szCs w:val="18"/>
                <w:color w:val="auto"/>
              </w:rPr>
              <w:t>(3,104)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60"/>
              <w:spacing w:after="0"/>
              <w:rPr>
                <w:sz w:val="20"/>
                <w:szCs w:val="20"/>
                <w:color w:val="auto"/>
              </w:rPr>
            </w:pPr>
            <w:r>
              <w:rPr>
                <w:rFonts w:ascii="Arial" w:cs="Arial" w:eastAsia="Arial" w:hAnsi="Arial"/>
                <w:sz w:val="18"/>
                <w:szCs w:val="18"/>
                <w:color w:val="auto"/>
                <w:w w:val="98"/>
              </w:rPr>
              <w:t>Reclassification adjustment on sale of affiliate investment</w:t>
            </w:r>
          </w:p>
        </w:tc>
        <w:tc>
          <w:tcPr>
            <w:tcW w:w="2360" w:type="dxa"/>
            <w:vAlign w:val="bottom"/>
          </w:tcPr>
          <w:p>
            <w:pPr>
              <w:jc w:val="right"/>
              <w:ind w:right="812"/>
              <w:spacing w:after="0"/>
              <w:rPr>
                <w:sz w:val="20"/>
                <w:szCs w:val="20"/>
                <w:color w:val="auto"/>
              </w:rPr>
            </w:pPr>
            <w:r>
              <w:rPr>
                <w:rFonts w:ascii="Arial" w:cs="Arial" w:eastAsia="Arial" w:hAnsi="Arial"/>
                <w:sz w:val="18"/>
                <w:szCs w:val="18"/>
                <w:b w:val="1"/>
                <w:bCs w:val="1"/>
                <w:color w:val="auto"/>
              </w:rPr>
              <w:t>(1,633)</w:t>
            </w:r>
          </w:p>
        </w:tc>
        <w:tc>
          <w:tcPr>
            <w:tcW w:w="2320" w:type="dxa"/>
            <w:vAlign w:val="bottom"/>
          </w:tcPr>
          <w:p>
            <w:pPr>
              <w:jc w:val="right"/>
              <w:ind w:right="672"/>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Change in net unrealized gain on available-for-sale</w:t>
            </w:r>
          </w:p>
        </w:tc>
        <w:tc>
          <w:tcPr>
            <w:tcW w:w="2360" w:type="dxa"/>
            <w:vAlign w:val="bottom"/>
            <w:vMerge w:val="restart"/>
            <w:shd w:val="clear" w:color="auto" w:fill="EEEEEE"/>
          </w:tcPr>
          <w:p>
            <w:pPr>
              <w:jc w:val="right"/>
              <w:ind w:right="872"/>
              <w:spacing w:after="0"/>
              <w:rPr>
                <w:sz w:val="20"/>
                <w:szCs w:val="20"/>
                <w:color w:val="auto"/>
              </w:rPr>
            </w:pPr>
            <w:r>
              <w:rPr>
                <w:rFonts w:ascii="Arial" w:cs="Arial" w:eastAsia="Arial" w:hAnsi="Arial"/>
                <w:sz w:val="18"/>
                <w:szCs w:val="18"/>
                <w:b w:val="1"/>
                <w:bCs w:val="1"/>
                <w:color w:val="auto"/>
              </w:rPr>
              <w:t>31,426</w:t>
            </w:r>
          </w:p>
        </w:tc>
        <w:tc>
          <w:tcPr>
            <w:tcW w:w="2320" w:type="dxa"/>
            <w:vAlign w:val="bottom"/>
            <w:shd w:val="clear" w:color="auto" w:fill="EEEEEE"/>
          </w:tcPr>
          <w:p>
            <w:pPr>
              <w:spacing w:after="0"/>
              <w:rPr>
                <w:sz w:val="18"/>
                <w:szCs w:val="18"/>
                <w:color w:val="auto"/>
              </w:rPr>
            </w:pPr>
          </w:p>
        </w:tc>
        <w:tc>
          <w:tcPr>
            <w:tcW w:w="19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80" w:type="dxa"/>
            <w:vAlign w:val="bottom"/>
            <w:shd w:val="clear" w:color="auto" w:fill="EEEEEE"/>
          </w:tcPr>
          <w:p>
            <w:pPr>
              <w:ind w:left="400"/>
              <w:spacing w:after="0"/>
              <w:rPr>
                <w:sz w:val="20"/>
                <w:szCs w:val="20"/>
                <w:color w:val="auto"/>
              </w:rPr>
            </w:pPr>
            <w:r>
              <w:rPr>
                <w:rFonts w:ascii="Arial" w:cs="Arial" w:eastAsia="Arial" w:hAnsi="Arial"/>
                <w:sz w:val="18"/>
                <w:szCs w:val="18"/>
                <w:color w:val="auto"/>
              </w:rPr>
              <w:t>securities</w:t>
            </w:r>
          </w:p>
        </w:tc>
        <w:tc>
          <w:tcPr>
            <w:tcW w:w="2360" w:type="dxa"/>
            <w:vAlign w:val="bottom"/>
            <w:vMerge w:val="continue"/>
            <w:shd w:val="clear" w:color="auto" w:fill="EEEEEE"/>
          </w:tcPr>
          <w:p>
            <w:pPr>
              <w:spacing w:after="0"/>
              <w:rPr>
                <w:sz w:val="19"/>
                <w:szCs w:val="19"/>
                <w:color w:val="auto"/>
              </w:rPr>
            </w:pPr>
          </w:p>
        </w:tc>
        <w:tc>
          <w:tcPr>
            <w:tcW w:w="2320" w:type="dxa"/>
            <w:vAlign w:val="bottom"/>
            <w:shd w:val="clear" w:color="auto" w:fill="EEEEEE"/>
          </w:tcPr>
          <w:p>
            <w:pPr>
              <w:jc w:val="right"/>
              <w:ind w:right="672"/>
              <w:spacing w:after="0"/>
              <w:rPr>
                <w:sz w:val="20"/>
                <w:szCs w:val="20"/>
                <w:color w:val="auto"/>
              </w:rPr>
            </w:pPr>
            <w:r>
              <w:rPr>
                <w:rFonts w:ascii="Arial" w:cs="Arial" w:eastAsia="Arial" w:hAnsi="Arial"/>
                <w:sz w:val="18"/>
                <w:szCs w:val="18"/>
                <w:color w:val="auto"/>
              </w:rPr>
              <w:t>829</w:t>
            </w:r>
          </w:p>
        </w:tc>
        <w:tc>
          <w:tcPr>
            <w:tcW w:w="1940" w:type="dxa"/>
            <w:vAlign w:val="bottom"/>
            <w:shd w:val="clear" w:color="auto" w:fill="EEEEEE"/>
          </w:tcPr>
          <w:p>
            <w:pPr>
              <w:jc w:val="right"/>
              <w:ind w:right="472"/>
              <w:spacing w:after="0"/>
              <w:rPr>
                <w:sz w:val="20"/>
                <w:szCs w:val="20"/>
                <w:color w:val="auto"/>
              </w:rPr>
            </w:pPr>
            <w:r>
              <w:rPr>
                <w:rFonts w:ascii="Arial" w:cs="Arial" w:eastAsia="Arial" w:hAnsi="Arial"/>
                <w:sz w:val="18"/>
                <w:szCs w:val="18"/>
                <w:color w:val="auto"/>
              </w:rPr>
              <w:t>14,528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80" w:type="dxa"/>
            <w:vAlign w:val="bottom"/>
          </w:tcPr>
          <w:p>
            <w:pPr>
              <w:ind w:left="260"/>
              <w:spacing w:after="0"/>
              <w:rPr>
                <w:sz w:val="20"/>
                <w:szCs w:val="20"/>
                <w:color w:val="auto"/>
              </w:rPr>
            </w:pPr>
            <w:r>
              <w:rPr>
                <w:rFonts w:ascii="Arial" w:cs="Arial" w:eastAsia="Arial" w:hAnsi="Arial"/>
                <w:sz w:val="18"/>
                <w:szCs w:val="18"/>
                <w:color w:val="auto"/>
                <w:w w:val="96"/>
              </w:rPr>
              <w:t>Less reclassification adjustment for realized losses (gains)</w:t>
            </w:r>
          </w:p>
        </w:tc>
        <w:tc>
          <w:tcPr>
            <w:tcW w:w="2360" w:type="dxa"/>
            <w:vAlign w:val="bottom"/>
            <w:vMerge w:val="restart"/>
          </w:tcPr>
          <w:p>
            <w:pPr>
              <w:jc w:val="right"/>
              <w:ind w:right="872"/>
              <w:spacing w:after="0"/>
              <w:rPr>
                <w:sz w:val="20"/>
                <w:szCs w:val="20"/>
                <w:color w:val="auto"/>
              </w:rPr>
            </w:pPr>
            <w:r>
              <w:rPr>
                <w:rFonts w:ascii="Arial" w:cs="Arial" w:eastAsia="Arial" w:hAnsi="Arial"/>
                <w:sz w:val="18"/>
                <w:szCs w:val="18"/>
                <w:b w:val="1"/>
                <w:bCs w:val="1"/>
                <w:color w:val="auto"/>
              </w:rPr>
              <w:t>214</w:t>
            </w:r>
          </w:p>
        </w:tc>
        <w:tc>
          <w:tcPr>
            <w:tcW w:w="2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tcPr>
          <w:p>
            <w:pPr>
              <w:ind w:left="400"/>
              <w:spacing w:after="0"/>
              <w:rPr>
                <w:sz w:val="20"/>
                <w:szCs w:val="20"/>
                <w:color w:val="auto"/>
              </w:rPr>
            </w:pPr>
            <w:r>
              <w:rPr>
                <w:rFonts w:ascii="Arial" w:cs="Arial" w:eastAsia="Arial" w:hAnsi="Arial"/>
                <w:sz w:val="18"/>
                <w:szCs w:val="18"/>
                <w:color w:val="auto"/>
              </w:rPr>
              <w:t>included in net income</w:t>
            </w:r>
          </w:p>
        </w:tc>
        <w:tc>
          <w:tcPr>
            <w:tcW w:w="2360" w:type="dxa"/>
            <w:vAlign w:val="bottom"/>
            <w:vMerge w:val="continue"/>
          </w:tcPr>
          <w:p>
            <w:pPr>
              <w:spacing w:after="0"/>
              <w:rPr>
                <w:sz w:val="19"/>
                <w:szCs w:val="19"/>
                <w:color w:val="auto"/>
              </w:rPr>
            </w:pPr>
          </w:p>
        </w:tc>
        <w:tc>
          <w:tcPr>
            <w:tcW w:w="2320" w:type="dxa"/>
            <w:vAlign w:val="bottom"/>
          </w:tcPr>
          <w:p>
            <w:pPr>
              <w:jc w:val="right"/>
              <w:ind w:right="612"/>
              <w:spacing w:after="0"/>
              <w:rPr>
                <w:sz w:val="20"/>
                <w:szCs w:val="20"/>
                <w:color w:val="auto"/>
              </w:rPr>
            </w:pPr>
            <w:r>
              <w:rPr>
                <w:rFonts w:ascii="Arial" w:cs="Arial" w:eastAsia="Arial" w:hAnsi="Arial"/>
                <w:sz w:val="18"/>
                <w:szCs w:val="18"/>
                <w:color w:val="auto"/>
              </w:rPr>
              <w:t>(11,209)</w:t>
            </w:r>
          </w:p>
        </w:tc>
        <w:tc>
          <w:tcPr>
            <w:tcW w:w="1940" w:type="dxa"/>
            <w:vAlign w:val="bottom"/>
          </w:tcPr>
          <w:p>
            <w:pPr>
              <w:jc w:val="right"/>
              <w:ind w:right="472"/>
              <w:spacing w:after="0"/>
              <w:rPr>
                <w:sz w:val="20"/>
                <w:szCs w:val="20"/>
                <w:color w:val="auto"/>
              </w:rPr>
            </w:pPr>
            <w:r>
              <w:rPr>
                <w:rFonts w:ascii="Arial" w:cs="Arial" w:eastAsia="Arial" w:hAnsi="Arial"/>
                <w:sz w:val="18"/>
                <w:szCs w:val="18"/>
                <w:color w:val="auto"/>
              </w:rPr>
              <w:t>3,238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c>
          <w:tcPr>
            <w:tcW w:w="2320" w:type="dxa"/>
            <w:vAlign w:val="bottom"/>
            <w:tcBorders>
              <w:bottom w:val="single" w:sz="8" w:color="808080"/>
            </w:tcBorders>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EEEEEE"/>
          </w:tcPr>
          <w:p>
            <w:pPr>
              <w:spacing w:after="0"/>
              <w:rPr>
                <w:sz w:val="18"/>
                <w:szCs w:val="18"/>
                <w:color w:val="auto"/>
              </w:rPr>
            </w:pPr>
          </w:p>
        </w:tc>
        <w:tc>
          <w:tcPr>
            <w:tcW w:w="2360" w:type="dxa"/>
            <w:vAlign w:val="bottom"/>
            <w:shd w:val="clear" w:color="auto" w:fill="EEEEEE"/>
          </w:tcPr>
          <w:p>
            <w:pPr>
              <w:jc w:val="right"/>
              <w:ind w:right="872"/>
              <w:spacing w:after="0"/>
              <w:rPr>
                <w:sz w:val="20"/>
                <w:szCs w:val="20"/>
                <w:color w:val="auto"/>
              </w:rPr>
            </w:pPr>
            <w:r>
              <w:rPr>
                <w:rFonts w:ascii="Arial" w:cs="Arial" w:eastAsia="Arial" w:hAnsi="Arial"/>
                <w:sz w:val="18"/>
                <w:szCs w:val="18"/>
                <w:b w:val="1"/>
                <w:bCs w:val="1"/>
                <w:color w:val="auto"/>
              </w:rPr>
              <w:t>43,423</w:t>
            </w:r>
          </w:p>
        </w:tc>
        <w:tc>
          <w:tcPr>
            <w:tcW w:w="2320" w:type="dxa"/>
            <w:vAlign w:val="bottom"/>
            <w:shd w:val="clear" w:color="auto" w:fill="EEEEEE"/>
          </w:tcPr>
          <w:p>
            <w:pPr>
              <w:jc w:val="right"/>
              <w:ind w:right="612"/>
              <w:spacing w:after="0"/>
              <w:rPr>
                <w:sz w:val="20"/>
                <w:szCs w:val="20"/>
                <w:color w:val="auto"/>
              </w:rPr>
            </w:pPr>
            <w:r>
              <w:rPr>
                <w:rFonts w:ascii="Arial" w:cs="Arial" w:eastAsia="Arial" w:hAnsi="Arial"/>
                <w:sz w:val="18"/>
                <w:szCs w:val="18"/>
                <w:color w:val="auto"/>
              </w:rPr>
              <w:t>(8,213)</w:t>
            </w:r>
          </w:p>
        </w:tc>
        <w:tc>
          <w:tcPr>
            <w:tcW w:w="1940" w:type="dxa"/>
            <w:vAlign w:val="bottom"/>
            <w:shd w:val="clear" w:color="auto" w:fill="EEEEEE"/>
          </w:tcPr>
          <w:p>
            <w:pPr>
              <w:jc w:val="right"/>
              <w:ind w:right="472"/>
              <w:spacing w:after="0"/>
              <w:rPr>
                <w:sz w:val="20"/>
                <w:szCs w:val="20"/>
                <w:color w:val="auto"/>
              </w:rPr>
            </w:pPr>
            <w:r>
              <w:rPr>
                <w:rFonts w:ascii="Arial" w:cs="Arial" w:eastAsia="Arial" w:hAnsi="Arial"/>
                <w:sz w:val="18"/>
                <w:szCs w:val="18"/>
                <w:color w:val="auto"/>
              </w:rPr>
              <w:t>14,662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80" w:type="dxa"/>
            <w:vAlign w:val="bottom"/>
          </w:tcPr>
          <w:p>
            <w:pPr>
              <w:ind w:left="260"/>
              <w:spacing w:after="0"/>
              <w:rPr>
                <w:sz w:val="20"/>
                <w:szCs w:val="20"/>
                <w:color w:val="auto"/>
              </w:rPr>
            </w:pPr>
            <w:r>
              <w:rPr>
                <w:rFonts w:ascii="Arial" w:cs="Arial" w:eastAsia="Arial" w:hAnsi="Arial"/>
                <w:sz w:val="18"/>
                <w:szCs w:val="18"/>
                <w:color w:val="auto"/>
              </w:rPr>
              <w:t>Income tax (expense) benefit related to other</w:t>
            </w:r>
          </w:p>
        </w:tc>
        <w:tc>
          <w:tcPr>
            <w:tcW w:w="2360" w:type="dxa"/>
            <w:vAlign w:val="bottom"/>
            <w:vMerge w:val="restart"/>
          </w:tcPr>
          <w:p>
            <w:pPr>
              <w:jc w:val="right"/>
              <w:ind w:right="812"/>
              <w:spacing w:after="0"/>
              <w:rPr>
                <w:sz w:val="20"/>
                <w:szCs w:val="20"/>
                <w:color w:val="auto"/>
              </w:rPr>
            </w:pPr>
            <w:r>
              <w:rPr>
                <w:rFonts w:ascii="Arial" w:cs="Arial" w:eastAsia="Arial" w:hAnsi="Arial"/>
                <w:sz w:val="18"/>
                <w:szCs w:val="18"/>
                <w:b w:val="1"/>
                <w:bCs w:val="1"/>
                <w:color w:val="auto"/>
              </w:rPr>
              <w:t>(12,348)</w:t>
            </w:r>
          </w:p>
        </w:tc>
        <w:tc>
          <w:tcPr>
            <w:tcW w:w="23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tcPr>
          <w:p>
            <w:pPr>
              <w:ind w:left="400"/>
              <w:spacing w:after="0"/>
              <w:rPr>
                <w:sz w:val="20"/>
                <w:szCs w:val="20"/>
                <w:color w:val="auto"/>
              </w:rPr>
            </w:pPr>
            <w:r>
              <w:rPr>
                <w:rFonts w:ascii="Arial" w:cs="Arial" w:eastAsia="Arial" w:hAnsi="Arial"/>
                <w:sz w:val="18"/>
                <w:szCs w:val="18"/>
                <w:color w:val="auto"/>
              </w:rPr>
              <w:t>comprehensive income (loss)</w:t>
            </w:r>
          </w:p>
        </w:tc>
        <w:tc>
          <w:tcPr>
            <w:tcW w:w="2360" w:type="dxa"/>
            <w:vAlign w:val="bottom"/>
            <w:vMerge w:val="continue"/>
          </w:tcPr>
          <w:p>
            <w:pPr>
              <w:spacing w:after="0"/>
              <w:rPr>
                <w:sz w:val="19"/>
                <w:szCs w:val="19"/>
                <w:color w:val="auto"/>
              </w:rPr>
            </w:pPr>
          </w:p>
        </w:tc>
        <w:tc>
          <w:tcPr>
            <w:tcW w:w="2320" w:type="dxa"/>
            <w:vAlign w:val="bottom"/>
          </w:tcPr>
          <w:p>
            <w:pPr>
              <w:jc w:val="right"/>
              <w:ind w:right="672"/>
              <w:spacing w:after="0"/>
              <w:rPr>
                <w:sz w:val="20"/>
                <w:szCs w:val="20"/>
                <w:color w:val="auto"/>
              </w:rPr>
            </w:pPr>
            <w:r>
              <w:rPr>
                <w:rFonts w:ascii="Arial" w:cs="Arial" w:eastAsia="Arial" w:hAnsi="Arial"/>
                <w:sz w:val="18"/>
                <w:szCs w:val="18"/>
                <w:color w:val="auto"/>
              </w:rPr>
              <w:t>4,012</w:t>
            </w:r>
          </w:p>
        </w:tc>
        <w:tc>
          <w:tcPr>
            <w:tcW w:w="1940" w:type="dxa"/>
            <w:vAlign w:val="bottom"/>
          </w:tcPr>
          <w:p>
            <w:pPr>
              <w:jc w:val="right"/>
              <w:ind w:right="412"/>
              <w:spacing w:after="0"/>
              <w:rPr>
                <w:sz w:val="20"/>
                <w:szCs w:val="20"/>
                <w:color w:val="auto"/>
              </w:rPr>
            </w:pPr>
            <w:r>
              <w:rPr>
                <w:rFonts w:ascii="Arial" w:cs="Arial" w:eastAsia="Arial" w:hAnsi="Arial"/>
                <w:sz w:val="18"/>
                <w:szCs w:val="18"/>
                <w:color w:val="auto"/>
              </w:rPr>
              <w:t>(6,987)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c>
          <w:tcPr>
            <w:tcW w:w="2320" w:type="dxa"/>
            <w:vAlign w:val="bottom"/>
            <w:tcBorders>
              <w:bottom w:val="single" w:sz="8" w:color="808080"/>
            </w:tcBorders>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EEEEEE"/>
          </w:tcPr>
          <w:p>
            <w:pPr>
              <w:spacing w:after="0"/>
              <w:rPr>
                <w:sz w:val="18"/>
                <w:szCs w:val="18"/>
                <w:color w:val="auto"/>
              </w:rPr>
            </w:pPr>
          </w:p>
        </w:tc>
        <w:tc>
          <w:tcPr>
            <w:tcW w:w="2360" w:type="dxa"/>
            <w:vAlign w:val="bottom"/>
            <w:shd w:val="clear" w:color="auto" w:fill="EEEEEE"/>
          </w:tcPr>
          <w:p>
            <w:pPr>
              <w:jc w:val="right"/>
              <w:ind w:right="872"/>
              <w:spacing w:after="0"/>
              <w:rPr>
                <w:sz w:val="20"/>
                <w:szCs w:val="20"/>
                <w:color w:val="auto"/>
              </w:rPr>
            </w:pPr>
            <w:r>
              <w:rPr>
                <w:rFonts w:ascii="Arial" w:cs="Arial" w:eastAsia="Arial" w:hAnsi="Arial"/>
                <w:sz w:val="18"/>
                <w:szCs w:val="18"/>
                <w:b w:val="1"/>
                <w:bCs w:val="1"/>
                <w:color w:val="auto"/>
              </w:rPr>
              <w:t>31,075</w:t>
            </w:r>
          </w:p>
        </w:tc>
        <w:tc>
          <w:tcPr>
            <w:tcW w:w="2320" w:type="dxa"/>
            <w:vAlign w:val="bottom"/>
            <w:shd w:val="clear" w:color="auto" w:fill="EEEEEE"/>
          </w:tcPr>
          <w:p>
            <w:pPr>
              <w:jc w:val="right"/>
              <w:ind w:right="612"/>
              <w:spacing w:after="0"/>
              <w:rPr>
                <w:sz w:val="20"/>
                <w:szCs w:val="20"/>
                <w:color w:val="auto"/>
              </w:rPr>
            </w:pPr>
            <w:r>
              <w:rPr>
                <w:rFonts w:ascii="Arial" w:cs="Arial" w:eastAsia="Arial" w:hAnsi="Arial"/>
                <w:sz w:val="18"/>
                <w:szCs w:val="18"/>
                <w:color w:val="auto"/>
              </w:rPr>
              <w:t>(4,201)</w:t>
            </w:r>
          </w:p>
        </w:tc>
        <w:tc>
          <w:tcPr>
            <w:tcW w:w="1940" w:type="dxa"/>
            <w:vAlign w:val="bottom"/>
            <w:shd w:val="clear" w:color="auto" w:fill="EEEEEE"/>
          </w:tcPr>
          <w:p>
            <w:pPr>
              <w:jc w:val="right"/>
              <w:ind w:right="472"/>
              <w:spacing w:after="0"/>
              <w:rPr>
                <w:sz w:val="20"/>
                <w:szCs w:val="20"/>
                <w:color w:val="auto"/>
              </w:rPr>
            </w:pPr>
            <w:r>
              <w:rPr>
                <w:rFonts w:ascii="Arial" w:cs="Arial" w:eastAsia="Arial" w:hAnsi="Arial"/>
                <w:sz w:val="18"/>
                <w:szCs w:val="18"/>
                <w:color w:val="auto"/>
              </w:rPr>
              <w:t>7,675</w:t>
            </w:r>
          </w:p>
        </w:tc>
        <w:tc>
          <w:tcPr>
            <w:tcW w:w="0" w:type="dxa"/>
            <w:vAlign w:val="bottom"/>
          </w:tcPr>
          <w:p>
            <w:pPr>
              <w:spacing w:after="0"/>
              <w:rPr>
                <w:sz w:val="1"/>
                <w:szCs w:val="1"/>
                <w:color w:val="auto"/>
              </w:rPr>
            </w:pPr>
          </w:p>
        </w:tc>
      </w:tr>
      <w:tr>
        <w:trPr>
          <w:trHeight w:val="105"/>
        </w:trPr>
        <w:tc>
          <w:tcPr>
            <w:tcW w:w="4800" w:type="dxa"/>
            <w:vAlign w:val="bottom"/>
            <w:gridSpan w:val="2"/>
          </w:tcPr>
          <w:p>
            <w:pPr>
              <w:spacing w:after="0"/>
              <w:rPr>
                <w:sz w:val="9"/>
                <w:szCs w:val="9"/>
                <w:color w:val="auto"/>
              </w:rPr>
            </w:pPr>
          </w:p>
        </w:tc>
        <w:tc>
          <w:tcPr>
            <w:tcW w:w="23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800" w:type="dxa"/>
            <w:vAlign w:val="bottom"/>
            <w:gridSpan w:val="2"/>
          </w:tcPr>
          <w:p>
            <w:pPr>
              <w:spacing w:after="0"/>
              <w:rPr>
                <w:sz w:val="5"/>
                <w:szCs w:val="5"/>
                <w:color w:val="auto"/>
              </w:rPr>
            </w:pPr>
          </w:p>
        </w:tc>
        <w:tc>
          <w:tcPr>
            <w:tcW w:w="2360" w:type="dxa"/>
            <w:vAlign w:val="bottom"/>
            <w:shd w:val="clear" w:color="auto" w:fill="808080"/>
          </w:tcPr>
          <w:p>
            <w:pPr>
              <w:spacing w:after="0"/>
              <w:rPr>
                <w:sz w:val="5"/>
                <w:szCs w:val="5"/>
                <w:color w:val="auto"/>
              </w:rPr>
            </w:pPr>
          </w:p>
        </w:tc>
        <w:tc>
          <w:tcPr>
            <w:tcW w:w="2320" w:type="dxa"/>
            <w:vAlign w:val="bottom"/>
            <w:shd w:val="clear" w:color="auto" w:fill="808080"/>
          </w:tcPr>
          <w:p>
            <w:pPr>
              <w:spacing w:after="0"/>
              <w:rPr>
                <w:sz w:val="5"/>
                <w:szCs w:val="5"/>
                <w:color w:val="auto"/>
              </w:rPr>
            </w:pPr>
          </w:p>
        </w:tc>
        <w:tc>
          <w:tcPr>
            <w:tcW w:w="19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2360" w:type="dxa"/>
            <w:vAlign w:val="bottom"/>
          </w:tcPr>
          <w:p>
            <w:pPr>
              <w:jc w:val="right"/>
              <w:ind w:right="872"/>
              <w:spacing w:after="0"/>
              <w:rPr>
                <w:sz w:val="20"/>
                <w:szCs w:val="20"/>
                <w:color w:val="auto"/>
              </w:rPr>
            </w:pPr>
            <w:r>
              <w:rPr>
                <w:rFonts w:ascii="Arial" w:cs="Arial" w:eastAsia="Arial" w:hAnsi="Arial"/>
                <w:sz w:val="18"/>
                <w:szCs w:val="18"/>
                <w:b w:val="1"/>
                <w:bCs w:val="1"/>
                <w:color w:val="auto"/>
              </w:rPr>
              <w:t>$272,163</w:t>
            </w:r>
          </w:p>
        </w:tc>
        <w:tc>
          <w:tcPr>
            <w:tcW w:w="2320" w:type="dxa"/>
            <w:vAlign w:val="bottom"/>
          </w:tcPr>
          <w:p>
            <w:pPr>
              <w:jc w:val="right"/>
              <w:ind w:right="672"/>
              <w:spacing w:after="0"/>
              <w:rPr>
                <w:sz w:val="20"/>
                <w:szCs w:val="20"/>
                <w:color w:val="auto"/>
              </w:rPr>
            </w:pPr>
            <w:r>
              <w:rPr>
                <w:rFonts w:ascii="Arial" w:cs="Arial" w:eastAsia="Arial" w:hAnsi="Arial"/>
                <w:sz w:val="18"/>
                <w:szCs w:val="18"/>
                <w:color w:val="auto"/>
              </w:rPr>
              <w:t>$200,067</w:t>
            </w:r>
          </w:p>
        </w:tc>
        <w:tc>
          <w:tcPr>
            <w:tcW w:w="1940" w:type="dxa"/>
            <w:vAlign w:val="bottom"/>
          </w:tcPr>
          <w:p>
            <w:pPr>
              <w:jc w:val="right"/>
              <w:ind w:right="472"/>
              <w:spacing w:after="0"/>
              <w:rPr>
                <w:sz w:val="20"/>
                <w:szCs w:val="20"/>
                <w:color w:val="auto"/>
              </w:rPr>
            </w:pPr>
            <w:r>
              <w:rPr>
                <w:rFonts w:ascii="Arial" w:cs="Arial" w:eastAsia="Arial" w:hAnsi="Arial"/>
                <w:sz w:val="18"/>
                <w:szCs w:val="18"/>
                <w:color w:val="auto"/>
              </w:rPr>
              <w:t>$237,314</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23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80" w:type="dxa"/>
            <w:vAlign w:val="bottom"/>
          </w:tcPr>
          <w:p>
            <w:pPr>
              <w:spacing w:after="0"/>
              <w:rPr>
                <w:sz w:val="5"/>
                <w:szCs w:val="5"/>
                <w:color w:val="auto"/>
              </w:rPr>
            </w:pPr>
          </w:p>
        </w:tc>
        <w:tc>
          <w:tcPr>
            <w:tcW w:w="2360" w:type="dxa"/>
            <w:vAlign w:val="bottom"/>
            <w:shd w:val="clear" w:color="auto" w:fill="808080"/>
          </w:tcPr>
          <w:p>
            <w:pPr>
              <w:spacing w:after="0"/>
              <w:rPr>
                <w:sz w:val="5"/>
                <w:szCs w:val="5"/>
                <w:color w:val="auto"/>
              </w:rPr>
            </w:pPr>
          </w:p>
        </w:tc>
        <w:tc>
          <w:tcPr>
            <w:tcW w:w="2320" w:type="dxa"/>
            <w:vAlign w:val="bottom"/>
            <w:shd w:val="clear" w:color="auto" w:fill="808080"/>
          </w:tcPr>
          <w:p>
            <w:pPr>
              <w:spacing w:after="0"/>
              <w:rPr>
                <w:sz w:val="5"/>
                <w:szCs w:val="5"/>
                <w:color w:val="auto"/>
              </w:rPr>
            </w:pPr>
          </w:p>
        </w:tc>
        <w:tc>
          <w:tcPr>
            <w:tcW w:w="19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80" w:type="dxa"/>
            <w:vAlign w:val="bottom"/>
          </w:tcPr>
          <w:p>
            <w:pPr>
              <w:spacing w:after="0"/>
              <w:rPr>
                <w:sz w:val="9"/>
                <w:szCs w:val="9"/>
                <w:color w:val="auto"/>
              </w:rPr>
            </w:pPr>
          </w:p>
        </w:tc>
        <w:tc>
          <w:tcPr>
            <w:tcW w:w="23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The information on pages 44 through 58 is an integral part of the financial statements.</w:t>
            </w:r>
          </w:p>
        </w:tc>
        <w:tc>
          <w:tcPr>
            <w:tcW w:w="2320" w:type="dxa"/>
            <w:vAlign w:val="bottom"/>
            <w:shd w:val="clear" w:color="auto" w:fill="EEEEEE"/>
          </w:tcPr>
          <w:p>
            <w:pPr>
              <w:spacing w:after="0"/>
              <w:rPr>
                <w:sz w:val="18"/>
                <w:szCs w:val="18"/>
                <w:color w:val="auto"/>
              </w:rPr>
            </w:pPr>
          </w:p>
        </w:tc>
        <w:tc>
          <w:tcPr>
            <w:tcW w:w="19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360" w:type="dxa"/>
            <w:vAlign w:val="bottom"/>
          </w:tcPr>
          <w:p>
            <w:pPr>
              <w:jc w:val="right"/>
              <w:ind w:right="1272"/>
              <w:spacing w:after="0"/>
              <w:rPr>
                <w:sz w:val="20"/>
                <w:szCs w:val="20"/>
                <w:color w:val="auto"/>
              </w:rPr>
            </w:pPr>
            <w:r>
              <w:rPr>
                <w:rFonts w:ascii="Arial" w:cs="Arial" w:eastAsia="Arial" w:hAnsi="Arial"/>
                <w:sz w:val="18"/>
                <w:szCs w:val="18"/>
                <w:color w:val="auto"/>
              </w:rPr>
              <w:t>39</w:t>
            </w:r>
          </w:p>
        </w:tc>
        <w:tc>
          <w:tcPr>
            <w:tcW w:w="2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80" w:type="dxa"/>
            <w:vAlign w:val="bottom"/>
            <w:tcBorders>
              <w:bottom w:val="single" w:sz="8" w:color="808080"/>
            </w:tcBorders>
          </w:tcPr>
          <w:p>
            <w:pPr>
              <w:spacing w:after="0"/>
              <w:rPr>
                <w:sz w:val="19"/>
                <w:szCs w:val="19"/>
                <w:color w:val="auto"/>
              </w:rPr>
            </w:pPr>
          </w:p>
        </w:tc>
        <w:tc>
          <w:tcPr>
            <w:tcW w:w="2360" w:type="dxa"/>
            <w:vAlign w:val="bottom"/>
            <w:tcBorders>
              <w:bottom w:val="single" w:sz="8" w:color="808080"/>
            </w:tcBorders>
          </w:tcPr>
          <w:p>
            <w:pPr>
              <w:spacing w:after="0"/>
              <w:rPr>
                <w:sz w:val="19"/>
                <w:szCs w:val="19"/>
                <w:color w:val="auto"/>
              </w:rPr>
            </w:pPr>
          </w:p>
        </w:tc>
        <w:tc>
          <w:tcPr>
            <w:tcW w:w="2320" w:type="dxa"/>
            <w:vAlign w:val="bottom"/>
            <w:tcBorders>
              <w:bottom w:val="single" w:sz="8" w:color="808080"/>
            </w:tcBorders>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5220" w:type="dxa"/>
            <w:vAlign w:val="bottom"/>
            <w:gridSpan w:val="3"/>
          </w:tcPr>
          <w:p>
            <w:pPr>
              <w:jc w:val="center"/>
              <w:ind w:right="1252"/>
              <w:spacing w:after="0"/>
              <w:rPr>
                <w:sz w:val="20"/>
                <w:szCs w:val="20"/>
                <w:color w:val="auto"/>
              </w:rPr>
            </w:pPr>
            <w:r>
              <w:rPr>
                <w:rFonts w:ascii="Arial" w:cs="Arial" w:eastAsia="Arial" w:hAnsi="Arial"/>
                <w:sz w:val="18"/>
                <w:szCs w:val="18"/>
                <w:b w:val="1"/>
                <w:bCs w:val="1"/>
                <w:color w:val="auto"/>
                <w:w w:val="96"/>
              </w:rPr>
              <w:t>CONSOLIDATED BALANCE SHEETS</w:t>
            </w:r>
          </w:p>
        </w:tc>
        <w:tc>
          <w:tcPr>
            <w:tcW w:w="10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6"/>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020" w:type="dxa"/>
            <w:vAlign w:val="bottom"/>
            <w:gridSpan w:val="2"/>
          </w:tcPr>
          <w:p>
            <w:pPr>
              <w:jc w:val="right"/>
              <w:ind w:right="852"/>
              <w:spacing w:after="0"/>
              <w:rPr>
                <w:sz w:val="20"/>
                <w:szCs w:val="20"/>
                <w:color w:val="auto"/>
              </w:rPr>
            </w:pPr>
            <w:r>
              <w:rPr>
                <w:rFonts w:ascii="Arial" w:cs="Arial" w:eastAsia="Arial" w:hAnsi="Arial"/>
                <w:sz w:val="18"/>
                <w:szCs w:val="18"/>
                <w:b w:val="1"/>
                <w:bCs w:val="1"/>
                <w:color w:val="auto"/>
              </w:rPr>
              <w:t>December 28,</w:t>
            </w:r>
          </w:p>
        </w:tc>
        <w:tc>
          <w:tcPr>
            <w:tcW w:w="2420" w:type="dxa"/>
            <w:vAlign w:val="bottom"/>
            <w:gridSpan w:val="2"/>
          </w:tcPr>
          <w:p>
            <w:pPr>
              <w:jc w:val="right"/>
              <w:ind w:right="412"/>
              <w:spacing w:after="0"/>
              <w:rPr>
                <w:sz w:val="20"/>
                <w:szCs w:val="20"/>
                <w:color w:val="auto"/>
              </w:rPr>
            </w:pPr>
            <w:r>
              <w:rPr>
                <w:rFonts w:ascii="Arial" w:cs="Arial" w:eastAsia="Arial" w:hAnsi="Arial"/>
                <w:sz w:val="18"/>
                <w:szCs w:val="18"/>
                <w:color w:val="auto"/>
              </w:rPr>
              <w:t>December 29,</w:t>
            </w:r>
          </w:p>
        </w:tc>
        <w:tc>
          <w:tcPr>
            <w:tcW w:w="0" w:type="dxa"/>
            <w:vAlign w:val="bottom"/>
          </w:tcPr>
          <w:p>
            <w:pPr>
              <w:spacing w:after="0"/>
              <w:rPr>
                <w:sz w:val="1"/>
                <w:szCs w:val="1"/>
                <w:color w:val="auto"/>
              </w:rPr>
            </w:pPr>
          </w:p>
        </w:tc>
      </w:tr>
      <w:tr>
        <w:trPr>
          <w:trHeight w:val="228"/>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780" w:type="dxa"/>
            <w:vAlign w:val="bottom"/>
          </w:tcPr>
          <w:p>
            <w:pPr>
              <w:jc w:val="right"/>
              <w:ind w:right="1192"/>
              <w:spacing w:after="0"/>
              <w:rPr>
                <w:sz w:val="20"/>
                <w:szCs w:val="20"/>
                <w:color w:val="auto"/>
              </w:rPr>
            </w:pPr>
            <w:r>
              <w:rPr>
                <w:rFonts w:ascii="Arial" w:cs="Arial" w:eastAsia="Arial" w:hAnsi="Arial"/>
                <w:sz w:val="18"/>
                <w:szCs w:val="18"/>
                <w:b w:val="1"/>
                <w:bCs w:val="1"/>
                <w:color w:val="auto"/>
              </w:rPr>
              <w:t>2003</w:t>
            </w:r>
          </w:p>
        </w:tc>
        <w:tc>
          <w:tcPr>
            <w:tcW w:w="1060" w:type="dxa"/>
            <w:vAlign w:val="bottom"/>
          </w:tcPr>
          <w:p>
            <w:pPr>
              <w:spacing w:after="0"/>
              <w:rPr>
                <w:sz w:val="19"/>
                <w:szCs w:val="19"/>
                <w:color w:val="auto"/>
              </w:rPr>
            </w:pPr>
          </w:p>
        </w:tc>
        <w:tc>
          <w:tcPr>
            <w:tcW w:w="1360" w:type="dxa"/>
            <w:vAlign w:val="bottom"/>
          </w:tcPr>
          <w:p>
            <w:pPr>
              <w:jc w:val="right"/>
              <w:ind w:right="732"/>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60" w:type="dxa"/>
            <w:vAlign w:val="bottom"/>
            <w:tcBorders>
              <w:bottom w:val="single" w:sz="8" w:color="808080"/>
            </w:tcBorders>
          </w:tcPr>
          <w:p>
            <w:pPr>
              <w:spacing w:after="0"/>
              <w:rPr>
                <w:sz w:val="9"/>
                <w:szCs w:val="9"/>
                <w:color w:val="auto"/>
              </w:rPr>
            </w:pPr>
          </w:p>
        </w:tc>
        <w:tc>
          <w:tcPr>
            <w:tcW w:w="22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2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7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Cash and cash equivalents</w:t>
            </w:r>
          </w:p>
        </w:tc>
        <w:tc>
          <w:tcPr>
            <w:tcW w:w="344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1780" w:type="dxa"/>
            <w:vAlign w:val="bottom"/>
            <w:shd w:val="clear" w:color="auto" w:fill="EEEEEE"/>
          </w:tcPr>
          <w:p>
            <w:pPr>
              <w:jc w:val="right"/>
              <w:ind w:right="932"/>
              <w:spacing w:after="0"/>
              <w:rPr>
                <w:sz w:val="20"/>
                <w:szCs w:val="20"/>
                <w:color w:val="auto"/>
              </w:rPr>
            </w:pPr>
            <w:r>
              <w:rPr>
                <w:rFonts w:ascii="Arial" w:cs="Arial" w:eastAsia="Arial" w:hAnsi="Arial"/>
                <w:sz w:val="18"/>
                <w:szCs w:val="18"/>
                <w:b w:val="1"/>
                <w:bCs w:val="1"/>
                <w:color w:val="auto"/>
              </w:rPr>
              <w:t>87,437</w:t>
            </w: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28,771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280"/>
              <w:spacing w:after="0"/>
              <w:rPr>
                <w:sz w:val="20"/>
                <w:szCs w:val="20"/>
                <w:color w:val="auto"/>
              </w:rPr>
            </w:pPr>
            <w:r>
              <w:rPr>
                <w:rFonts w:ascii="Arial" w:cs="Arial" w:eastAsia="Arial" w:hAnsi="Arial"/>
                <w:sz w:val="18"/>
                <w:szCs w:val="18"/>
                <w:color w:val="auto"/>
              </w:rPr>
              <w:t>Investments in marketable equity securities</w:t>
            </w:r>
          </w:p>
        </w:tc>
        <w:tc>
          <w:tcPr>
            <w:tcW w:w="2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80" w:type="dxa"/>
            <w:vAlign w:val="bottom"/>
          </w:tcPr>
          <w:p>
            <w:pPr>
              <w:jc w:val="right"/>
              <w:ind w:right="932"/>
              <w:spacing w:after="0"/>
              <w:rPr>
                <w:sz w:val="20"/>
                <w:szCs w:val="20"/>
                <w:color w:val="auto"/>
              </w:rPr>
            </w:pPr>
            <w:r>
              <w:rPr>
                <w:rFonts w:ascii="Arial" w:cs="Arial" w:eastAsia="Arial" w:hAnsi="Arial"/>
                <w:sz w:val="18"/>
                <w:szCs w:val="18"/>
                <w:b w:val="1"/>
                <w:bCs w:val="1"/>
                <w:color w:val="auto"/>
              </w:rPr>
              <w:t>2,623</w:t>
            </w:r>
          </w:p>
        </w:tc>
        <w:tc>
          <w:tcPr>
            <w:tcW w:w="1060" w:type="dxa"/>
            <w:vAlign w:val="bottom"/>
          </w:tcPr>
          <w:p>
            <w:pPr>
              <w:spacing w:after="0"/>
              <w:rPr>
                <w:sz w:val="18"/>
                <w:szCs w:val="18"/>
                <w:color w:val="auto"/>
              </w:rPr>
            </w:pPr>
          </w:p>
        </w:tc>
        <w:tc>
          <w:tcPr>
            <w:tcW w:w="1360" w:type="dxa"/>
            <w:vAlign w:val="bottom"/>
          </w:tcPr>
          <w:p>
            <w:pPr>
              <w:jc w:val="right"/>
              <w:ind w:right="552"/>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Accounts receivable, net</w:t>
            </w:r>
          </w:p>
        </w:tc>
        <w:tc>
          <w:tcPr>
            <w:tcW w:w="22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780" w:type="dxa"/>
            <w:vAlign w:val="bottom"/>
            <w:shd w:val="clear" w:color="auto" w:fill="EEEEEE"/>
          </w:tcPr>
          <w:p>
            <w:pPr>
              <w:jc w:val="right"/>
              <w:ind w:right="932"/>
              <w:spacing w:after="0"/>
              <w:rPr>
                <w:sz w:val="20"/>
                <w:szCs w:val="20"/>
                <w:color w:val="auto"/>
              </w:rPr>
            </w:pPr>
            <w:r>
              <w:rPr>
                <w:rFonts w:ascii="Arial" w:cs="Arial" w:eastAsia="Arial" w:hAnsi="Arial"/>
                <w:sz w:val="18"/>
                <w:szCs w:val="18"/>
                <w:b w:val="1"/>
                <w:bCs w:val="1"/>
                <w:color w:val="auto"/>
              </w:rPr>
              <w:t>328,816</w:t>
            </w:r>
          </w:p>
        </w:tc>
        <w:tc>
          <w:tcPr>
            <w:tcW w:w="106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285,374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280"/>
              <w:spacing w:after="0"/>
              <w:rPr>
                <w:sz w:val="20"/>
                <w:szCs w:val="20"/>
                <w:color w:val="auto"/>
              </w:rPr>
            </w:pPr>
            <w:r>
              <w:rPr>
                <w:rFonts w:ascii="Arial" w:cs="Arial" w:eastAsia="Arial" w:hAnsi="Arial"/>
                <w:sz w:val="18"/>
                <w:szCs w:val="18"/>
                <w:color w:val="auto"/>
              </w:rPr>
              <w:t>Federal and state income taxes</w:t>
            </w:r>
          </w:p>
        </w:tc>
        <w:tc>
          <w:tcPr>
            <w:tcW w:w="2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80" w:type="dxa"/>
            <w:vAlign w:val="bottom"/>
          </w:tcPr>
          <w:p>
            <w:pPr>
              <w:jc w:val="right"/>
              <w:ind w:right="932"/>
              <w:spacing w:after="0"/>
              <w:rPr>
                <w:sz w:val="20"/>
                <w:szCs w:val="20"/>
                <w:color w:val="auto"/>
              </w:rPr>
            </w:pPr>
            <w:r>
              <w:rPr>
                <w:rFonts w:ascii="Arial" w:cs="Arial" w:eastAsia="Arial" w:hAnsi="Arial"/>
                <w:sz w:val="18"/>
                <w:szCs w:val="18"/>
                <w:b w:val="1"/>
                <w:bCs w:val="1"/>
                <w:color w:val="auto"/>
              </w:rPr>
              <w:t>5,318</w:t>
            </w:r>
          </w:p>
        </w:tc>
        <w:tc>
          <w:tcPr>
            <w:tcW w:w="1060" w:type="dxa"/>
            <w:vAlign w:val="bottom"/>
          </w:tcPr>
          <w:p>
            <w:pPr>
              <w:spacing w:after="0"/>
              <w:rPr>
                <w:sz w:val="18"/>
                <w:szCs w:val="18"/>
                <w:color w:val="auto"/>
              </w:rPr>
            </w:pPr>
          </w:p>
        </w:tc>
        <w:tc>
          <w:tcPr>
            <w:tcW w:w="136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Inventories</w:t>
            </w:r>
          </w:p>
        </w:tc>
        <w:tc>
          <w:tcPr>
            <w:tcW w:w="22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780" w:type="dxa"/>
            <w:vAlign w:val="bottom"/>
            <w:shd w:val="clear" w:color="auto" w:fill="EEEEEE"/>
          </w:tcPr>
          <w:p>
            <w:pPr>
              <w:jc w:val="right"/>
              <w:ind w:right="932"/>
              <w:spacing w:after="0"/>
              <w:rPr>
                <w:sz w:val="20"/>
                <w:szCs w:val="20"/>
                <w:color w:val="auto"/>
              </w:rPr>
            </w:pPr>
            <w:r>
              <w:rPr>
                <w:rFonts w:ascii="Arial" w:cs="Arial" w:eastAsia="Arial" w:hAnsi="Arial"/>
                <w:sz w:val="18"/>
                <w:szCs w:val="18"/>
                <w:b w:val="1"/>
                <w:bCs w:val="1"/>
                <w:color w:val="auto"/>
              </w:rPr>
              <w:t>27,709</w:t>
            </w:r>
          </w:p>
        </w:tc>
        <w:tc>
          <w:tcPr>
            <w:tcW w:w="106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27,629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60" w:type="dxa"/>
            <w:vAlign w:val="bottom"/>
          </w:tcPr>
          <w:p>
            <w:pPr>
              <w:ind w:left="280"/>
              <w:spacing w:after="0"/>
              <w:rPr>
                <w:sz w:val="20"/>
                <w:szCs w:val="20"/>
                <w:color w:val="auto"/>
              </w:rPr>
            </w:pPr>
            <w:r>
              <w:rPr>
                <w:rFonts w:ascii="Arial" w:cs="Arial" w:eastAsia="Arial" w:hAnsi="Arial"/>
                <w:sz w:val="18"/>
                <w:szCs w:val="18"/>
                <w:color w:val="auto"/>
              </w:rPr>
              <w:t>Other current assets</w:t>
            </w:r>
          </w:p>
        </w:tc>
        <w:tc>
          <w:tcPr>
            <w:tcW w:w="2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780" w:type="dxa"/>
            <w:vAlign w:val="bottom"/>
          </w:tcPr>
          <w:p>
            <w:pPr>
              <w:jc w:val="right"/>
              <w:ind w:right="932"/>
              <w:spacing w:after="0"/>
              <w:rPr>
                <w:sz w:val="20"/>
                <w:szCs w:val="20"/>
                <w:color w:val="auto"/>
              </w:rPr>
            </w:pPr>
            <w:r>
              <w:rPr>
                <w:rFonts w:ascii="Arial" w:cs="Arial" w:eastAsia="Arial" w:hAnsi="Arial"/>
                <w:sz w:val="18"/>
                <w:szCs w:val="18"/>
                <w:b w:val="1"/>
                <w:bCs w:val="1"/>
                <w:color w:val="auto"/>
              </w:rPr>
              <w:t>43,933</w:t>
            </w:r>
          </w:p>
        </w:tc>
        <w:tc>
          <w:tcPr>
            <w:tcW w:w="1060" w:type="dxa"/>
            <w:vAlign w:val="bottom"/>
          </w:tcPr>
          <w:p>
            <w:pPr>
              <w:spacing w:after="0"/>
              <w:rPr>
                <w:sz w:val="19"/>
                <w:szCs w:val="19"/>
                <w:color w:val="auto"/>
              </w:rPr>
            </w:pPr>
          </w:p>
        </w:tc>
        <w:tc>
          <w:tcPr>
            <w:tcW w:w="1360" w:type="dxa"/>
            <w:vAlign w:val="bottom"/>
          </w:tcPr>
          <w:p>
            <w:pPr>
              <w:jc w:val="right"/>
              <w:ind w:right="552"/>
              <w:spacing w:after="0"/>
              <w:rPr>
                <w:sz w:val="20"/>
                <w:szCs w:val="20"/>
                <w:color w:val="auto"/>
              </w:rPr>
            </w:pPr>
            <w:r>
              <w:rPr>
                <w:rFonts w:ascii="Arial" w:cs="Arial" w:eastAsia="Arial" w:hAnsi="Arial"/>
                <w:sz w:val="18"/>
                <w:szCs w:val="18"/>
                <w:color w:val="auto"/>
              </w:rPr>
              <w:t>39,428</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17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EEEEEE"/>
          </w:tcPr>
          <w:p>
            <w:pPr>
              <w:spacing w:after="0"/>
              <w:rPr>
                <w:sz w:val="18"/>
                <w:szCs w:val="18"/>
                <w:color w:val="auto"/>
              </w:rPr>
            </w:pPr>
          </w:p>
        </w:tc>
        <w:tc>
          <w:tcPr>
            <w:tcW w:w="22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780" w:type="dxa"/>
            <w:vAlign w:val="bottom"/>
            <w:shd w:val="clear" w:color="auto" w:fill="EEEEEE"/>
          </w:tcPr>
          <w:p>
            <w:pPr>
              <w:jc w:val="right"/>
              <w:ind w:right="932"/>
              <w:spacing w:after="0"/>
              <w:rPr>
                <w:sz w:val="20"/>
                <w:szCs w:val="20"/>
                <w:color w:val="auto"/>
              </w:rPr>
            </w:pPr>
            <w:r>
              <w:rPr>
                <w:rFonts w:ascii="Arial" w:cs="Arial" w:eastAsia="Arial" w:hAnsi="Arial"/>
                <w:sz w:val="18"/>
                <w:szCs w:val="18"/>
                <w:b w:val="1"/>
                <w:bCs w:val="1"/>
                <w:color w:val="auto"/>
              </w:rPr>
              <w:t>495,836</w:t>
            </w:r>
          </w:p>
        </w:tc>
        <w:tc>
          <w:tcPr>
            <w:tcW w:w="106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382,955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Property, Plant and Equipment</w:t>
            </w:r>
          </w:p>
        </w:tc>
        <w:tc>
          <w:tcPr>
            <w:tcW w:w="2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Buildings</w:t>
            </w:r>
          </w:p>
        </w:tc>
        <w:tc>
          <w:tcPr>
            <w:tcW w:w="22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780" w:type="dxa"/>
            <w:vAlign w:val="bottom"/>
            <w:shd w:val="clear" w:color="auto" w:fill="EEEEEE"/>
          </w:tcPr>
          <w:p>
            <w:pPr>
              <w:jc w:val="right"/>
              <w:ind w:right="932"/>
              <w:spacing w:after="0"/>
              <w:rPr>
                <w:sz w:val="20"/>
                <w:szCs w:val="20"/>
                <w:color w:val="auto"/>
              </w:rPr>
            </w:pPr>
            <w:r>
              <w:rPr>
                <w:rFonts w:ascii="Arial" w:cs="Arial" w:eastAsia="Arial" w:hAnsi="Arial"/>
                <w:sz w:val="18"/>
                <w:szCs w:val="18"/>
                <w:b w:val="1"/>
                <w:bCs w:val="1"/>
                <w:color w:val="auto"/>
              </w:rPr>
              <w:t>288,961</w:t>
            </w:r>
          </w:p>
        </w:tc>
        <w:tc>
          <w:tcPr>
            <w:tcW w:w="106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283,233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280"/>
              <w:spacing w:after="0"/>
              <w:rPr>
                <w:sz w:val="20"/>
                <w:szCs w:val="20"/>
                <w:color w:val="auto"/>
              </w:rPr>
            </w:pPr>
            <w:r>
              <w:rPr>
                <w:rFonts w:ascii="Arial" w:cs="Arial" w:eastAsia="Arial" w:hAnsi="Arial"/>
                <w:sz w:val="18"/>
                <w:szCs w:val="18"/>
                <w:color w:val="auto"/>
              </w:rPr>
              <w:t>Machinery, equipment and fixtures</w:t>
            </w:r>
          </w:p>
        </w:tc>
        <w:tc>
          <w:tcPr>
            <w:tcW w:w="2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80" w:type="dxa"/>
            <w:vAlign w:val="bottom"/>
          </w:tcPr>
          <w:p>
            <w:pPr>
              <w:jc w:val="right"/>
              <w:ind w:right="932"/>
              <w:spacing w:after="0"/>
              <w:rPr>
                <w:sz w:val="20"/>
                <w:szCs w:val="20"/>
                <w:color w:val="auto"/>
              </w:rPr>
            </w:pPr>
            <w:r>
              <w:rPr>
                <w:rFonts w:ascii="Arial" w:cs="Arial" w:eastAsia="Arial" w:hAnsi="Arial"/>
                <w:sz w:val="18"/>
                <w:szCs w:val="18"/>
                <w:b w:val="1"/>
                <w:bCs w:val="1"/>
                <w:color w:val="auto"/>
                <w:w w:val="92"/>
              </w:rPr>
              <w:t>1,656,111</w:t>
            </w:r>
          </w:p>
        </w:tc>
        <w:tc>
          <w:tcPr>
            <w:tcW w:w="1060" w:type="dxa"/>
            <w:vAlign w:val="bottom"/>
          </w:tcPr>
          <w:p>
            <w:pPr>
              <w:spacing w:after="0"/>
              <w:rPr>
                <w:sz w:val="18"/>
                <w:szCs w:val="18"/>
                <w:color w:val="auto"/>
              </w:rPr>
            </w:pPr>
          </w:p>
        </w:tc>
        <w:tc>
          <w:tcPr>
            <w:tcW w:w="1360" w:type="dxa"/>
            <w:vAlign w:val="bottom"/>
          </w:tcPr>
          <w:p>
            <w:pPr>
              <w:jc w:val="right"/>
              <w:ind w:right="552"/>
              <w:spacing w:after="0"/>
              <w:rPr>
                <w:sz w:val="20"/>
                <w:szCs w:val="20"/>
                <w:color w:val="auto"/>
              </w:rPr>
            </w:pPr>
            <w:r>
              <w:rPr>
                <w:rFonts w:ascii="Arial" w:cs="Arial" w:eastAsia="Arial" w:hAnsi="Arial"/>
                <w:sz w:val="18"/>
                <w:szCs w:val="18"/>
                <w:color w:val="auto"/>
                <w:w w:val="87"/>
              </w:rPr>
              <w:t>1,551,931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Leasehold improvements</w:t>
            </w:r>
          </w:p>
        </w:tc>
        <w:tc>
          <w:tcPr>
            <w:tcW w:w="22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780" w:type="dxa"/>
            <w:vAlign w:val="bottom"/>
            <w:shd w:val="clear" w:color="auto" w:fill="EEEEEE"/>
          </w:tcPr>
          <w:p>
            <w:pPr>
              <w:jc w:val="right"/>
              <w:ind w:right="932"/>
              <w:spacing w:after="0"/>
              <w:rPr>
                <w:sz w:val="20"/>
                <w:szCs w:val="20"/>
                <w:color w:val="auto"/>
              </w:rPr>
            </w:pPr>
            <w:r>
              <w:rPr>
                <w:rFonts w:ascii="Arial" w:cs="Arial" w:eastAsia="Arial" w:hAnsi="Arial"/>
                <w:sz w:val="18"/>
                <w:szCs w:val="18"/>
                <w:b w:val="1"/>
                <w:bCs w:val="1"/>
                <w:color w:val="auto"/>
              </w:rPr>
              <w:t>102,753</w:t>
            </w:r>
          </w:p>
        </w:tc>
        <w:tc>
          <w:tcPr>
            <w:tcW w:w="106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85,720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EEEEEE"/>
          </w:tcPr>
          <w:p>
            <w:pPr>
              <w:spacing w:after="0"/>
              <w:rPr>
                <w:sz w:val="18"/>
                <w:szCs w:val="18"/>
                <w:color w:val="auto"/>
              </w:rPr>
            </w:pPr>
          </w:p>
        </w:tc>
        <w:tc>
          <w:tcPr>
            <w:tcW w:w="22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7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80" w:type="dxa"/>
            <w:vAlign w:val="bottom"/>
          </w:tcPr>
          <w:p>
            <w:pPr>
              <w:jc w:val="right"/>
              <w:ind w:right="932"/>
              <w:spacing w:after="0"/>
              <w:rPr>
                <w:sz w:val="20"/>
                <w:szCs w:val="20"/>
                <w:color w:val="auto"/>
              </w:rPr>
            </w:pPr>
            <w:r>
              <w:rPr>
                <w:rFonts w:ascii="Arial" w:cs="Arial" w:eastAsia="Arial" w:hAnsi="Arial"/>
                <w:sz w:val="18"/>
                <w:szCs w:val="18"/>
                <w:b w:val="1"/>
                <w:bCs w:val="1"/>
                <w:color w:val="auto"/>
                <w:w w:val="92"/>
              </w:rPr>
              <w:t>2,047,825</w:t>
            </w:r>
          </w:p>
        </w:tc>
        <w:tc>
          <w:tcPr>
            <w:tcW w:w="1060" w:type="dxa"/>
            <w:vAlign w:val="bottom"/>
          </w:tcPr>
          <w:p>
            <w:pPr>
              <w:spacing w:after="0"/>
              <w:rPr>
                <w:sz w:val="18"/>
                <w:szCs w:val="18"/>
                <w:color w:val="auto"/>
              </w:rPr>
            </w:pPr>
          </w:p>
        </w:tc>
        <w:tc>
          <w:tcPr>
            <w:tcW w:w="1360" w:type="dxa"/>
            <w:vAlign w:val="bottom"/>
          </w:tcPr>
          <w:p>
            <w:pPr>
              <w:jc w:val="right"/>
              <w:ind w:right="552"/>
              <w:spacing w:after="0"/>
              <w:rPr>
                <w:sz w:val="20"/>
                <w:szCs w:val="20"/>
                <w:color w:val="auto"/>
              </w:rPr>
            </w:pPr>
            <w:r>
              <w:rPr>
                <w:rFonts w:ascii="Arial" w:cs="Arial" w:eastAsia="Arial" w:hAnsi="Arial"/>
                <w:sz w:val="18"/>
                <w:szCs w:val="18"/>
                <w:color w:val="auto"/>
                <w:w w:val="87"/>
              </w:rPr>
              <w:t>1,920,884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Less accumulated depreciation</w:t>
            </w:r>
          </w:p>
        </w:tc>
        <w:tc>
          <w:tcPr>
            <w:tcW w:w="22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780" w:type="dxa"/>
            <w:vAlign w:val="bottom"/>
            <w:shd w:val="clear" w:color="auto" w:fill="EEEEEE"/>
          </w:tcPr>
          <w:p>
            <w:pPr>
              <w:jc w:val="right"/>
              <w:ind w:right="872"/>
              <w:spacing w:after="0"/>
              <w:rPr>
                <w:sz w:val="20"/>
                <w:szCs w:val="20"/>
                <w:color w:val="auto"/>
              </w:rPr>
            </w:pPr>
            <w:r>
              <w:rPr>
                <w:rFonts w:ascii="Arial" w:cs="Arial" w:eastAsia="Arial" w:hAnsi="Arial"/>
                <w:sz w:val="18"/>
                <w:szCs w:val="18"/>
                <w:b w:val="1"/>
                <w:bCs w:val="1"/>
                <w:color w:val="auto"/>
                <w:w w:val="86"/>
              </w:rPr>
              <w:t>(1,084,790)</w:t>
            </w:r>
          </w:p>
        </w:tc>
        <w:tc>
          <w:tcPr>
            <w:tcW w:w="106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492"/>
              <w:spacing w:after="0"/>
              <w:rPr>
                <w:sz w:val="20"/>
                <w:szCs w:val="20"/>
                <w:color w:val="auto"/>
              </w:rPr>
            </w:pPr>
            <w:r>
              <w:rPr>
                <w:rFonts w:ascii="Arial" w:cs="Arial" w:eastAsia="Arial" w:hAnsi="Arial"/>
                <w:sz w:val="18"/>
                <w:szCs w:val="18"/>
                <w:color w:val="auto"/>
                <w:w w:val="98"/>
              </w:rPr>
              <w:t>(926,385)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760" w:type="dxa"/>
            <w:vAlign w:val="bottom"/>
            <w:shd w:val="clear" w:color="auto" w:fill="EEEEEE"/>
          </w:tcPr>
          <w:p>
            <w:pPr>
              <w:spacing w:after="0"/>
              <w:rPr>
                <w:sz w:val="24"/>
                <w:szCs w:val="24"/>
                <w:color w:val="auto"/>
              </w:rPr>
            </w:pPr>
          </w:p>
        </w:tc>
        <w:tc>
          <w:tcPr>
            <w:tcW w:w="2200" w:type="dxa"/>
            <w:vAlign w:val="bottom"/>
            <w:shd w:val="clear" w:color="auto" w:fill="EEEEEE"/>
          </w:tcPr>
          <w:p>
            <w:pPr>
              <w:spacing w:after="0"/>
              <w:rPr>
                <w:sz w:val="24"/>
                <w:szCs w:val="24"/>
                <w:color w:val="auto"/>
              </w:rPr>
            </w:pPr>
          </w:p>
        </w:tc>
        <w:tc>
          <w:tcPr>
            <w:tcW w:w="1240" w:type="dxa"/>
            <w:vAlign w:val="bottom"/>
            <w:shd w:val="clear" w:color="auto" w:fill="EEEEEE"/>
          </w:tcPr>
          <w:p>
            <w:pPr>
              <w:spacing w:after="0"/>
              <w:rPr>
                <w:sz w:val="24"/>
                <w:szCs w:val="24"/>
                <w:color w:val="auto"/>
              </w:rPr>
            </w:pPr>
          </w:p>
        </w:tc>
        <w:tc>
          <w:tcPr>
            <w:tcW w:w="1780" w:type="dxa"/>
            <w:vAlign w:val="bottom"/>
            <w:shd w:val="clear" w:color="auto" w:fill="EEEEEE"/>
          </w:tcPr>
          <w:p>
            <w:pPr>
              <w:jc w:val="right"/>
              <w:ind w:right="932"/>
              <w:spacing w:after="0"/>
              <w:rPr>
                <w:sz w:val="20"/>
                <w:szCs w:val="20"/>
                <w:color w:val="auto"/>
              </w:rPr>
            </w:pPr>
            <w:r>
              <w:rPr>
                <w:rFonts w:ascii="Arial" w:cs="Arial" w:eastAsia="Arial" w:hAnsi="Arial"/>
                <w:sz w:val="18"/>
                <w:szCs w:val="18"/>
                <w:b w:val="1"/>
                <w:bCs w:val="1"/>
                <w:color w:val="auto"/>
              </w:rPr>
              <w:t>963,035</w:t>
            </w:r>
          </w:p>
        </w:tc>
        <w:tc>
          <w:tcPr>
            <w:tcW w:w="1060" w:type="dxa"/>
            <w:vAlign w:val="bottom"/>
            <w:shd w:val="clear" w:color="auto" w:fill="EEEEEE"/>
          </w:tcPr>
          <w:p>
            <w:pPr>
              <w:spacing w:after="0"/>
              <w:rPr>
                <w:sz w:val="24"/>
                <w:szCs w:val="24"/>
                <w:color w:val="auto"/>
              </w:rPr>
            </w:pPr>
          </w:p>
        </w:tc>
        <w:tc>
          <w:tcPr>
            <w:tcW w:w="136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994,499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280"/>
              <w:spacing w:after="0"/>
              <w:rPr>
                <w:sz w:val="20"/>
                <w:szCs w:val="20"/>
                <w:color w:val="auto"/>
              </w:rPr>
            </w:pPr>
            <w:r>
              <w:rPr>
                <w:rFonts w:ascii="Arial" w:cs="Arial" w:eastAsia="Arial" w:hAnsi="Arial"/>
                <w:sz w:val="18"/>
                <w:szCs w:val="18"/>
                <w:color w:val="auto"/>
              </w:rPr>
              <w:t>Land</w:t>
            </w:r>
          </w:p>
        </w:tc>
        <w:tc>
          <w:tcPr>
            <w:tcW w:w="2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80" w:type="dxa"/>
            <w:vAlign w:val="bottom"/>
          </w:tcPr>
          <w:p>
            <w:pPr>
              <w:jc w:val="right"/>
              <w:ind w:right="932"/>
              <w:spacing w:after="0"/>
              <w:rPr>
                <w:sz w:val="20"/>
                <w:szCs w:val="20"/>
                <w:color w:val="auto"/>
              </w:rPr>
            </w:pPr>
            <w:r>
              <w:rPr>
                <w:rFonts w:ascii="Arial" w:cs="Arial" w:eastAsia="Arial" w:hAnsi="Arial"/>
                <w:sz w:val="18"/>
                <w:szCs w:val="18"/>
                <w:b w:val="1"/>
                <w:bCs w:val="1"/>
                <w:color w:val="auto"/>
              </w:rPr>
              <w:t>32,234</w:t>
            </w:r>
          </w:p>
        </w:tc>
        <w:tc>
          <w:tcPr>
            <w:tcW w:w="1060" w:type="dxa"/>
            <w:vAlign w:val="bottom"/>
          </w:tcPr>
          <w:p>
            <w:pPr>
              <w:spacing w:after="0"/>
              <w:rPr>
                <w:sz w:val="18"/>
                <w:szCs w:val="18"/>
                <w:color w:val="auto"/>
              </w:rPr>
            </w:pPr>
          </w:p>
        </w:tc>
        <w:tc>
          <w:tcPr>
            <w:tcW w:w="1360" w:type="dxa"/>
            <w:vAlign w:val="bottom"/>
          </w:tcPr>
          <w:p>
            <w:pPr>
              <w:jc w:val="right"/>
              <w:ind w:right="552"/>
              <w:spacing w:after="0"/>
              <w:rPr>
                <w:sz w:val="20"/>
                <w:szCs w:val="20"/>
                <w:color w:val="auto"/>
              </w:rPr>
            </w:pPr>
            <w:r>
              <w:rPr>
                <w:rFonts w:ascii="Arial" w:cs="Arial" w:eastAsia="Arial" w:hAnsi="Arial"/>
                <w:sz w:val="18"/>
                <w:szCs w:val="18"/>
                <w:color w:val="auto"/>
              </w:rPr>
              <w:t>34,530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Construction in progress</w:t>
            </w:r>
          </w:p>
        </w:tc>
        <w:tc>
          <w:tcPr>
            <w:tcW w:w="22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780" w:type="dxa"/>
            <w:vAlign w:val="bottom"/>
            <w:shd w:val="clear" w:color="auto" w:fill="EEEEEE"/>
          </w:tcPr>
          <w:p>
            <w:pPr>
              <w:jc w:val="right"/>
              <w:ind w:right="932"/>
              <w:spacing w:after="0"/>
              <w:rPr>
                <w:sz w:val="20"/>
                <w:szCs w:val="20"/>
                <w:color w:val="auto"/>
              </w:rPr>
            </w:pPr>
            <w:r>
              <w:rPr>
                <w:rFonts w:ascii="Arial" w:cs="Arial" w:eastAsia="Arial" w:hAnsi="Arial"/>
                <w:sz w:val="18"/>
                <w:szCs w:val="18"/>
                <w:b w:val="1"/>
                <w:bCs w:val="1"/>
                <w:color w:val="auto"/>
              </w:rPr>
              <w:t>56,104</w:t>
            </w:r>
          </w:p>
        </w:tc>
        <w:tc>
          <w:tcPr>
            <w:tcW w:w="106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65,371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EEEEEE"/>
          </w:tcPr>
          <w:p>
            <w:pPr>
              <w:spacing w:after="0"/>
              <w:rPr>
                <w:sz w:val="18"/>
                <w:szCs w:val="18"/>
                <w:color w:val="auto"/>
              </w:rPr>
            </w:pPr>
          </w:p>
        </w:tc>
        <w:tc>
          <w:tcPr>
            <w:tcW w:w="22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7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80" w:type="dxa"/>
            <w:vAlign w:val="bottom"/>
          </w:tcPr>
          <w:p>
            <w:pPr>
              <w:jc w:val="right"/>
              <w:ind w:right="932"/>
              <w:spacing w:after="0"/>
              <w:rPr>
                <w:sz w:val="20"/>
                <w:szCs w:val="20"/>
                <w:color w:val="auto"/>
              </w:rPr>
            </w:pPr>
            <w:r>
              <w:rPr>
                <w:rFonts w:ascii="Arial" w:cs="Arial" w:eastAsia="Arial" w:hAnsi="Arial"/>
                <w:sz w:val="18"/>
                <w:szCs w:val="18"/>
                <w:b w:val="1"/>
                <w:bCs w:val="1"/>
                <w:color w:val="auto"/>
                <w:w w:val="92"/>
              </w:rPr>
              <w:t>1,051,373</w:t>
            </w:r>
          </w:p>
        </w:tc>
        <w:tc>
          <w:tcPr>
            <w:tcW w:w="1060" w:type="dxa"/>
            <w:vAlign w:val="bottom"/>
          </w:tcPr>
          <w:p>
            <w:pPr>
              <w:spacing w:after="0"/>
              <w:rPr>
                <w:sz w:val="18"/>
                <w:szCs w:val="18"/>
                <w:color w:val="auto"/>
              </w:rPr>
            </w:pPr>
          </w:p>
        </w:tc>
        <w:tc>
          <w:tcPr>
            <w:tcW w:w="1360" w:type="dxa"/>
            <w:vAlign w:val="bottom"/>
          </w:tcPr>
          <w:p>
            <w:pPr>
              <w:jc w:val="right"/>
              <w:ind w:right="552"/>
              <w:spacing w:after="0"/>
              <w:rPr>
                <w:sz w:val="20"/>
                <w:szCs w:val="20"/>
                <w:color w:val="auto"/>
              </w:rPr>
            </w:pPr>
            <w:r>
              <w:rPr>
                <w:rFonts w:ascii="Arial" w:cs="Arial" w:eastAsia="Arial" w:hAnsi="Arial"/>
                <w:sz w:val="18"/>
                <w:szCs w:val="18"/>
                <w:color w:val="auto"/>
                <w:w w:val="87"/>
              </w:rPr>
              <w:t>1,094,400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w w:val="99"/>
              </w:rPr>
              <w:t>Investments in Marketable Equity Securities</w:t>
            </w:r>
          </w:p>
        </w:tc>
        <w:tc>
          <w:tcPr>
            <w:tcW w:w="22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780" w:type="dxa"/>
            <w:vAlign w:val="bottom"/>
            <w:shd w:val="clear" w:color="auto" w:fill="EEEEEE"/>
          </w:tcPr>
          <w:p>
            <w:pPr>
              <w:jc w:val="right"/>
              <w:ind w:right="932"/>
              <w:spacing w:after="0"/>
              <w:rPr>
                <w:sz w:val="20"/>
                <w:szCs w:val="20"/>
                <w:color w:val="auto"/>
              </w:rPr>
            </w:pPr>
            <w:r>
              <w:rPr>
                <w:rFonts w:ascii="Arial" w:cs="Arial" w:eastAsia="Arial" w:hAnsi="Arial"/>
                <w:sz w:val="18"/>
                <w:szCs w:val="18"/>
                <w:b w:val="1"/>
                <w:bCs w:val="1"/>
                <w:color w:val="auto"/>
              </w:rPr>
              <w:t>245,335</w:t>
            </w:r>
          </w:p>
        </w:tc>
        <w:tc>
          <w:tcPr>
            <w:tcW w:w="106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214,780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Investments in Affiliates</w:t>
            </w:r>
          </w:p>
        </w:tc>
        <w:tc>
          <w:tcPr>
            <w:tcW w:w="2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80" w:type="dxa"/>
            <w:vAlign w:val="bottom"/>
          </w:tcPr>
          <w:p>
            <w:pPr>
              <w:jc w:val="right"/>
              <w:ind w:right="932"/>
              <w:spacing w:after="0"/>
              <w:rPr>
                <w:sz w:val="20"/>
                <w:szCs w:val="20"/>
                <w:color w:val="auto"/>
              </w:rPr>
            </w:pPr>
            <w:r>
              <w:rPr>
                <w:rFonts w:ascii="Arial" w:cs="Arial" w:eastAsia="Arial" w:hAnsi="Arial"/>
                <w:sz w:val="18"/>
                <w:szCs w:val="18"/>
                <w:b w:val="1"/>
                <w:bCs w:val="1"/>
                <w:color w:val="auto"/>
              </w:rPr>
              <w:t>61,312</w:t>
            </w:r>
          </w:p>
        </w:tc>
        <w:tc>
          <w:tcPr>
            <w:tcW w:w="1060" w:type="dxa"/>
            <w:vAlign w:val="bottom"/>
          </w:tcPr>
          <w:p>
            <w:pPr>
              <w:spacing w:after="0"/>
              <w:rPr>
                <w:sz w:val="18"/>
                <w:szCs w:val="18"/>
                <w:color w:val="auto"/>
              </w:rPr>
            </w:pPr>
          </w:p>
        </w:tc>
        <w:tc>
          <w:tcPr>
            <w:tcW w:w="1360" w:type="dxa"/>
            <w:vAlign w:val="bottom"/>
          </w:tcPr>
          <w:p>
            <w:pPr>
              <w:jc w:val="right"/>
              <w:ind w:right="552"/>
              <w:spacing w:after="0"/>
              <w:rPr>
                <w:sz w:val="20"/>
                <w:szCs w:val="20"/>
                <w:color w:val="auto"/>
              </w:rPr>
            </w:pPr>
            <w:r>
              <w:rPr>
                <w:rFonts w:ascii="Arial" w:cs="Arial" w:eastAsia="Arial" w:hAnsi="Arial"/>
                <w:sz w:val="18"/>
                <w:szCs w:val="18"/>
                <w:color w:val="auto"/>
              </w:rPr>
              <w:t>70,703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Goodwill, Net</w:t>
            </w:r>
          </w:p>
        </w:tc>
        <w:tc>
          <w:tcPr>
            <w:tcW w:w="22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780" w:type="dxa"/>
            <w:vAlign w:val="bottom"/>
            <w:shd w:val="clear" w:color="auto" w:fill="EEEEEE"/>
          </w:tcPr>
          <w:p>
            <w:pPr>
              <w:jc w:val="right"/>
              <w:ind w:right="932"/>
              <w:spacing w:after="0"/>
              <w:rPr>
                <w:sz w:val="20"/>
                <w:szCs w:val="20"/>
                <w:color w:val="auto"/>
              </w:rPr>
            </w:pPr>
            <w:r>
              <w:rPr>
                <w:rFonts w:ascii="Arial" w:cs="Arial" w:eastAsia="Arial" w:hAnsi="Arial"/>
                <w:sz w:val="18"/>
                <w:szCs w:val="18"/>
                <w:b w:val="1"/>
                <w:bCs w:val="1"/>
                <w:color w:val="auto"/>
              </w:rPr>
              <w:t>965,694</w:t>
            </w:r>
          </w:p>
        </w:tc>
        <w:tc>
          <w:tcPr>
            <w:tcW w:w="106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770,861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Indefinite-Lived Intangible Assets, Net</w:t>
            </w:r>
          </w:p>
        </w:tc>
        <w:tc>
          <w:tcPr>
            <w:tcW w:w="2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80" w:type="dxa"/>
            <w:vAlign w:val="bottom"/>
          </w:tcPr>
          <w:p>
            <w:pPr>
              <w:jc w:val="right"/>
              <w:ind w:right="932"/>
              <w:spacing w:after="0"/>
              <w:rPr>
                <w:sz w:val="20"/>
                <w:szCs w:val="20"/>
                <w:color w:val="auto"/>
              </w:rPr>
            </w:pPr>
            <w:r>
              <w:rPr>
                <w:rFonts w:ascii="Arial" w:cs="Arial" w:eastAsia="Arial" w:hAnsi="Arial"/>
                <w:sz w:val="18"/>
                <w:szCs w:val="18"/>
                <w:b w:val="1"/>
                <w:bCs w:val="1"/>
                <w:color w:val="auto"/>
              </w:rPr>
              <w:t>486,656</w:t>
            </w:r>
          </w:p>
        </w:tc>
        <w:tc>
          <w:tcPr>
            <w:tcW w:w="1060" w:type="dxa"/>
            <w:vAlign w:val="bottom"/>
          </w:tcPr>
          <w:p>
            <w:pPr>
              <w:spacing w:after="0"/>
              <w:rPr>
                <w:sz w:val="18"/>
                <w:szCs w:val="18"/>
                <w:color w:val="auto"/>
              </w:rPr>
            </w:pPr>
          </w:p>
        </w:tc>
        <w:tc>
          <w:tcPr>
            <w:tcW w:w="1360" w:type="dxa"/>
            <w:vAlign w:val="bottom"/>
          </w:tcPr>
          <w:p>
            <w:pPr>
              <w:jc w:val="right"/>
              <w:ind w:right="552"/>
              <w:spacing w:after="0"/>
              <w:rPr>
                <w:sz w:val="20"/>
                <w:szCs w:val="20"/>
                <w:color w:val="auto"/>
              </w:rPr>
            </w:pPr>
            <w:r>
              <w:rPr>
                <w:rFonts w:ascii="Arial" w:cs="Arial" w:eastAsia="Arial" w:hAnsi="Arial"/>
                <w:sz w:val="18"/>
                <w:szCs w:val="18"/>
                <w:color w:val="auto"/>
              </w:rPr>
              <w:t>482,419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Amortized Intangible Assets, Net</w:t>
            </w:r>
          </w:p>
        </w:tc>
        <w:tc>
          <w:tcPr>
            <w:tcW w:w="22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780" w:type="dxa"/>
            <w:vAlign w:val="bottom"/>
            <w:shd w:val="clear" w:color="auto" w:fill="EEEEEE"/>
          </w:tcPr>
          <w:p>
            <w:pPr>
              <w:jc w:val="right"/>
              <w:ind w:right="932"/>
              <w:spacing w:after="0"/>
              <w:rPr>
                <w:sz w:val="20"/>
                <w:szCs w:val="20"/>
                <w:color w:val="auto"/>
              </w:rPr>
            </w:pPr>
            <w:r>
              <w:rPr>
                <w:rFonts w:ascii="Arial" w:cs="Arial" w:eastAsia="Arial" w:hAnsi="Arial"/>
                <w:sz w:val="18"/>
                <w:szCs w:val="18"/>
                <w:b w:val="1"/>
                <w:bCs w:val="1"/>
                <w:color w:val="auto"/>
              </w:rPr>
              <w:t>5,226</w:t>
            </w:r>
          </w:p>
        </w:tc>
        <w:tc>
          <w:tcPr>
            <w:tcW w:w="106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2,153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Prepaid Pension Cost</w:t>
            </w:r>
          </w:p>
        </w:tc>
        <w:tc>
          <w:tcPr>
            <w:tcW w:w="2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80" w:type="dxa"/>
            <w:vAlign w:val="bottom"/>
          </w:tcPr>
          <w:p>
            <w:pPr>
              <w:jc w:val="right"/>
              <w:ind w:right="932"/>
              <w:spacing w:after="0"/>
              <w:rPr>
                <w:sz w:val="20"/>
                <w:szCs w:val="20"/>
                <w:color w:val="auto"/>
              </w:rPr>
            </w:pPr>
            <w:r>
              <w:rPr>
                <w:rFonts w:ascii="Arial" w:cs="Arial" w:eastAsia="Arial" w:hAnsi="Arial"/>
                <w:sz w:val="18"/>
                <w:szCs w:val="18"/>
                <w:b w:val="1"/>
                <w:bCs w:val="1"/>
                <w:color w:val="auto"/>
              </w:rPr>
              <w:t>514,801</w:t>
            </w:r>
          </w:p>
        </w:tc>
        <w:tc>
          <w:tcPr>
            <w:tcW w:w="1060" w:type="dxa"/>
            <w:vAlign w:val="bottom"/>
          </w:tcPr>
          <w:p>
            <w:pPr>
              <w:spacing w:after="0"/>
              <w:rPr>
                <w:sz w:val="18"/>
                <w:szCs w:val="18"/>
                <w:color w:val="auto"/>
              </w:rPr>
            </w:pPr>
          </w:p>
        </w:tc>
        <w:tc>
          <w:tcPr>
            <w:tcW w:w="1360" w:type="dxa"/>
            <w:vAlign w:val="bottom"/>
          </w:tcPr>
          <w:p>
            <w:pPr>
              <w:jc w:val="right"/>
              <w:ind w:right="552"/>
              <w:spacing w:after="0"/>
              <w:rPr>
                <w:sz w:val="20"/>
                <w:szCs w:val="20"/>
                <w:color w:val="auto"/>
              </w:rPr>
            </w:pPr>
            <w:r>
              <w:rPr>
                <w:rFonts w:ascii="Arial" w:cs="Arial" w:eastAsia="Arial" w:hAnsi="Arial"/>
                <w:sz w:val="18"/>
                <w:szCs w:val="18"/>
                <w:color w:val="auto"/>
              </w:rPr>
              <w:t>493,786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Deferred Charges and Other Assets</w:t>
            </w:r>
          </w:p>
        </w:tc>
        <w:tc>
          <w:tcPr>
            <w:tcW w:w="22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780" w:type="dxa"/>
            <w:vAlign w:val="bottom"/>
            <w:shd w:val="clear" w:color="auto" w:fill="EEEEEE"/>
          </w:tcPr>
          <w:p>
            <w:pPr>
              <w:jc w:val="right"/>
              <w:ind w:right="932"/>
              <w:spacing w:after="0"/>
              <w:rPr>
                <w:sz w:val="20"/>
                <w:szCs w:val="20"/>
                <w:color w:val="auto"/>
              </w:rPr>
            </w:pPr>
            <w:r>
              <w:rPr>
                <w:rFonts w:ascii="Arial" w:cs="Arial" w:eastAsia="Arial" w:hAnsi="Arial"/>
                <w:sz w:val="18"/>
                <w:szCs w:val="18"/>
                <w:b w:val="1"/>
                <w:bCs w:val="1"/>
                <w:color w:val="auto"/>
              </w:rPr>
              <w:t>75,325</w:t>
            </w:r>
          </w:p>
        </w:tc>
        <w:tc>
          <w:tcPr>
            <w:tcW w:w="106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71,837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760" w:type="dxa"/>
            <w:vAlign w:val="bottom"/>
            <w:shd w:val="clear" w:color="auto" w:fill="EEEEEE"/>
          </w:tcPr>
          <w:p>
            <w:pPr>
              <w:spacing w:after="0"/>
              <w:rPr>
                <w:sz w:val="24"/>
                <w:szCs w:val="24"/>
                <w:color w:val="auto"/>
              </w:rPr>
            </w:pPr>
          </w:p>
        </w:tc>
        <w:tc>
          <w:tcPr>
            <w:tcW w:w="344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1780" w:type="dxa"/>
            <w:vAlign w:val="bottom"/>
            <w:shd w:val="clear" w:color="auto" w:fill="EEEEEE"/>
          </w:tcPr>
          <w:p>
            <w:pPr>
              <w:jc w:val="right"/>
              <w:ind w:right="932"/>
              <w:spacing w:after="0"/>
              <w:rPr>
                <w:sz w:val="20"/>
                <w:szCs w:val="20"/>
                <w:color w:val="auto"/>
              </w:rPr>
            </w:pPr>
            <w:r>
              <w:rPr>
                <w:rFonts w:ascii="Arial" w:cs="Arial" w:eastAsia="Arial" w:hAnsi="Arial"/>
                <w:sz w:val="18"/>
                <w:szCs w:val="18"/>
                <w:b w:val="1"/>
                <w:bCs w:val="1"/>
                <w:color w:val="auto"/>
                <w:w w:val="92"/>
              </w:rPr>
              <w:t>3,901,558</w:t>
            </w: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w w:val="87"/>
              </w:rPr>
              <w:t>3,583,894</w:t>
            </w:r>
          </w:p>
        </w:tc>
        <w:tc>
          <w:tcPr>
            <w:tcW w:w="0" w:type="dxa"/>
            <w:vAlign w:val="bottom"/>
          </w:tcPr>
          <w:p>
            <w:pPr>
              <w:spacing w:after="0"/>
              <w:rPr>
                <w:sz w:val="1"/>
                <w:szCs w:val="1"/>
                <w:color w:val="auto"/>
              </w:rPr>
            </w:pPr>
          </w:p>
        </w:tc>
      </w:tr>
      <w:tr>
        <w:trPr>
          <w:trHeight w:val="105"/>
        </w:trPr>
        <w:tc>
          <w:tcPr>
            <w:tcW w:w="5980" w:type="dxa"/>
            <w:vAlign w:val="bottom"/>
            <w:gridSpan w:val="3"/>
          </w:tcPr>
          <w:p>
            <w:pPr>
              <w:spacing w:after="0"/>
              <w:rPr>
                <w:sz w:val="9"/>
                <w:szCs w:val="9"/>
                <w:color w:val="auto"/>
              </w:rPr>
            </w:pPr>
          </w:p>
        </w:tc>
        <w:tc>
          <w:tcPr>
            <w:tcW w:w="12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980" w:type="dxa"/>
            <w:vAlign w:val="bottom"/>
            <w:gridSpan w:val="3"/>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17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7220" w:type="dxa"/>
            <w:vAlign w:val="bottom"/>
            <w:gridSpan w:val="4"/>
          </w:tcPr>
          <w:p>
            <w:pPr>
              <w:spacing w:after="0"/>
              <w:rPr>
                <w:sz w:val="20"/>
                <w:szCs w:val="20"/>
                <w:color w:val="auto"/>
              </w:rPr>
            </w:pPr>
            <w:r>
              <w:rPr>
                <w:rFonts w:ascii="Arial" w:cs="Arial" w:eastAsia="Arial" w:hAnsi="Arial"/>
                <w:sz w:val="18"/>
                <w:szCs w:val="18"/>
                <w:color w:val="auto"/>
              </w:rPr>
              <w:t>The information on pages 44 through 58 is an integral part of the financial statements.</w:t>
            </w:r>
          </w:p>
        </w:tc>
        <w:tc>
          <w:tcPr>
            <w:tcW w:w="1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200" w:type="dxa"/>
            <w:vAlign w:val="bottom"/>
          </w:tcPr>
          <w:p>
            <w:pPr>
              <w:jc w:val="right"/>
              <w:ind w:right="92"/>
              <w:spacing w:after="0"/>
              <w:rPr>
                <w:sz w:val="20"/>
                <w:szCs w:val="20"/>
                <w:color w:val="auto"/>
              </w:rPr>
            </w:pPr>
            <w:r>
              <w:rPr>
                <w:rFonts w:ascii="Arial" w:cs="Arial" w:eastAsia="Arial" w:hAnsi="Arial"/>
                <w:sz w:val="18"/>
                <w:szCs w:val="18"/>
                <w:color w:val="auto"/>
              </w:rPr>
              <w:t>40</w:t>
            </w:r>
          </w:p>
        </w:tc>
        <w:tc>
          <w:tcPr>
            <w:tcW w:w="1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60" w:type="dxa"/>
            <w:vAlign w:val="bottom"/>
            <w:tcBorders>
              <w:bottom w:val="single" w:sz="8" w:color="808080"/>
            </w:tcBorders>
          </w:tcPr>
          <w:p>
            <w:pPr>
              <w:spacing w:after="0"/>
              <w:rPr>
                <w:sz w:val="19"/>
                <w:szCs w:val="19"/>
                <w:color w:val="auto"/>
              </w:rPr>
            </w:pPr>
          </w:p>
        </w:tc>
        <w:tc>
          <w:tcPr>
            <w:tcW w:w="220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40" w:type="dxa"/>
            <w:vAlign w:val="bottom"/>
            <w:gridSpan w:val="2"/>
          </w:tcPr>
          <w:p>
            <w:pPr>
              <w:jc w:val="right"/>
              <w:ind w:right="832"/>
              <w:spacing w:after="0"/>
              <w:rPr>
                <w:sz w:val="20"/>
                <w:szCs w:val="20"/>
                <w:color w:val="auto"/>
              </w:rPr>
            </w:pPr>
            <w:r>
              <w:rPr>
                <w:rFonts w:ascii="Arial" w:cs="Arial" w:eastAsia="Arial" w:hAnsi="Arial"/>
                <w:sz w:val="18"/>
                <w:szCs w:val="18"/>
                <w:b w:val="1"/>
                <w:bCs w:val="1"/>
                <w:color w:val="auto"/>
              </w:rPr>
              <w:t>December 28,</w:t>
            </w:r>
          </w:p>
        </w:tc>
        <w:tc>
          <w:tcPr>
            <w:tcW w:w="2420" w:type="dxa"/>
            <w:vAlign w:val="bottom"/>
            <w:gridSpan w:val="2"/>
          </w:tcPr>
          <w:p>
            <w:pPr>
              <w:ind w:left="900"/>
              <w:spacing w:after="0"/>
              <w:rPr>
                <w:sz w:val="20"/>
                <w:szCs w:val="20"/>
                <w:color w:val="auto"/>
              </w:rPr>
            </w:pPr>
            <w:r>
              <w:rPr>
                <w:rFonts w:ascii="Arial" w:cs="Arial" w:eastAsia="Arial" w:hAnsi="Arial"/>
                <w:sz w:val="18"/>
                <w:szCs w:val="18"/>
                <w:color w:val="auto"/>
              </w:rPr>
              <w:t>December 29,</w:t>
            </w:r>
          </w:p>
        </w:tc>
        <w:tc>
          <w:tcPr>
            <w:tcW w:w="0" w:type="dxa"/>
            <w:vAlign w:val="bottom"/>
          </w:tcPr>
          <w:p>
            <w:pPr>
              <w:spacing w:after="0"/>
              <w:rPr>
                <w:sz w:val="1"/>
                <w:szCs w:val="1"/>
                <w:color w:val="auto"/>
              </w:rPr>
            </w:pPr>
          </w:p>
        </w:tc>
      </w:tr>
      <w:tr>
        <w:trPr>
          <w:trHeight w:val="228"/>
        </w:trPr>
        <w:tc>
          <w:tcPr>
            <w:tcW w:w="6560" w:type="dxa"/>
            <w:vAlign w:val="bottom"/>
            <w:gridSpan w:val="3"/>
          </w:tcPr>
          <w:p>
            <w:pPr>
              <w:spacing w:after="0"/>
              <w:rPr>
                <w:sz w:val="20"/>
                <w:szCs w:val="20"/>
                <w:color w:val="auto"/>
              </w:rPr>
            </w:pPr>
            <w:r>
              <w:rPr>
                <w:rFonts w:ascii="Arial" w:cs="Arial" w:eastAsia="Arial" w:hAnsi="Arial"/>
                <w:sz w:val="18"/>
                <w:szCs w:val="18"/>
                <w:b w:val="1"/>
                <w:bCs w:val="1"/>
                <w:color w:val="auto"/>
              </w:rPr>
              <w:t>(in thousands, except share amounts)</w:t>
            </w:r>
          </w:p>
        </w:tc>
        <w:tc>
          <w:tcPr>
            <w:tcW w:w="680" w:type="dxa"/>
            <w:vAlign w:val="bottom"/>
          </w:tcPr>
          <w:p>
            <w:pPr>
              <w:spacing w:after="0"/>
              <w:rPr>
                <w:sz w:val="19"/>
                <w:szCs w:val="19"/>
                <w:color w:val="auto"/>
              </w:rPr>
            </w:pPr>
          </w:p>
        </w:tc>
        <w:tc>
          <w:tcPr>
            <w:tcW w:w="1760" w:type="dxa"/>
            <w:vAlign w:val="bottom"/>
          </w:tcPr>
          <w:p>
            <w:pPr>
              <w:jc w:val="right"/>
              <w:ind w:right="1172"/>
              <w:spacing w:after="0"/>
              <w:rPr>
                <w:sz w:val="20"/>
                <w:szCs w:val="20"/>
                <w:color w:val="auto"/>
              </w:rPr>
            </w:pPr>
            <w:r>
              <w:rPr>
                <w:rFonts w:ascii="Arial" w:cs="Arial" w:eastAsia="Arial" w:hAnsi="Arial"/>
                <w:sz w:val="18"/>
                <w:szCs w:val="18"/>
                <w:b w:val="1"/>
                <w:bCs w:val="1"/>
                <w:color w:val="auto"/>
              </w:rPr>
              <w:t>2003</w:t>
            </w:r>
          </w:p>
        </w:tc>
        <w:tc>
          <w:tcPr>
            <w:tcW w:w="1020" w:type="dxa"/>
            <w:vAlign w:val="bottom"/>
          </w:tcPr>
          <w:p>
            <w:pPr>
              <w:spacing w:after="0"/>
              <w:rPr>
                <w:sz w:val="19"/>
                <w:szCs w:val="19"/>
                <w:color w:val="auto"/>
              </w:rPr>
            </w:pPr>
          </w:p>
        </w:tc>
        <w:tc>
          <w:tcPr>
            <w:tcW w:w="1400" w:type="dxa"/>
            <w:vAlign w:val="bottom"/>
          </w:tcPr>
          <w:p>
            <w:pPr>
              <w:jc w:val="right"/>
              <w:ind w:right="752"/>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0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680" w:type="dxa"/>
            <w:vAlign w:val="bottom"/>
            <w:shd w:val="clear" w:color="auto" w:fill="EEEEEE"/>
          </w:tcPr>
          <w:p>
            <w:pPr>
              <w:spacing w:after="0"/>
              <w:rPr>
                <w:sz w:val="18"/>
                <w:szCs w:val="18"/>
                <w:color w:val="auto"/>
              </w:rPr>
            </w:pPr>
          </w:p>
        </w:tc>
        <w:tc>
          <w:tcPr>
            <w:tcW w:w="17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6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EEEEEE"/>
          </w:tcPr>
          <w:p>
            <w:pPr>
              <w:ind w:left="280"/>
              <w:spacing w:after="0"/>
              <w:rPr>
                <w:sz w:val="20"/>
                <w:szCs w:val="20"/>
                <w:color w:val="auto"/>
              </w:rPr>
            </w:pPr>
            <w:r>
              <w:rPr>
                <w:rFonts w:ascii="Arial" w:cs="Arial" w:eastAsia="Arial" w:hAnsi="Arial"/>
                <w:sz w:val="18"/>
                <w:szCs w:val="18"/>
                <w:color w:val="auto"/>
              </w:rPr>
              <w:t>Accounts payable and accrued liabilities</w:t>
            </w: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1760" w:type="dxa"/>
            <w:vAlign w:val="bottom"/>
            <w:shd w:val="clear" w:color="auto" w:fill="EEEEEE"/>
          </w:tcPr>
          <w:p>
            <w:pPr>
              <w:jc w:val="right"/>
              <w:ind w:right="912"/>
              <w:spacing w:after="0"/>
              <w:rPr>
                <w:sz w:val="20"/>
                <w:szCs w:val="20"/>
                <w:color w:val="auto"/>
              </w:rPr>
            </w:pPr>
            <w:r>
              <w:rPr>
                <w:rFonts w:ascii="Arial" w:cs="Arial" w:eastAsia="Arial" w:hAnsi="Arial"/>
                <w:sz w:val="18"/>
                <w:szCs w:val="18"/>
                <w:b w:val="1"/>
                <w:bCs w:val="1"/>
                <w:color w:val="auto"/>
              </w:rPr>
              <w:t>339,239</w:t>
            </w:r>
          </w:p>
        </w:tc>
        <w:tc>
          <w:tcPr>
            <w:tcW w:w="1020" w:type="dxa"/>
            <w:vAlign w:val="bottom"/>
            <w:shd w:val="clear" w:color="auto" w:fill="EEEEEE"/>
          </w:tcPr>
          <w:p>
            <w:pPr>
              <w:ind w:left="92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336,582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ind w:left="280"/>
              <w:spacing w:after="0"/>
              <w:rPr>
                <w:sz w:val="20"/>
                <w:szCs w:val="20"/>
                <w:color w:val="auto"/>
              </w:rPr>
            </w:pPr>
            <w:r>
              <w:rPr>
                <w:rFonts w:ascii="Arial" w:cs="Arial" w:eastAsia="Arial" w:hAnsi="Arial"/>
                <w:sz w:val="18"/>
                <w:szCs w:val="18"/>
                <w:color w:val="auto"/>
              </w:rPr>
              <w:t>Deferred revenue</w:t>
            </w:r>
          </w:p>
        </w:tc>
        <w:tc>
          <w:tcPr>
            <w:tcW w:w="680" w:type="dxa"/>
            <w:vAlign w:val="bottom"/>
          </w:tcPr>
          <w:p>
            <w:pPr>
              <w:spacing w:after="0"/>
              <w:rPr>
                <w:sz w:val="18"/>
                <w:szCs w:val="18"/>
                <w:color w:val="auto"/>
              </w:rPr>
            </w:pPr>
          </w:p>
        </w:tc>
        <w:tc>
          <w:tcPr>
            <w:tcW w:w="1760" w:type="dxa"/>
            <w:vAlign w:val="bottom"/>
          </w:tcPr>
          <w:p>
            <w:pPr>
              <w:jc w:val="right"/>
              <w:ind w:right="912"/>
              <w:spacing w:after="0"/>
              <w:rPr>
                <w:sz w:val="20"/>
                <w:szCs w:val="20"/>
                <w:color w:val="auto"/>
              </w:rPr>
            </w:pPr>
            <w:r>
              <w:rPr>
                <w:rFonts w:ascii="Arial" w:cs="Arial" w:eastAsia="Arial" w:hAnsi="Arial"/>
                <w:sz w:val="18"/>
                <w:szCs w:val="18"/>
                <w:b w:val="1"/>
                <w:bCs w:val="1"/>
                <w:color w:val="auto"/>
              </w:rPr>
              <w:t>164,014</w:t>
            </w:r>
          </w:p>
        </w:tc>
        <w:tc>
          <w:tcPr>
            <w:tcW w:w="1020" w:type="dxa"/>
            <w:vAlign w:val="bottom"/>
          </w:tcPr>
          <w:p>
            <w:pPr>
              <w:spacing w:after="0"/>
              <w:rPr>
                <w:sz w:val="18"/>
                <w:szCs w:val="18"/>
                <w:color w:val="auto"/>
              </w:rPr>
            </w:pPr>
          </w:p>
        </w:tc>
        <w:tc>
          <w:tcPr>
            <w:tcW w:w="1400" w:type="dxa"/>
            <w:vAlign w:val="bottom"/>
          </w:tcPr>
          <w:p>
            <w:pPr>
              <w:jc w:val="right"/>
              <w:ind w:right="552"/>
              <w:spacing w:after="0"/>
              <w:rPr>
                <w:sz w:val="20"/>
                <w:szCs w:val="20"/>
                <w:color w:val="auto"/>
              </w:rPr>
            </w:pPr>
            <w:r>
              <w:rPr>
                <w:rFonts w:ascii="Arial" w:cs="Arial" w:eastAsia="Arial" w:hAnsi="Arial"/>
                <w:sz w:val="18"/>
                <w:szCs w:val="18"/>
                <w:color w:val="auto"/>
              </w:rPr>
              <w:t>135,419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EEEEEE"/>
          </w:tcPr>
          <w:p>
            <w:pPr>
              <w:ind w:left="280"/>
              <w:spacing w:after="0"/>
              <w:rPr>
                <w:sz w:val="20"/>
                <w:szCs w:val="20"/>
                <w:color w:val="auto"/>
              </w:rPr>
            </w:pPr>
            <w:r>
              <w:rPr>
                <w:rFonts w:ascii="Arial" w:cs="Arial" w:eastAsia="Arial" w:hAnsi="Arial"/>
                <w:sz w:val="18"/>
                <w:szCs w:val="18"/>
                <w:color w:val="auto"/>
              </w:rPr>
              <w:t>Federal and state income taxes</w:t>
            </w:r>
          </w:p>
        </w:tc>
        <w:tc>
          <w:tcPr>
            <w:tcW w:w="680" w:type="dxa"/>
            <w:vAlign w:val="bottom"/>
            <w:shd w:val="clear" w:color="auto" w:fill="EEEEEE"/>
          </w:tcPr>
          <w:p>
            <w:pPr>
              <w:spacing w:after="0"/>
              <w:rPr>
                <w:sz w:val="18"/>
                <w:szCs w:val="18"/>
                <w:color w:val="auto"/>
              </w:rPr>
            </w:pPr>
          </w:p>
        </w:tc>
        <w:tc>
          <w:tcPr>
            <w:tcW w:w="1760" w:type="dxa"/>
            <w:vAlign w:val="bottom"/>
            <w:shd w:val="clear" w:color="auto" w:fill="EEEEEE"/>
          </w:tcPr>
          <w:p>
            <w:pPr>
              <w:jc w:val="right"/>
              <w:ind w:right="912"/>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EEEEEE"/>
          </w:tcPr>
          <w:p>
            <w:pPr>
              <w:spacing w:after="0"/>
              <w:rPr>
                <w:sz w:val="18"/>
                <w:szCs w:val="18"/>
                <w:color w:val="auto"/>
              </w:rPr>
            </w:pPr>
          </w:p>
        </w:tc>
        <w:tc>
          <w:tcPr>
            <w:tcW w:w="140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4,853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40" w:type="dxa"/>
            <w:vAlign w:val="bottom"/>
            <w:gridSpan w:val="2"/>
          </w:tcPr>
          <w:p>
            <w:pPr>
              <w:ind w:left="280"/>
              <w:spacing w:after="0"/>
              <w:rPr>
                <w:sz w:val="20"/>
                <w:szCs w:val="20"/>
                <w:color w:val="auto"/>
              </w:rPr>
            </w:pPr>
            <w:r>
              <w:rPr>
                <w:rFonts w:ascii="Arial" w:cs="Arial" w:eastAsia="Arial" w:hAnsi="Arial"/>
                <w:sz w:val="18"/>
                <w:szCs w:val="18"/>
                <w:color w:val="auto"/>
              </w:rPr>
              <w:t>Short-term borrowings</w:t>
            </w:r>
          </w:p>
        </w:tc>
        <w:tc>
          <w:tcPr>
            <w:tcW w:w="680" w:type="dxa"/>
            <w:vAlign w:val="bottom"/>
          </w:tcPr>
          <w:p>
            <w:pPr>
              <w:spacing w:after="0"/>
              <w:rPr>
                <w:sz w:val="19"/>
                <w:szCs w:val="19"/>
                <w:color w:val="auto"/>
              </w:rPr>
            </w:pPr>
          </w:p>
        </w:tc>
        <w:tc>
          <w:tcPr>
            <w:tcW w:w="1760" w:type="dxa"/>
            <w:vAlign w:val="bottom"/>
          </w:tcPr>
          <w:p>
            <w:pPr>
              <w:jc w:val="right"/>
              <w:ind w:right="912"/>
              <w:spacing w:after="0"/>
              <w:rPr>
                <w:sz w:val="20"/>
                <w:szCs w:val="20"/>
                <w:color w:val="auto"/>
              </w:rPr>
            </w:pPr>
            <w:r>
              <w:rPr>
                <w:rFonts w:ascii="Arial" w:cs="Arial" w:eastAsia="Arial" w:hAnsi="Arial"/>
                <w:sz w:val="18"/>
                <w:szCs w:val="18"/>
                <w:b w:val="1"/>
                <w:bCs w:val="1"/>
                <w:color w:val="auto"/>
              </w:rPr>
              <w:t>208,620</w:t>
            </w:r>
          </w:p>
        </w:tc>
        <w:tc>
          <w:tcPr>
            <w:tcW w:w="1020" w:type="dxa"/>
            <w:vAlign w:val="bottom"/>
          </w:tcPr>
          <w:p>
            <w:pPr>
              <w:spacing w:after="0"/>
              <w:rPr>
                <w:sz w:val="19"/>
                <w:szCs w:val="19"/>
                <w:color w:val="auto"/>
              </w:rPr>
            </w:pPr>
          </w:p>
        </w:tc>
        <w:tc>
          <w:tcPr>
            <w:tcW w:w="1400" w:type="dxa"/>
            <w:vAlign w:val="bottom"/>
          </w:tcPr>
          <w:p>
            <w:pPr>
              <w:jc w:val="right"/>
              <w:ind w:right="552"/>
              <w:spacing w:after="0"/>
              <w:rPr>
                <w:sz w:val="20"/>
                <w:szCs w:val="20"/>
                <w:color w:val="auto"/>
              </w:rPr>
            </w:pPr>
            <w:r>
              <w:rPr>
                <w:rFonts w:ascii="Arial" w:cs="Arial" w:eastAsia="Arial" w:hAnsi="Arial"/>
                <w:sz w:val="18"/>
                <w:szCs w:val="18"/>
                <w:color w:val="auto"/>
              </w:rPr>
              <w:t>259,258</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76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1760" w:type="dxa"/>
            <w:vAlign w:val="bottom"/>
            <w:shd w:val="clear" w:color="auto" w:fill="EEEEEE"/>
          </w:tcPr>
          <w:p>
            <w:pPr>
              <w:jc w:val="right"/>
              <w:ind w:right="912"/>
              <w:spacing w:after="0"/>
              <w:rPr>
                <w:sz w:val="20"/>
                <w:szCs w:val="20"/>
                <w:color w:val="auto"/>
              </w:rPr>
            </w:pPr>
            <w:r>
              <w:rPr>
                <w:rFonts w:ascii="Arial" w:cs="Arial" w:eastAsia="Arial" w:hAnsi="Arial"/>
                <w:sz w:val="18"/>
                <w:szCs w:val="18"/>
                <w:b w:val="1"/>
                <w:bCs w:val="1"/>
                <w:color w:val="auto"/>
              </w:rPr>
              <w:t>711,873</w:t>
            </w:r>
          </w:p>
        </w:tc>
        <w:tc>
          <w:tcPr>
            <w:tcW w:w="1020" w:type="dxa"/>
            <w:vAlign w:val="bottom"/>
            <w:shd w:val="clear" w:color="auto" w:fill="EEEEEE"/>
          </w:tcPr>
          <w:p>
            <w:pPr>
              <w:spacing w:after="0"/>
              <w:rPr>
                <w:sz w:val="18"/>
                <w:szCs w:val="18"/>
                <w:color w:val="auto"/>
              </w:rPr>
            </w:pPr>
          </w:p>
        </w:tc>
        <w:tc>
          <w:tcPr>
            <w:tcW w:w="140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736,112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Postretirement Benefits Other Than Pensions</w:t>
            </w:r>
          </w:p>
        </w:tc>
        <w:tc>
          <w:tcPr>
            <w:tcW w:w="680" w:type="dxa"/>
            <w:vAlign w:val="bottom"/>
          </w:tcPr>
          <w:p>
            <w:pPr>
              <w:spacing w:after="0"/>
              <w:rPr>
                <w:sz w:val="18"/>
                <w:szCs w:val="18"/>
                <w:color w:val="auto"/>
              </w:rPr>
            </w:pPr>
          </w:p>
        </w:tc>
        <w:tc>
          <w:tcPr>
            <w:tcW w:w="1760" w:type="dxa"/>
            <w:vAlign w:val="bottom"/>
          </w:tcPr>
          <w:p>
            <w:pPr>
              <w:jc w:val="right"/>
              <w:ind w:right="912"/>
              <w:spacing w:after="0"/>
              <w:rPr>
                <w:sz w:val="20"/>
                <w:szCs w:val="20"/>
                <w:color w:val="auto"/>
              </w:rPr>
            </w:pPr>
            <w:r>
              <w:rPr>
                <w:rFonts w:ascii="Arial" w:cs="Arial" w:eastAsia="Arial" w:hAnsi="Arial"/>
                <w:sz w:val="18"/>
                <w:szCs w:val="18"/>
                <w:b w:val="1"/>
                <w:bCs w:val="1"/>
                <w:color w:val="auto"/>
              </w:rPr>
              <w:t>140,740</w:t>
            </w:r>
          </w:p>
        </w:tc>
        <w:tc>
          <w:tcPr>
            <w:tcW w:w="1020" w:type="dxa"/>
            <w:vAlign w:val="bottom"/>
          </w:tcPr>
          <w:p>
            <w:pPr>
              <w:spacing w:after="0"/>
              <w:rPr>
                <w:sz w:val="18"/>
                <w:szCs w:val="18"/>
                <w:color w:val="auto"/>
              </w:rPr>
            </w:pPr>
          </w:p>
        </w:tc>
        <w:tc>
          <w:tcPr>
            <w:tcW w:w="1400" w:type="dxa"/>
            <w:vAlign w:val="bottom"/>
          </w:tcPr>
          <w:p>
            <w:pPr>
              <w:jc w:val="right"/>
              <w:ind w:right="552"/>
              <w:spacing w:after="0"/>
              <w:rPr>
                <w:sz w:val="20"/>
                <w:szCs w:val="20"/>
                <w:color w:val="auto"/>
              </w:rPr>
            </w:pPr>
            <w:r>
              <w:rPr>
                <w:rFonts w:ascii="Arial" w:cs="Arial" w:eastAsia="Arial" w:hAnsi="Arial"/>
                <w:sz w:val="18"/>
                <w:szCs w:val="18"/>
                <w:color w:val="auto"/>
              </w:rPr>
              <w:t>136,393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Other Liabilities</w:t>
            </w:r>
          </w:p>
        </w:tc>
        <w:tc>
          <w:tcPr>
            <w:tcW w:w="680" w:type="dxa"/>
            <w:vAlign w:val="bottom"/>
            <w:shd w:val="clear" w:color="auto" w:fill="EEEEEE"/>
          </w:tcPr>
          <w:p>
            <w:pPr>
              <w:spacing w:after="0"/>
              <w:rPr>
                <w:sz w:val="18"/>
                <w:szCs w:val="18"/>
                <w:color w:val="auto"/>
              </w:rPr>
            </w:pPr>
          </w:p>
        </w:tc>
        <w:tc>
          <w:tcPr>
            <w:tcW w:w="1760" w:type="dxa"/>
            <w:vAlign w:val="bottom"/>
            <w:shd w:val="clear" w:color="auto" w:fill="EEEEEE"/>
          </w:tcPr>
          <w:p>
            <w:pPr>
              <w:jc w:val="right"/>
              <w:ind w:right="912"/>
              <w:spacing w:after="0"/>
              <w:rPr>
                <w:sz w:val="20"/>
                <w:szCs w:val="20"/>
                <w:color w:val="auto"/>
              </w:rPr>
            </w:pPr>
            <w:r>
              <w:rPr>
                <w:rFonts w:ascii="Arial" w:cs="Arial" w:eastAsia="Arial" w:hAnsi="Arial"/>
                <w:sz w:val="18"/>
                <w:szCs w:val="18"/>
                <w:b w:val="1"/>
                <w:bCs w:val="1"/>
                <w:color w:val="auto"/>
              </w:rPr>
              <w:t>235,169</w:t>
            </w:r>
          </w:p>
        </w:tc>
        <w:tc>
          <w:tcPr>
            <w:tcW w:w="1020" w:type="dxa"/>
            <w:vAlign w:val="bottom"/>
            <w:shd w:val="clear" w:color="auto" w:fill="EEEEEE"/>
          </w:tcPr>
          <w:p>
            <w:pPr>
              <w:spacing w:after="0"/>
              <w:rPr>
                <w:sz w:val="18"/>
                <w:szCs w:val="18"/>
                <w:color w:val="auto"/>
              </w:rPr>
            </w:pPr>
          </w:p>
        </w:tc>
        <w:tc>
          <w:tcPr>
            <w:tcW w:w="140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194,480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Deferred Income Taxes</w:t>
            </w:r>
          </w:p>
        </w:tc>
        <w:tc>
          <w:tcPr>
            <w:tcW w:w="680" w:type="dxa"/>
            <w:vAlign w:val="bottom"/>
          </w:tcPr>
          <w:p>
            <w:pPr>
              <w:spacing w:after="0"/>
              <w:rPr>
                <w:sz w:val="18"/>
                <w:szCs w:val="18"/>
                <w:color w:val="auto"/>
              </w:rPr>
            </w:pPr>
          </w:p>
        </w:tc>
        <w:tc>
          <w:tcPr>
            <w:tcW w:w="1760" w:type="dxa"/>
            <w:vAlign w:val="bottom"/>
          </w:tcPr>
          <w:p>
            <w:pPr>
              <w:jc w:val="right"/>
              <w:ind w:right="912"/>
              <w:spacing w:after="0"/>
              <w:rPr>
                <w:sz w:val="20"/>
                <w:szCs w:val="20"/>
                <w:color w:val="auto"/>
              </w:rPr>
            </w:pPr>
            <w:r>
              <w:rPr>
                <w:rFonts w:ascii="Arial" w:cs="Arial" w:eastAsia="Arial" w:hAnsi="Arial"/>
                <w:sz w:val="18"/>
                <w:szCs w:val="18"/>
                <w:b w:val="1"/>
                <w:bCs w:val="1"/>
                <w:color w:val="auto"/>
              </w:rPr>
              <w:t>303,824</w:t>
            </w:r>
          </w:p>
        </w:tc>
        <w:tc>
          <w:tcPr>
            <w:tcW w:w="1020" w:type="dxa"/>
            <w:vAlign w:val="bottom"/>
          </w:tcPr>
          <w:p>
            <w:pPr>
              <w:spacing w:after="0"/>
              <w:rPr>
                <w:sz w:val="18"/>
                <w:szCs w:val="18"/>
                <w:color w:val="auto"/>
              </w:rPr>
            </w:pPr>
          </w:p>
        </w:tc>
        <w:tc>
          <w:tcPr>
            <w:tcW w:w="1400" w:type="dxa"/>
            <w:vAlign w:val="bottom"/>
          </w:tcPr>
          <w:p>
            <w:pPr>
              <w:jc w:val="right"/>
              <w:ind w:right="552"/>
              <w:spacing w:after="0"/>
              <w:rPr>
                <w:sz w:val="20"/>
                <w:szCs w:val="20"/>
                <w:color w:val="auto"/>
              </w:rPr>
            </w:pPr>
            <w:r>
              <w:rPr>
                <w:rFonts w:ascii="Arial" w:cs="Arial" w:eastAsia="Arial" w:hAnsi="Arial"/>
                <w:sz w:val="18"/>
                <w:szCs w:val="18"/>
                <w:color w:val="auto"/>
              </w:rPr>
              <w:t>261,153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Long-Term Debt</w:t>
            </w:r>
          </w:p>
        </w:tc>
        <w:tc>
          <w:tcPr>
            <w:tcW w:w="680" w:type="dxa"/>
            <w:vAlign w:val="bottom"/>
            <w:shd w:val="clear" w:color="auto" w:fill="EEEEEE"/>
          </w:tcPr>
          <w:p>
            <w:pPr>
              <w:spacing w:after="0"/>
              <w:rPr>
                <w:sz w:val="18"/>
                <w:szCs w:val="18"/>
                <w:color w:val="auto"/>
              </w:rPr>
            </w:pPr>
          </w:p>
        </w:tc>
        <w:tc>
          <w:tcPr>
            <w:tcW w:w="1760" w:type="dxa"/>
            <w:vAlign w:val="bottom"/>
            <w:shd w:val="clear" w:color="auto" w:fill="EEEEEE"/>
          </w:tcPr>
          <w:p>
            <w:pPr>
              <w:jc w:val="right"/>
              <w:ind w:right="912"/>
              <w:spacing w:after="0"/>
              <w:rPr>
                <w:sz w:val="20"/>
                <w:szCs w:val="20"/>
                <w:color w:val="auto"/>
              </w:rPr>
            </w:pPr>
            <w:r>
              <w:rPr>
                <w:rFonts w:ascii="Arial" w:cs="Arial" w:eastAsia="Arial" w:hAnsi="Arial"/>
                <w:sz w:val="18"/>
                <w:szCs w:val="18"/>
                <w:b w:val="1"/>
                <w:bCs w:val="1"/>
                <w:color w:val="auto"/>
              </w:rPr>
              <w:t>422,471</w:t>
            </w:r>
          </w:p>
        </w:tc>
        <w:tc>
          <w:tcPr>
            <w:tcW w:w="1020" w:type="dxa"/>
            <w:vAlign w:val="bottom"/>
            <w:shd w:val="clear" w:color="auto" w:fill="EEEEEE"/>
          </w:tcPr>
          <w:p>
            <w:pPr>
              <w:spacing w:after="0"/>
              <w:rPr>
                <w:sz w:val="18"/>
                <w:szCs w:val="18"/>
                <w:color w:val="auto"/>
              </w:rPr>
            </w:pPr>
          </w:p>
        </w:tc>
        <w:tc>
          <w:tcPr>
            <w:tcW w:w="140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405,547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60" w:type="dxa"/>
            <w:vAlign w:val="bottom"/>
          </w:tcPr>
          <w:p>
            <w:pPr>
              <w:jc w:val="right"/>
              <w:ind w:right="912"/>
              <w:spacing w:after="0"/>
              <w:rPr>
                <w:sz w:val="20"/>
                <w:szCs w:val="20"/>
                <w:color w:val="auto"/>
              </w:rPr>
            </w:pPr>
            <w:r>
              <w:rPr>
                <w:rFonts w:ascii="Arial" w:cs="Arial" w:eastAsia="Arial" w:hAnsi="Arial"/>
                <w:sz w:val="18"/>
                <w:szCs w:val="18"/>
                <w:b w:val="1"/>
                <w:bCs w:val="1"/>
                <w:color w:val="auto"/>
                <w:w w:val="92"/>
              </w:rPr>
              <w:t>1,814,077</w:t>
            </w:r>
          </w:p>
        </w:tc>
        <w:tc>
          <w:tcPr>
            <w:tcW w:w="1020" w:type="dxa"/>
            <w:vAlign w:val="bottom"/>
          </w:tcPr>
          <w:p>
            <w:pPr>
              <w:spacing w:after="0"/>
              <w:rPr>
                <w:sz w:val="24"/>
                <w:szCs w:val="24"/>
                <w:color w:val="auto"/>
              </w:rPr>
            </w:pPr>
          </w:p>
        </w:tc>
        <w:tc>
          <w:tcPr>
            <w:tcW w:w="1400" w:type="dxa"/>
            <w:vAlign w:val="bottom"/>
          </w:tcPr>
          <w:p>
            <w:pPr>
              <w:jc w:val="right"/>
              <w:ind w:right="552"/>
              <w:spacing w:after="0"/>
              <w:rPr>
                <w:sz w:val="20"/>
                <w:szCs w:val="20"/>
                <w:color w:val="auto"/>
              </w:rPr>
            </w:pPr>
            <w:r>
              <w:rPr>
                <w:rFonts w:ascii="Arial" w:cs="Arial" w:eastAsia="Arial" w:hAnsi="Arial"/>
                <w:sz w:val="18"/>
                <w:szCs w:val="18"/>
                <w:color w:val="auto"/>
                <w:w w:val="92"/>
              </w:rPr>
              <w:t>1,733,685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Commitments and Contingencies</w:t>
            </w:r>
          </w:p>
        </w:tc>
        <w:tc>
          <w:tcPr>
            <w:tcW w:w="680" w:type="dxa"/>
            <w:vAlign w:val="bottom"/>
            <w:shd w:val="clear" w:color="auto" w:fill="EEEEEE"/>
          </w:tcPr>
          <w:p>
            <w:pPr>
              <w:spacing w:after="0"/>
              <w:rPr>
                <w:sz w:val="18"/>
                <w:szCs w:val="18"/>
                <w:color w:val="auto"/>
              </w:rPr>
            </w:pPr>
          </w:p>
        </w:tc>
        <w:tc>
          <w:tcPr>
            <w:tcW w:w="17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Redeemable Preferred Stock, </w:t>
            </w:r>
            <w:r>
              <w:rPr>
                <w:rFonts w:ascii="Arial" w:cs="Arial" w:eastAsia="Arial" w:hAnsi="Arial"/>
                <w:sz w:val="18"/>
                <w:szCs w:val="18"/>
                <w:color w:val="auto"/>
              </w:rPr>
              <w:t>Series A, $1 par value, with a redemption and</w:t>
            </w:r>
          </w:p>
        </w:tc>
        <w:tc>
          <w:tcPr>
            <w:tcW w:w="6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ind w:left="120"/>
              <w:spacing w:after="0"/>
              <w:rPr>
                <w:sz w:val="20"/>
                <w:szCs w:val="20"/>
                <w:color w:val="auto"/>
              </w:rPr>
            </w:pPr>
            <w:r>
              <w:rPr>
                <w:rFonts w:ascii="Arial" w:cs="Arial" w:eastAsia="Arial" w:hAnsi="Arial"/>
                <w:sz w:val="18"/>
                <w:szCs w:val="18"/>
                <w:color w:val="auto"/>
              </w:rPr>
              <w:t>liquidation value of $1,000 per share; 23,000 shares authorized; 12,540 and</w:t>
            </w:r>
          </w:p>
        </w:tc>
        <w:tc>
          <w:tcPr>
            <w:tcW w:w="680" w:type="dxa"/>
            <w:vAlign w:val="bottom"/>
          </w:tcPr>
          <w:p>
            <w:pPr>
              <w:spacing w:after="0"/>
              <w:rPr>
                <w:sz w:val="18"/>
                <w:szCs w:val="18"/>
                <w:color w:val="auto"/>
              </w:rPr>
            </w:pPr>
          </w:p>
        </w:tc>
        <w:tc>
          <w:tcPr>
            <w:tcW w:w="1760" w:type="dxa"/>
            <w:vAlign w:val="bottom"/>
            <w:vMerge w:val="restart"/>
          </w:tcPr>
          <w:p>
            <w:pPr>
              <w:jc w:val="right"/>
              <w:ind w:right="912"/>
              <w:spacing w:after="0"/>
              <w:rPr>
                <w:sz w:val="20"/>
                <w:szCs w:val="20"/>
                <w:color w:val="auto"/>
              </w:rPr>
            </w:pPr>
            <w:r>
              <w:rPr>
                <w:rFonts w:ascii="Arial" w:cs="Arial" w:eastAsia="Arial" w:hAnsi="Arial"/>
                <w:sz w:val="18"/>
                <w:szCs w:val="18"/>
                <w:b w:val="1"/>
                <w:bCs w:val="1"/>
                <w:color w:val="auto"/>
              </w:rPr>
              <w:t>12,540</w:t>
            </w:r>
          </w:p>
        </w:tc>
        <w:tc>
          <w:tcPr>
            <w:tcW w:w="10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40" w:type="dxa"/>
            <w:vAlign w:val="bottom"/>
            <w:gridSpan w:val="2"/>
          </w:tcPr>
          <w:p>
            <w:pPr>
              <w:ind w:left="120"/>
              <w:spacing w:after="0"/>
              <w:rPr>
                <w:sz w:val="20"/>
                <w:szCs w:val="20"/>
                <w:color w:val="auto"/>
              </w:rPr>
            </w:pPr>
            <w:r>
              <w:rPr>
                <w:rFonts w:ascii="Arial" w:cs="Arial" w:eastAsia="Arial" w:hAnsi="Arial"/>
                <w:sz w:val="18"/>
                <w:szCs w:val="18"/>
                <w:color w:val="auto"/>
              </w:rPr>
              <w:t>12,916 shares issued and outstanding</w:t>
            </w:r>
          </w:p>
        </w:tc>
        <w:tc>
          <w:tcPr>
            <w:tcW w:w="680" w:type="dxa"/>
            <w:vAlign w:val="bottom"/>
          </w:tcPr>
          <w:p>
            <w:pPr>
              <w:spacing w:after="0"/>
              <w:rPr>
                <w:sz w:val="19"/>
                <w:szCs w:val="19"/>
                <w:color w:val="auto"/>
              </w:rPr>
            </w:pPr>
          </w:p>
        </w:tc>
        <w:tc>
          <w:tcPr>
            <w:tcW w:w="176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1400" w:type="dxa"/>
            <w:vAlign w:val="bottom"/>
          </w:tcPr>
          <w:p>
            <w:pPr>
              <w:jc w:val="right"/>
              <w:ind w:right="552"/>
              <w:spacing w:after="0"/>
              <w:rPr>
                <w:sz w:val="20"/>
                <w:szCs w:val="20"/>
                <w:color w:val="auto"/>
              </w:rPr>
            </w:pPr>
            <w:r>
              <w:rPr>
                <w:rFonts w:ascii="Arial" w:cs="Arial" w:eastAsia="Arial" w:hAnsi="Arial"/>
                <w:sz w:val="18"/>
                <w:szCs w:val="18"/>
                <w:color w:val="auto"/>
              </w:rPr>
              <w:t>12,916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6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 xml:space="preserve">Preferred Stock, </w:t>
            </w:r>
            <w:r>
              <w:rPr>
                <w:rFonts w:ascii="Arial" w:cs="Arial" w:eastAsia="Arial" w:hAnsi="Arial"/>
                <w:sz w:val="18"/>
                <w:szCs w:val="18"/>
                <w:color w:val="auto"/>
              </w:rPr>
              <w:t>$1 par value; 977,000 shares authorized, none issued</w:t>
            </w:r>
          </w:p>
        </w:tc>
        <w:tc>
          <w:tcPr>
            <w:tcW w:w="680" w:type="dxa"/>
            <w:vAlign w:val="bottom"/>
            <w:shd w:val="clear" w:color="auto" w:fill="EEEEEE"/>
          </w:tcPr>
          <w:p>
            <w:pPr>
              <w:spacing w:after="0"/>
              <w:rPr>
                <w:sz w:val="18"/>
                <w:szCs w:val="18"/>
                <w:color w:val="auto"/>
              </w:rPr>
            </w:pPr>
          </w:p>
        </w:tc>
        <w:tc>
          <w:tcPr>
            <w:tcW w:w="1760" w:type="dxa"/>
            <w:vAlign w:val="bottom"/>
            <w:shd w:val="clear" w:color="auto" w:fill="EEEEEE"/>
          </w:tcPr>
          <w:p>
            <w:pPr>
              <w:jc w:val="right"/>
              <w:ind w:right="912"/>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EEEEEE"/>
          </w:tcPr>
          <w:p>
            <w:pPr>
              <w:spacing w:after="0"/>
              <w:rPr>
                <w:sz w:val="18"/>
                <w:szCs w:val="18"/>
                <w:color w:val="auto"/>
              </w:rPr>
            </w:pPr>
          </w:p>
        </w:tc>
        <w:tc>
          <w:tcPr>
            <w:tcW w:w="140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6040" w:type="dxa"/>
            <w:vAlign w:val="bottom"/>
            <w:gridSpan w:val="2"/>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6560" w:type="dxa"/>
            <w:vAlign w:val="bottom"/>
            <w:gridSpan w:val="3"/>
          </w:tcPr>
          <w:p>
            <w:pPr>
              <w:spacing w:after="0"/>
              <w:rPr>
                <w:sz w:val="20"/>
                <w:szCs w:val="20"/>
                <w:color w:val="auto"/>
              </w:rPr>
            </w:pPr>
            <w:r>
              <w:rPr>
                <w:rFonts w:ascii="Arial" w:cs="Arial" w:eastAsia="Arial" w:hAnsi="Arial"/>
                <w:sz w:val="18"/>
                <w:szCs w:val="18"/>
                <w:b w:val="1"/>
                <w:bCs w:val="1"/>
                <w:color w:val="auto"/>
              </w:rPr>
              <w:t>Common Shareholders’ Equity</w:t>
            </w:r>
          </w:p>
        </w:tc>
        <w:tc>
          <w:tcPr>
            <w:tcW w:w="6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40" w:type="dxa"/>
            <w:vAlign w:val="bottom"/>
            <w:gridSpan w:val="2"/>
            <w:shd w:val="clear" w:color="auto" w:fill="EEEEEE"/>
          </w:tcPr>
          <w:p>
            <w:pPr>
              <w:ind w:left="280"/>
              <w:spacing w:after="0"/>
              <w:rPr>
                <w:sz w:val="20"/>
                <w:szCs w:val="20"/>
                <w:color w:val="auto"/>
              </w:rPr>
            </w:pPr>
            <w:r>
              <w:rPr>
                <w:rFonts w:ascii="Arial" w:cs="Arial" w:eastAsia="Arial" w:hAnsi="Arial"/>
                <w:sz w:val="18"/>
                <w:szCs w:val="18"/>
                <w:color w:val="auto"/>
              </w:rPr>
              <w:t>Common stock</w:t>
            </w:r>
          </w:p>
        </w:tc>
        <w:tc>
          <w:tcPr>
            <w:tcW w:w="680" w:type="dxa"/>
            <w:vAlign w:val="bottom"/>
            <w:shd w:val="clear" w:color="auto" w:fill="EEEEEE"/>
          </w:tcPr>
          <w:p>
            <w:pPr>
              <w:spacing w:after="0"/>
              <w:rPr>
                <w:sz w:val="18"/>
                <w:szCs w:val="18"/>
                <w:color w:val="auto"/>
              </w:rPr>
            </w:pPr>
          </w:p>
        </w:tc>
        <w:tc>
          <w:tcPr>
            <w:tcW w:w="17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40" w:type="dxa"/>
            <w:vAlign w:val="bottom"/>
            <w:gridSpan w:val="2"/>
          </w:tcPr>
          <w:p>
            <w:pPr>
              <w:ind w:left="580"/>
              <w:spacing w:after="0"/>
              <w:rPr>
                <w:sz w:val="20"/>
                <w:szCs w:val="20"/>
                <w:color w:val="auto"/>
              </w:rPr>
            </w:pPr>
            <w:r>
              <w:rPr>
                <w:rFonts w:ascii="Arial" w:cs="Arial" w:eastAsia="Arial" w:hAnsi="Arial"/>
                <w:sz w:val="18"/>
                <w:szCs w:val="18"/>
                <w:color w:val="auto"/>
              </w:rPr>
              <w:t>Class A common stock, $1 par value; 7,000,000 shares authorized;</w:t>
            </w:r>
          </w:p>
        </w:tc>
        <w:tc>
          <w:tcPr>
            <w:tcW w:w="680" w:type="dxa"/>
            <w:vAlign w:val="bottom"/>
          </w:tcPr>
          <w:p>
            <w:pPr>
              <w:spacing w:after="0"/>
              <w:rPr>
                <w:sz w:val="18"/>
                <w:szCs w:val="18"/>
                <w:color w:val="auto"/>
              </w:rPr>
            </w:pPr>
          </w:p>
        </w:tc>
        <w:tc>
          <w:tcPr>
            <w:tcW w:w="1760" w:type="dxa"/>
            <w:vAlign w:val="bottom"/>
            <w:vMerge w:val="restart"/>
          </w:tcPr>
          <w:p>
            <w:pPr>
              <w:jc w:val="right"/>
              <w:ind w:right="912"/>
              <w:spacing w:after="0"/>
              <w:rPr>
                <w:sz w:val="20"/>
                <w:szCs w:val="20"/>
                <w:color w:val="auto"/>
              </w:rPr>
            </w:pPr>
            <w:r>
              <w:rPr>
                <w:rFonts w:ascii="Arial" w:cs="Arial" w:eastAsia="Arial" w:hAnsi="Arial"/>
                <w:sz w:val="18"/>
                <w:szCs w:val="18"/>
                <w:b w:val="1"/>
                <w:bCs w:val="1"/>
                <w:color w:val="auto"/>
              </w:rPr>
              <w:t>1,722</w:t>
            </w:r>
          </w:p>
        </w:tc>
        <w:tc>
          <w:tcPr>
            <w:tcW w:w="10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gridSpan w:val="2"/>
          </w:tcPr>
          <w:p>
            <w:pPr>
              <w:ind w:left="720"/>
              <w:spacing w:after="0"/>
              <w:rPr>
                <w:sz w:val="20"/>
                <w:szCs w:val="20"/>
                <w:color w:val="auto"/>
              </w:rPr>
            </w:pPr>
            <w:r>
              <w:rPr>
                <w:rFonts w:ascii="Arial" w:cs="Arial" w:eastAsia="Arial" w:hAnsi="Arial"/>
                <w:sz w:val="18"/>
                <w:szCs w:val="18"/>
                <w:color w:val="auto"/>
              </w:rPr>
              <w:t>1,722,250 shares issued and outstanding</w:t>
            </w:r>
          </w:p>
        </w:tc>
        <w:tc>
          <w:tcPr>
            <w:tcW w:w="680" w:type="dxa"/>
            <w:vAlign w:val="bottom"/>
          </w:tcPr>
          <w:p>
            <w:pPr>
              <w:spacing w:after="0"/>
              <w:rPr>
                <w:sz w:val="19"/>
                <w:szCs w:val="19"/>
                <w:color w:val="auto"/>
              </w:rPr>
            </w:pPr>
          </w:p>
        </w:tc>
        <w:tc>
          <w:tcPr>
            <w:tcW w:w="176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1400" w:type="dxa"/>
            <w:vAlign w:val="bottom"/>
          </w:tcPr>
          <w:p>
            <w:pPr>
              <w:jc w:val="right"/>
              <w:ind w:right="552"/>
              <w:spacing w:after="0"/>
              <w:rPr>
                <w:sz w:val="20"/>
                <w:szCs w:val="20"/>
                <w:color w:val="auto"/>
              </w:rPr>
            </w:pPr>
            <w:r>
              <w:rPr>
                <w:rFonts w:ascii="Arial" w:cs="Arial" w:eastAsia="Arial" w:hAnsi="Arial"/>
                <w:sz w:val="18"/>
                <w:szCs w:val="18"/>
                <w:color w:val="auto"/>
              </w:rPr>
              <w:t>1,722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gridSpan w:val="2"/>
            <w:shd w:val="clear" w:color="auto" w:fill="EEEEEE"/>
          </w:tcPr>
          <w:p>
            <w:pPr>
              <w:ind w:left="580"/>
              <w:spacing w:after="0"/>
              <w:rPr>
                <w:sz w:val="20"/>
                <w:szCs w:val="20"/>
                <w:color w:val="auto"/>
              </w:rPr>
            </w:pPr>
            <w:r>
              <w:rPr>
                <w:rFonts w:ascii="Arial" w:cs="Arial" w:eastAsia="Arial" w:hAnsi="Arial"/>
                <w:sz w:val="18"/>
                <w:szCs w:val="18"/>
                <w:color w:val="auto"/>
              </w:rPr>
              <w:t>Class B common stock, $1 par value; 40,000,000 shares authorized;</w:t>
            </w:r>
          </w:p>
        </w:tc>
        <w:tc>
          <w:tcPr>
            <w:tcW w:w="680" w:type="dxa"/>
            <w:vAlign w:val="bottom"/>
            <w:shd w:val="clear" w:color="auto" w:fill="EEEEEE"/>
          </w:tcPr>
          <w:p>
            <w:pPr>
              <w:spacing w:after="0"/>
              <w:rPr>
                <w:sz w:val="18"/>
                <w:szCs w:val="18"/>
                <w:color w:val="auto"/>
              </w:rPr>
            </w:pPr>
          </w:p>
        </w:tc>
        <w:tc>
          <w:tcPr>
            <w:tcW w:w="1760" w:type="dxa"/>
            <w:vAlign w:val="bottom"/>
            <w:vMerge w:val="restart"/>
            <w:shd w:val="clear" w:color="auto" w:fill="EEEEEE"/>
          </w:tcPr>
          <w:p>
            <w:pPr>
              <w:jc w:val="right"/>
              <w:ind w:right="912"/>
              <w:spacing w:after="0"/>
              <w:rPr>
                <w:sz w:val="20"/>
                <w:szCs w:val="20"/>
                <w:color w:val="auto"/>
              </w:rPr>
            </w:pPr>
            <w:r>
              <w:rPr>
                <w:rFonts w:ascii="Arial" w:cs="Arial" w:eastAsia="Arial" w:hAnsi="Arial"/>
                <w:sz w:val="18"/>
                <w:szCs w:val="18"/>
                <w:b w:val="1"/>
                <w:bCs w:val="1"/>
                <w:color w:val="auto"/>
              </w:rPr>
              <w:t>18,278</w:t>
            </w:r>
          </w:p>
        </w:tc>
        <w:tc>
          <w:tcPr>
            <w:tcW w:w="102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40" w:type="dxa"/>
            <w:vAlign w:val="bottom"/>
            <w:gridSpan w:val="2"/>
            <w:shd w:val="clear" w:color="auto" w:fill="EEEEEE"/>
          </w:tcPr>
          <w:p>
            <w:pPr>
              <w:ind w:left="720"/>
              <w:spacing w:after="0"/>
              <w:rPr>
                <w:sz w:val="20"/>
                <w:szCs w:val="20"/>
                <w:color w:val="auto"/>
              </w:rPr>
            </w:pPr>
            <w:r>
              <w:rPr>
                <w:rFonts w:ascii="Arial" w:cs="Arial" w:eastAsia="Arial" w:hAnsi="Arial"/>
                <w:sz w:val="18"/>
                <w:szCs w:val="18"/>
                <w:color w:val="auto"/>
              </w:rPr>
              <w:t>18,277,750 shares issued; 7,819,330 and 7,788,543 shares outstanding</w:t>
            </w:r>
          </w:p>
        </w:tc>
        <w:tc>
          <w:tcPr>
            <w:tcW w:w="680" w:type="dxa"/>
            <w:vAlign w:val="bottom"/>
            <w:shd w:val="clear" w:color="auto" w:fill="EEEEEE"/>
          </w:tcPr>
          <w:p>
            <w:pPr>
              <w:spacing w:after="0"/>
              <w:rPr>
                <w:sz w:val="19"/>
                <w:szCs w:val="19"/>
                <w:color w:val="auto"/>
              </w:rPr>
            </w:pPr>
          </w:p>
        </w:tc>
        <w:tc>
          <w:tcPr>
            <w:tcW w:w="1760" w:type="dxa"/>
            <w:vAlign w:val="bottom"/>
            <w:vMerge w:val="continue"/>
            <w:shd w:val="clear" w:color="auto" w:fill="EEEEEE"/>
          </w:tcPr>
          <w:p>
            <w:pPr>
              <w:spacing w:after="0"/>
              <w:rPr>
                <w:sz w:val="19"/>
                <w:szCs w:val="19"/>
                <w:color w:val="auto"/>
              </w:rPr>
            </w:pPr>
          </w:p>
        </w:tc>
        <w:tc>
          <w:tcPr>
            <w:tcW w:w="1020" w:type="dxa"/>
            <w:vAlign w:val="bottom"/>
            <w:shd w:val="clear" w:color="auto" w:fill="EEEEEE"/>
          </w:tcPr>
          <w:p>
            <w:pPr>
              <w:spacing w:after="0"/>
              <w:rPr>
                <w:sz w:val="19"/>
                <w:szCs w:val="19"/>
                <w:color w:val="auto"/>
              </w:rPr>
            </w:pPr>
          </w:p>
        </w:tc>
        <w:tc>
          <w:tcPr>
            <w:tcW w:w="140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18,278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ind w:left="280"/>
              <w:spacing w:after="0"/>
              <w:rPr>
                <w:sz w:val="20"/>
                <w:szCs w:val="20"/>
                <w:color w:val="auto"/>
              </w:rPr>
            </w:pPr>
            <w:r>
              <w:rPr>
                <w:rFonts w:ascii="Arial" w:cs="Arial" w:eastAsia="Arial" w:hAnsi="Arial"/>
                <w:sz w:val="18"/>
                <w:szCs w:val="18"/>
                <w:color w:val="auto"/>
              </w:rPr>
              <w:t>Capital in excess of par value</w:t>
            </w:r>
          </w:p>
        </w:tc>
        <w:tc>
          <w:tcPr>
            <w:tcW w:w="680" w:type="dxa"/>
            <w:vAlign w:val="bottom"/>
          </w:tcPr>
          <w:p>
            <w:pPr>
              <w:spacing w:after="0"/>
              <w:rPr>
                <w:sz w:val="18"/>
                <w:szCs w:val="18"/>
                <w:color w:val="auto"/>
              </w:rPr>
            </w:pPr>
          </w:p>
        </w:tc>
        <w:tc>
          <w:tcPr>
            <w:tcW w:w="1760" w:type="dxa"/>
            <w:vAlign w:val="bottom"/>
          </w:tcPr>
          <w:p>
            <w:pPr>
              <w:jc w:val="right"/>
              <w:ind w:right="912"/>
              <w:spacing w:after="0"/>
              <w:rPr>
                <w:sz w:val="20"/>
                <w:szCs w:val="20"/>
                <w:color w:val="auto"/>
              </w:rPr>
            </w:pPr>
            <w:r>
              <w:rPr>
                <w:rFonts w:ascii="Arial" w:cs="Arial" w:eastAsia="Arial" w:hAnsi="Arial"/>
                <w:sz w:val="18"/>
                <w:szCs w:val="18"/>
                <w:b w:val="1"/>
                <w:bCs w:val="1"/>
                <w:color w:val="auto"/>
              </w:rPr>
              <w:t>166,951</w:t>
            </w:r>
          </w:p>
        </w:tc>
        <w:tc>
          <w:tcPr>
            <w:tcW w:w="1020" w:type="dxa"/>
            <w:vAlign w:val="bottom"/>
          </w:tcPr>
          <w:p>
            <w:pPr>
              <w:spacing w:after="0"/>
              <w:rPr>
                <w:sz w:val="18"/>
                <w:szCs w:val="18"/>
                <w:color w:val="auto"/>
              </w:rPr>
            </w:pPr>
          </w:p>
        </w:tc>
        <w:tc>
          <w:tcPr>
            <w:tcW w:w="1400" w:type="dxa"/>
            <w:vAlign w:val="bottom"/>
          </w:tcPr>
          <w:p>
            <w:pPr>
              <w:jc w:val="right"/>
              <w:ind w:right="552"/>
              <w:spacing w:after="0"/>
              <w:rPr>
                <w:sz w:val="20"/>
                <w:szCs w:val="20"/>
                <w:color w:val="auto"/>
              </w:rPr>
            </w:pPr>
            <w:r>
              <w:rPr>
                <w:rFonts w:ascii="Arial" w:cs="Arial" w:eastAsia="Arial" w:hAnsi="Arial"/>
                <w:sz w:val="18"/>
                <w:szCs w:val="18"/>
                <w:color w:val="auto"/>
              </w:rPr>
              <w:t>149,090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EEEEEE"/>
          </w:tcPr>
          <w:p>
            <w:pPr>
              <w:ind w:left="280"/>
              <w:spacing w:after="0"/>
              <w:rPr>
                <w:sz w:val="20"/>
                <w:szCs w:val="20"/>
                <w:color w:val="auto"/>
              </w:rPr>
            </w:pPr>
            <w:r>
              <w:rPr>
                <w:rFonts w:ascii="Arial" w:cs="Arial" w:eastAsia="Arial" w:hAnsi="Arial"/>
                <w:sz w:val="18"/>
                <w:szCs w:val="18"/>
                <w:color w:val="auto"/>
              </w:rPr>
              <w:t>Retained earnings</w:t>
            </w:r>
          </w:p>
        </w:tc>
        <w:tc>
          <w:tcPr>
            <w:tcW w:w="680" w:type="dxa"/>
            <w:vAlign w:val="bottom"/>
            <w:shd w:val="clear" w:color="auto" w:fill="EEEEEE"/>
          </w:tcPr>
          <w:p>
            <w:pPr>
              <w:spacing w:after="0"/>
              <w:rPr>
                <w:sz w:val="18"/>
                <w:szCs w:val="18"/>
                <w:color w:val="auto"/>
              </w:rPr>
            </w:pPr>
          </w:p>
        </w:tc>
        <w:tc>
          <w:tcPr>
            <w:tcW w:w="1760" w:type="dxa"/>
            <w:vAlign w:val="bottom"/>
            <w:shd w:val="clear" w:color="auto" w:fill="EEEEEE"/>
          </w:tcPr>
          <w:p>
            <w:pPr>
              <w:jc w:val="right"/>
              <w:ind w:right="912"/>
              <w:spacing w:after="0"/>
              <w:rPr>
                <w:sz w:val="20"/>
                <w:szCs w:val="20"/>
                <w:color w:val="auto"/>
              </w:rPr>
            </w:pPr>
            <w:r>
              <w:rPr>
                <w:rFonts w:ascii="Arial" w:cs="Arial" w:eastAsia="Arial" w:hAnsi="Arial"/>
                <w:sz w:val="18"/>
                <w:szCs w:val="18"/>
                <w:b w:val="1"/>
                <w:bCs w:val="1"/>
                <w:color w:val="auto"/>
                <w:w w:val="92"/>
              </w:rPr>
              <w:t>3,364,407</w:t>
            </w:r>
          </w:p>
        </w:tc>
        <w:tc>
          <w:tcPr>
            <w:tcW w:w="1020" w:type="dxa"/>
            <w:vAlign w:val="bottom"/>
            <w:shd w:val="clear" w:color="auto" w:fill="EEEEEE"/>
          </w:tcPr>
          <w:p>
            <w:pPr>
              <w:spacing w:after="0"/>
              <w:rPr>
                <w:sz w:val="18"/>
                <w:szCs w:val="18"/>
                <w:color w:val="auto"/>
              </w:rPr>
            </w:pPr>
          </w:p>
        </w:tc>
        <w:tc>
          <w:tcPr>
            <w:tcW w:w="140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w w:val="92"/>
              </w:rPr>
              <w:t>3,179,607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ind w:left="280"/>
              <w:spacing w:after="0"/>
              <w:rPr>
                <w:sz w:val="20"/>
                <w:szCs w:val="20"/>
                <w:color w:val="auto"/>
              </w:rPr>
            </w:pPr>
            <w:r>
              <w:rPr>
                <w:rFonts w:ascii="Arial" w:cs="Arial" w:eastAsia="Arial" w:hAnsi="Arial"/>
                <w:sz w:val="18"/>
                <w:szCs w:val="18"/>
                <w:color w:val="auto"/>
              </w:rPr>
              <w:t>Accumulated other comprehensive income (loss), net of taxes</w:t>
            </w:r>
          </w:p>
        </w:tc>
        <w:tc>
          <w:tcPr>
            <w:tcW w:w="6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EEEEEE"/>
          </w:tcPr>
          <w:p>
            <w:pPr>
              <w:ind w:left="580"/>
              <w:spacing w:after="0"/>
              <w:rPr>
                <w:sz w:val="20"/>
                <w:szCs w:val="20"/>
                <w:color w:val="auto"/>
              </w:rPr>
            </w:pPr>
            <w:r>
              <w:rPr>
                <w:rFonts w:ascii="Arial" w:cs="Arial" w:eastAsia="Arial" w:hAnsi="Arial"/>
                <w:sz w:val="18"/>
                <w:szCs w:val="18"/>
                <w:color w:val="auto"/>
              </w:rPr>
              <w:t>Cumulative foreign currency translation adjustment</w:t>
            </w:r>
          </w:p>
        </w:tc>
        <w:tc>
          <w:tcPr>
            <w:tcW w:w="680" w:type="dxa"/>
            <w:vAlign w:val="bottom"/>
            <w:shd w:val="clear" w:color="auto" w:fill="EEEEEE"/>
          </w:tcPr>
          <w:p>
            <w:pPr>
              <w:spacing w:after="0"/>
              <w:rPr>
                <w:sz w:val="18"/>
                <w:szCs w:val="18"/>
                <w:color w:val="auto"/>
              </w:rPr>
            </w:pPr>
          </w:p>
        </w:tc>
        <w:tc>
          <w:tcPr>
            <w:tcW w:w="1760" w:type="dxa"/>
            <w:vAlign w:val="bottom"/>
            <w:shd w:val="clear" w:color="auto" w:fill="EEEEEE"/>
          </w:tcPr>
          <w:p>
            <w:pPr>
              <w:jc w:val="right"/>
              <w:ind w:right="912"/>
              <w:spacing w:after="0"/>
              <w:rPr>
                <w:sz w:val="20"/>
                <w:szCs w:val="20"/>
                <w:color w:val="auto"/>
              </w:rPr>
            </w:pPr>
            <w:r>
              <w:rPr>
                <w:rFonts w:ascii="Arial" w:cs="Arial" w:eastAsia="Arial" w:hAnsi="Arial"/>
                <w:sz w:val="18"/>
                <w:szCs w:val="18"/>
                <w:b w:val="1"/>
                <w:bCs w:val="1"/>
                <w:color w:val="auto"/>
              </w:rPr>
              <w:t>4,272</w:t>
            </w:r>
          </w:p>
        </w:tc>
        <w:tc>
          <w:tcPr>
            <w:tcW w:w="1020" w:type="dxa"/>
            <w:vAlign w:val="bottom"/>
            <w:shd w:val="clear" w:color="auto" w:fill="EEEEEE"/>
          </w:tcPr>
          <w:p>
            <w:pPr>
              <w:spacing w:after="0"/>
              <w:rPr>
                <w:sz w:val="18"/>
                <w:szCs w:val="18"/>
                <w:color w:val="auto"/>
              </w:rPr>
            </w:pPr>
          </w:p>
        </w:tc>
        <w:tc>
          <w:tcPr>
            <w:tcW w:w="1400" w:type="dxa"/>
            <w:vAlign w:val="bottom"/>
            <w:shd w:val="clear" w:color="auto" w:fill="EEEEEE"/>
          </w:tcPr>
          <w:p>
            <w:pPr>
              <w:jc w:val="right"/>
              <w:ind w:right="492"/>
              <w:spacing w:after="0"/>
              <w:rPr>
                <w:sz w:val="20"/>
                <w:szCs w:val="20"/>
                <w:color w:val="auto"/>
              </w:rPr>
            </w:pPr>
            <w:r>
              <w:rPr>
                <w:rFonts w:ascii="Arial" w:cs="Arial" w:eastAsia="Arial" w:hAnsi="Arial"/>
                <w:sz w:val="18"/>
                <w:szCs w:val="18"/>
                <w:color w:val="auto"/>
              </w:rPr>
              <w:t>(7,511)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ind w:left="580"/>
              <w:spacing w:after="0"/>
              <w:rPr>
                <w:sz w:val="20"/>
                <w:szCs w:val="20"/>
                <w:color w:val="auto"/>
              </w:rPr>
            </w:pPr>
            <w:r>
              <w:rPr>
                <w:rFonts w:ascii="Arial" w:cs="Arial" w:eastAsia="Arial" w:hAnsi="Arial"/>
                <w:sz w:val="18"/>
                <w:szCs w:val="18"/>
                <w:color w:val="auto"/>
              </w:rPr>
              <w:t>Unrealized gain on available-for-sale securities</w:t>
            </w:r>
          </w:p>
        </w:tc>
        <w:tc>
          <w:tcPr>
            <w:tcW w:w="680" w:type="dxa"/>
            <w:vAlign w:val="bottom"/>
          </w:tcPr>
          <w:p>
            <w:pPr>
              <w:spacing w:after="0"/>
              <w:rPr>
                <w:sz w:val="18"/>
                <w:szCs w:val="18"/>
                <w:color w:val="auto"/>
              </w:rPr>
            </w:pPr>
          </w:p>
        </w:tc>
        <w:tc>
          <w:tcPr>
            <w:tcW w:w="1760" w:type="dxa"/>
            <w:vAlign w:val="bottom"/>
          </w:tcPr>
          <w:p>
            <w:pPr>
              <w:jc w:val="right"/>
              <w:ind w:right="912"/>
              <w:spacing w:after="0"/>
              <w:rPr>
                <w:sz w:val="20"/>
                <w:szCs w:val="20"/>
                <w:color w:val="auto"/>
              </w:rPr>
            </w:pPr>
            <w:r>
              <w:rPr>
                <w:rFonts w:ascii="Arial" w:cs="Arial" w:eastAsia="Arial" w:hAnsi="Arial"/>
                <w:sz w:val="18"/>
                <w:szCs w:val="18"/>
                <w:b w:val="1"/>
                <w:bCs w:val="1"/>
                <w:color w:val="auto"/>
              </w:rPr>
              <w:t>37,205</w:t>
            </w:r>
          </w:p>
        </w:tc>
        <w:tc>
          <w:tcPr>
            <w:tcW w:w="1020" w:type="dxa"/>
            <w:vAlign w:val="bottom"/>
          </w:tcPr>
          <w:p>
            <w:pPr>
              <w:spacing w:after="0"/>
              <w:rPr>
                <w:sz w:val="18"/>
                <w:szCs w:val="18"/>
                <w:color w:val="auto"/>
              </w:rPr>
            </w:pPr>
          </w:p>
        </w:tc>
        <w:tc>
          <w:tcPr>
            <w:tcW w:w="1400" w:type="dxa"/>
            <w:vAlign w:val="bottom"/>
          </w:tcPr>
          <w:p>
            <w:pPr>
              <w:jc w:val="right"/>
              <w:ind w:right="552"/>
              <w:spacing w:after="0"/>
              <w:rPr>
                <w:sz w:val="20"/>
                <w:szCs w:val="20"/>
                <w:color w:val="auto"/>
              </w:rPr>
            </w:pPr>
            <w:r>
              <w:rPr>
                <w:rFonts w:ascii="Arial" w:cs="Arial" w:eastAsia="Arial" w:hAnsi="Arial"/>
                <w:sz w:val="18"/>
                <w:szCs w:val="18"/>
                <w:color w:val="auto"/>
              </w:rPr>
              <w:t>17,913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40" w:type="dxa"/>
            <w:vAlign w:val="bottom"/>
            <w:gridSpan w:val="2"/>
            <w:shd w:val="clear" w:color="auto" w:fill="EEEEEE"/>
          </w:tcPr>
          <w:p>
            <w:pPr>
              <w:ind w:left="280"/>
              <w:spacing w:after="0"/>
              <w:rPr>
                <w:sz w:val="20"/>
                <w:szCs w:val="20"/>
                <w:color w:val="auto"/>
              </w:rPr>
            </w:pPr>
            <w:r>
              <w:rPr>
                <w:rFonts w:ascii="Arial" w:cs="Arial" w:eastAsia="Arial" w:hAnsi="Arial"/>
                <w:sz w:val="18"/>
                <w:szCs w:val="18"/>
                <w:color w:val="auto"/>
              </w:rPr>
              <w:t>Cost of 10,458,420 and 10,489,207 shares of Class B common stock held in</w:t>
            </w:r>
          </w:p>
        </w:tc>
        <w:tc>
          <w:tcPr>
            <w:tcW w:w="680" w:type="dxa"/>
            <w:vAlign w:val="bottom"/>
            <w:shd w:val="clear" w:color="auto" w:fill="EEEEEE"/>
          </w:tcPr>
          <w:p>
            <w:pPr>
              <w:spacing w:after="0"/>
              <w:rPr>
                <w:sz w:val="18"/>
                <w:szCs w:val="18"/>
                <w:color w:val="auto"/>
              </w:rPr>
            </w:pPr>
          </w:p>
        </w:tc>
        <w:tc>
          <w:tcPr>
            <w:tcW w:w="1760" w:type="dxa"/>
            <w:vAlign w:val="bottom"/>
            <w:vMerge w:val="restart"/>
            <w:shd w:val="clear" w:color="auto" w:fill="EEEEEE"/>
          </w:tcPr>
          <w:p>
            <w:pPr>
              <w:jc w:val="right"/>
              <w:ind w:right="852"/>
              <w:spacing w:after="0"/>
              <w:rPr>
                <w:sz w:val="20"/>
                <w:szCs w:val="20"/>
                <w:color w:val="auto"/>
              </w:rPr>
            </w:pPr>
            <w:r>
              <w:rPr>
                <w:rFonts w:ascii="Arial" w:cs="Arial" w:eastAsia="Arial" w:hAnsi="Arial"/>
                <w:sz w:val="18"/>
                <w:szCs w:val="18"/>
                <w:b w:val="1"/>
                <w:bCs w:val="1"/>
                <w:color w:val="auto"/>
                <w:w w:val="86"/>
              </w:rPr>
              <w:t>(1,517,894)</w:t>
            </w:r>
          </w:p>
        </w:tc>
        <w:tc>
          <w:tcPr>
            <w:tcW w:w="102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40" w:type="dxa"/>
            <w:vAlign w:val="bottom"/>
            <w:gridSpan w:val="2"/>
            <w:shd w:val="clear" w:color="auto" w:fill="EEEEEE"/>
          </w:tcPr>
          <w:p>
            <w:pPr>
              <w:ind w:left="420"/>
              <w:spacing w:after="0"/>
              <w:rPr>
                <w:sz w:val="20"/>
                <w:szCs w:val="20"/>
                <w:color w:val="auto"/>
              </w:rPr>
            </w:pPr>
            <w:r>
              <w:rPr>
                <w:rFonts w:ascii="Arial" w:cs="Arial" w:eastAsia="Arial" w:hAnsi="Arial"/>
                <w:sz w:val="18"/>
                <w:szCs w:val="18"/>
                <w:color w:val="auto"/>
              </w:rPr>
              <w:t>treasury</w:t>
            </w:r>
          </w:p>
        </w:tc>
        <w:tc>
          <w:tcPr>
            <w:tcW w:w="680" w:type="dxa"/>
            <w:vAlign w:val="bottom"/>
            <w:shd w:val="clear" w:color="auto" w:fill="EEEEEE"/>
          </w:tcPr>
          <w:p>
            <w:pPr>
              <w:spacing w:after="0"/>
              <w:rPr>
                <w:sz w:val="19"/>
                <w:szCs w:val="19"/>
                <w:color w:val="auto"/>
              </w:rPr>
            </w:pPr>
          </w:p>
        </w:tc>
        <w:tc>
          <w:tcPr>
            <w:tcW w:w="1760" w:type="dxa"/>
            <w:vAlign w:val="bottom"/>
            <w:vMerge w:val="continue"/>
            <w:shd w:val="clear" w:color="auto" w:fill="EEEEEE"/>
          </w:tcPr>
          <w:p>
            <w:pPr>
              <w:spacing w:after="0"/>
              <w:rPr>
                <w:sz w:val="19"/>
                <w:szCs w:val="19"/>
                <w:color w:val="auto"/>
              </w:rPr>
            </w:pPr>
          </w:p>
        </w:tc>
        <w:tc>
          <w:tcPr>
            <w:tcW w:w="1020" w:type="dxa"/>
            <w:vAlign w:val="bottom"/>
            <w:shd w:val="clear" w:color="auto" w:fill="EEEEEE"/>
          </w:tcPr>
          <w:p>
            <w:pPr>
              <w:spacing w:after="0"/>
              <w:rPr>
                <w:sz w:val="19"/>
                <w:szCs w:val="19"/>
                <w:color w:val="auto"/>
              </w:rPr>
            </w:pPr>
          </w:p>
        </w:tc>
        <w:tc>
          <w:tcPr>
            <w:tcW w:w="1400" w:type="dxa"/>
            <w:vAlign w:val="bottom"/>
            <w:shd w:val="clear" w:color="auto" w:fill="EEEEEE"/>
          </w:tcPr>
          <w:p>
            <w:pPr>
              <w:jc w:val="right"/>
              <w:ind w:right="492"/>
              <w:spacing w:after="0"/>
              <w:rPr>
                <w:sz w:val="20"/>
                <w:szCs w:val="20"/>
                <w:color w:val="auto"/>
              </w:rPr>
            </w:pPr>
            <w:r>
              <w:rPr>
                <w:rFonts w:ascii="Arial" w:cs="Arial" w:eastAsia="Arial" w:hAnsi="Arial"/>
                <w:sz w:val="18"/>
                <w:szCs w:val="18"/>
                <w:color w:val="auto"/>
                <w:w w:val="86"/>
              </w:rPr>
              <w:t>(1,521,806)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60" w:type="dxa"/>
            <w:vAlign w:val="bottom"/>
          </w:tcPr>
          <w:p>
            <w:pPr>
              <w:jc w:val="right"/>
              <w:ind w:right="912"/>
              <w:spacing w:after="0"/>
              <w:rPr>
                <w:sz w:val="20"/>
                <w:szCs w:val="20"/>
                <w:color w:val="auto"/>
              </w:rPr>
            </w:pPr>
            <w:r>
              <w:rPr>
                <w:rFonts w:ascii="Arial" w:cs="Arial" w:eastAsia="Arial" w:hAnsi="Arial"/>
                <w:sz w:val="18"/>
                <w:szCs w:val="18"/>
                <w:b w:val="1"/>
                <w:bCs w:val="1"/>
                <w:color w:val="auto"/>
                <w:w w:val="92"/>
              </w:rPr>
              <w:t>2,074,941</w:t>
            </w:r>
          </w:p>
        </w:tc>
        <w:tc>
          <w:tcPr>
            <w:tcW w:w="1020" w:type="dxa"/>
            <w:vAlign w:val="bottom"/>
          </w:tcPr>
          <w:p>
            <w:pPr>
              <w:spacing w:after="0"/>
              <w:rPr>
                <w:sz w:val="24"/>
                <w:szCs w:val="24"/>
                <w:color w:val="auto"/>
              </w:rPr>
            </w:pPr>
          </w:p>
        </w:tc>
        <w:tc>
          <w:tcPr>
            <w:tcW w:w="1400" w:type="dxa"/>
            <w:vAlign w:val="bottom"/>
          </w:tcPr>
          <w:p>
            <w:pPr>
              <w:jc w:val="right"/>
              <w:ind w:right="552"/>
              <w:spacing w:after="0"/>
              <w:rPr>
                <w:sz w:val="20"/>
                <w:szCs w:val="20"/>
                <w:color w:val="auto"/>
              </w:rPr>
            </w:pPr>
            <w:r>
              <w:rPr>
                <w:rFonts w:ascii="Arial" w:cs="Arial" w:eastAsia="Arial" w:hAnsi="Arial"/>
                <w:sz w:val="18"/>
                <w:szCs w:val="18"/>
                <w:color w:val="auto"/>
                <w:w w:val="92"/>
              </w:rPr>
              <w:t>1,837,293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1760" w:type="dxa"/>
            <w:vAlign w:val="bottom"/>
            <w:shd w:val="clear" w:color="auto" w:fill="EEEEEE"/>
          </w:tcPr>
          <w:p>
            <w:pPr>
              <w:jc w:val="right"/>
              <w:ind w:right="912"/>
              <w:spacing w:after="0"/>
              <w:rPr>
                <w:sz w:val="20"/>
                <w:szCs w:val="20"/>
                <w:color w:val="auto"/>
              </w:rPr>
            </w:pPr>
            <w:r>
              <w:rPr>
                <w:rFonts w:ascii="Arial" w:cs="Arial" w:eastAsia="Arial" w:hAnsi="Arial"/>
                <w:sz w:val="18"/>
                <w:szCs w:val="18"/>
                <w:b w:val="1"/>
                <w:bCs w:val="1"/>
                <w:color w:val="auto"/>
                <w:w w:val="92"/>
              </w:rPr>
              <w:t>3,901,558</w:t>
            </w:r>
          </w:p>
        </w:tc>
        <w:tc>
          <w:tcPr>
            <w:tcW w:w="1020" w:type="dxa"/>
            <w:vAlign w:val="bottom"/>
            <w:shd w:val="clear" w:color="auto" w:fill="EEEEEE"/>
          </w:tcPr>
          <w:p>
            <w:pPr>
              <w:ind w:left="92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w w:val="92"/>
              </w:rPr>
              <w:t>3,583,894</w:t>
            </w:r>
          </w:p>
        </w:tc>
        <w:tc>
          <w:tcPr>
            <w:tcW w:w="0" w:type="dxa"/>
            <w:vAlign w:val="bottom"/>
          </w:tcPr>
          <w:p>
            <w:pPr>
              <w:spacing w:after="0"/>
              <w:rPr>
                <w:sz w:val="1"/>
                <w:szCs w:val="1"/>
                <w:color w:val="auto"/>
              </w:rPr>
            </w:pPr>
          </w:p>
        </w:tc>
      </w:tr>
      <w:tr>
        <w:trPr>
          <w:trHeight w:val="105"/>
        </w:trPr>
        <w:tc>
          <w:tcPr>
            <w:tcW w:w="6040" w:type="dxa"/>
            <w:vAlign w:val="bottom"/>
            <w:gridSpan w:val="2"/>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040" w:type="dxa"/>
            <w:vAlign w:val="bottom"/>
            <w:tcBorders>
              <w:right w:val="single" w:sz="8" w:color="808080"/>
            </w:tcBorders>
            <w:gridSpan w:val="2"/>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76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6560" w:type="dxa"/>
            <w:vAlign w:val="bottom"/>
            <w:gridSpan w:val="3"/>
          </w:tcPr>
          <w:p>
            <w:pPr>
              <w:spacing w:after="0"/>
              <w:rPr>
                <w:sz w:val="20"/>
                <w:szCs w:val="20"/>
                <w:color w:val="auto"/>
              </w:rPr>
            </w:pPr>
            <w:r>
              <w:rPr>
                <w:rFonts w:ascii="Arial" w:cs="Arial" w:eastAsia="Arial" w:hAnsi="Arial"/>
                <w:sz w:val="18"/>
                <w:szCs w:val="18"/>
                <w:color w:val="auto"/>
                <w:w w:val="95"/>
              </w:rPr>
              <w:t>The information on pages 44 through 58 is an integral part of the financial statements.</w:t>
            </w:r>
          </w:p>
        </w:tc>
        <w:tc>
          <w:tcPr>
            <w:tcW w:w="6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040" w:type="dxa"/>
            <w:vAlign w:val="bottom"/>
            <w:gridSpan w:val="2"/>
          </w:tcPr>
          <w:p>
            <w:pPr>
              <w:jc w:val="right"/>
              <w:ind w:right="152"/>
              <w:spacing w:after="0"/>
              <w:rPr>
                <w:sz w:val="20"/>
                <w:szCs w:val="20"/>
                <w:color w:val="auto"/>
              </w:rPr>
            </w:pPr>
            <w:r>
              <w:rPr>
                <w:rFonts w:ascii="Arial" w:cs="Arial" w:eastAsia="Arial" w:hAnsi="Arial"/>
                <w:sz w:val="18"/>
                <w:szCs w:val="18"/>
                <w:color w:val="auto"/>
              </w:rPr>
              <w:t>41</w:t>
            </w: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560" w:type="dxa"/>
            <w:vAlign w:val="bottom"/>
            <w:gridSpan w:val="2"/>
          </w:tcPr>
          <w:p>
            <w:pPr>
              <w:jc w:val="right"/>
              <w:ind w:right="872"/>
              <w:spacing w:after="0"/>
              <w:rPr>
                <w:sz w:val="20"/>
                <w:szCs w:val="20"/>
                <w:color w:val="auto"/>
              </w:rPr>
            </w:pPr>
            <w:r>
              <w:rPr>
                <w:rFonts w:ascii="Arial" w:cs="Arial" w:eastAsia="Arial" w:hAnsi="Arial"/>
                <w:sz w:val="14"/>
                <w:szCs w:val="14"/>
                <w:color w:val="auto"/>
              </w:rPr>
              <w:t>Fiscal year ended</w:t>
            </w: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2200" w:type="dxa"/>
            <w:vAlign w:val="bottom"/>
            <w:tcBorders>
              <w:bottom w:val="single" w:sz="8" w:color="808080"/>
            </w:tcBorders>
            <w:gridSpan w:val="2"/>
          </w:tcPr>
          <w:p>
            <w:pPr>
              <w:spacing w:after="0"/>
              <w:rPr>
                <w:sz w:val="8"/>
                <w:szCs w:val="8"/>
                <w:color w:val="auto"/>
              </w:rPr>
            </w:pPr>
          </w:p>
        </w:tc>
        <w:tc>
          <w:tcPr>
            <w:tcW w:w="2560" w:type="dxa"/>
            <w:vAlign w:val="bottom"/>
            <w:tcBorders>
              <w:bottom w:val="single" w:sz="8" w:color="808080"/>
            </w:tcBorders>
            <w:gridSpan w:val="2"/>
          </w:tcPr>
          <w:p>
            <w:pPr>
              <w:spacing w:after="0"/>
              <w:rPr>
                <w:sz w:val="8"/>
                <w:szCs w:val="8"/>
                <w:color w:val="auto"/>
              </w:rPr>
            </w:pPr>
          </w:p>
        </w:tc>
        <w:tc>
          <w:tcPr>
            <w:tcW w:w="1960" w:type="dxa"/>
            <w:vAlign w:val="bottom"/>
            <w:tcBorders>
              <w:bottom w:val="single" w:sz="8" w:color="808080"/>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200" w:type="dxa"/>
            <w:vAlign w:val="bottom"/>
            <w:gridSpan w:val="2"/>
          </w:tcPr>
          <w:p>
            <w:pPr>
              <w:jc w:val="right"/>
              <w:ind w:right="632"/>
              <w:spacing w:after="0"/>
              <w:rPr>
                <w:sz w:val="20"/>
                <w:szCs w:val="20"/>
                <w:color w:val="auto"/>
              </w:rPr>
            </w:pPr>
            <w:r>
              <w:rPr>
                <w:rFonts w:ascii="Arial" w:cs="Arial" w:eastAsia="Arial" w:hAnsi="Arial"/>
                <w:sz w:val="14"/>
                <w:szCs w:val="14"/>
                <w:b w:val="1"/>
                <w:bCs w:val="1"/>
                <w:color w:val="auto"/>
              </w:rPr>
              <w:t>December 28,</w:t>
            </w:r>
          </w:p>
        </w:tc>
        <w:tc>
          <w:tcPr>
            <w:tcW w:w="2560" w:type="dxa"/>
            <w:vAlign w:val="bottom"/>
            <w:gridSpan w:val="2"/>
          </w:tcPr>
          <w:p>
            <w:pPr>
              <w:jc w:val="right"/>
              <w:ind w:right="672"/>
              <w:spacing w:after="0"/>
              <w:rPr>
                <w:sz w:val="20"/>
                <w:szCs w:val="20"/>
                <w:color w:val="auto"/>
              </w:rPr>
            </w:pPr>
            <w:r>
              <w:rPr>
                <w:rFonts w:ascii="Arial" w:cs="Arial" w:eastAsia="Arial" w:hAnsi="Arial"/>
                <w:sz w:val="14"/>
                <w:szCs w:val="14"/>
                <w:color w:val="auto"/>
              </w:rPr>
              <w:t>December 29,</w:t>
            </w:r>
          </w:p>
        </w:tc>
        <w:tc>
          <w:tcPr>
            <w:tcW w:w="1960" w:type="dxa"/>
            <w:vAlign w:val="bottom"/>
            <w:gridSpan w:val="2"/>
          </w:tcPr>
          <w:p>
            <w:pPr>
              <w:jc w:val="right"/>
              <w:ind w:right="432"/>
              <w:spacing w:after="0"/>
              <w:rPr>
                <w:sz w:val="20"/>
                <w:szCs w:val="20"/>
                <w:color w:val="auto"/>
              </w:rPr>
            </w:pPr>
            <w:r>
              <w:rPr>
                <w:rFonts w:ascii="Arial" w:cs="Arial" w:eastAsia="Arial" w:hAnsi="Arial"/>
                <w:sz w:val="14"/>
                <w:szCs w:val="14"/>
                <w:color w:val="auto"/>
              </w:rPr>
              <w:t>December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80" w:type="dxa"/>
            <w:vAlign w:val="bottom"/>
          </w:tcPr>
          <w:p>
            <w:pPr>
              <w:ind w:left="1760"/>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5"/>
                <w:szCs w:val="15"/>
                <w:color w:val="auto"/>
              </w:rPr>
            </w:pPr>
          </w:p>
        </w:tc>
        <w:tc>
          <w:tcPr>
            <w:tcW w:w="1280" w:type="dxa"/>
            <w:vAlign w:val="bottom"/>
          </w:tcPr>
          <w:p>
            <w:pPr>
              <w:jc w:val="right"/>
              <w:ind w:right="872"/>
              <w:spacing w:after="0"/>
              <w:rPr>
                <w:sz w:val="20"/>
                <w:szCs w:val="20"/>
                <w:color w:val="auto"/>
              </w:rPr>
            </w:pPr>
            <w:r>
              <w:rPr>
                <w:rFonts w:ascii="Arial" w:cs="Arial" w:eastAsia="Arial" w:hAnsi="Arial"/>
                <w:sz w:val="14"/>
                <w:szCs w:val="14"/>
                <w:b w:val="1"/>
                <w:bCs w:val="1"/>
                <w:color w:val="auto"/>
              </w:rPr>
              <w:t>2003</w:t>
            </w:r>
          </w:p>
        </w:tc>
        <w:tc>
          <w:tcPr>
            <w:tcW w:w="1340" w:type="dxa"/>
            <w:vAlign w:val="bottom"/>
          </w:tcPr>
          <w:p>
            <w:pPr>
              <w:spacing w:after="0"/>
              <w:rPr>
                <w:sz w:val="15"/>
                <w:szCs w:val="15"/>
                <w:color w:val="auto"/>
              </w:rPr>
            </w:pPr>
          </w:p>
        </w:tc>
        <w:tc>
          <w:tcPr>
            <w:tcW w:w="1220" w:type="dxa"/>
            <w:vAlign w:val="bottom"/>
          </w:tcPr>
          <w:p>
            <w:pPr>
              <w:jc w:val="right"/>
              <w:ind w:right="892"/>
              <w:spacing w:after="0"/>
              <w:rPr>
                <w:sz w:val="20"/>
                <w:szCs w:val="20"/>
                <w:color w:val="auto"/>
              </w:rPr>
            </w:pPr>
            <w:r>
              <w:rPr>
                <w:rFonts w:ascii="Arial" w:cs="Arial" w:eastAsia="Arial" w:hAnsi="Arial"/>
                <w:sz w:val="14"/>
                <w:szCs w:val="14"/>
                <w:color w:val="auto"/>
                <w:w w:val="76"/>
              </w:rPr>
              <w:t>2002</w:t>
            </w:r>
          </w:p>
        </w:tc>
        <w:tc>
          <w:tcPr>
            <w:tcW w:w="980" w:type="dxa"/>
            <w:vAlign w:val="bottom"/>
          </w:tcPr>
          <w:p>
            <w:pPr>
              <w:spacing w:after="0"/>
              <w:rPr>
                <w:sz w:val="15"/>
                <w:szCs w:val="15"/>
                <w:color w:val="auto"/>
              </w:rPr>
            </w:pPr>
          </w:p>
        </w:tc>
        <w:tc>
          <w:tcPr>
            <w:tcW w:w="980" w:type="dxa"/>
            <w:vAlign w:val="bottom"/>
          </w:tcPr>
          <w:p>
            <w:pPr>
              <w:jc w:val="right"/>
              <w:ind w:right="612"/>
              <w:spacing w:after="0"/>
              <w:rPr>
                <w:sz w:val="20"/>
                <w:szCs w:val="20"/>
                <w:color w:val="auto"/>
              </w:rPr>
            </w:pPr>
            <w:r>
              <w:rPr>
                <w:rFonts w:ascii="Arial" w:cs="Arial" w:eastAsia="Arial" w:hAnsi="Arial"/>
                <w:sz w:val="14"/>
                <w:szCs w:val="14"/>
                <w:color w:val="auto"/>
                <w:w w:val="89"/>
              </w:rPr>
              <w:t>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8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tcBorders>
              <w:right w:val="single" w:sz="8" w:color="EEEEEE"/>
            </w:tcBorders>
            <w:shd w:val="clear" w:color="auto" w:fill="EEEEEE"/>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920" w:type="dxa"/>
            <w:vAlign w:val="bottom"/>
            <w:shd w:val="clear" w:color="auto" w:fill="EEEEEE"/>
          </w:tcPr>
          <w:p>
            <w:pPr>
              <w:spacing w:after="0"/>
              <w:rPr>
                <w:sz w:val="12"/>
                <w:szCs w:val="12"/>
                <w:color w:val="auto"/>
              </w:rPr>
            </w:pPr>
          </w:p>
        </w:tc>
        <w:tc>
          <w:tcPr>
            <w:tcW w:w="1280" w:type="dxa"/>
            <w:vAlign w:val="bottom"/>
            <w:shd w:val="clear" w:color="auto" w:fill="EEEEEE"/>
          </w:tcPr>
          <w:p>
            <w:pPr>
              <w:spacing w:after="0"/>
              <w:rPr>
                <w:sz w:val="12"/>
                <w:szCs w:val="12"/>
                <w:color w:val="auto"/>
              </w:rPr>
            </w:pPr>
          </w:p>
        </w:tc>
        <w:tc>
          <w:tcPr>
            <w:tcW w:w="1340" w:type="dxa"/>
            <w:vAlign w:val="bottom"/>
            <w:shd w:val="clear" w:color="auto" w:fill="EEEEEE"/>
          </w:tcPr>
          <w:p>
            <w:pPr>
              <w:spacing w:after="0"/>
              <w:rPr>
                <w:sz w:val="12"/>
                <w:szCs w:val="12"/>
                <w:color w:val="auto"/>
              </w:rPr>
            </w:pPr>
          </w:p>
        </w:tc>
        <w:tc>
          <w:tcPr>
            <w:tcW w:w="1220" w:type="dxa"/>
            <w:vAlign w:val="bottom"/>
            <w:shd w:val="clear" w:color="auto" w:fill="EEEEEE"/>
          </w:tcPr>
          <w:p>
            <w:pPr>
              <w:spacing w:after="0"/>
              <w:rPr>
                <w:sz w:val="12"/>
                <w:szCs w:val="12"/>
                <w:color w:val="auto"/>
              </w:rPr>
            </w:pPr>
          </w:p>
        </w:tc>
        <w:tc>
          <w:tcPr>
            <w:tcW w:w="980" w:type="dxa"/>
            <w:vAlign w:val="bottom"/>
            <w:shd w:val="clear" w:color="auto" w:fill="EEEEEE"/>
          </w:tcPr>
          <w:p>
            <w:pPr>
              <w:spacing w:after="0"/>
              <w:rPr>
                <w:sz w:val="12"/>
                <w:szCs w:val="12"/>
                <w:color w:val="auto"/>
              </w:rPr>
            </w:pPr>
          </w:p>
        </w:tc>
        <w:tc>
          <w:tcPr>
            <w:tcW w:w="9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280"/>
              <w:spacing w:after="0" w:line="149" w:lineRule="exact"/>
              <w:rPr>
                <w:sz w:val="20"/>
                <w:szCs w:val="20"/>
                <w:color w:val="auto"/>
              </w:rPr>
            </w:pPr>
            <w:r>
              <w:rPr>
                <w:rFonts w:ascii="Arial" w:cs="Arial" w:eastAsia="Arial" w:hAnsi="Arial"/>
                <w:sz w:val="14"/>
                <w:szCs w:val="14"/>
                <w:color w:val="auto"/>
              </w:rPr>
              <w:t>Net income</w:t>
            </w:r>
          </w:p>
        </w:tc>
        <w:tc>
          <w:tcPr>
            <w:tcW w:w="9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712"/>
              <w:spacing w:after="0" w:line="149" w:lineRule="exact"/>
              <w:rPr>
                <w:sz w:val="20"/>
                <w:szCs w:val="20"/>
                <w:color w:val="auto"/>
              </w:rPr>
            </w:pPr>
            <w:r>
              <w:rPr>
                <w:rFonts w:ascii="Arial" w:cs="Arial" w:eastAsia="Arial" w:hAnsi="Arial"/>
                <w:sz w:val="14"/>
                <w:szCs w:val="14"/>
                <w:b w:val="1"/>
                <w:bCs w:val="1"/>
                <w:color w:val="auto"/>
                <w:w w:val="94"/>
              </w:rPr>
              <w:t>241,088</w:t>
            </w: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672"/>
              <w:spacing w:after="0" w:line="149" w:lineRule="exact"/>
              <w:rPr>
                <w:sz w:val="20"/>
                <w:szCs w:val="20"/>
                <w:color w:val="auto"/>
              </w:rPr>
            </w:pPr>
            <w:r>
              <w:rPr>
                <w:rFonts w:ascii="Arial" w:cs="Arial" w:eastAsia="Arial" w:hAnsi="Arial"/>
                <w:sz w:val="14"/>
                <w:szCs w:val="14"/>
                <w:color w:val="auto"/>
                <w:w w:val="90"/>
              </w:rPr>
              <w:t>204,268</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432"/>
              <w:spacing w:after="0" w:line="149" w:lineRule="exact"/>
              <w:rPr>
                <w:sz w:val="20"/>
                <w:szCs w:val="20"/>
                <w:color w:val="auto"/>
              </w:rPr>
            </w:pPr>
            <w:r>
              <w:rPr>
                <w:rFonts w:ascii="Arial" w:cs="Arial" w:eastAsia="Arial" w:hAnsi="Arial"/>
                <w:sz w:val="14"/>
                <w:szCs w:val="14"/>
                <w:color w:val="auto"/>
                <w:w w:val="90"/>
              </w:rPr>
              <w:t>229,639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tcBorders>
              <w:right w:val="single" w:sz="8" w:color="EEEEEE"/>
            </w:tcBorders>
            <w:shd w:val="clear" w:color="auto" w:fill="EEEEEE"/>
          </w:tcPr>
          <w:p>
            <w:pPr>
              <w:ind w:left="280"/>
              <w:spacing w:after="0" w:line="138" w:lineRule="exact"/>
              <w:rPr>
                <w:sz w:val="20"/>
                <w:szCs w:val="20"/>
                <w:color w:val="auto"/>
              </w:rPr>
            </w:pPr>
            <w:r>
              <w:rPr>
                <w:rFonts w:ascii="Arial" w:cs="Arial" w:eastAsia="Arial" w:hAnsi="Arial"/>
                <w:sz w:val="14"/>
                <w:szCs w:val="14"/>
                <w:color w:val="auto"/>
              </w:rPr>
              <w:t>Adjustments to reconcile net income to net cash provided by operating</w:t>
            </w:r>
          </w:p>
        </w:tc>
        <w:tc>
          <w:tcPr>
            <w:tcW w:w="920" w:type="dxa"/>
            <w:vAlign w:val="bottom"/>
            <w:shd w:val="clear" w:color="auto" w:fill="EEEEEE"/>
          </w:tcPr>
          <w:p>
            <w:pPr>
              <w:spacing w:after="0"/>
              <w:rPr>
                <w:sz w:val="11"/>
                <w:szCs w:val="11"/>
                <w:color w:val="auto"/>
              </w:rPr>
            </w:pPr>
          </w:p>
        </w:tc>
        <w:tc>
          <w:tcPr>
            <w:tcW w:w="1280" w:type="dxa"/>
            <w:vAlign w:val="bottom"/>
            <w:shd w:val="clear" w:color="auto" w:fill="EEEEEE"/>
          </w:tcPr>
          <w:p>
            <w:pPr>
              <w:spacing w:after="0"/>
              <w:rPr>
                <w:sz w:val="11"/>
                <w:szCs w:val="11"/>
                <w:color w:val="auto"/>
              </w:rPr>
            </w:pPr>
          </w:p>
        </w:tc>
        <w:tc>
          <w:tcPr>
            <w:tcW w:w="1340" w:type="dxa"/>
            <w:vAlign w:val="bottom"/>
            <w:shd w:val="clear" w:color="auto" w:fill="EEEEEE"/>
          </w:tcPr>
          <w:p>
            <w:pPr>
              <w:spacing w:after="0"/>
              <w:rPr>
                <w:sz w:val="11"/>
                <w:szCs w:val="11"/>
                <w:color w:val="auto"/>
              </w:rPr>
            </w:pPr>
          </w:p>
        </w:tc>
        <w:tc>
          <w:tcPr>
            <w:tcW w:w="1220" w:type="dxa"/>
            <w:vAlign w:val="bottom"/>
            <w:shd w:val="clear" w:color="auto" w:fill="EEEEEE"/>
          </w:tcPr>
          <w:p>
            <w:pPr>
              <w:spacing w:after="0"/>
              <w:rPr>
                <w:sz w:val="11"/>
                <w:szCs w:val="11"/>
                <w:color w:val="auto"/>
              </w:rPr>
            </w:pPr>
          </w:p>
        </w:tc>
        <w:tc>
          <w:tcPr>
            <w:tcW w:w="980" w:type="dxa"/>
            <w:vAlign w:val="bottom"/>
            <w:shd w:val="clear" w:color="auto" w:fill="EEEEEE"/>
          </w:tcPr>
          <w:p>
            <w:pPr>
              <w:spacing w:after="0"/>
              <w:rPr>
                <w:sz w:val="11"/>
                <w:szCs w:val="11"/>
                <w:color w:val="auto"/>
              </w:rPr>
            </w:pPr>
          </w:p>
        </w:tc>
        <w:tc>
          <w:tcPr>
            <w:tcW w:w="9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80" w:type="dxa"/>
            <w:vAlign w:val="bottom"/>
            <w:tcBorders>
              <w:right w:val="single" w:sz="8" w:color="EEEEEE"/>
            </w:tcBorders>
            <w:shd w:val="clear" w:color="auto" w:fill="EEEEEE"/>
          </w:tcPr>
          <w:p>
            <w:pPr>
              <w:ind w:left="400"/>
              <w:spacing w:after="0" w:line="159" w:lineRule="exact"/>
              <w:rPr>
                <w:sz w:val="20"/>
                <w:szCs w:val="20"/>
                <w:color w:val="auto"/>
              </w:rPr>
            </w:pPr>
            <w:r>
              <w:rPr>
                <w:rFonts w:ascii="Arial" w:cs="Arial" w:eastAsia="Arial" w:hAnsi="Arial"/>
                <w:sz w:val="14"/>
                <w:szCs w:val="14"/>
                <w:color w:val="auto"/>
              </w:rPr>
              <w:t>activities:</w:t>
            </w:r>
          </w:p>
        </w:tc>
        <w:tc>
          <w:tcPr>
            <w:tcW w:w="920" w:type="dxa"/>
            <w:vAlign w:val="bottom"/>
            <w:shd w:val="clear" w:color="auto" w:fill="EEEEEE"/>
          </w:tcPr>
          <w:p>
            <w:pPr>
              <w:spacing w:after="0"/>
              <w:rPr>
                <w:sz w:val="13"/>
                <w:szCs w:val="13"/>
                <w:color w:val="auto"/>
              </w:rPr>
            </w:pPr>
          </w:p>
        </w:tc>
        <w:tc>
          <w:tcPr>
            <w:tcW w:w="1280" w:type="dxa"/>
            <w:vAlign w:val="bottom"/>
            <w:shd w:val="clear" w:color="auto" w:fill="EEEEEE"/>
          </w:tcPr>
          <w:p>
            <w:pPr>
              <w:spacing w:after="0"/>
              <w:rPr>
                <w:sz w:val="13"/>
                <w:szCs w:val="13"/>
                <w:color w:val="auto"/>
              </w:rPr>
            </w:pPr>
          </w:p>
        </w:tc>
        <w:tc>
          <w:tcPr>
            <w:tcW w:w="1340" w:type="dxa"/>
            <w:vAlign w:val="bottom"/>
            <w:shd w:val="clear" w:color="auto" w:fill="EEEEEE"/>
          </w:tcPr>
          <w:p>
            <w:pPr>
              <w:spacing w:after="0"/>
              <w:rPr>
                <w:sz w:val="13"/>
                <w:szCs w:val="13"/>
                <w:color w:val="auto"/>
              </w:rPr>
            </w:pPr>
          </w:p>
        </w:tc>
        <w:tc>
          <w:tcPr>
            <w:tcW w:w="1220" w:type="dxa"/>
            <w:vAlign w:val="bottom"/>
            <w:shd w:val="clear" w:color="auto" w:fill="EEEEEE"/>
          </w:tcPr>
          <w:p>
            <w:pPr>
              <w:spacing w:after="0"/>
              <w:rPr>
                <w:sz w:val="13"/>
                <w:szCs w:val="13"/>
                <w:color w:val="auto"/>
              </w:rPr>
            </w:pPr>
          </w:p>
        </w:tc>
        <w:tc>
          <w:tcPr>
            <w:tcW w:w="980" w:type="dxa"/>
            <w:vAlign w:val="bottom"/>
            <w:shd w:val="clear" w:color="auto" w:fill="EEEEEE"/>
          </w:tcPr>
          <w:p>
            <w:pPr>
              <w:spacing w:after="0"/>
              <w:rPr>
                <w:sz w:val="13"/>
                <w:szCs w:val="13"/>
                <w:color w:val="auto"/>
              </w:rPr>
            </w:pPr>
          </w:p>
        </w:tc>
        <w:tc>
          <w:tcPr>
            <w:tcW w:w="98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560"/>
              <w:spacing w:after="0" w:line="149" w:lineRule="exact"/>
              <w:rPr>
                <w:sz w:val="20"/>
                <w:szCs w:val="20"/>
                <w:color w:val="auto"/>
              </w:rPr>
            </w:pPr>
            <w:r>
              <w:rPr>
                <w:rFonts w:ascii="Arial" w:cs="Arial" w:eastAsia="Arial" w:hAnsi="Arial"/>
                <w:sz w:val="14"/>
                <w:szCs w:val="14"/>
                <w:color w:val="auto"/>
              </w:rPr>
              <w:t>Cumulative effect of change in accounting principle</w:t>
            </w:r>
          </w:p>
        </w:tc>
        <w:tc>
          <w:tcPr>
            <w:tcW w:w="920" w:type="dxa"/>
            <w:vAlign w:val="bottom"/>
          </w:tcPr>
          <w:p>
            <w:pPr>
              <w:spacing w:after="0"/>
              <w:rPr>
                <w:sz w:val="12"/>
                <w:szCs w:val="12"/>
                <w:color w:val="auto"/>
              </w:rPr>
            </w:pPr>
          </w:p>
        </w:tc>
        <w:tc>
          <w:tcPr>
            <w:tcW w:w="1280" w:type="dxa"/>
            <w:vAlign w:val="bottom"/>
          </w:tcPr>
          <w:p>
            <w:pPr>
              <w:jc w:val="right"/>
              <w:ind w:right="712"/>
              <w:spacing w:after="0" w:line="149" w:lineRule="exact"/>
              <w:rPr>
                <w:sz w:val="20"/>
                <w:szCs w:val="20"/>
                <w:color w:val="auto"/>
              </w:rPr>
            </w:pPr>
            <w:r>
              <w:rPr>
                <w:rFonts w:ascii="Arial" w:cs="Arial" w:eastAsia="Arial" w:hAnsi="Arial"/>
                <w:sz w:val="14"/>
                <w:szCs w:val="14"/>
                <w:b w:val="1"/>
                <w:bCs w:val="1"/>
                <w:color w:val="auto"/>
              </w:rPr>
              <w:t>—</w:t>
            </w:r>
          </w:p>
        </w:tc>
        <w:tc>
          <w:tcPr>
            <w:tcW w:w="1340" w:type="dxa"/>
            <w:vAlign w:val="bottom"/>
          </w:tcPr>
          <w:p>
            <w:pPr>
              <w:spacing w:after="0"/>
              <w:rPr>
                <w:sz w:val="12"/>
                <w:szCs w:val="12"/>
                <w:color w:val="auto"/>
              </w:rPr>
            </w:pPr>
          </w:p>
        </w:tc>
        <w:tc>
          <w:tcPr>
            <w:tcW w:w="1220" w:type="dxa"/>
            <w:vAlign w:val="bottom"/>
          </w:tcPr>
          <w:p>
            <w:pPr>
              <w:jc w:val="right"/>
              <w:ind w:right="672"/>
              <w:spacing w:after="0" w:line="149" w:lineRule="exact"/>
              <w:rPr>
                <w:sz w:val="20"/>
                <w:szCs w:val="20"/>
                <w:color w:val="auto"/>
              </w:rPr>
            </w:pPr>
            <w:r>
              <w:rPr>
                <w:rFonts w:ascii="Arial" w:cs="Arial" w:eastAsia="Arial" w:hAnsi="Arial"/>
                <w:sz w:val="14"/>
                <w:szCs w:val="14"/>
                <w:color w:val="auto"/>
              </w:rPr>
              <w:t>12,100</w:t>
            </w:r>
          </w:p>
        </w:tc>
        <w:tc>
          <w:tcPr>
            <w:tcW w:w="980" w:type="dxa"/>
            <w:vAlign w:val="bottom"/>
          </w:tcPr>
          <w:p>
            <w:pPr>
              <w:spacing w:after="0"/>
              <w:rPr>
                <w:sz w:val="12"/>
                <w:szCs w:val="12"/>
                <w:color w:val="auto"/>
              </w:rPr>
            </w:pPr>
          </w:p>
        </w:tc>
        <w:tc>
          <w:tcPr>
            <w:tcW w:w="980" w:type="dxa"/>
            <w:vAlign w:val="bottom"/>
          </w:tcPr>
          <w:p>
            <w:pPr>
              <w:jc w:val="right"/>
              <w:ind w:right="43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Borders>
              <w:right w:val="single" w:sz="8" w:color="EEEEEE"/>
            </w:tcBorders>
            <w:shd w:val="clear" w:color="auto" w:fill="EEEEEE"/>
          </w:tcPr>
          <w:p>
            <w:pPr>
              <w:ind w:left="560"/>
              <w:spacing w:after="0" w:line="149" w:lineRule="exact"/>
              <w:rPr>
                <w:sz w:val="20"/>
                <w:szCs w:val="20"/>
                <w:color w:val="auto"/>
              </w:rPr>
            </w:pPr>
            <w:r>
              <w:rPr>
                <w:rFonts w:ascii="Arial" w:cs="Arial" w:eastAsia="Arial" w:hAnsi="Arial"/>
                <w:sz w:val="14"/>
                <w:szCs w:val="14"/>
                <w:color w:val="auto"/>
              </w:rPr>
              <w:t>Depreciation of property, plant and equipment</w:t>
            </w:r>
          </w:p>
        </w:tc>
        <w:tc>
          <w:tcPr>
            <w:tcW w:w="920" w:type="dxa"/>
            <w:vAlign w:val="bottom"/>
            <w:shd w:val="clear" w:color="auto" w:fill="EEEEEE"/>
          </w:tcPr>
          <w:p>
            <w:pPr>
              <w:spacing w:after="0"/>
              <w:rPr>
                <w:sz w:val="12"/>
                <w:szCs w:val="12"/>
                <w:color w:val="auto"/>
              </w:rPr>
            </w:pPr>
          </w:p>
        </w:tc>
        <w:tc>
          <w:tcPr>
            <w:tcW w:w="1280" w:type="dxa"/>
            <w:vAlign w:val="bottom"/>
            <w:shd w:val="clear" w:color="auto" w:fill="EEEEEE"/>
          </w:tcPr>
          <w:p>
            <w:pPr>
              <w:jc w:val="right"/>
              <w:ind w:right="712"/>
              <w:spacing w:after="0" w:line="149" w:lineRule="exact"/>
              <w:rPr>
                <w:sz w:val="20"/>
                <w:szCs w:val="20"/>
                <w:color w:val="auto"/>
              </w:rPr>
            </w:pPr>
            <w:r>
              <w:rPr>
                <w:rFonts w:ascii="Arial" w:cs="Arial" w:eastAsia="Arial" w:hAnsi="Arial"/>
                <w:sz w:val="14"/>
                <w:szCs w:val="14"/>
                <w:b w:val="1"/>
                <w:bCs w:val="1"/>
                <w:color w:val="auto"/>
                <w:w w:val="94"/>
              </w:rPr>
              <w:t>173,848</w:t>
            </w:r>
          </w:p>
        </w:tc>
        <w:tc>
          <w:tcPr>
            <w:tcW w:w="1340" w:type="dxa"/>
            <w:vAlign w:val="bottom"/>
            <w:shd w:val="clear" w:color="auto" w:fill="EEEEEE"/>
          </w:tcPr>
          <w:p>
            <w:pPr>
              <w:spacing w:after="0"/>
              <w:rPr>
                <w:sz w:val="12"/>
                <w:szCs w:val="12"/>
                <w:color w:val="auto"/>
              </w:rPr>
            </w:pPr>
          </w:p>
        </w:tc>
        <w:tc>
          <w:tcPr>
            <w:tcW w:w="1220" w:type="dxa"/>
            <w:vAlign w:val="bottom"/>
            <w:shd w:val="clear" w:color="auto" w:fill="EEEEEE"/>
          </w:tcPr>
          <w:p>
            <w:pPr>
              <w:jc w:val="right"/>
              <w:ind w:right="672"/>
              <w:spacing w:after="0" w:line="149" w:lineRule="exact"/>
              <w:rPr>
                <w:sz w:val="20"/>
                <w:szCs w:val="20"/>
                <w:color w:val="auto"/>
              </w:rPr>
            </w:pPr>
            <w:r>
              <w:rPr>
                <w:rFonts w:ascii="Arial" w:cs="Arial" w:eastAsia="Arial" w:hAnsi="Arial"/>
                <w:sz w:val="14"/>
                <w:szCs w:val="14"/>
                <w:color w:val="auto"/>
                <w:w w:val="90"/>
              </w:rPr>
              <w:t>171,908</w:t>
            </w:r>
          </w:p>
        </w:tc>
        <w:tc>
          <w:tcPr>
            <w:tcW w:w="980" w:type="dxa"/>
            <w:vAlign w:val="bottom"/>
            <w:shd w:val="clear" w:color="auto" w:fill="EEEEEE"/>
          </w:tcPr>
          <w:p>
            <w:pPr>
              <w:spacing w:after="0"/>
              <w:rPr>
                <w:sz w:val="12"/>
                <w:szCs w:val="12"/>
                <w:color w:val="auto"/>
              </w:rPr>
            </w:pPr>
          </w:p>
        </w:tc>
        <w:tc>
          <w:tcPr>
            <w:tcW w:w="980" w:type="dxa"/>
            <w:vAlign w:val="bottom"/>
            <w:shd w:val="clear" w:color="auto" w:fill="EEEEEE"/>
          </w:tcPr>
          <w:p>
            <w:pPr>
              <w:jc w:val="right"/>
              <w:ind w:right="432"/>
              <w:spacing w:after="0" w:line="149" w:lineRule="exact"/>
              <w:rPr>
                <w:sz w:val="20"/>
                <w:szCs w:val="20"/>
                <w:color w:val="auto"/>
              </w:rPr>
            </w:pPr>
            <w:r>
              <w:rPr>
                <w:rFonts w:ascii="Arial" w:cs="Arial" w:eastAsia="Arial" w:hAnsi="Arial"/>
                <w:sz w:val="14"/>
                <w:szCs w:val="14"/>
                <w:color w:val="auto"/>
                <w:w w:val="90"/>
              </w:rPr>
              <w:t>138,300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560"/>
              <w:spacing w:after="0" w:line="149" w:lineRule="exact"/>
              <w:rPr>
                <w:sz w:val="20"/>
                <w:szCs w:val="20"/>
                <w:color w:val="auto"/>
              </w:rPr>
            </w:pPr>
            <w:r>
              <w:rPr>
                <w:rFonts w:ascii="Arial" w:cs="Arial" w:eastAsia="Arial" w:hAnsi="Arial"/>
                <w:sz w:val="14"/>
                <w:szCs w:val="14"/>
                <w:color w:val="auto"/>
              </w:rPr>
              <w:t>Amortization of goodwill and other intangibles</w:t>
            </w:r>
          </w:p>
        </w:tc>
        <w:tc>
          <w:tcPr>
            <w:tcW w:w="920" w:type="dxa"/>
            <w:vAlign w:val="bottom"/>
          </w:tcPr>
          <w:p>
            <w:pPr>
              <w:spacing w:after="0"/>
              <w:rPr>
                <w:sz w:val="12"/>
                <w:szCs w:val="12"/>
                <w:color w:val="auto"/>
              </w:rPr>
            </w:pPr>
          </w:p>
        </w:tc>
        <w:tc>
          <w:tcPr>
            <w:tcW w:w="1280" w:type="dxa"/>
            <w:vAlign w:val="bottom"/>
          </w:tcPr>
          <w:p>
            <w:pPr>
              <w:jc w:val="right"/>
              <w:ind w:right="712"/>
              <w:spacing w:after="0" w:line="149" w:lineRule="exact"/>
              <w:rPr>
                <w:sz w:val="20"/>
                <w:szCs w:val="20"/>
                <w:color w:val="auto"/>
              </w:rPr>
            </w:pPr>
            <w:r>
              <w:rPr>
                <w:rFonts w:ascii="Arial" w:cs="Arial" w:eastAsia="Arial" w:hAnsi="Arial"/>
                <w:sz w:val="14"/>
                <w:szCs w:val="14"/>
                <w:b w:val="1"/>
                <w:bCs w:val="1"/>
                <w:color w:val="auto"/>
              </w:rPr>
              <w:t>1,436</w:t>
            </w:r>
          </w:p>
        </w:tc>
        <w:tc>
          <w:tcPr>
            <w:tcW w:w="1340" w:type="dxa"/>
            <w:vAlign w:val="bottom"/>
          </w:tcPr>
          <w:p>
            <w:pPr>
              <w:spacing w:after="0"/>
              <w:rPr>
                <w:sz w:val="12"/>
                <w:szCs w:val="12"/>
                <w:color w:val="auto"/>
              </w:rPr>
            </w:pPr>
          </w:p>
        </w:tc>
        <w:tc>
          <w:tcPr>
            <w:tcW w:w="1220" w:type="dxa"/>
            <w:vAlign w:val="bottom"/>
          </w:tcPr>
          <w:p>
            <w:pPr>
              <w:jc w:val="right"/>
              <w:ind w:right="672"/>
              <w:spacing w:after="0" w:line="149" w:lineRule="exact"/>
              <w:rPr>
                <w:sz w:val="20"/>
                <w:szCs w:val="20"/>
                <w:color w:val="auto"/>
              </w:rPr>
            </w:pPr>
            <w:r>
              <w:rPr>
                <w:rFonts w:ascii="Arial" w:cs="Arial" w:eastAsia="Arial" w:hAnsi="Arial"/>
                <w:sz w:val="14"/>
                <w:szCs w:val="14"/>
                <w:color w:val="auto"/>
              </w:rPr>
              <w:t>655</w:t>
            </w:r>
          </w:p>
        </w:tc>
        <w:tc>
          <w:tcPr>
            <w:tcW w:w="980" w:type="dxa"/>
            <w:vAlign w:val="bottom"/>
          </w:tcPr>
          <w:p>
            <w:pPr>
              <w:spacing w:after="0"/>
              <w:rPr>
                <w:sz w:val="12"/>
                <w:szCs w:val="12"/>
                <w:color w:val="auto"/>
              </w:rPr>
            </w:pPr>
          </w:p>
        </w:tc>
        <w:tc>
          <w:tcPr>
            <w:tcW w:w="980" w:type="dxa"/>
            <w:vAlign w:val="bottom"/>
          </w:tcPr>
          <w:p>
            <w:pPr>
              <w:jc w:val="right"/>
              <w:ind w:right="432"/>
              <w:spacing w:after="0" w:line="149" w:lineRule="exact"/>
              <w:rPr>
                <w:sz w:val="20"/>
                <w:szCs w:val="20"/>
                <w:color w:val="auto"/>
              </w:rPr>
            </w:pPr>
            <w:r>
              <w:rPr>
                <w:rFonts w:ascii="Arial" w:cs="Arial" w:eastAsia="Arial" w:hAnsi="Arial"/>
                <w:sz w:val="14"/>
                <w:szCs w:val="14"/>
                <w:color w:val="auto"/>
              </w:rPr>
              <w:t>78,933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Borders>
              <w:right w:val="single" w:sz="8" w:color="EEEEEE"/>
            </w:tcBorders>
            <w:shd w:val="clear" w:color="auto" w:fill="EEEEEE"/>
          </w:tcPr>
          <w:p>
            <w:pPr>
              <w:ind w:left="560"/>
              <w:spacing w:after="0" w:line="149" w:lineRule="exact"/>
              <w:rPr>
                <w:sz w:val="20"/>
                <w:szCs w:val="20"/>
                <w:color w:val="auto"/>
              </w:rPr>
            </w:pPr>
            <w:r>
              <w:rPr>
                <w:rFonts w:ascii="Arial" w:cs="Arial" w:eastAsia="Arial" w:hAnsi="Arial"/>
                <w:sz w:val="14"/>
                <w:szCs w:val="14"/>
                <w:color w:val="auto"/>
              </w:rPr>
              <w:t>Net pension benefit</w:t>
            </w:r>
          </w:p>
        </w:tc>
        <w:tc>
          <w:tcPr>
            <w:tcW w:w="920" w:type="dxa"/>
            <w:vAlign w:val="bottom"/>
            <w:shd w:val="clear" w:color="auto" w:fill="EEEEEE"/>
          </w:tcPr>
          <w:p>
            <w:pPr>
              <w:spacing w:after="0"/>
              <w:rPr>
                <w:sz w:val="12"/>
                <w:szCs w:val="12"/>
                <w:color w:val="auto"/>
              </w:rPr>
            </w:pPr>
          </w:p>
        </w:tc>
        <w:tc>
          <w:tcPr>
            <w:tcW w:w="1280" w:type="dxa"/>
            <w:vAlign w:val="bottom"/>
            <w:shd w:val="clear" w:color="auto" w:fill="EEEEEE"/>
          </w:tcPr>
          <w:p>
            <w:pPr>
              <w:jc w:val="right"/>
              <w:ind w:right="672"/>
              <w:spacing w:after="0" w:line="149" w:lineRule="exact"/>
              <w:rPr>
                <w:sz w:val="20"/>
                <w:szCs w:val="20"/>
                <w:color w:val="auto"/>
              </w:rPr>
            </w:pPr>
            <w:r>
              <w:rPr>
                <w:rFonts w:ascii="Arial" w:cs="Arial" w:eastAsia="Arial" w:hAnsi="Arial"/>
                <w:sz w:val="14"/>
                <w:szCs w:val="14"/>
                <w:b w:val="1"/>
                <w:bCs w:val="1"/>
                <w:color w:val="auto"/>
                <w:w w:val="99"/>
              </w:rPr>
              <w:t>(55,137)</w:t>
            </w:r>
          </w:p>
        </w:tc>
        <w:tc>
          <w:tcPr>
            <w:tcW w:w="1340" w:type="dxa"/>
            <w:vAlign w:val="bottom"/>
            <w:shd w:val="clear" w:color="auto" w:fill="EEEEEE"/>
          </w:tcPr>
          <w:p>
            <w:pPr>
              <w:spacing w:after="0"/>
              <w:rPr>
                <w:sz w:val="12"/>
                <w:szCs w:val="12"/>
                <w:color w:val="auto"/>
              </w:rPr>
            </w:pPr>
          </w:p>
        </w:tc>
        <w:tc>
          <w:tcPr>
            <w:tcW w:w="1220" w:type="dxa"/>
            <w:vAlign w:val="bottom"/>
            <w:shd w:val="clear" w:color="auto" w:fill="EEEEEE"/>
          </w:tcPr>
          <w:p>
            <w:pPr>
              <w:jc w:val="right"/>
              <w:ind w:right="632"/>
              <w:spacing w:after="0" w:line="149" w:lineRule="exact"/>
              <w:rPr>
                <w:sz w:val="20"/>
                <w:szCs w:val="20"/>
                <w:color w:val="auto"/>
              </w:rPr>
            </w:pPr>
            <w:r>
              <w:rPr>
                <w:rFonts w:ascii="Arial" w:cs="Arial" w:eastAsia="Arial" w:hAnsi="Arial"/>
                <w:sz w:val="14"/>
                <w:szCs w:val="14"/>
                <w:color w:val="auto"/>
                <w:w w:val="95"/>
              </w:rPr>
              <w:t>(64,447)</w:t>
            </w:r>
          </w:p>
        </w:tc>
        <w:tc>
          <w:tcPr>
            <w:tcW w:w="980" w:type="dxa"/>
            <w:vAlign w:val="bottom"/>
            <w:shd w:val="clear" w:color="auto" w:fill="EEEEEE"/>
          </w:tcPr>
          <w:p>
            <w:pPr>
              <w:spacing w:after="0"/>
              <w:rPr>
                <w:sz w:val="12"/>
                <w:szCs w:val="12"/>
                <w:color w:val="auto"/>
              </w:rPr>
            </w:pPr>
          </w:p>
        </w:tc>
        <w:tc>
          <w:tcPr>
            <w:tcW w:w="980" w:type="dxa"/>
            <w:vAlign w:val="bottom"/>
            <w:shd w:val="clear" w:color="auto" w:fill="EEEEEE"/>
          </w:tcPr>
          <w:p>
            <w:pPr>
              <w:jc w:val="right"/>
              <w:ind w:right="392"/>
              <w:spacing w:after="0" w:line="149" w:lineRule="exact"/>
              <w:rPr>
                <w:sz w:val="20"/>
                <w:szCs w:val="20"/>
                <w:color w:val="auto"/>
              </w:rPr>
            </w:pPr>
            <w:r>
              <w:rPr>
                <w:rFonts w:ascii="Arial" w:cs="Arial" w:eastAsia="Arial" w:hAnsi="Arial"/>
                <w:sz w:val="14"/>
                <w:szCs w:val="14"/>
                <w:color w:val="auto"/>
                <w:w w:val="95"/>
              </w:rPr>
              <w:t>(76,945)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560"/>
              <w:spacing w:after="0" w:line="149" w:lineRule="exact"/>
              <w:rPr>
                <w:sz w:val="20"/>
                <w:szCs w:val="20"/>
                <w:color w:val="auto"/>
              </w:rPr>
            </w:pPr>
            <w:r>
              <w:rPr>
                <w:rFonts w:ascii="Arial" w:cs="Arial" w:eastAsia="Arial" w:hAnsi="Arial"/>
                <w:sz w:val="14"/>
                <w:szCs w:val="14"/>
                <w:color w:val="auto"/>
              </w:rPr>
              <w:t>Early retirement program expense</w:t>
            </w:r>
          </w:p>
        </w:tc>
        <w:tc>
          <w:tcPr>
            <w:tcW w:w="920" w:type="dxa"/>
            <w:vAlign w:val="bottom"/>
          </w:tcPr>
          <w:p>
            <w:pPr>
              <w:spacing w:after="0"/>
              <w:rPr>
                <w:sz w:val="12"/>
                <w:szCs w:val="12"/>
                <w:color w:val="auto"/>
              </w:rPr>
            </w:pPr>
          </w:p>
        </w:tc>
        <w:tc>
          <w:tcPr>
            <w:tcW w:w="1280" w:type="dxa"/>
            <w:vAlign w:val="bottom"/>
          </w:tcPr>
          <w:p>
            <w:pPr>
              <w:jc w:val="right"/>
              <w:ind w:right="712"/>
              <w:spacing w:after="0" w:line="149" w:lineRule="exact"/>
              <w:rPr>
                <w:sz w:val="20"/>
                <w:szCs w:val="20"/>
                <w:color w:val="auto"/>
              </w:rPr>
            </w:pPr>
            <w:r>
              <w:rPr>
                <w:rFonts w:ascii="Arial" w:cs="Arial" w:eastAsia="Arial" w:hAnsi="Arial"/>
                <w:sz w:val="14"/>
                <w:szCs w:val="14"/>
                <w:b w:val="1"/>
                <w:bCs w:val="1"/>
                <w:color w:val="auto"/>
              </w:rPr>
              <w:t>34,135</w:t>
            </w:r>
          </w:p>
        </w:tc>
        <w:tc>
          <w:tcPr>
            <w:tcW w:w="1340" w:type="dxa"/>
            <w:vAlign w:val="bottom"/>
          </w:tcPr>
          <w:p>
            <w:pPr>
              <w:spacing w:after="0"/>
              <w:rPr>
                <w:sz w:val="12"/>
                <w:szCs w:val="12"/>
                <w:color w:val="auto"/>
              </w:rPr>
            </w:pPr>
          </w:p>
        </w:tc>
        <w:tc>
          <w:tcPr>
            <w:tcW w:w="1220" w:type="dxa"/>
            <w:vAlign w:val="bottom"/>
          </w:tcPr>
          <w:p>
            <w:pPr>
              <w:jc w:val="right"/>
              <w:ind w:right="672"/>
              <w:spacing w:after="0" w:line="149" w:lineRule="exact"/>
              <w:rPr>
                <w:sz w:val="20"/>
                <w:szCs w:val="20"/>
                <w:color w:val="auto"/>
              </w:rPr>
            </w:pPr>
            <w:r>
              <w:rPr>
                <w:rFonts w:ascii="Arial" w:cs="Arial" w:eastAsia="Arial" w:hAnsi="Arial"/>
                <w:sz w:val="14"/>
                <w:szCs w:val="14"/>
                <w:color w:val="auto"/>
              </w:rPr>
              <w:t>19,001</w:t>
            </w:r>
          </w:p>
        </w:tc>
        <w:tc>
          <w:tcPr>
            <w:tcW w:w="980" w:type="dxa"/>
            <w:vAlign w:val="bottom"/>
          </w:tcPr>
          <w:p>
            <w:pPr>
              <w:spacing w:after="0"/>
              <w:rPr>
                <w:sz w:val="12"/>
                <w:szCs w:val="12"/>
                <w:color w:val="auto"/>
              </w:rPr>
            </w:pPr>
          </w:p>
        </w:tc>
        <w:tc>
          <w:tcPr>
            <w:tcW w:w="980" w:type="dxa"/>
            <w:vAlign w:val="bottom"/>
          </w:tcPr>
          <w:p>
            <w:pPr>
              <w:jc w:val="right"/>
              <w:ind w:right="432"/>
              <w:spacing w:after="0" w:line="149" w:lineRule="exact"/>
              <w:rPr>
                <w:sz w:val="20"/>
                <w:szCs w:val="20"/>
                <w:color w:val="auto"/>
              </w:rPr>
            </w:pPr>
            <w:r>
              <w:rPr>
                <w:rFonts w:ascii="Arial" w:cs="Arial" w:eastAsia="Arial" w:hAnsi="Arial"/>
                <w:sz w:val="14"/>
                <w:szCs w:val="14"/>
                <w:color w:val="auto"/>
              </w:rPr>
              <w:t>3,344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Borders>
              <w:right w:val="single" w:sz="8" w:color="EEEEEE"/>
            </w:tcBorders>
            <w:shd w:val="clear" w:color="auto" w:fill="EEEEEE"/>
          </w:tcPr>
          <w:p>
            <w:pPr>
              <w:ind w:left="560"/>
              <w:spacing w:after="0" w:line="149" w:lineRule="exact"/>
              <w:rPr>
                <w:sz w:val="20"/>
                <w:szCs w:val="20"/>
                <w:color w:val="auto"/>
              </w:rPr>
            </w:pPr>
            <w:r>
              <w:rPr>
                <w:rFonts w:ascii="Arial" w:cs="Arial" w:eastAsia="Arial" w:hAnsi="Arial"/>
                <w:sz w:val="14"/>
                <w:szCs w:val="14"/>
                <w:color w:val="auto"/>
              </w:rPr>
              <w:t>Gain from sale or exchange of businesses</w:t>
            </w:r>
          </w:p>
        </w:tc>
        <w:tc>
          <w:tcPr>
            <w:tcW w:w="920" w:type="dxa"/>
            <w:vAlign w:val="bottom"/>
            <w:shd w:val="clear" w:color="auto" w:fill="EEEEEE"/>
          </w:tcPr>
          <w:p>
            <w:pPr>
              <w:spacing w:after="0"/>
              <w:rPr>
                <w:sz w:val="12"/>
                <w:szCs w:val="12"/>
                <w:color w:val="auto"/>
              </w:rPr>
            </w:pPr>
          </w:p>
        </w:tc>
        <w:tc>
          <w:tcPr>
            <w:tcW w:w="1280" w:type="dxa"/>
            <w:vAlign w:val="bottom"/>
            <w:shd w:val="clear" w:color="auto" w:fill="EEEEEE"/>
          </w:tcPr>
          <w:p>
            <w:pPr>
              <w:jc w:val="right"/>
              <w:ind w:right="672"/>
              <w:spacing w:after="0" w:line="149" w:lineRule="exact"/>
              <w:rPr>
                <w:sz w:val="20"/>
                <w:szCs w:val="20"/>
                <w:color w:val="auto"/>
              </w:rPr>
            </w:pPr>
            <w:r>
              <w:rPr>
                <w:rFonts w:ascii="Arial" w:cs="Arial" w:eastAsia="Arial" w:hAnsi="Arial"/>
                <w:sz w:val="14"/>
                <w:szCs w:val="14"/>
                <w:b w:val="1"/>
                <w:bCs w:val="1"/>
                <w:color w:val="auto"/>
                <w:w w:val="99"/>
              </w:rPr>
              <w:t>(49,762)</w:t>
            </w:r>
          </w:p>
        </w:tc>
        <w:tc>
          <w:tcPr>
            <w:tcW w:w="1340" w:type="dxa"/>
            <w:vAlign w:val="bottom"/>
            <w:shd w:val="clear" w:color="auto" w:fill="EEEEEE"/>
          </w:tcPr>
          <w:p>
            <w:pPr>
              <w:spacing w:after="0"/>
              <w:rPr>
                <w:sz w:val="12"/>
                <w:szCs w:val="12"/>
                <w:color w:val="auto"/>
              </w:rPr>
            </w:pPr>
          </w:p>
        </w:tc>
        <w:tc>
          <w:tcPr>
            <w:tcW w:w="1220" w:type="dxa"/>
            <w:vAlign w:val="bottom"/>
            <w:shd w:val="clear" w:color="auto" w:fill="EEEEEE"/>
          </w:tcPr>
          <w:p>
            <w:pPr>
              <w:jc w:val="right"/>
              <w:ind w:right="632"/>
              <w:spacing w:after="0" w:line="149" w:lineRule="exact"/>
              <w:rPr>
                <w:sz w:val="20"/>
                <w:szCs w:val="20"/>
                <w:color w:val="auto"/>
              </w:rPr>
            </w:pPr>
            <w:r>
              <w:rPr>
                <w:rFonts w:ascii="Arial" w:cs="Arial" w:eastAsia="Arial" w:hAnsi="Arial"/>
                <w:sz w:val="14"/>
                <w:szCs w:val="14"/>
                <w:color w:val="auto"/>
                <w:w w:val="95"/>
              </w:rPr>
              <w:t>(27,844)</w:t>
            </w:r>
          </w:p>
        </w:tc>
        <w:tc>
          <w:tcPr>
            <w:tcW w:w="980" w:type="dxa"/>
            <w:vAlign w:val="bottom"/>
            <w:shd w:val="clear" w:color="auto" w:fill="EEEEEE"/>
          </w:tcPr>
          <w:p>
            <w:pPr>
              <w:spacing w:after="0"/>
              <w:rPr>
                <w:sz w:val="12"/>
                <w:szCs w:val="12"/>
                <w:color w:val="auto"/>
              </w:rPr>
            </w:pPr>
          </w:p>
        </w:tc>
        <w:tc>
          <w:tcPr>
            <w:tcW w:w="980" w:type="dxa"/>
            <w:vAlign w:val="bottom"/>
            <w:shd w:val="clear" w:color="auto" w:fill="EEEEEE"/>
          </w:tcPr>
          <w:p>
            <w:pPr>
              <w:jc w:val="right"/>
              <w:ind w:right="392"/>
              <w:spacing w:after="0" w:line="149" w:lineRule="exact"/>
              <w:rPr>
                <w:sz w:val="20"/>
                <w:szCs w:val="20"/>
                <w:color w:val="auto"/>
              </w:rPr>
            </w:pPr>
            <w:r>
              <w:rPr>
                <w:rFonts w:ascii="Arial" w:cs="Arial" w:eastAsia="Arial" w:hAnsi="Arial"/>
                <w:sz w:val="14"/>
                <w:szCs w:val="14"/>
                <w:color w:val="auto"/>
                <w:w w:val="83"/>
              </w:rPr>
              <w:t>(321,091)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560"/>
              <w:spacing w:after="0" w:line="149" w:lineRule="exact"/>
              <w:rPr>
                <w:sz w:val="20"/>
                <w:szCs w:val="20"/>
                <w:color w:val="auto"/>
              </w:rPr>
            </w:pPr>
            <w:r>
              <w:rPr>
                <w:rFonts w:ascii="Arial" w:cs="Arial" w:eastAsia="Arial" w:hAnsi="Arial"/>
                <w:sz w:val="14"/>
                <w:szCs w:val="14"/>
                <w:color w:val="auto"/>
              </w:rPr>
              <w:t>Gain on sale of property, plant and equipment</w:t>
            </w:r>
          </w:p>
        </w:tc>
        <w:tc>
          <w:tcPr>
            <w:tcW w:w="920" w:type="dxa"/>
            <w:vAlign w:val="bottom"/>
          </w:tcPr>
          <w:p>
            <w:pPr>
              <w:spacing w:after="0"/>
              <w:rPr>
                <w:sz w:val="12"/>
                <w:szCs w:val="12"/>
                <w:color w:val="auto"/>
              </w:rPr>
            </w:pPr>
          </w:p>
        </w:tc>
        <w:tc>
          <w:tcPr>
            <w:tcW w:w="1280" w:type="dxa"/>
            <w:vAlign w:val="bottom"/>
          </w:tcPr>
          <w:p>
            <w:pPr>
              <w:jc w:val="right"/>
              <w:ind w:right="672"/>
              <w:spacing w:after="0" w:line="149" w:lineRule="exact"/>
              <w:rPr>
                <w:sz w:val="20"/>
                <w:szCs w:val="20"/>
                <w:color w:val="auto"/>
              </w:rPr>
            </w:pPr>
            <w:r>
              <w:rPr>
                <w:rFonts w:ascii="Arial" w:cs="Arial" w:eastAsia="Arial" w:hAnsi="Arial"/>
                <w:sz w:val="14"/>
                <w:szCs w:val="14"/>
                <w:b w:val="1"/>
                <w:bCs w:val="1"/>
                <w:color w:val="auto"/>
                <w:w w:val="99"/>
              </w:rPr>
              <w:t>(41,734)</w:t>
            </w:r>
          </w:p>
        </w:tc>
        <w:tc>
          <w:tcPr>
            <w:tcW w:w="1340" w:type="dxa"/>
            <w:vAlign w:val="bottom"/>
          </w:tcPr>
          <w:p>
            <w:pPr>
              <w:spacing w:after="0"/>
              <w:rPr>
                <w:sz w:val="12"/>
                <w:szCs w:val="12"/>
                <w:color w:val="auto"/>
              </w:rPr>
            </w:pPr>
          </w:p>
        </w:tc>
        <w:tc>
          <w:tcPr>
            <w:tcW w:w="1220" w:type="dxa"/>
            <w:vAlign w:val="bottom"/>
          </w:tcPr>
          <w:p>
            <w:pPr>
              <w:jc w:val="right"/>
              <w:ind w:right="672"/>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spacing w:after="0"/>
              <w:rPr>
                <w:sz w:val="12"/>
                <w:szCs w:val="12"/>
                <w:color w:val="auto"/>
              </w:rPr>
            </w:pPr>
          </w:p>
        </w:tc>
        <w:tc>
          <w:tcPr>
            <w:tcW w:w="980" w:type="dxa"/>
            <w:vAlign w:val="bottom"/>
          </w:tcPr>
          <w:p>
            <w:pPr>
              <w:jc w:val="right"/>
              <w:ind w:right="43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tcBorders>
              <w:right w:val="single" w:sz="8" w:color="EEEEEE"/>
            </w:tcBorders>
            <w:shd w:val="clear" w:color="auto" w:fill="EEEEEE"/>
          </w:tcPr>
          <w:p>
            <w:pPr>
              <w:ind w:left="560"/>
              <w:spacing w:after="0" w:line="138" w:lineRule="exact"/>
              <w:rPr>
                <w:sz w:val="20"/>
                <w:szCs w:val="20"/>
                <w:color w:val="auto"/>
              </w:rPr>
            </w:pPr>
            <w:r>
              <w:rPr>
                <w:rFonts w:ascii="Arial" w:cs="Arial" w:eastAsia="Arial" w:hAnsi="Arial"/>
                <w:sz w:val="14"/>
                <w:szCs w:val="14"/>
                <w:color w:val="auto"/>
              </w:rPr>
              <w:t>(Gain) loss on disposition of marketable equity securities and cost</w:t>
            </w:r>
          </w:p>
        </w:tc>
        <w:tc>
          <w:tcPr>
            <w:tcW w:w="920" w:type="dxa"/>
            <w:vAlign w:val="bottom"/>
            <w:shd w:val="clear" w:color="auto" w:fill="EEEEEE"/>
          </w:tcPr>
          <w:p>
            <w:pPr>
              <w:spacing w:after="0"/>
              <w:rPr>
                <w:sz w:val="11"/>
                <w:szCs w:val="11"/>
                <w:color w:val="auto"/>
              </w:rPr>
            </w:pPr>
          </w:p>
        </w:tc>
        <w:tc>
          <w:tcPr>
            <w:tcW w:w="1280" w:type="dxa"/>
            <w:vAlign w:val="bottom"/>
            <w:vMerge w:val="restart"/>
            <w:shd w:val="clear" w:color="auto" w:fill="EEEEEE"/>
          </w:tcPr>
          <w:p>
            <w:pPr>
              <w:jc w:val="right"/>
              <w:ind w:right="712"/>
              <w:spacing w:after="0"/>
              <w:rPr>
                <w:sz w:val="20"/>
                <w:szCs w:val="20"/>
                <w:color w:val="auto"/>
              </w:rPr>
            </w:pPr>
            <w:r>
              <w:rPr>
                <w:rFonts w:ascii="Arial" w:cs="Arial" w:eastAsia="Arial" w:hAnsi="Arial"/>
                <w:sz w:val="14"/>
                <w:szCs w:val="14"/>
                <w:b w:val="1"/>
                <w:bCs w:val="1"/>
                <w:color w:val="auto"/>
              </w:rPr>
              <w:t>—</w:t>
            </w:r>
          </w:p>
        </w:tc>
        <w:tc>
          <w:tcPr>
            <w:tcW w:w="1340" w:type="dxa"/>
            <w:vAlign w:val="bottom"/>
            <w:shd w:val="clear" w:color="auto" w:fill="EEEEEE"/>
          </w:tcPr>
          <w:p>
            <w:pPr>
              <w:spacing w:after="0"/>
              <w:rPr>
                <w:sz w:val="11"/>
                <w:szCs w:val="11"/>
                <w:color w:val="auto"/>
              </w:rPr>
            </w:pPr>
          </w:p>
        </w:tc>
        <w:tc>
          <w:tcPr>
            <w:tcW w:w="1220" w:type="dxa"/>
            <w:vAlign w:val="bottom"/>
            <w:shd w:val="clear" w:color="auto" w:fill="EEEEEE"/>
          </w:tcPr>
          <w:p>
            <w:pPr>
              <w:spacing w:after="0"/>
              <w:rPr>
                <w:sz w:val="11"/>
                <w:szCs w:val="11"/>
                <w:color w:val="auto"/>
              </w:rPr>
            </w:pPr>
          </w:p>
        </w:tc>
        <w:tc>
          <w:tcPr>
            <w:tcW w:w="980" w:type="dxa"/>
            <w:vAlign w:val="bottom"/>
            <w:shd w:val="clear" w:color="auto" w:fill="EEEEEE"/>
          </w:tcPr>
          <w:p>
            <w:pPr>
              <w:spacing w:after="0"/>
              <w:rPr>
                <w:sz w:val="11"/>
                <w:szCs w:val="11"/>
                <w:color w:val="auto"/>
              </w:rPr>
            </w:pPr>
          </w:p>
        </w:tc>
        <w:tc>
          <w:tcPr>
            <w:tcW w:w="9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80" w:type="dxa"/>
            <w:vAlign w:val="bottom"/>
            <w:tcBorders>
              <w:right w:val="single" w:sz="8" w:color="EEEEEE"/>
            </w:tcBorders>
            <w:shd w:val="clear" w:color="auto" w:fill="EEEEEE"/>
          </w:tcPr>
          <w:p>
            <w:pPr>
              <w:ind w:left="700"/>
              <w:spacing w:after="0" w:line="159" w:lineRule="exact"/>
              <w:rPr>
                <w:sz w:val="20"/>
                <w:szCs w:val="20"/>
                <w:color w:val="auto"/>
              </w:rPr>
            </w:pPr>
            <w:r>
              <w:rPr>
                <w:rFonts w:ascii="Arial" w:cs="Arial" w:eastAsia="Arial" w:hAnsi="Arial"/>
                <w:sz w:val="14"/>
                <w:szCs w:val="14"/>
                <w:color w:val="auto"/>
              </w:rPr>
              <w:t>method investments, net</w:t>
            </w:r>
          </w:p>
        </w:tc>
        <w:tc>
          <w:tcPr>
            <w:tcW w:w="920" w:type="dxa"/>
            <w:vAlign w:val="bottom"/>
            <w:shd w:val="clear" w:color="auto" w:fill="EEEEEE"/>
          </w:tcPr>
          <w:p>
            <w:pPr>
              <w:spacing w:after="0"/>
              <w:rPr>
                <w:sz w:val="13"/>
                <w:szCs w:val="13"/>
                <w:color w:val="auto"/>
              </w:rPr>
            </w:pPr>
          </w:p>
        </w:tc>
        <w:tc>
          <w:tcPr>
            <w:tcW w:w="1280" w:type="dxa"/>
            <w:vAlign w:val="bottom"/>
            <w:vMerge w:val="continue"/>
            <w:shd w:val="clear" w:color="auto" w:fill="EEEEEE"/>
          </w:tcPr>
          <w:p>
            <w:pPr>
              <w:spacing w:after="0"/>
              <w:rPr>
                <w:sz w:val="13"/>
                <w:szCs w:val="13"/>
                <w:color w:val="auto"/>
              </w:rPr>
            </w:pPr>
          </w:p>
        </w:tc>
        <w:tc>
          <w:tcPr>
            <w:tcW w:w="1340" w:type="dxa"/>
            <w:vAlign w:val="bottom"/>
            <w:shd w:val="clear" w:color="auto" w:fill="EEEEEE"/>
          </w:tcPr>
          <w:p>
            <w:pPr>
              <w:spacing w:after="0"/>
              <w:rPr>
                <w:sz w:val="13"/>
                <w:szCs w:val="13"/>
                <w:color w:val="auto"/>
              </w:rPr>
            </w:pPr>
          </w:p>
        </w:tc>
        <w:tc>
          <w:tcPr>
            <w:tcW w:w="1220" w:type="dxa"/>
            <w:vAlign w:val="bottom"/>
            <w:shd w:val="clear" w:color="auto" w:fill="EEEEEE"/>
          </w:tcPr>
          <w:p>
            <w:pPr>
              <w:jc w:val="right"/>
              <w:ind w:right="632"/>
              <w:spacing w:after="0" w:line="159" w:lineRule="exact"/>
              <w:rPr>
                <w:sz w:val="20"/>
                <w:szCs w:val="20"/>
                <w:color w:val="auto"/>
              </w:rPr>
            </w:pPr>
            <w:r>
              <w:rPr>
                <w:rFonts w:ascii="Arial" w:cs="Arial" w:eastAsia="Arial" w:hAnsi="Arial"/>
                <w:sz w:val="14"/>
                <w:szCs w:val="14"/>
                <w:color w:val="auto"/>
                <w:w w:val="95"/>
              </w:rPr>
              <w:t>(13,209)</w:t>
            </w:r>
          </w:p>
        </w:tc>
        <w:tc>
          <w:tcPr>
            <w:tcW w:w="980" w:type="dxa"/>
            <w:vAlign w:val="bottom"/>
            <w:shd w:val="clear" w:color="auto" w:fill="EEEEEE"/>
          </w:tcPr>
          <w:p>
            <w:pPr>
              <w:spacing w:after="0"/>
              <w:rPr>
                <w:sz w:val="13"/>
                <w:szCs w:val="13"/>
                <w:color w:val="auto"/>
              </w:rPr>
            </w:pPr>
          </w:p>
        </w:tc>
        <w:tc>
          <w:tcPr>
            <w:tcW w:w="980" w:type="dxa"/>
            <w:vAlign w:val="bottom"/>
            <w:shd w:val="clear" w:color="auto" w:fill="EEEEEE"/>
          </w:tcPr>
          <w:p>
            <w:pPr>
              <w:jc w:val="right"/>
              <w:ind w:right="432"/>
              <w:spacing w:after="0" w:line="159" w:lineRule="exact"/>
              <w:rPr>
                <w:sz w:val="20"/>
                <w:szCs w:val="20"/>
                <w:color w:val="auto"/>
              </w:rPr>
            </w:pPr>
            <w:r>
              <w:rPr>
                <w:rFonts w:ascii="Arial" w:cs="Arial" w:eastAsia="Arial" w:hAnsi="Arial"/>
                <w:sz w:val="14"/>
                <w:szCs w:val="14"/>
                <w:color w:val="auto"/>
              </w:rPr>
              <w:t>511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560"/>
              <w:spacing w:after="0" w:line="149" w:lineRule="exact"/>
              <w:rPr>
                <w:sz w:val="20"/>
                <w:szCs w:val="20"/>
                <w:color w:val="auto"/>
              </w:rPr>
            </w:pPr>
            <w:r>
              <w:rPr>
                <w:rFonts w:ascii="Arial" w:cs="Arial" w:eastAsia="Arial" w:hAnsi="Arial"/>
                <w:sz w:val="14"/>
                <w:szCs w:val="14"/>
                <w:color w:val="auto"/>
              </w:rPr>
              <w:t>Cost method investment and other write-downs</w:t>
            </w:r>
          </w:p>
        </w:tc>
        <w:tc>
          <w:tcPr>
            <w:tcW w:w="920" w:type="dxa"/>
            <w:vAlign w:val="bottom"/>
          </w:tcPr>
          <w:p>
            <w:pPr>
              <w:spacing w:after="0"/>
              <w:rPr>
                <w:sz w:val="12"/>
                <w:szCs w:val="12"/>
                <w:color w:val="auto"/>
              </w:rPr>
            </w:pPr>
          </w:p>
        </w:tc>
        <w:tc>
          <w:tcPr>
            <w:tcW w:w="1280" w:type="dxa"/>
            <w:vAlign w:val="bottom"/>
          </w:tcPr>
          <w:p>
            <w:pPr>
              <w:jc w:val="right"/>
              <w:ind w:right="712"/>
              <w:spacing w:after="0" w:line="149" w:lineRule="exact"/>
              <w:rPr>
                <w:sz w:val="20"/>
                <w:szCs w:val="20"/>
                <w:color w:val="auto"/>
              </w:rPr>
            </w:pPr>
            <w:r>
              <w:rPr>
                <w:rFonts w:ascii="Arial" w:cs="Arial" w:eastAsia="Arial" w:hAnsi="Arial"/>
                <w:sz w:val="14"/>
                <w:szCs w:val="14"/>
                <w:b w:val="1"/>
                <w:bCs w:val="1"/>
                <w:color w:val="auto"/>
              </w:rPr>
              <w:t>1,337</w:t>
            </w:r>
          </w:p>
        </w:tc>
        <w:tc>
          <w:tcPr>
            <w:tcW w:w="1340" w:type="dxa"/>
            <w:vAlign w:val="bottom"/>
          </w:tcPr>
          <w:p>
            <w:pPr>
              <w:spacing w:after="0"/>
              <w:rPr>
                <w:sz w:val="12"/>
                <w:szCs w:val="12"/>
                <w:color w:val="auto"/>
              </w:rPr>
            </w:pPr>
          </w:p>
        </w:tc>
        <w:tc>
          <w:tcPr>
            <w:tcW w:w="1220" w:type="dxa"/>
            <w:vAlign w:val="bottom"/>
          </w:tcPr>
          <w:p>
            <w:pPr>
              <w:jc w:val="right"/>
              <w:ind w:right="672"/>
              <w:spacing w:after="0" w:line="149" w:lineRule="exact"/>
              <w:rPr>
                <w:sz w:val="20"/>
                <w:szCs w:val="20"/>
                <w:color w:val="auto"/>
              </w:rPr>
            </w:pPr>
            <w:r>
              <w:rPr>
                <w:rFonts w:ascii="Arial" w:cs="Arial" w:eastAsia="Arial" w:hAnsi="Arial"/>
                <w:sz w:val="14"/>
                <w:szCs w:val="14"/>
                <w:color w:val="auto"/>
              </w:rPr>
              <w:t>21,194</w:t>
            </w:r>
          </w:p>
        </w:tc>
        <w:tc>
          <w:tcPr>
            <w:tcW w:w="980" w:type="dxa"/>
            <w:vAlign w:val="bottom"/>
          </w:tcPr>
          <w:p>
            <w:pPr>
              <w:spacing w:after="0"/>
              <w:rPr>
                <w:sz w:val="12"/>
                <w:szCs w:val="12"/>
                <w:color w:val="auto"/>
              </w:rPr>
            </w:pPr>
          </w:p>
        </w:tc>
        <w:tc>
          <w:tcPr>
            <w:tcW w:w="980" w:type="dxa"/>
            <w:vAlign w:val="bottom"/>
          </w:tcPr>
          <w:p>
            <w:pPr>
              <w:jc w:val="right"/>
              <w:ind w:right="432"/>
              <w:spacing w:after="0" w:line="149" w:lineRule="exact"/>
              <w:rPr>
                <w:sz w:val="20"/>
                <w:szCs w:val="20"/>
                <w:color w:val="auto"/>
              </w:rPr>
            </w:pPr>
            <w:r>
              <w:rPr>
                <w:rFonts w:ascii="Arial" w:cs="Arial" w:eastAsia="Arial" w:hAnsi="Arial"/>
                <w:sz w:val="14"/>
                <w:szCs w:val="14"/>
                <w:color w:val="auto"/>
              </w:rPr>
              <w:t>36,672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Borders>
              <w:right w:val="single" w:sz="8" w:color="EEEEEE"/>
            </w:tcBorders>
            <w:shd w:val="clear" w:color="auto" w:fill="EEEEEE"/>
          </w:tcPr>
          <w:p>
            <w:pPr>
              <w:ind w:left="560"/>
              <w:spacing w:after="0" w:line="149" w:lineRule="exact"/>
              <w:rPr>
                <w:sz w:val="20"/>
                <w:szCs w:val="20"/>
                <w:color w:val="auto"/>
              </w:rPr>
            </w:pPr>
            <w:r>
              <w:rPr>
                <w:rFonts w:ascii="Arial" w:cs="Arial" w:eastAsia="Arial" w:hAnsi="Arial"/>
                <w:sz w:val="14"/>
                <w:szCs w:val="14"/>
                <w:color w:val="auto"/>
              </w:rPr>
              <w:t>Equity in losses of affiliates, net of distributions</w:t>
            </w:r>
          </w:p>
        </w:tc>
        <w:tc>
          <w:tcPr>
            <w:tcW w:w="920" w:type="dxa"/>
            <w:vAlign w:val="bottom"/>
            <w:shd w:val="clear" w:color="auto" w:fill="EEEEEE"/>
          </w:tcPr>
          <w:p>
            <w:pPr>
              <w:spacing w:after="0"/>
              <w:rPr>
                <w:sz w:val="12"/>
                <w:szCs w:val="12"/>
                <w:color w:val="auto"/>
              </w:rPr>
            </w:pPr>
          </w:p>
        </w:tc>
        <w:tc>
          <w:tcPr>
            <w:tcW w:w="1280" w:type="dxa"/>
            <w:vAlign w:val="bottom"/>
            <w:shd w:val="clear" w:color="auto" w:fill="EEEEEE"/>
          </w:tcPr>
          <w:p>
            <w:pPr>
              <w:jc w:val="right"/>
              <w:ind w:right="712"/>
              <w:spacing w:after="0" w:line="149" w:lineRule="exact"/>
              <w:rPr>
                <w:sz w:val="20"/>
                <w:szCs w:val="20"/>
                <w:color w:val="auto"/>
              </w:rPr>
            </w:pPr>
            <w:r>
              <w:rPr>
                <w:rFonts w:ascii="Arial" w:cs="Arial" w:eastAsia="Arial" w:hAnsi="Arial"/>
                <w:sz w:val="14"/>
                <w:szCs w:val="14"/>
                <w:b w:val="1"/>
                <w:bCs w:val="1"/>
                <w:color w:val="auto"/>
              </w:rPr>
              <w:t>10,516</w:t>
            </w:r>
          </w:p>
        </w:tc>
        <w:tc>
          <w:tcPr>
            <w:tcW w:w="1340" w:type="dxa"/>
            <w:vAlign w:val="bottom"/>
            <w:shd w:val="clear" w:color="auto" w:fill="EEEEEE"/>
          </w:tcPr>
          <w:p>
            <w:pPr>
              <w:spacing w:after="0"/>
              <w:rPr>
                <w:sz w:val="12"/>
                <w:szCs w:val="12"/>
                <w:color w:val="auto"/>
              </w:rPr>
            </w:pPr>
          </w:p>
        </w:tc>
        <w:tc>
          <w:tcPr>
            <w:tcW w:w="1220" w:type="dxa"/>
            <w:vAlign w:val="bottom"/>
            <w:shd w:val="clear" w:color="auto" w:fill="EEEEEE"/>
          </w:tcPr>
          <w:p>
            <w:pPr>
              <w:jc w:val="right"/>
              <w:ind w:right="672"/>
              <w:spacing w:after="0" w:line="149" w:lineRule="exact"/>
              <w:rPr>
                <w:sz w:val="20"/>
                <w:szCs w:val="20"/>
                <w:color w:val="auto"/>
              </w:rPr>
            </w:pPr>
            <w:r>
              <w:rPr>
                <w:rFonts w:ascii="Arial" w:cs="Arial" w:eastAsia="Arial" w:hAnsi="Arial"/>
                <w:sz w:val="14"/>
                <w:szCs w:val="14"/>
                <w:color w:val="auto"/>
              </w:rPr>
              <w:t>20,018</w:t>
            </w:r>
          </w:p>
        </w:tc>
        <w:tc>
          <w:tcPr>
            <w:tcW w:w="980" w:type="dxa"/>
            <w:vAlign w:val="bottom"/>
            <w:shd w:val="clear" w:color="auto" w:fill="EEEEEE"/>
          </w:tcPr>
          <w:p>
            <w:pPr>
              <w:spacing w:after="0"/>
              <w:rPr>
                <w:sz w:val="12"/>
                <w:szCs w:val="12"/>
                <w:color w:val="auto"/>
              </w:rPr>
            </w:pPr>
          </w:p>
        </w:tc>
        <w:tc>
          <w:tcPr>
            <w:tcW w:w="980" w:type="dxa"/>
            <w:vAlign w:val="bottom"/>
            <w:shd w:val="clear" w:color="auto" w:fill="EEEEEE"/>
          </w:tcPr>
          <w:p>
            <w:pPr>
              <w:jc w:val="right"/>
              <w:ind w:right="432"/>
              <w:spacing w:after="0" w:line="149" w:lineRule="exact"/>
              <w:rPr>
                <w:sz w:val="20"/>
                <w:szCs w:val="20"/>
                <w:color w:val="auto"/>
              </w:rPr>
            </w:pPr>
            <w:r>
              <w:rPr>
                <w:rFonts w:ascii="Arial" w:cs="Arial" w:eastAsia="Arial" w:hAnsi="Arial"/>
                <w:sz w:val="14"/>
                <w:szCs w:val="14"/>
                <w:color w:val="auto"/>
              </w:rPr>
              <w:t>69,359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560"/>
              <w:spacing w:after="0" w:line="149" w:lineRule="exact"/>
              <w:rPr>
                <w:sz w:val="20"/>
                <w:szCs w:val="20"/>
                <w:color w:val="auto"/>
              </w:rPr>
            </w:pPr>
            <w:r>
              <w:rPr>
                <w:rFonts w:ascii="Arial" w:cs="Arial" w:eastAsia="Arial" w:hAnsi="Arial"/>
                <w:sz w:val="14"/>
                <w:szCs w:val="14"/>
                <w:color w:val="auto"/>
              </w:rPr>
              <w:t>Foreign exchange gain</w:t>
            </w:r>
          </w:p>
        </w:tc>
        <w:tc>
          <w:tcPr>
            <w:tcW w:w="920" w:type="dxa"/>
            <w:vAlign w:val="bottom"/>
          </w:tcPr>
          <w:p>
            <w:pPr>
              <w:spacing w:after="0"/>
              <w:rPr>
                <w:sz w:val="12"/>
                <w:szCs w:val="12"/>
                <w:color w:val="auto"/>
              </w:rPr>
            </w:pPr>
          </w:p>
        </w:tc>
        <w:tc>
          <w:tcPr>
            <w:tcW w:w="1280" w:type="dxa"/>
            <w:vAlign w:val="bottom"/>
          </w:tcPr>
          <w:p>
            <w:pPr>
              <w:jc w:val="right"/>
              <w:ind w:right="672"/>
              <w:spacing w:after="0" w:line="149" w:lineRule="exact"/>
              <w:rPr>
                <w:sz w:val="20"/>
                <w:szCs w:val="20"/>
                <w:color w:val="auto"/>
              </w:rPr>
            </w:pPr>
            <w:r>
              <w:rPr>
                <w:rFonts w:ascii="Arial" w:cs="Arial" w:eastAsia="Arial" w:hAnsi="Arial"/>
                <w:sz w:val="14"/>
                <w:szCs w:val="14"/>
                <w:b w:val="1"/>
                <w:bCs w:val="1"/>
                <w:color w:val="auto"/>
              </w:rPr>
              <w:t>(4,187)</w:t>
            </w:r>
          </w:p>
        </w:tc>
        <w:tc>
          <w:tcPr>
            <w:tcW w:w="1340" w:type="dxa"/>
            <w:vAlign w:val="bottom"/>
          </w:tcPr>
          <w:p>
            <w:pPr>
              <w:spacing w:after="0"/>
              <w:rPr>
                <w:sz w:val="12"/>
                <w:szCs w:val="12"/>
                <w:color w:val="auto"/>
              </w:rPr>
            </w:pPr>
          </w:p>
        </w:tc>
        <w:tc>
          <w:tcPr>
            <w:tcW w:w="1220" w:type="dxa"/>
            <w:vAlign w:val="bottom"/>
          </w:tcPr>
          <w:p>
            <w:pPr>
              <w:jc w:val="right"/>
              <w:ind w:right="672"/>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spacing w:after="0"/>
              <w:rPr>
                <w:sz w:val="12"/>
                <w:szCs w:val="12"/>
                <w:color w:val="auto"/>
              </w:rPr>
            </w:pPr>
          </w:p>
        </w:tc>
        <w:tc>
          <w:tcPr>
            <w:tcW w:w="980" w:type="dxa"/>
            <w:vAlign w:val="bottom"/>
          </w:tcPr>
          <w:p>
            <w:pPr>
              <w:jc w:val="right"/>
              <w:ind w:right="43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Borders>
              <w:right w:val="single" w:sz="8" w:color="EEEEEE"/>
            </w:tcBorders>
            <w:shd w:val="clear" w:color="auto" w:fill="EEEEEE"/>
          </w:tcPr>
          <w:p>
            <w:pPr>
              <w:ind w:left="560"/>
              <w:spacing w:after="0" w:line="149" w:lineRule="exact"/>
              <w:rPr>
                <w:sz w:val="20"/>
                <w:szCs w:val="20"/>
                <w:color w:val="auto"/>
              </w:rPr>
            </w:pPr>
            <w:r>
              <w:rPr>
                <w:rFonts w:ascii="Arial" w:cs="Arial" w:eastAsia="Arial" w:hAnsi="Arial"/>
                <w:sz w:val="14"/>
                <w:szCs w:val="14"/>
                <w:color w:val="auto"/>
              </w:rPr>
              <w:t>Provision for deferred income taxes</w:t>
            </w:r>
          </w:p>
        </w:tc>
        <w:tc>
          <w:tcPr>
            <w:tcW w:w="920" w:type="dxa"/>
            <w:vAlign w:val="bottom"/>
            <w:shd w:val="clear" w:color="auto" w:fill="EEEEEE"/>
          </w:tcPr>
          <w:p>
            <w:pPr>
              <w:spacing w:after="0"/>
              <w:rPr>
                <w:sz w:val="12"/>
                <w:szCs w:val="12"/>
                <w:color w:val="auto"/>
              </w:rPr>
            </w:pPr>
          </w:p>
        </w:tc>
        <w:tc>
          <w:tcPr>
            <w:tcW w:w="1280" w:type="dxa"/>
            <w:vAlign w:val="bottom"/>
            <w:shd w:val="clear" w:color="auto" w:fill="EEEEEE"/>
          </w:tcPr>
          <w:p>
            <w:pPr>
              <w:jc w:val="right"/>
              <w:ind w:right="712"/>
              <w:spacing w:after="0" w:line="149" w:lineRule="exact"/>
              <w:rPr>
                <w:sz w:val="20"/>
                <w:szCs w:val="20"/>
                <w:color w:val="auto"/>
              </w:rPr>
            </w:pPr>
            <w:r>
              <w:rPr>
                <w:rFonts w:ascii="Arial" w:cs="Arial" w:eastAsia="Arial" w:hAnsi="Arial"/>
                <w:sz w:val="14"/>
                <w:szCs w:val="14"/>
                <w:b w:val="1"/>
                <w:bCs w:val="1"/>
                <w:color w:val="auto"/>
              </w:rPr>
              <w:t>30,704</w:t>
            </w:r>
          </w:p>
        </w:tc>
        <w:tc>
          <w:tcPr>
            <w:tcW w:w="1340" w:type="dxa"/>
            <w:vAlign w:val="bottom"/>
            <w:shd w:val="clear" w:color="auto" w:fill="EEEEEE"/>
          </w:tcPr>
          <w:p>
            <w:pPr>
              <w:spacing w:after="0"/>
              <w:rPr>
                <w:sz w:val="12"/>
                <w:szCs w:val="12"/>
                <w:color w:val="auto"/>
              </w:rPr>
            </w:pPr>
          </w:p>
        </w:tc>
        <w:tc>
          <w:tcPr>
            <w:tcW w:w="1220" w:type="dxa"/>
            <w:vAlign w:val="bottom"/>
            <w:shd w:val="clear" w:color="auto" w:fill="EEEEEE"/>
          </w:tcPr>
          <w:p>
            <w:pPr>
              <w:jc w:val="right"/>
              <w:ind w:right="672"/>
              <w:spacing w:after="0" w:line="149" w:lineRule="exact"/>
              <w:rPr>
                <w:sz w:val="20"/>
                <w:szCs w:val="20"/>
                <w:color w:val="auto"/>
              </w:rPr>
            </w:pPr>
            <w:r>
              <w:rPr>
                <w:rFonts w:ascii="Arial" w:cs="Arial" w:eastAsia="Arial" w:hAnsi="Arial"/>
                <w:sz w:val="14"/>
                <w:szCs w:val="14"/>
                <w:color w:val="auto"/>
              </w:rPr>
              <w:t>50,115</w:t>
            </w:r>
          </w:p>
        </w:tc>
        <w:tc>
          <w:tcPr>
            <w:tcW w:w="980" w:type="dxa"/>
            <w:vAlign w:val="bottom"/>
            <w:shd w:val="clear" w:color="auto" w:fill="EEEEEE"/>
          </w:tcPr>
          <w:p>
            <w:pPr>
              <w:spacing w:after="0"/>
              <w:rPr>
                <w:sz w:val="12"/>
                <w:szCs w:val="12"/>
                <w:color w:val="auto"/>
              </w:rPr>
            </w:pPr>
          </w:p>
        </w:tc>
        <w:tc>
          <w:tcPr>
            <w:tcW w:w="980" w:type="dxa"/>
            <w:vAlign w:val="bottom"/>
            <w:shd w:val="clear" w:color="auto" w:fill="EEEEEE"/>
          </w:tcPr>
          <w:p>
            <w:pPr>
              <w:jc w:val="right"/>
              <w:ind w:right="432"/>
              <w:spacing w:after="0" w:line="149" w:lineRule="exact"/>
              <w:rPr>
                <w:sz w:val="20"/>
                <w:szCs w:val="20"/>
                <w:color w:val="auto"/>
              </w:rPr>
            </w:pPr>
            <w:r>
              <w:rPr>
                <w:rFonts w:ascii="Arial" w:cs="Arial" w:eastAsia="Arial" w:hAnsi="Arial"/>
                <w:sz w:val="14"/>
                <w:szCs w:val="14"/>
                <w:color w:val="auto"/>
              </w:rPr>
              <w:t>97,302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560"/>
              <w:spacing w:after="0" w:line="149" w:lineRule="exact"/>
              <w:rPr>
                <w:sz w:val="20"/>
                <w:szCs w:val="20"/>
                <w:color w:val="auto"/>
              </w:rPr>
            </w:pPr>
            <w:r>
              <w:rPr>
                <w:rFonts w:ascii="Arial" w:cs="Arial" w:eastAsia="Arial" w:hAnsi="Arial"/>
                <w:sz w:val="14"/>
                <w:szCs w:val="14"/>
                <w:color w:val="auto"/>
              </w:rPr>
              <w:t>Change in assets and liabilities:</w:t>
            </w:r>
          </w:p>
        </w:tc>
        <w:tc>
          <w:tcPr>
            <w:tcW w:w="9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Borders>
              <w:right w:val="single" w:sz="8" w:color="EEEEEE"/>
            </w:tcBorders>
            <w:shd w:val="clear" w:color="auto" w:fill="EEEEEE"/>
          </w:tcPr>
          <w:p>
            <w:pPr>
              <w:ind w:left="860"/>
              <w:spacing w:after="0" w:line="149" w:lineRule="exact"/>
              <w:rPr>
                <w:sz w:val="20"/>
                <w:szCs w:val="20"/>
                <w:color w:val="auto"/>
              </w:rPr>
            </w:pPr>
            <w:r>
              <w:rPr>
                <w:rFonts w:ascii="Arial" w:cs="Arial" w:eastAsia="Arial" w:hAnsi="Arial"/>
                <w:sz w:val="14"/>
                <w:szCs w:val="14"/>
                <w:color w:val="auto"/>
              </w:rPr>
              <w:t>(Increase) decrease in accounts receivable, net</w:t>
            </w:r>
          </w:p>
        </w:tc>
        <w:tc>
          <w:tcPr>
            <w:tcW w:w="920" w:type="dxa"/>
            <w:vAlign w:val="bottom"/>
            <w:shd w:val="clear" w:color="auto" w:fill="EEEEEE"/>
          </w:tcPr>
          <w:p>
            <w:pPr>
              <w:spacing w:after="0"/>
              <w:rPr>
                <w:sz w:val="12"/>
                <w:szCs w:val="12"/>
                <w:color w:val="auto"/>
              </w:rPr>
            </w:pPr>
          </w:p>
        </w:tc>
        <w:tc>
          <w:tcPr>
            <w:tcW w:w="1280" w:type="dxa"/>
            <w:vAlign w:val="bottom"/>
            <w:shd w:val="clear" w:color="auto" w:fill="EEEEEE"/>
          </w:tcPr>
          <w:p>
            <w:pPr>
              <w:jc w:val="right"/>
              <w:ind w:right="672"/>
              <w:spacing w:after="0" w:line="149" w:lineRule="exact"/>
              <w:rPr>
                <w:sz w:val="20"/>
                <w:szCs w:val="20"/>
                <w:color w:val="auto"/>
              </w:rPr>
            </w:pPr>
            <w:r>
              <w:rPr>
                <w:rFonts w:ascii="Arial" w:cs="Arial" w:eastAsia="Arial" w:hAnsi="Arial"/>
                <w:sz w:val="14"/>
                <w:szCs w:val="14"/>
                <w:b w:val="1"/>
                <w:bCs w:val="1"/>
                <w:color w:val="auto"/>
              </w:rPr>
              <w:t>(9,936)</w:t>
            </w:r>
          </w:p>
        </w:tc>
        <w:tc>
          <w:tcPr>
            <w:tcW w:w="1340" w:type="dxa"/>
            <w:vAlign w:val="bottom"/>
            <w:shd w:val="clear" w:color="auto" w:fill="EEEEEE"/>
          </w:tcPr>
          <w:p>
            <w:pPr>
              <w:spacing w:after="0"/>
              <w:rPr>
                <w:sz w:val="12"/>
                <w:szCs w:val="12"/>
                <w:color w:val="auto"/>
              </w:rPr>
            </w:pPr>
          </w:p>
        </w:tc>
        <w:tc>
          <w:tcPr>
            <w:tcW w:w="1220" w:type="dxa"/>
            <w:vAlign w:val="bottom"/>
            <w:shd w:val="clear" w:color="auto" w:fill="EEEEEE"/>
          </w:tcPr>
          <w:p>
            <w:pPr>
              <w:jc w:val="right"/>
              <w:ind w:right="632"/>
              <w:spacing w:after="0" w:line="149" w:lineRule="exact"/>
              <w:rPr>
                <w:sz w:val="20"/>
                <w:szCs w:val="20"/>
                <w:color w:val="auto"/>
              </w:rPr>
            </w:pPr>
            <w:r>
              <w:rPr>
                <w:rFonts w:ascii="Arial" w:cs="Arial" w:eastAsia="Arial" w:hAnsi="Arial"/>
                <w:sz w:val="14"/>
                <w:szCs w:val="14"/>
                <w:color w:val="auto"/>
              </w:rPr>
              <w:t>(1,116)</w:t>
            </w:r>
          </w:p>
        </w:tc>
        <w:tc>
          <w:tcPr>
            <w:tcW w:w="980" w:type="dxa"/>
            <w:vAlign w:val="bottom"/>
            <w:shd w:val="clear" w:color="auto" w:fill="EEEEEE"/>
          </w:tcPr>
          <w:p>
            <w:pPr>
              <w:spacing w:after="0"/>
              <w:rPr>
                <w:sz w:val="12"/>
                <w:szCs w:val="12"/>
                <w:color w:val="auto"/>
              </w:rPr>
            </w:pPr>
          </w:p>
        </w:tc>
        <w:tc>
          <w:tcPr>
            <w:tcW w:w="980" w:type="dxa"/>
            <w:vAlign w:val="bottom"/>
            <w:shd w:val="clear" w:color="auto" w:fill="EEEEEE"/>
          </w:tcPr>
          <w:p>
            <w:pPr>
              <w:jc w:val="right"/>
              <w:ind w:right="432"/>
              <w:spacing w:after="0" w:line="149" w:lineRule="exact"/>
              <w:rPr>
                <w:sz w:val="20"/>
                <w:szCs w:val="20"/>
                <w:color w:val="auto"/>
              </w:rPr>
            </w:pPr>
            <w:r>
              <w:rPr>
                <w:rFonts w:ascii="Arial" w:cs="Arial" w:eastAsia="Arial" w:hAnsi="Arial"/>
                <w:sz w:val="14"/>
                <w:szCs w:val="14"/>
                <w:color w:val="auto"/>
              </w:rPr>
              <w:t>28,803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860"/>
              <w:spacing w:after="0" w:line="149" w:lineRule="exact"/>
              <w:rPr>
                <w:sz w:val="20"/>
                <w:szCs w:val="20"/>
                <w:color w:val="auto"/>
              </w:rPr>
            </w:pPr>
            <w:r>
              <w:rPr>
                <w:rFonts w:ascii="Arial" w:cs="Arial" w:eastAsia="Arial" w:hAnsi="Arial"/>
                <w:sz w:val="14"/>
                <w:szCs w:val="14"/>
                <w:color w:val="auto"/>
              </w:rPr>
              <w:t>Decrease (increase) in inventories</w:t>
            </w:r>
          </w:p>
        </w:tc>
        <w:tc>
          <w:tcPr>
            <w:tcW w:w="920" w:type="dxa"/>
            <w:vAlign w:val="bottom"/>
          </w:tcPr>
          <w:p>
            <w:pPr>
              <w:spacing w:after="0"/>
              <w:rPr>
                <w:sz w:val="12"/>
                <w:szCs w:val="12"/>
                <w:color w:val="auto"/>
              </w:rPr>
            </w:pPr>
          </w:p>
        </w:tc>
        <w:tc>
          <w:tcPr>
            <w:tcW w:w="1280" w:type="dxa"/>
            <w:vAlign w:val="bottom"/>
          </w:tcPr>
          <w:p>
            <w:pPr>
              <w:jc w:val="right"/>
              <w:ind w:right="712"/>
              <w:spacing w:after="0" w:line="149" w:lineRule="exact"/>
              <w:rPr>
                <w:sz w:val="20"/>
                <w:szCs w:val="20"/>
                <w:color w:val="auto"/>
              </w:rPr>
            </w:pPr>
            <w:r>
              <w:rPr>
                <w:rFonts w:ascii="Arial" w:cs="Arial" w:eastAsia="Arial" w:hAnsi="Arial"/>
                <w:sz w:val="14"/>
                <w:szCs w:val="14"/>
                <w:b w:val="1"/>
                <w:bCs w:val="1"/>
                <w:color w:val="auto"/>
              </w:rPr>
              <w:t>829</w:t>
            </w:r>
          </w:p>
        </w:tc>
        <w:tc>
          <w:tcPr>
            <w:tcW w:w="1340" w:type="dxa"/>
            <w:vAlign w:val="bottom"/>
          </w:tcPr>
          <w:p>
            <w:pPr>
              <w:spacing w:after="0"/>
              <w:rPr>
                <w:sz w:val="12"/>
                <w:szCs w:val="12"/>
                <w:color w:val="auto"/>
              </w:rPr>
            </w:pPr>
          </w:p>
        </w:tc>
        <w:tc>
          <w:tcPr>
            <w:tcW w:w="1220" w:type="dxa"/>
            <w:vAlign w:val="bottom"/>
          </w:tcPr>
          <w:p>
            <w:pPr>
              <w:jc w:val="right"/>
              <w:ind w:right="632"/>
              <w:spacing w:after="0" w:line="149" w:lineRule="exact"/>
              <w:rPr>
                <w:sz w:val="20"/>
                <w:szCs w:val="20"/>
                <w:color w:val="auto"/>
              </w:rPr>
            </w:pPr>
            <w:r>
              <w:rPr>
                <w:rFonts w:ascii="Arial" w:cs="Arial" w:eastAsia="Arial" w:hAnsi="Arial"/>
                <w:sz w:val="14"/>
                <w:szCs w:val="14"/>
                <w:color w:val="auto"/>
                <w:w w:val="95"/>
              </w:rPr>
              <w:t>(11,142)</w:t>
            </w:r>
          </w:p>
        </w:tc>
        <w:tc>
          <w:tcPr>
            <w:tcW w:w="980" w:type="dxa"/>
            <w:vAlign w:val="bottom"/>
          </w:tcPr>
          <w:p>
            <w:pPr>
              <w:spacing w:after="0"/>
              <w:rPr>
                <w:sz w:val="12"/>
                <w:szCs w:val="12"/>
                <w:color w:val="auto"/>
              </w:rPr>
            </w:pPr>
          </w:p>
        </w:tc>
        <w:tc>
          <w:tcPr>
            <w:tcW w:w="9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(3,390)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Borders>
              <w:right w:val="single" w:sz="8" w:color="EEEEEE"/>
            </w:tcBorders>
            <w:shd w:val="clear" w:color="auto" w:fill="EEEEEE"/>
          </w:tcPr>
          <w:p>
            <w:pPr>
              <w:ind w:left="860"/>
              <w:spacing w:after="0" w:line="149" w:lineRule="exact"/>
              <w:rPr>
                <w:sz w:val="20"/>
                <w:szCs w:val="20"/>
                <w:color w:val="auto"/>
              </w:rPr>
            </w:pPr>
            <w:r>
              <w:rPr>
                <w:rFonts w:ascii="Arial" w:cs="Arial" w:eastAsia="Arial" w:hAnsi="Arial"/>
                <w:sz w:val="14"/>
                <w:szCs w:val="14"/>
                <w:color w:val="auto"/>
                <w:w w:val="96"/>
              </w:rPr>
              <w:t>(Decrease) increase in accounts payable and accrued liabilities</w:t>
            </w:r>
          </w:p>
        </w:tc>
        <w:tc>
          <w:tcPr>
            <w:tcW w:w="920" w:type="dxa"/>
            <w:vAlign w:val="bottom"/>
            <w:shd w:val="clear" w:color="auto" w:fill="EEEEEE"/>
          </w:tcPr>
          <w:p>
            <w:pPr>
              <w:spacing w:after="0"/>
              <w:rPr>
                <w:sz w:val="12"/>
                <w:szCs w:val="12"/>
                <w:color w:val="auto"/>
              </w:rPr>
            </w:pPr>
          </w:p>
        </w:tc>
        <w:tc>
          <w:tcPr>
            <w:tcW w:w="1280" w:type="dxa"/>
            <w:vAlign w:val="bottom"/>
            <w:shd w:val="clear" w:color="auto" w:fill="EEEEEE"/>
          </w:tcPr>
          <w:p>
            <w:pPr>
              <w:jc w:val="right"/>
              <w:ind w:right="672"/>
              <w:spacing w:after="0" w:line="149" w:lineRule="exact"/>
              <w:rPr>
                <w:sz w:val="20"/>
                <w:szCs w:val="20"/>
                <w:color w:val="auto"/>
              </w:rPr>
            </w:pPr>
            <w:r>
              <w:rPr>
                <w:rFonts w:ascii="Arial" w:cs="Arial" w:eastAsia="Arial" w:hAnsi="Arial"/>
                <w:sz w:val="14"/>
                <w:szCs w:val="14"/>
                <w:b w:val="1"/>
                <w:bCs w:val="1"/>
                <w:color w:val="auto"/>
                <w:w w:val="99"/>
              </w:rPr>
              <w:t>(14,308)</w:t>
            </w:r>
          </w:p>
        </w:tc>
        <w:tc>
          <w:tcPr>
            <w:tcW w:w="1340" w:type="dxa"/>
            <w:vAlign w:val="bottom"/>
            <w:shd w:val="clear" w:color="auto" w:fill="EEEEEE"/>
          </w:tcPr>
          <w:p>
            <w:pPr>
              <w:spacing w:after="0"/>
              <w:rPr>
                <w:sz w:val="12"/>
                <w:szCs w:val="12"/>
                <w:color w:val="auto"/>
              </w:rPr>
            </w:pPr>
          </w:p>
        </w:tc>
        <w:tc>
          <w:tcPr>
            <w:tcW w:w="1220" w:type="dxa"/>
            <w:vAlign w:val="bottom"/>
            <w:shd w:val="clear" w:color="auto" w:fill="EEEEEE"/>
          </w:tcPr>
          <w:p>
            <w:pPr>
              <w:jc w:val="right"/>
              <w:ind w:right="672"/>
              <w:spacing w:after="0" w:line="149" w:lineRule="exact"/>
              <w:rPr>
                <w:sz w:val="20"/>
                <w:szCs w:val="20"/>
                <w:color w:val="auto"/>
              </w:rPr>
            </w:pPr>
            <w:r>
              <w:rPr>
                <w:rFonts w:ascii="Arial" w:cs="Arial" w:eastAsia="Arial" w:hAnsi="Arial"/>
                <w:sz w:val="14"/>
                <w:szCs w:val="14"/>
                <w:color w:val="auto"/>
              </w:rPr>
              <w:t>73,653</w:t>
            </w:r>
          </w:p>
        </w:tc>
        <w:tc>
          <w:tcPr>
            <w:tcW w:w="980" w:type="dxa"/>
            <w:vAlign w:val="bottom"/>
            <w:shd w:val="clear" w:color="auto" w:fill="EEEEEE"/>
          </w:tcPr>
          <w:p>
            <w:pPr>
              <w:spacing w:after="0"/>
              <w:rPr>
                <w:sz w:val="12"/>
                <w:szCs w:val="12"/>
                <w:color w:val="auto"/>
              </w:rPr>
            </w:pPr>
          </w:p>
        </w:tc>
        <w:tc>
          <w:tcPr>
            <w:tcW w:w="980" w:type="dxa"/>
            <w:vAlign w:val="bottom"/>
            <w:shd w:val="clear" w:color="auto" w:fill="EEEEEE"/>
          </w:tcPr>
          <w:p>
            <w:pPr>
              <w:jc w:val="right"/>
              <w:ind w:right="432"/>
              <w:spacing w:after="0" w:line="149" w:lineRule="exact"/>
              <w:rPr>
                <w:sz w:val="20"/>
                <w:szCs w:val="20"/>
                <w:color w:val="auto"/>
              </w:rPr>
            </w:pPr>
            <w:r>
              <w:rPr>
                <w:rFonts w:ascii="Arial" w:cs="Arial" w:eastAsia="Arial" w:hAnsi="Arial"/>
                <w:sz w:val="14"/>
                <w:szCs w:val="14"/>
                <w:color w:val="auto"/>
              </w:rPr>
              <w:t>24,756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860"/>
              <w:spacing w:after="0" w:line="149" w:lineRule="exact"/>
              <w:rPr>
                <w:sz w:val="20"/>
                <w:szCs w:val="20"/>
                <w:color w:val="auto"/>
              </w:rPr>
            </w:pPr>
            <w:r>
              <w:rPr>
                <w:rFonts w:ascii="Arial" w:cs="Arial" w:eastAsia="Arial" w:hAnsi="Arial"/>
                <w:sz w:val="14"/>
                <w:szCs w:val="14"/>
                <w:color w:val="auto"/>
              </w:rPr>
              <w:t>(Increase) decrease in income taxes receivable</w:t>
            </w:r>
          </w:p>
        </w:tc>
        <w:tc>
          <w:tcPr>
            <w:tcW w:w="920" w:type="dxa"/>
            <w:vAlign w:val="bottom"/>
          </w:tcPr>
          <w:p>
            <w:pPr>
              <w:spacing w:after="0"/>
              <w:rPr>
                <w:sz w:val="12"/>
                <w:szCs w:val="12"/>
                <w:color w:val="auto"/>
              </w:rPr>
            </w:pPr>
          </w:p>
        </w:tc>
        <w:tc>
          <w:tcPr>
            <w:tcW w:w="1280" w:type="dxa"/>
            <w:vAlign w:val="bottom"/>
          </w:tcPr>
          <w:p>
            <w:pPr>
              <w:jc w:val="right"/>
              <w:ind w:right="672"/>
              <w:spacing w:after="0" w:line="149" w:lineRule="exact"/>
              <w:rPr>
                <w:sz w:val="20"/>
                <w:szCs w:val="20"/>
                <w:color w:val="auto"/>
              </w:rPr>
            </w:pPr>
            <w:r>
              <w:rPr>
                <w:rFonts w:ascii="Arial" w:cs="Arial" w:eastAsia="Arial" w:hAnsi="Arial"/>
                <w:sz w:val="14"/>
                <w:szCs w:val="14"/>
                <w:b w:val="1"/>
                <w:bCs w:val="1"/>
                <w:color w:val="auto"/>
                <w:w w:val="99"/>
              </w:rPr>
              <w:t>(10,171)</w:t>
            </w:r>
          </w:p>
        </w:tc>
        <w:tc>
          <w:tcPr>
            <w:tcW w:w="1340" w:type="dxa"/>
            <w:vAlign w:val="bottom"/>
          </w:tcPr>
          <w:p>
            <w:pPr>
              <w:spacing w:after="0"/>
              <w:rPr>
                <w:sz w:val="12"/>
                <w:szCs w:val="12"/>
                <w:color w:val="auto"/>
              </w:rPr>
            </w:pPr>
          </w:p>
        </w:tc>
        <w:tc>
          <w:tcPr>
            <w:tcW w:w="1220" w:type="dxa"/>
            <w:vAlign w:val="bottom"/>
          </w:tcPr>
          <w:p>
            <w:pPr>
              <w:jc w:val="right"/>
              <w:ind w:right="672"/>
              <w:spacing w:after="0" w:line="149" w:lineRule="exact"/>
              <w:rPr>
                <w:sz w:val="20"/>
                <w:szCs w:val="20"/>
                <w:color w:val="auto"/>
              </w:rPr>
            </w:pPr>
            <w:r>
              <w:rPr>
                <w:rFonts w:ascii="Arial" w:cs="Arial" w:eastAsia="Arial" w:hAnsi="Arial"/>
                <w:sz w:val="14"/>
                <w:szCs w:val="14"/>
                <w:color w:val="auto"/>
              </w:rPr>
              <w:t>15,106</w:t>
            </w:r>
          </w:p>
        </w:tc>
        <w:tc>
          <w:tcPr>
            <w:tcW w:w="980" w:type="dxa"/>
            <w:vAlign w:val="bottom"/>
          </w:tcPr>
          <w:p>
            <w:pPr>
              <w:spacing w:after="0"/>
              <w:rPr>
                <w:sz w:val="12"/>
                <w:szCs w:val="12"/>
                <w:color w:val="auto"/>
              </w:rPr>
            </w:pPr>
          </w:p>
        </w:tc>
        <w:tc>
          <w:tcPr>
            <w:tcW w:w="980" w:type="dxa"/>
            <w:vAlign w:val="bottom"/>
          </w:tcPr>
          <w:p>
            <w:pPr>
              <w:jc w:val="right"/>
              <w:ind w:right="432"/>
              <w:spacing w:after="0" w:line="149" w:lineRule="exact"/>
              <w:rPr>
                <w:sz w:val="20"/>
                <w:szCs w:val="20"/>
                <w:color w:val="auto"/>
              </w:rPr>
            </w:pPr>
            <w:r>
              <w:rPr>
                <w:rFonts w:ascii="Arial" w:cs="Arial" w:eastAsia="Arial" w:hAnsi="Arial"/>
                <w:sz w:val="14"/>
                <w:szCs w:val="14"/>
                <w:color w:val="auto"/>
              </w:rPr>
              <w:t>1,591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Borders>
              <w:right w:val="single" w:sz="8" w:color="EEEEEE"/>
            </w:tcBorders>
            <w:shd w:val="clear" w:color="auto" w:fill="EEEEEE"/>
          </w:tcPr>
          <w:p>
            <w:pPr>
              <w:ind w:left="860"/>
              <w:spacing w:after="0" w:line="149" w:lineRule="exact"/>
              <w:rPr>
                <w:sz w:val="20"/>
                <w:szCs w:val="20"/>
                <w:color w:val="auto"/>
              </w:rPr>
            </w:pPr>
            <w:r>
              <w:rPr>
                <w:rFonts w:ascii="Arial" w:cs="Arial" w:eastAsia="Arial" w:hAnsi="Arial"/>
                <w:sz w:val="14"/>
                <w:szCs w:val="14"/>
                <w:color w:val="auto"/>
              </w:rPr>
              <w:t>Decrease in other assets and other liabilities, net</w:t>
            </w:r>
          </w:p>
        </w:tc>
        <w:tc>
          <w:tcPr>
            <w:tcW w:w="920" w:type="dxa"/>
            <w:vAlign w:val="bottom"/>
            <w:shd w:val="clear" w:color="auto" w:fill="EEEEEE"/>
          </w:tcPr>
          <w:p>
            <w:pPr>
              <w:spacing w:after="0"/>
              <w:rPr>
                <w:sz w:val="12"/>
                <w:szCs w:val="12"/>
                <w:color w:val="auto"/>
              </w:rPr>
            </w:pPr>
          </w:p>
        </w:tc>
        <w:tc>
          <w:tcPr>
            <w:tcW w:w="1280" w:type="dxa"/>
            <w:vAlign w:val="bottom"/>
            <w:shd w:val="clear" w:color="auto" w:fill="EEEEEE"/>
          </w:tcPr>
          <w:p>
            <w:pPr>
              <w:jc w:val="right"/>
              <w:ind w:right="712"/>
              <w:spacing w:after="0" w:line="149" w:lineRule="exact"/>
              <w:rPr>
                <w:sz w:val="20"/>
                <w:szCs w:val="20"/>
                <w:color w:val="auto"/>
              </w:rPr>
            </w:pPr>
            <w:r>
              <w:rPr>
                <w:rFonts w:ascii="Arial" w:cs="Arial" w:eastAsia="Arial" w:hAnsi="Arial"/>
                <w:sz w:val="14"/>
                <w:szCs w:val="14"/>
                <w:b w:val="1"/>
                <w:bCs w:val="1"/>
                <w:color w:val="auto"/>
              </w:rPr>
              <w:t>34,460</w:t>
            </w:r>
          </w:p>
        </w:tc>
        <w:tc>
          <w:tcPr>
            <w:tcW w:w="1340" w:type="dxa"/>
            <w:vAlign w:val="bottom"/>
            <w:shd w:val="clear" w:color="auto" w:fill="EEEEEE"/>
          </w:tcPr>
          <w:p>
            <w:pPr>
              <w:spacing w:after="0"/>
              <w:rPr>
                <w:sz w:val="12"/>
                <w:szCs w:val="12"/>
                <w:color w:val="auto"/>
              </w:rPr>
            </w:pPr>
          </w:p>
        </w:tc>
        <w:tc>
          <w:tcPr>
            <w:tcW w:w="1220" w:type="dxa"/>
            <w:vAlign w:val="bottom"/>
            <w:shd w:val="clear" w:color="auto" w:fill="EEEEEE"/>
          </w:tcPr>
          <w:p>
            <w:pPr>
              <w:jc w:val="right"/>
              <w:ind w:right="672"/>
              <w:spacing w:after="0" w:line="149" w:lineRule="exact"/>
              <w:rPr>
                <w:sz w:val="20"/>
                <w:szCs w:val="20"/>
                <w:color w:val="auto"/>
              </w:rPr>
            </w:pPr>
            <w:r>
              <w:rPr>
                <w:rFonts w:ascii="Arial" w:cs="Arial" w:eastAsia="Arial" w:hAnsi="Arial"/>
                <w:sz w:val="14"/>
                <w:szCs w:val="14"/>
                <w:color w:val="auto"/>
              </w:rPr>
              <w:t>21,360</w:t>
            </w:r>
          </w:p>
        </w:tc>
        <w:tc>
          <w:tcPr>
            <w:tcW w:w="980" w:type="dxa"/>
            <w:vAlign w:val="bottom"/>
            <w:shd w:val="clear" w:color="auto" w:fill="EEEEEE"/>
          </w:tcPr>
          <w:p>
            <w:pPr>
              <w:spacing w:after="0"/>
              <w:rPr>
                <w:sz w:val="12"/>
                <w:szCs w:val="12"/>
                <w:color w:val="auto"/>
              </w:rPr>
            </w:pPr>
          </w:p>
        </w:tc>
        <w:tc>
          <w:tcPr>
            <w:tcW w:w="980" w:type="dxa"/>
            <w:vAlign w:val="bottom"/>
            <w:shd w:val="clear" w:color="auto" w:fill="EEEEEE"/>
          </w:tcPr>
          <w:p>
            <w:pPr>
              <w:jc w:val="right"/>
              <w:ind w:right="432"/>
              <w:spacing w:after="0" w:line="149" w:lineRule="exact"/>
              <w:rPr>
                <w:sz w:val="20"/>
                <w:szCs w:val="20"/>
                <w:color w:val="auto"/>
              </w:rPr>
            </w:pPr>
            <w:r>
              <w:rPr>
                <w:rFonts w:ascii="Arial" w:cs="Arial" w:eastAsia="Arial" w:hAnsi="Arial"/>
                <w:sz w:val="14"/>
                <w:szCs w:val="14"/>
                <w:color w:val="auto"/>
              </w:rPr>
              <w:t>38,294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80" w:type="dxa"/>
            <w:vAlign w:val="bottom"/>
          </w:tcPr>
          <w:p>
            <w:pPr>
              <w:ind w:left="560"/>
              <w:spacing w:after="0"/>
              <w:rPr>
                <w:sz w:val="20"/>
                <w:szCs w:val="20"/>
                <w:color w:val="auto"/>
              </w:rPr>
            </w:pPr>
            <w:r>
              <w:rPr>
                <w:rFonts w:ascii="Arial" w:cs="Arial" w:eastAsia="Arial" w:hAnsi="Arial"/>
                <w:sz w:val="14"/>
                <w:szCs w:val="14"/>
                <w:color w:val="auto"/>
              </w:rPr>
              <w:t>Other</w:t>
            </w:r>
          </w:p>
        </w:tc>
        <w:tc>
          <w:tcPr>
            <w:tcW w:w="920" w:type="dxa"/>
            <w:vAlign w:val="bottom"/>
          </w:tcPr>
          <w:p>
            <w:pPr>
              <w:spacing w:after="0"/>
              <w:rPr>
                <w:sz w:val="15"/>
                <w:szCs w:val="15"/>
                <w:color w:val="auto"/>
              </w:rPr>
            </w:pPr>
          </w:p>
        </w:tc>
        <w:tc>
          <w:tcPr>
            <w:tcW w:w="1280" w:type="dxa"/>
            <w:vAlign w:val="bottom"/>
          </w:tcPr>
          <w:p>
            <w:pPr>
              <w:jc w:val="right"/>
              <w:ind w:right="672"/>
              <w:spacing w:after="0"/>
              <w:rPr>
                <w:sz w:val="20"/>
                <w:szCs w:val="20"/>
                <w:color w:val="auto"/>
              </w:rPr>
            </w:pPr>
            <w:r>
              <w:rPr>
                <w:rFonts w:ascii="Arial" w:cs="Arial" w:eastAsia="Arial" w:hAnsi="Arial"/>
                <w:sz w:val="14"/>
                <w:szCs w:val="14"/>
                <w:b w:val="1"/>
                <w:bCs w:val="1"/>
                <w:color w:val="auto"/>
              </w:rPr>
              <w:t>(5,404)</w:t>
            </w:r>
          </w:p>
        </w:tc>
        <w:tc>
          <w:tcPr>
            <w:tcW w:w="1340" w:type="dxa"/>
            <w:vAlign w:val="bottom"/>
          </w:tcPr>
          <w:p>
            <w:pPr>
              <w:spacing w:after="0"/>
              <w:rPr>
                <w:sz w:val="15"/>
                <w:szCs w:val="15"/>
                <w:color w:val="auto"/>
              </w:rPr>
            </w:pPr>
          </w:p>
        </w:tc>
        <w:tc>
          <w:tcPr>
            <w:tcW w:w="1220" w:type="dxa"/>
            <w:vAlign w:val="bottom"/>
          </w:tcPr>
          <w:p>
            <w:pPr>
              <w:jc w:val="right"/>
              <w:ind w:right="672"/>
              <w:spacing w:after="0"/>
              <w:rPr>
                <w:sz w:val="20"/>
                <w:szCs w:val="20"/>
                <w:color w:val="auto"/>
              </w:rPr>
            </w:pPr>
            <w:r>
              <w:rPr>
                <w:rFonts w:ascii="Arial" w:cs="Arial" w:eastAsia="Arial" w:hAnsi="Arial"/>
                <w:sz w:val="14"/>
                <w:szCs w:val="14"/>
                <w:color w:val="auto"/>
              </w:rPr>
              <w:t>5,846</w:t>
            </w:r>
          </w:p>
        </w:tc>
        <w:tc>
          <w:tcPr>
            <w:tcW w:w="9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color w:val="auto"/>
              </w:rPr>
              <w:t>2,752</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4680" w:type="dxa"/>
            <w:vAlign w:val="bottom"/>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1340" w:type="dxa"/>
            <w:vAlign w:val="bottom"/>
            <w:tcBorders>
              <w:bottom w:val="single" w:sz="8" w:color="808080"/>
            </w:tcBorders>
          </w:tcPr>
          <w:p>
            <w:pPr>
              <w:spacing w:after="0"/>
              <w:rPr>
                <w:sz w:val="7"/>
                <w:szCs w:val="7"/>
                <w:color w:val="auto"/>
              </w:rPr>
            </w:pPr>
          </w:p>
        </w:tc>
        <w:tc>
          <w:tcPr>
            <w:tcW w:w="122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Borders>
              <w:right w:val="single" w:sz="8" w:color="EEEEEE"/>
            </w:tcBorders>
            <w:shd w:val="clear" w:color="auto" w:fill="EEEEEE"/>
          </w:tcPr>
          <w:p>
            <w:pPr>
              <w:ind w:left="860"/>
              <w:spacing w:after="0" w:line="149" w:lineRule="exact"/>
              <w:rPr>
                <w:sz w:val="20"/>
                <w:szCs w:val="20"/>
                <w:color w:val="auto"/>
              </w:rPr>
            </w:pPr>
            <w:r>
              <w:rPr>
                <w:rFonts w:ascii="Arial" w:cs="Arial" w:eastAsia="Arial" w:hAnsi="Arial"/>
                <w:sz w:val="14"/>
                <w:szCs w:val="14"/>
                <w:color w:val="auto"/>
              </w:rPr>
              <w:t>Net cash provided by operating activities</w:t>
            </w:r>
          </w:p>
        </w:tc>
        <w:tc>
          <w:tcPr>
            <w:tcW w:w="920" w:type="dxa"/>
            <w:vAlign w:val="bottom"/>
            <w:shd w:val="clear" w:color="auto" w:fill="EEEEEE"/>
          </w:tcPr>
          <w:p>
            <w:pPr>
              <w:spacing w:after="0"/>
              <w:rPr>
                <w:sz w:val="12"/>
                <w:szCs w:val="12"/>
                <w:color w:val="auto"/>
              </w:rPr>
            </w:pPr>
          </w:p>
        </w:tc>
        <w:tc>
          <w:tcPr>
            <w:tcW w:w="1280" w:type="dxa"/>
            <w:vAlign w:val="bottom"/>
            <w:shd w:val="clear" w:color="auto" w:fill="EEEEEE"/>
          </w:tcPr>
          <w:p>
            <w:pPr>
              <w:jc w:val="right"/>
              <w:ind w:right="712"/>
              <w:spacing w:after="0" w:line="149" w:lineRule="exact"/>
              <w:rPr>
                <w:sz w:val="20"/>
                <w:szCs w:val="20"/>
                <w:color w:val="auto"/>
              </w:rPr>
            </w:pPr>
            <w:r>
              <w:rPr>
                <w:rFonts w:ascii="Arial" w:cs="Arial" w:eastAsia="Arial" w:hAnsi="Arial"/>
                <w:sz w:val="14"/>
                <w:szCs w:val="14"/>
                <w:b w:val="1"/>
                <w:bCs w:val="1"/>
                <w:color w:val="auto"/>
                <w:w w:val="94"/>
              </w:rPr>
              <w:t>337,714</w:t>
            </w:r>
          </w:p>
        </w:tc>
        <w:tc>
          <w:tcPr>
            <w:tcW w:w="1340" w:type="dxa"/>
            <w:vAlign w:val="bottom"/>
            <w:shd w:val="clear" w:color="auto" w:fill="EEEEEE"/>
          </w:tcPr>
          <w:p>
            <w:pPr>
              <w:spacing w:after="0"/>
              <w:rPr>
                <w:sz w:val="12"/>
                <w:szCs w:val="12"/>
                <w:color w:val="auto"/>
              </w:rPr>
            </w:pPr>
          </w:p>
        </w:tc>
        <w:tc>
          <w:tcPr>
            <w:tcW w:w="1220" w:type="dxa"/>
            <w:vAlign w:val="bottom"/>
            <w:shd w:val="clear" w:color="auto" w:fill="EEEEEE"/>
          </w:tcPr>
          <w:p>
            <w:pPr>
              <w:jc w:val="right"/>
              <w:ind w:right="672"/>
              <w:spacing w:after="0" w:line="149" w:lineRule="exact"/>
              <w:rPr>
                <w:sz w:val="20"/>
                <w:szCs w:val="20"/>
                <w:color w:val="auto"/>
              </w:rPr>
            </w:pPr>
            <w:r>
              <w:rPr>
                <w:rFonts w:ascii="Arial" w:cs="Arial" w:eastAsia="Arial" w:hAnsi="Arial"/>
                <w:sz w:val="14"/>
                <w:szCs w:val="14"/>
                <w:color w:val="auto"/>
                <w:w w:val="90"/>
              </w:rPr>
              <w:t>497,466</w:t>
            </w:r>
          </w:p>
        </w:tc>
        <w:tc>
          <w:tcPr>
            <w:tcW w:w="980" w:type="dxa"/>
            <w:vAlign w:val="bottom"/>
            <w:shd w:val="clear" w:color="auto" w:fill="EEEEEE"/>
          </w:tcPr>
          <w:p>
            <w:pPr>
              <w:spacing w:after="0"/>
              <w:rPr>
                <w:sz w:val="12"/>
                <w:szCs w:val="12"/>
                <w:color w:val="auto"/>
              </w:rPr>
            </w:pPr>
          </w:p>
        </w:tc>
        <w:tc>
          <w:tcPr>
            <w:tcW w:w="980" w:type="dxa"/>
            <w:vAlign w:val="bottom"/>
            <w:shd w:val="clear" w:color="auto" w:fill="EEEEEE"/>
          </w:tcPr>
          <w:p>
            <w:pPr>
              <w:jc w:val="right"/>
              <w:ind w:right="432"/>
              <w:spacing w:after="0" w:line="149" w:lineRule="exact"/>
              <w:rPr>
                <w:sz w:val="20"/>
                <w:szCs w:val="20"/>
                <w:color w:val="auto"/>
              </w:rPr>
            </w:pPr>
            <w:r>
              <w:rPr>
                <w:rFonts w:ascii="Arial" w:cs="Arial" w:eastAsia="Arial" w:hAnsi="Arial"/>
                <w:sz w:val="14"/>
                <w:szCs w:val="14"/>
                <w:color w:val="auto"/>
                <w:w w:val="90"/>
              </w:rPr>
              <w:t>348,830</w:t>
            </w:r>
          </w:p>
        </w:tc>
        <w:tc>
          <w:tcPr>
            <w:tcW w:w="0" w:type="dxa"/>
            <w:vAlign w:val="bottom"/>
          </w:tcPr>
          <w:p>
            <w:pPr>
              <w:spacing w:after="0"/>
              <w:rPr>
                <w:sz w:val="1"/>
                <w:szCs w:val="1"/>
                <w:color w:val="auto"/>
              </w:rPr>
            </w:pPr>
          </w:p>
        </w:tc>
      </w:tr>
      <w:tr>
        <w:trPr>
          <w:trHeight w:val="108"/>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9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4700" w:type="dxa"/>
            <w:vAlign w:val="bottom"/>
            <w:gridSpan w:val="2"/>
            <w:vMerge w:val="continue"/>
          </w:tcPr>
          <w:p>
            <w:pPr>
              <w:spacing w:after="0"/>
              <w:rPr>
                <w:sz w:val="21"/>
                <w:szCs w:val="21"/>
                <w:color w:val="auto"/>
              </w:rPr>
            </w:pPr>
          </w:p>
        </w:tc>
        <w:tc>
          <w:tcPr>
            <w:tcW w:w="9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Borders>
              <w:right w:val="single" w:sz="8" w:color="EEEEEE"/>
            </w:tcBorders>
            <w:shd w:val="clear" w:color="auto" w:fill="EEEEEE"/>
          </w:tcPr>
          <w:p>
            <w:pPr>
              <w:ind w:left="280"/>
              <w:spacing w:after="0" w:line="149" w:lineRule="exact"/>
              <w:rPr>
                <w:sz w:val="20"/>
                <w:szCs w:val="20"/>
                <w:color w:val="auto"/>
              </w:rPr>
            </w:pPr>
            <w:r>
              <w:rPr>
                <w:rFonts w:ascii="Arial" w:cs="Arial" w:eastAsia="Arial" w:hAnsi="Arial"/>
                <w:sz w:val="14"/>
                <w:szCs w:val="14"/>
                <w:color w:val="auto"/>
              </w:rPr>
              <w:t>Investments in certain businesses</w:t>
            </w:r>
          </w:p>
        </w:tc>
        <w:tc>
          <w:tcPr>
            <w:tcW w:w="920" w:type="dxa"/>
            <w:vAlign w:val="bottom"/>
            <w:shd w:val="clear" w:color="auto" w:fill="EEEEEE"/>
          </w:tcPr>
          <w:p>
            <w:pPr>
              <w:spacing w:after="0"/>
              <w:rPr>
                <w:sz w:val="12"/>
                <w:szCs w:val="12"/>
                <w:color w:val="auto"/>
              </w:rPr>
            </w:pPr>
          </w:p>
        </w:tc>
        <w:tc>
          <w:tcPr>
            <w:tcW w:w="1280" w:type="dxa"/>
            <w:vAlign w:val="bottom"/>
            <w:shd w:val="clear" w:color="auto" w:fill="EEEEEE"/>
          </w:tcPr>
          <w:p>
            <w:pPr>
              <w:jc w:val="right"/>
              <w:ind w:right="672"/>
              <w:spacing w:after="0" w:line="149" w:lineRule="exact"/>
              <w:rPr>
                <w:sz w:val="20"/>
                <w:szCs w:val="20"/>
                <w:color w:val="auto"/>
              </w:rPr>
            </w:pPr>
            <w:r>
              <w:rPr>
                <w:rFonts w:ascii="Arial" w:cs="Arial" w:eastAsia="Arial" w:hAnsi="Arial"/>
                <w:sz w:val="14"/>
                <w:szCs w:val="14"/>
                <w:b w:val="1"/>
                <w:bCs w:val="1"/>
                <w:color w:val="auto"/>
                <w:w w:val="86"/>
              </w:rPr>
              <w:t>(134,541)</w:t>
            </w:r>
          </w:p>
        </w:tc>
        <w:tc>
          <w:tcPr>
            <w:tcW w:w="1340" w:type="dxa"/>
            <w:vAlign w:val="bottom"/>
            <w:shd w:val="clear" w:color="auto" w:fill="EEEEEE"/>
          </w:tcPr>
          <w:p>
            <w:pPr>
              <w:spacing w:after="0"/>
              <w:rPr>
                <w:sz w:val="12"/>
                <w:szCs w:val="12"/>
                <w:color w:val="auto"/>
              </w:rPr>
            </w:pPr>
          </w:p>
        </w:tc>
        <w:tc>
          <w:tcPr>
            <w:tcW w:w="1220" w:type="dxa"/>
            <w:vAlign w:val="bottom"/>
            <w:shd w:val="clear" w:color="auto" w:fill="EEEEEE"/>
          </w:tcPr>
          <w:p>
            <w:pPr>
              <w:jc w:val="right"/>
              <w:ind w:right="632"/>
              <w:spacing w:after="0" w:line="149" w:lineRule="exact"/>
              <w:rPr>
                <w:sz w:val="20"/>
                <w:szCs w:val="20"/>
                <w:color w:val="auto"/>
              </w:rPr>
            </w:pPr>
            <w:r>
              <w:rPr>
                <w:rFonts w:ascii="Arial" w:cs="Arial" w:eastAsia="Arial" w:hAnsi="Arial"/>
                <w:sz w:val="14"/>
                <w:szCs w:val="14"/>
                <w:color w:val="auto"/>
                <w:w w:val="95"/>
              </w:rPr>
              <w:t>(36,016)</w:t>
            </w:r>
          </w:p>
        </w:tc>
        <w:tc>
          <w:tcPr>
            <w:tcW w:w="980" w:type="dxa"/>
            <w:vAlign w:val="bottom"/>
            <w:shd w:val="clear" w:color="auto" w:fill="EEEEEE"/>
          </w:tcPr>
          <w:p>
            <w:pPr>
              <w:spacing w:after="0"/>
              <w:rPr>
                <w:sz w:val="12"/>
                <w:szCs w:val="12"/>
                <w:color w:val="auto"/>
              </w:rPr>
            </w:pPr>
          </w:p>
        </w:tc>
        <w:tc>
          <w:tcPr>
            <w:tcW w:w="980" w:type="dxa"/>
            <w:vAlign w:val="bottom"/>
            <w:shd w:val="clear" w:color="auto" w:fill="EEEEEE"/>
          </w:tcPr>
          <w:p>
            <w:pPr>
              <w:jc w:val="right"/>
              <w:ind w:right="392"/>
              <w:spacing w:after="0" w:line="149" w:lineRule="exact"/>
              <w:rPr>
                <w:sz w:val="20"/>
                <w:szCs w:val="20"/>
                <w:color w:val="auto"/>
              </w:rPr>
            </w:pPr>
            <w:r>
              <w:rPr>
                <w:rFonts w:ascii="Arial" w:cs="Arial" w:eastAsia="Arial" w:hAnsi="Arial"/>
                <w:sz w:val="14"/>
                <w:szCs w:val="14"/>
                <w:color w:val="auto"/>
                <w:w w:val="83"/>
              </w:rPr>
              <w:t>(104,356)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280"/>
              <w:spacing w:after="0" w:line="149" w:lineRule="exact"/>
              <w:rPr>
                <w:sz w:val="20"/>
                <w:szCs w:val="20"/>
                <w:color w:val="auto"/>
              </w:rPr>
            </w:pPr>
            <w:r>
              <w:rPr>
                <w:rFonts w:ascii="Arial" w:cs="Arial" w:eastAsia="Arial" w:hAnsi="Arial"/>
                <w:sz w:val="14"/>
                <w:szCs w:val="14"/>
                <w:color w:val="auto"/>
              </w:rPr>
              <w:t>Net proceeds from sale of businesses</w:t>
            </w:r>
          </w:p>
        </w:tc>
        <w:tc>
          <w:tcPr>
            <w:tcW w:w="920" w:type="dxa"/>
            <w:vAlign w:val="bottom"/>
          </w:tcPr>
          <w:p>
            <w:pPr>
              <w:spacing w:after="0"/>
              <w:rPr>
                <w:sz w:val="12"/>
                <w:szCs w:val="12"/>
                <w:color w:val="auto"/>
              </w:rPr>
            </w:pPr>
          </w:p>
        </w:tc>
        <w:tc>
          <w:tcPr>
            <w:tcW w:w="1280" w:type="dxa"/>
            <w:vAlign w:val="bottom"/>
          </w:tcPr>
          <w:p>
            <w:pPr>
              <w:jc w:val="right"/>
              <w:ind w:right="712"/>
              <w:spacing w:after="0" w:line="149" w:lineRule="exact"/>
              <w:rPr>
                <w:sz w:val="20"/>
                <w:szCs w:val="20"/>
                <w:color w:val="auto"/>
              </w:rPr>
            </w:pPr>
            <w:r>
              <w:rPr>
                <w:rFonts w:ascii="Arial" w:cs="Arial" w:eastAsia="Arial" w:hAnsi="Arial"/>
                <w:sz w:val="14"/>
                <w:szCs w:val="14"/>
                <w:b w:val="1"/>
                <w:bCs w:val="1"/>
                <w:color w:val="auto"/>
              </w:rPr>
              <w:t>65,000</w:t>
            </w:r>
          </w:p>
        </w:tc>
        <w:tc>
          <w:tcPr>
            <w:tcW w:w="1340" w:type="dxa"/>
            <w:vAlign w:val="bottom"/>
          </w:tcPr>
          <w:p>
            <w:pPr>
              <w:spacing w:after="0"/>
              <w:rPr>
                <w:sz w:val="12"/>
                <w:szCs w:val="12"/>
                <w:color w:val="auto"/>
              </w:rPr>
            </w:pPr>
          </w:p>
        </w:tc>
        <w:tc>
          <w:tcPr>
            <w:tcW w:w="1220" w:type="dxa"/>
            <w:vAlign w:val="bottom"/>
          </w:tcPr>
          <w:p>
            <w:pPr>
              <w:jc w:val="right"/>
              <w:ind w:right="672"/>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spacing w:after="0"/>
              <w:rPr>
                <w:sz w:val="12"/>
                <w:szCs w:val="12"/>
                <w:color w:val="auto"/>
              </w:rPr>
            </w:pPr>
          </w:p>
        </w:tc>
        <w:tc>
          <w:tcPr>
            <w:tcW w:w="980" w:type="dxa"/>
            <w:vAlign w:val="bottom"/>
          </w:tcPr>
          <w:p>
            <w:pPr>
              <w:jc w:val="right"/>
              <w:ind w:right="432"/>
              <w:spacing w:after="0" w:line="149" w:lineRule="exact"/>
              <w:rPr>
                <w:sz w:val="20"/>
                <w:szCs w:val="20"/>
                <w:color w:val="auto"/>
              </w:rPr>
            </w:pPr>
            <w:r>
              <w:rPr>
                <w:rFonts w:ascii="Arial" w:cs="Arial" w:eastAsia="Arial" w:hAnsi="Arial"/>
                <w:sz w:val="14"/>
                <w:szCs w:val="14"/>
                <w:color w:val="auto"/>
              </w:rPr>
              <w:t>61,921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Borders>
              <w:right w:val="single" w:sz="8" w:color="EEEEEE"/>
            </w:tcBorders>
            <w:shd w:val="clear" w:color="auto" w:fill="EEEEEE"/>
          </w:tcPr>
          <w:p>
            <w:pPr>
              <w:ind w:left="280"/>
              <w:spacing w:after="0" w:line="149" w:lineRule="exact"/>
              <w:rPr>
                <w:sz w:val="20"/>
                <w:szCs w:val="20"/>
                <w:color w:val="auto"/>
              </w:rPr>
            </w:pPr>
            <w:r>
              <w:rPr>
                <w:rFonts w:ascii="Arial" w:cs="Arial" w:eastAsia="Arial" w:hAnsi="Arial"/>
                <w:sz w:val="14"/>
                <w:szCs w:val="14"/>
                <w:color w:val="auto"/>
              </w:rPr>
              <w:t>Purchases of property, plant and equipment</w:t>
            </w:r>
          </w:p>
        </w:tc>
        <w:tc>
          <w:tcPr>
            <w:tcW w:w="920" w:type="dxa"/>
            <w:vAlign w:val="bottom"/>
            <w:shd w:val="clear" w:color="auto" w:fill="EEEEEE"/>
          </w:tcPr>
          <w:p>
            <w:pPr>
              <w:spacing w:after="0"/>
              <w:rPr>
                <w:sz w:val="12"/>
                <w:szCs w:val="12"/>
                <w:color w:val="auto"/>
              </w:rPr>
            </w:pPr>
          </w:p>
        </w:tc>
        <w:tc>
          <w:tcPr>
            <w:tcW w:w="1280" w:type="dxa"/>
            <w:vAlign w:val="bottom"/>
            <w:shd w:val="clear" w:color="auto" w:fill="EEEEEE"/>
          </w:tcPr>
          <w:p>
            <w:pPr>
              <w:jc w:val="right"/>
              <w:ind w:right="672"/>
              <w:spacing w:after="0" w:line="149" w:lineRule="exact"/>
              <w:rPr>
                <w:sz w:val="20"/>
                <w:szCs w:val="20"/>
                <w:color w:val="auto"/>
              </w:rPr>
            </w:pPr>
            <w:r>
              <w:rPr>
                <w:rFonts w:ascii="Arial" w:cs="Arial" w:eastAsia="Arial" w:hAnsi="Arial"/>
                <w:sz w:val="14"/>
                <w:szCs w:val="14"/>
                <w:b w:val="1"/>
                <w:bCs w:val="1"/>
                <w:color w:val="auto"/>
                <w:w w:val="86"/>
              </w:rPr>
              <w:t>(125,588)</w:t>
            </w:r>
          </w:p>
        </w:tc>
        <w:tc>
          <w:tcPr>
            <w:tcW w:w="1340" w:type="dxa"/>
            <w:vAlign w:val="bottom"/>
            <w:shd w:val="clear" w:color="auto" w:fill="EEEEEE"/>
          </w:tcPr>
          <w:p>
            <w:pPr>
              <w:spacing w:after="0"/>
              <w:rPr>
                <w:sz w:val="12"/>
                <w:szCs w:val="12"/>
                <w:color w:val="auto"/>
              </w:rPr>
            </w:pPr>
          </w:p>
        </w:tc>
        <w:tc>
          <w:tcPr>
            <w:tcW w:w="1220" w:type="dxa"/>
            <w:vAlign w:val="bottom"/>
            <w:shd w:val="clear" w:color="auto" w:fill="EEEEEE"/>
          </w:tcPr>
          <w:p>
            <w:pPr>
              <w:jc w:val="right"/>
              <w:ind w:right="632"/>
              <w:spacing w:after="0" w:line="149" w:lineRule="exact"/>
              <w:rPr>
                <w:sz w:val="20"/>
                <w:szCs w:val="20"/>
                <w:color w:val="auto"/>
              </w:rPr>
            </w:pPr>
            <w:r>
              <w:rPr>
                <w:rFonts w:ascii="Arial" w:cs="Arial" w:eastAsia="Arial" w:hAnsi="Arial"/>
                <w:sz w:val="14"/>
                <w:szCs w:val="14"/>
                <w:color w:val="auto"/>
                <w:w w:val="83"/>
              </w:rPr>
              <w:t>(152,992)</w:t>
            </w:r>
          </w:p>
        </w:tc>
        <w:tc>
          <w:tcPr>
            <w:tcW w:w="980" w:type="dxa"/>
            <w:vAlign w:val="bottom"/>
            <w:shd w:val="clear" w:color="auto" w:fill="EEEEEE"/>
          </w:tcPr>
          <w:p>
            <w:pPr>
              <w:spacing w:after="0"/>
              <w:rPr>
                <w:sz w:val="12"/>
                <w:szCs w:val="12"/>
                <w:color w:val="auto"/>
              </w:rPr>
            </w:pPr>
          </w:p>
        </w:tc>
        <w:tc>
          <w:tcPr>
            <w:tcW w:w="980" w:type="dxa"/>
            <w:vAlign w:val="bottom"/>
            <w:shd w:val="clear" w:color="auto" w:fill="EEEEEE"/>
          </w:tcPr>
          <w:p>
            <w:pPr>
              <w:jc w:val="right"/>
              <w:ind w:right="392"/>
              <w:spacing w:after="0" w:line="149" w:lineRule="exact"/>
              <w:rPr>
                <w:sz w:val="20"/>
                <w:szCs w:val="20"/>
                <w:color w:val="auto"/>
              </w:rPr>
            </w:pPr>
            <w:r>
              <w:rPr>
                <w:rFonts w:ascii="Arial" w:cs="Arial" w:eastAsia="Arial" w:hAnsi="Arial"/>
                <w:sz w:val="14"/>
                <w:szCs w:val="14"/>
                <w:color w:val="auto"/>
                <w:w w:val="83"/>
              </w:rPr>
              <w:t>(224,227)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280"/>
              <w:spacing w:after="0" w:line="149" w:lineRule="exact"/>
              <w:rPr>
                <w:sz w:val="20"/>
                <w:szCs w:val="20"/>
                <w:color w:val="auto"/>
              </w:rPr>
            </w:pPr>
            <w:r>
              <w:rPr>
                <w:rFonts w:ascii="Arial" w:cs="Arial" w:eastAsia="Arial" w:hAnsi="Arial"/>
                <w:sz w:val="14"/>
                <w:szCs w:val="14"/>
                <w:color w:val="auto"/>
              </w:rPr>
              <w:t>Proceeds from sale of property, plant and equipment</w:t>
            </w:r>
          </w:p>
        </w:tc>
        <w:tc>
          <w:tcPr>
            <w:tcW w:w="920" w:type="dxa"/>
            <w:vAlign w:val="bottom"/>
          </w:tcPr>
          <w:p>
            <w:pPr>
              <w:spacing w:after="0"/>
              <w:rPr>
                <w:sz w:val="12"/>
                <w:szCs w:val="12"/>
                <w:color w:val="auto"/>
              </w:rPr>
            </w:pPr>
          </w:p>
        </w:tc>
        <w:tc>
          <w:tcPr>
            <w:tcW w:w="1280" w:type="dxa"/>
            <w:vAlign w:val="bottom"/>
          </w:tcPr>
          <w:p>
            <w:pPr>
              <w:jc w:val="right"/>
              <w:ind w:right="712"/>
              <w:spacing w:after="0" w:line="149" w:lineRule="exact"/>
              <w:rPr>
                <w:sz w:val="20"/>
                <w:szCs w:val="20"/>
                <w:color w:val="auto"/>
              </w:rPr>
            </w:pPr>
            <w:r>
              <w:rPr>
                <w:rFonts w:ascii="Arial" w:cs="Arial" w:eastAsia="Arial" w:hAnsi="Arial"/>
                <w:sz w:val="14"/>
                <w:szCs w:val="14"/>
                <w:b w:val="1"/>
                <w:bCs w:val="1"/>
                <w:color w:val="auto"/>
              </w:rPr>
              <w:t>44,973</w:t>
            </w:r>
          </w:p>
        </w:tc>
        <w:tc>
          <w:tcPr>
            <w:tcW w:w="1340" w:type="dxa"/>
            <w:vAlign w:val="bottom"/>
          </w:tcPr>
          <w:p>
            <w:pPr>
              <w:spacing w:after="0"/>
              <w:rPr>
                <w:sz w:val="12"/>
                <w:szCs w:val="12"/>
                <w:color w:val="auto"/>
              </w:rPr>
            </w:pPr>
          </w:p>
        </w:tc>
        <w:tc>
          <w:tcPr>
            <w:tcW w:w="1220" w:type="dxa"/>
            <w:vAlign w:val="bottom"/>
          </w:tcPr>
          <w:p>
            <w:pPr>
              <w:jc w:val="right"/>
              <w:ind w:right="672"/>
              <w:spacing w:after="0" w:line="149" w:lineRule="exact"/>
              <w:rPr>
                <w:sz w:val="20"/>
                <w:szCs w:val="20"/>
                <w:color w:val="auto"/>
              </w:rPr>
            </w:pPr>
            <w:r>
              <w:rPr>
                <w:rFonts w:ascii="Arial" w:cs="Arial" w:eastAsia="Arial" w:hAnsi="Arial"/>
                <w:sz w:val="14"/>
                <w:szCs w:val="14"/>
                <w:color w:val="auto"/>
              </w:rPr>
              <w:t>1,484</w:t>
            </w:r>
          </w:p>
        </w:tc>
        <w:tc>
          <w:tcPr>
            <w:tcW w:w="980" w:type="dxa"/>
            <w:vAlign w:val="bottom"/>
          </w:tcPr>
          <w:p>
            <w:pPr>
              <w:spacing w:after="0"/>
              <w:rPr>
                <w:sz w:val="12"/>
                <w:szCs w:val="12"/>
                <w:color w:val="auto"/>
              </w:rPr>
            </w:pPr>
          </w:p>
        </w:tc>
        <w:tc>
          <w:tcPr>
            <w:tcW w:w="980" w:type="dxa"/>
            <w:vAlign w:val="bottom"/>
          </w:tcPr>
          <w:p>
            <w:pPr>
              <w:jc w:val="right"/>
              <w:ind w:right="432"/>
              <w:spacing w:after="0" w:line="149" w:lineRule="exact"/>
              <w:rPr>
                <w:sz w:val="20"/>
                <w:szCs w:val="20"/>
                <w:color w:val="auto"/>
              </w:rPr>
            </w:pPr>
            <w:r>
              <w:rPr>
                <w:rFonts w:ascii="Arial" w:cs="Arial" w:eastAsia="Arial" w:hAnsi="Arial"/>
                <w:sz w:val="14"/>
                <w:szCs w:val="14"/>
                <w:color w:val="auto"/>
              </w:rPr>
              <w:t>1,477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Borders>
              <w:right w:val="single" w:sz="8" w:color="EEEEEE"/>
            </w:tcBorders>
            <w:shd w:val="clear" w:color="auto" w:fill="EEEEEE"/>
          </w:tcPr>
          <w:p>
            <w:pPr>
              <w:ind w:left="280"/>
              <w:spacing w:after="0" w:line="149" w:lineRule="exact"/>
              <w:rPr>
                <w:sz w:val="20"/>
                <w:szCs w:val="20"/>
                <w:color w:val="auto"/>
              </w:rPr>
            </w:pPr>
            <w:r>
              <w:rPr>
                <w:rFonts w:ascii="Arial" w:cs="Arial" w:eastAsia="Arial" w:hAnsi="Arial"/>
                <w:sz w:val="14"/>
                <w:szCs w:val="14"/>
                <w:color w:val="auto"/>
              </w:rPr>
              <w:t>Purchases of cost method investments</w:t>
            </w:r>
          </w:p>
        </w:tc>
        <w:tc>
          <w:tcPr>
            <w:tcW w:w="920" w:type="dxa"/>
            <w:vAlign w:val="bottom"/>
            <w:shd w:val="clear" w:color="auto" w:fill="EEEEEE"/>
          </w:tcPr>
          <w:p>
            <w:pPr>
              <w:spacing w:after="0"/>
              <w:rPr>
                <w:sz w:val="12"/>
                <w:szCs w:val="12"/>
                <w:color w:val="auto"/>
              </w:rPr>
            </w:pPr>
          </w:p>
        </w:tc>
        <w:tc>
          <w:tcPr>
            <w:tcW w:w="1280" w:type="dxa"/>
            <w:vAlign w:val="bottom"/>
            <w:shd w:val="clear" w:color="auto" w:fill="EEEEEE"/>
          </w:tcPr>
          <w:p>
            <w:pPr>
              <w:jc w:val="right"/>
              <w:ind w:right="672"/>
              <w:spacing w:after="0" w:line="149" w:lineRule="exact"/>
              <w:rPr>
                <w:sz w:val="20"/>
                <w:szCs w:val="20"/>
                <w:color w:val="auto"/>
              </w:rPr>
            </w:pPr>
            <w:r>
              <w:rPr>
                <w:rFonts w:ascii="Arial" w:cs="Arial" w:eastAsia="Arial" w:hAnsi="Arial"/>
                <w:sz w:val="14"/>
                <w:szCs w:val="14"/>
                <w:b w:val="1"/>
                <w:bCs w:val="1"/>
                <w:color w:val="auto"/>
              </w:rPr>
              <w:t>(849)</w:t>
            </w:r>
          </w:p>
        </w:tc>
        <w:tc>
          <w:tcPr>
            <w:tcW w:w="1340" w:type="dxa"/>
            <w:vAlign w:val="bottom"/>
            <w:shd w:val="clear" w:color="auto" w:fill="EEEEEE"/>
          </w:tcPr>
          <w:p>
            <w:pPr>
              <w:spacing w:after="0"/>
              <w:rPr>
                <w:sz w:val="12"/>
                <w:szCs w:val="12"/>
                <w:color w:val="auto"/>
              </w:rPr>
            </w:pPr>
          </w:p>
        </w:tc>
        <w:tc>
          <w:tcPr>
            <w:tcW w:w="1220" w:type="dxa"/>
            <w:vAlign w:val="bottom"/>
            <w:shd w:val="clear" w:color="auto" w:fill="EEEEEE"/>
          </w:tcPr>
          <w:p>
            <w:pPr>
              <w:jc w:val="right"/>
              <w:ind w:right="632"/>
              <w:spacing w:after="0" w:line="149" w:lineRule="exact"/>
              <w:rPr>
                <w:sz w:val="20"/>
                <w:szCs w:val="20"/>
                <w:color w:val="auto"/>
              </w:rPr>
            </w:pPr>
            <w:r>
              <w:rPr>
                <w:rFonts w:ascii="Arial" w:cs="Arial" w:eastAsia="Arial" w:hAnsi="Arial"/>
                <w:sz w:val="14"/>
                <w:szCs w:val="14"/>
                <w:color w:val="auto"/>
              </w:rPr>
              <w:t>(250)</w:t>
            </w:r>
          </w:p>
        </w:tc>
        <w:tc>
          <w:tcPr>
            <w:tcW w:w="980" w:type="dxa"/>
            <w:vAlign w:val="bottom"/>
            <w:shd w:val="clear" w:color="auto" w:fill="EEEEEE"/>
          </w:tcPr>
          <w:p>
            <w:pPr>
              <w:spacing w:after="0"/>
              <w:rPr>
                <w:sz w:val="12"/>
                <w:szCs w:val="12"/>
                <w:color w:val="auto"/>
              </w:rPr>
            </w:pPr>
          </w:p>
        </w:tc>
        <w:tc>
          <w:tcPr>
            <w:tcW w:w="980" w:type="dxa"/>
            <w:vAlign w:val="bottom"/>
            <w:shd w:val="clear" w:color="auto" w:fill="EEEEEE"/>
          </w:tcPr>
          <w:p>
            <w:pPr>
              <w:jc w:val="right"/>
              <w:ind w:right="392"/>
              <w:spacing w:after="0" w:line="149" w:lineRule="exact"/>
              <w:rPr>
                <w:sz w:val="20"/>
                <w:szCs w:val="20"/>
                <w:color w:val="auto"/>
              </w:rPr>
            </w:pPr>
            <w:r>
              <w:rPr>
                <w:rFonts w:ascii="Arial" w:cs="Arial" w:eastAsia="Arial" w:hAnsi="Arial"/>
                <w:sz w:val="14"/>
                <w:szCs w:val="14"/>
                <w:color w:val="auto"/>
                <w:w w:val="95"/>
              </w:rPr>
              <w:t>(11,675)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280"/>
              <w:spacing w:after="0" w:line="149" w:lineRule="exact"/>
              <w:rPr>
                <w:sz w:val="20"/>
                <w:szCs w:val="20"/>
                <w:color w:val="auto"/>
              </w:rPr>
            </w:pPr>
            <w:r>
              <w:rPr>
                <w:rFonts w:ascii="Arial" w:cs="Arial" w:eastAsia="Arial" w:hAnsi="Arial"/>
                <w:sz w:val="14"/>
                <w:szCs w:val="14"/>
                <w:color w:val="auto"/>
              </w:rPr>
              <w:t>Investments in affiliates</w:t>
            </w:r>
          </w:p>
        </w:tc>
        <w:tc>
          <w:tcPr>
            <w:tcW w:w="920" w:type="dxa"/>
            <w:vAlign w:val="bottom"/>
          </w:tcPr>
          <w:p>
            <w:pPr>
              <w:spacing w:after="0"/>
              <w:rPr>
                <w:sz w:val="12"/>
                <w:szCs w:val="12"/>
                <w:color w:val="auto"/>
              </w:rPr>
            </w:pPr>
          </w:p>
        </w:tc>
        <w:tc>
          <w:tcPr>
            <w:tcW w:w="1280" w:type="dxa"/>
            <w:vAlign w:val="bottom"/>
          </w:tcPr>
          <w:p>
            <w:pPr>
              <w:jc w:val="right"/>
              <w:ind w:right="672"/>
              <w:spacing w:after="0" w:line="149" w:lineRule="exact"/>
              <w:rPr>
                <w:sz w:val="20"/>
                <w:szCs w:val="20"/>
                <w:color w:val="auto"/>
              </w:rPr>
            </w:pPr>
            <w:r>
              <w:rPr>
                <w:rFonts w:ascii="Arial" w:cs="Arial" w:eastAsia="Arial" w:hAnsi="Arial"/>
                <w:sz w:val="14"/>
                <w:szCs w:val="14"/>
                <w:b w:val="1"/>
                <w:bCs w:val="1"/>
                <w:color w:val="auto"/>
              </w:rPr>
              <w:t>(5,976)</w:t>
            </w:r>
          </w:p>
        </w:tc>
        <w:tc>
          <w:tcPr>
            <w:tcW w:w="1340" w:type="dxa"/>
            <w:vAlign w:val="bottom"/>
          </w:tcPr>
          <w:p>
            <w:pPr>
              <w:spacing w:after="0"/>
              <w:rPr>
                <w:sz w:val="12"/>
                <w:szCs w:val="12"/>
                <w:color w:val="auto"/>
              </w:rPr>
            </w:pPr>
          </w:p>
        </w:tc>
        <w:tc>
          <w:tcPr>
            <w:tcW w:w="1220" w:type="dxa"/>
            <w:vAlign w:val="bottom"/>
          </w:tcPr>
          <w:p>
            <w:pPr>
              <w:jc w:val="right"/>
              <w:ind w:right="632"/>
              <w:spacing w:after="0" w:line="149" w:lineRule="exact"/>
              <w:rPr>
                <w:sz w:val="20"/>
                <w:szCs w:val="20"/>
                <w:color w:val="auto"/>
              </w:rPr>
            </w:pPr>
            <w:r>
              <w:rPr>
                <w:rFonts w:ascii="Arial" w:cs="Arial" w:eastAsia="Arial" w:hAnsi="Arial"/>
                <w:sz w:val="14"/>
                <w:szCs w:val="14"/>
                <w:color w:val="auto"/>
              </w:rPr>
              <w:t>(7,610)</w:t>
            </w:r>
          </w:p>
        </w:tc>
        <w:tc>
          <w:tcPr>
            <w:tcW w:w="980" w:type="dxa"/>
            <w:vAlign w:val="bottom"/>
          </w:tcPr>
          <w:p>
            <w:pPr>
              <w:spacing w:after="0"/>
              <w:rPr>
                <w:sz w:val="12"/>
                <w:szCs w:val="12"/>
                <w:color w:val="auto"/>
              </w:rPr>
            </w:pPr>
          </w:p>
        </w:tc>
        <w:tc>
          <w:tcPr>
            <w:tcW w:w="980" w:type="dxa"/>
            <w:vAlign w:val="bottom"/>
          </w:tcPr>
          <w:p>
            <w:pPr>
              <w:jc w:val="right"/>
              <w:ind w:right="392"/>
              <w:spacing w:after="0" w:line="149" w:lineRule="exact"/>
              <w:rPr>
                <w:sz w:val="20"/>
                <w:szCs w:val="20"/>
                <w:color w:val="auto"/>
              </w:rPr>
            </w:pPr>
            <w:r>
              <w:rPr>
                <w:rFonts w:ascii="Arial" w:cs="Arial" w:eastAsia="Arial" w:hAnsi="Arial"/>
                <w:sz w:val="14"/>
                <w:szCs w:val="14"/>
                <w:color w:val="auto"/>
                <w:w w:val="95"/>
              </w:rPr>
              <w:t>(21,112)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Borders>
              <w:right w:val="single" w:sz="8" w:color="EEEEEE"/>
            </w:tcBorders>
            <w:shd w:val="clear" w:color="auto" w:fill="EEEEEE"/>
          </w:tcPr>
          <w:p>
            <w:pPr>
              <w:ind w:left="280"/>
              <w:spacing w:after="0" w:line="149" w:lineRule="exact"/>
              <w:rPr>
                <w:sz w:val="20"/>
                <w:szCs w:val="20"/>
                <w:color w:val="auto"/>
              </w:rPr>
            </w:pPr>
            <w:r>
              <w:rPr>
                <w:rFonts w:ascii="Arial" w:cs="Arial" w:eastAsia="Arial" w:hAnsi="Arial"/>
                <w:sz w:val="14"/>
                <w:szCs w:val="14"/>
                <w:color w:val="auto"/>
              </w:rPr>
              <w:t>Proceeds from sale of marketable equity securities</w:t>
            </w:r>
          </w:p>
        </w:tc>
        <w:tc>
          <w:tcPr>
            <w:tcW w:w="920" w:type="dxa"/>
            <w:vAlign w:val="bottom"/>
            <w:shd w:val="clear" w:color="auto" w:fill="EEEEEE"/>
          </w:tcPr>
          <w:p>
            <w:pPr>
              <w:spacing w:after="0"/>
              <w:rPr>
                <w:sz w:val="12"/>
                <w:szCs w:val="12"/>
                <w:color w:val="auto"/>
              </w:rPr>
            </w:pPr>
          </w:p>
        </w:tc>
        <w:tc>
          <w:tcPr>
            <w:tcW w:w="1280" w:type="dxa"/>
            <w:vAlign w:val="bottom"/>
            <w:shd w:val="clear" w:color="auto" w:fill="EEEEEE"/>
          </w:tcPr>
          <w:p>
            <w:pPr>
              <w:jc w:val="right"/>
              <w:ind w:right="712"/>
              <w:spacing w:after="0" w:line="149" w:lineRule="exact"/>
              <w:rPr>
                <w:sz w:val="20"/>
                <w:szCs w:val="20"/>
                <w:color w:val="auto"/>
              </w:rPr>
            </w:pPr>
            <w:r>
              <w:rPr>
                <w:rFonts w:ascii="Arial" w:cs="Arial" w:eastAsia="Arial" w:hAnsi="Arial"/>
                <w:sz w:val="14"/>
                <w:szCs w:val="14"/>
                <w:b w:val="1"/>
                <w:bCs w:val="1"/>
                <w:color w:val="auto"/>
              </w:rPr>
              <w:t>—</w:t>
            </w:r>
          </w:p>
        </w:tc>
        <w:tc>
          <w:tcPr>
            <w:tcW w:w="1340" w:type="dxa"/>
            <w:vAlign w:val="bottom"/>
            <w:shd w:val="clear" w:color="auto" w:fill="EEEEEE"/>
          </w:tcPr>
          <w:p>
            <w:pPr>
              <w:spacing w:after="0"/>
              <w:rPr>
                <w:sz w:val="12"/>
                <w:szCs w:val="12"/>
                <w:color w:val="auto"/>
              </w:rPr>
            </w:pPr>
          </w:p>
        </w:tc>
        <w:tc>
          <w:tcPr>
            <w:tcW w:w="1220" w:type="dxa"/>
            <w:vAlign w:val="bottom"/>
            <w:shd w:val="clear" w:color="auto" w:fill="EEEEEE"/>
          </w:tcPr>
          <w:p>
            <w:pPr>
              <w:jc w:val="right"/>
              <w:ind w:right="672"/>
              <w:spacing w:after="0" w:line="149" w:lineRule="exact"/>
              <w:rPr>
                <w:sz w:val="20"/>
                <w:szCs w:val="20"/>
                <w:color w:val="auto"/>
              </w:rPr>
            </w:pPr>
            <w:r>
              <w:rPr>
                <w:rFonts w:ascii="Arial" w:cs="Arial" w:eastAsia="Arial" w:hAnsi="Arial"/>
                <w:sz w:val="14"/>
                <w:szCs w:val="14"/>
                <w:color w:val="auto"/>
              </w:rPr>
              <w:t>19,701</w:t>
            </w:r>
          </w:p>
        </w:tc>
        <w:tc>
          <w:tcPr>
            <w:tcW w:w="980" w:type="dxa"/>
            <w:vAlign w:val="bottom"/>
            <w:shd w:val="clear" w:color="auto" w:fill="EEEEEE"/>
          </w:tcPr>
          <w:p>
            <w:pPr>
              <w:spacing w:after="0"/>
              <w:rPr>
                <w:sz w:val="12"/>
                <w:szCs w:val="12"/>
                <w:color w:val="auto"/>
              </w:rPr>
            </w:pPr>
          </w:p>
        </w:tc>
        <w:tc>
          <w:tcPr>
            <w:tcW w:w="980" w:type="dxa"/>
            <w:vAlign w:val="bottom"/>
            <w:shd w:val="clear" w:color="auto" w:fill="EEEEEE"/>
          </w:tcPr>
          <w:p>
            <w:pPr>
              <w:jc w:val="right"/>
              <w:ind w:right="432"/>
              <w:spacing w:after="0" w:line="149" w:lineRule="exact"/>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680" w:type="dxa"/>
            <w:vAlign w:val="bottom"/>
          </w:tcPr>
          <w:p>
            <w:pPr>
              <w:ind w:left="560"/>
              <w:spacing w:after="0"/>
              <w:rPr>
                <w:sz w:val="20"/>
                <w:szCs w:val="20"/>
                <w:color w:val="auto"/>
              </w:rPr>
            </w:pPr>
            <w:r>
              <w:rPr>
                <w:rFonts w:ascii="Arial" w:cs="Arial" w:eastAsia="Arial" w:hAnsi="Arial"/>
                <w:sz w:val="14"/>
                <w:szCs w:val="14"/>
                <w:color w:val="auto"/>
              </w:rPr>
              <w:t>Net cash used in investing activities</w:t>
            </w:r>
          </w:p>
        </w:tc>
        <w:tc>
          <w:tcPr>
            <w:tcW w:w="920" w:type="dxa"/>
            <w:vAlign w:val="bottom"/>
          </w:tcPr>
          <w:p>
            <w:pPr>
              <w:spacing w:after="0"/>
              <w:rPr>
                <w:sz w:val="24"/>
                <w:szCs w:val="24"/>
                <w:color w:val="auto"/>
              </w:rPr>
            </w:pPr>
          </w:p>
        </w:tc>
        <w:tc>
          <w:tcPr>
            <w:tcW w:w="1280" w:type="dxa"/>
            <w:vAlign w:val="bottom"/>
          </w:tcPr>
          <w:p>
            <w:pPr>
              <w:jc w:val="right"/>
              <w:ind w:right="672"/>
              <w:spacing w:after="0"/>
              <w:rPr>
                <w:sz w:val="20"/>
                <w:szCs w:val="20"/>
                <w:color w:val="auto"/>
              </w:rPr>
            </w:pPr>
            <w:r>
              <w:rPr>
                <w:rFonts w:ascii="Arial" w:cs="Arial" w:eastAsia="Arial" w:hAnsi="Arial"/>
                <w:sz w:val="14"/>
                <w:szCs w:val="14"/>
                <w:b w:val="1"/>
                <w:bCs w:val="1"/>
                <w:color w:val="auto"/>
                <w:w w:val="86"/>
              </w:rPr>
              <w:t>(156,981)</w:t>
            </w:r>
          </w:p>
        </w:tc>
        <w:tc>
          <w:tcPr>
            <w:tcW w:w="1340" w:type="dxa"/>
            <w:vAlign w:val="bottom"/>
          </w:tcPr>
          <w:p>
            <w:pPr>
              <w:spacing w:after="0"/>
              <w:rPr>
                <w:sz w:val="24"/>
                <w:szCs w:val="24"/>
                <w:color w:val="auto"/>
              </w:rPr>
            </w:pPr>
          </w:p>
        </w:tc>
        <w:tc>
          <w:tcPr>
            <w:tcW w:w="1220" w:type="dxa"/>
            <w:vAlign w:val="bottom"/>
          </w:tcPr>
          <w:p>
            <w:pPr>
              <w:jc w:val="right"/>
              <w:ind w:right="632"/>
              <w:spacing w:after="0"/>
              <w:rPr>
                <w:sz w:val="20"/>
                <w:szCs w:val="20"/>
                <w:color w:val="auto"/>
              </w:rPr>
            </w:pPr>
            <w:r>
              <w:rPr>
                <w:rFonts w:ascii="Arial" w:cs="Arial" w:eastAsia="Arial" w:hAnsi="Arial"/>
                <w:sz w:val="14"/>
                <w:szCs w:val="14"/>
                <w:color w:val="auto"/>
                <w:w w:val="83"/>
              </w:rPr>
              <w:t>(175,683)</w:t>
            </w:r>
          </w:p>
        </w:tc>
        <w:tc>
          <w:tcPr>
            <w:tcW w:w="980" w:type="dxa"/>
            <w:vAlign w:val="bottom"/>
          </w:tcPr>
          <w:p>
            <w:pPr>
              <w:spacing w:after="0"/>
              <w:rPr>
                <w:sz w:val="24"/>
                <w:szCs w:val="24"/>
                <w:color w:val="auto"/>
              </w:rPr>
            </w:pPr>
          </w:p>
        </w:tc>
        <w:tc>
          <w:tcPr>
            <w:tcW w:w="980" w:type="dxa"/>
            <w:vAlign w:val="bottom"/>
          </w:tcPr>
          <w:p>
            <w:pPr>
              <w:jc w:val="right"/>
              <w:ind w:right="392"/>
              <w:spacing w:after="0"/>
              <w:rPr>
                <w:sz w:val="20"/>
                <w:szCs w:val="20"/>
                <w:color w:val="auto"/>
              </w:rPr>
            </w:pPr>
            <w:r>
              <w:rPr>
                <w:rFonts w:ascii="Arial" w:cs="Arial" w:eastAsia="Arial" w:hAnsi="Arial"/>
                <w:sz w:val="14"/>
                <w:szCs w:val="14"/>
                <w:color w:val="auto"/>
                <w:w w:val="83"/>
              </w:rPr>
              <w:t>(297,827)</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tcBorders>
              <w:right w:val="single" w:sz="8" w:color="EEEEEE"/>
            </w:tcBorders>
            <w:shd w:val="clear" w:color="auto" w:fill="EEEEEE"/>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920" w:type="dxa"/>
            <w:vAlign w:val="bottom"/>
            <w:shd w:val="clear" w:color="auto" w:fill="EEEEEE"/>
          </w:tcPr>
          <w:p>
            <w:pPr>
              <w:spacing w:after="0"/>
              <w:rPr>
                <w:sz w:val="12"/>
                <w:szCs w:val="12"/>
                <w:color w:val="auto"/>
              </w:rPr>
            </w:pPr>
          </w:p>
        </w:tc>
        <w:tc>
          <w:tcPr>
            <w:tcW w:w="1280" w:type="dxa"/>
            <w:vAlign w:val="bottom"/>
            <w:shd w:val="clear" w:color="auto" w:fill="EEEEEE"/>
          </w:tcPr>
          <w:p>
            <w:pPr>
              <w:spacing w:after="0"/>
              <w:rPr>
                <w:sz w:val="12"/>
                <w:szCs w:val="12"/>
                <w:color w:val="auto"/>
              </w:rPr>
            </w:pPr>
          </w:p>
        </w:tc>
        <w:tc>
          <w:tcPr>
            <w:tcW w:w="1340" w:type="dxa"/>
            <w:vAlign w:val="bottom"/>
            <w:shd w:val="clear" w:color="auto" w:fill="EEEEEE"/>
          </w:tcPr>
          <w:p>
            <w:pPr>
              <w:spacing w:after="0"/>
              <w:rPr>
                <w:sz w:val="12"/>
                <w:szCs w:val="12"/>
                <w:color w:val="auto"/>
              </w:rPr>
            </w:pPr>
          </w:p>
        </w:tc>
        <w:tc>
          <w:tcPr>
            <w:tcW w:w="1220" w:type="dxa"/>
            <w:vAlign w:val="bottom"/>
            <w:shd w:val="clear" w:color="auto" w:fill="EEEEEE"/>
          </w:tcPr>
          <w:p>
            <w:pPr>
              <w:spacing w:after="0"/>
              <w:rPr>
                <w:sz w:val="12"/>
                <w:szCs w:val="12"/>
                <w:color w:val="auto"/>
              </w:rPr>
            </w:pPr>
          </w:p>
        </w:tc>
        <w:tc>
          <w:tcPr>
            <w:tcW w:w="980" w:type="dxa"/>
            <w:vAlign w:val="bottom"/>
            <w:shd w:val="clear" w:color="auto" w:fill="EEEEEE"/>
          </w:tcPr>
          <w:p>
            <w:pPr>
              <w:spacing w:after="0"/>
              <w:rPr>
                <w:sz w:val="12"/>
                <w:szCs w:val="12"/>
                <w:color w:val="auto"/>
              </w:rPr>
            </w:pPr>
          </w:p>
        </w:tc>
        <w:tc>
          <w:tcPr>
            <w:tcW w:w="9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280"/>
              <w:spacing w:after="0" w:line="149" w:lineRule="exact"/>
              <w:rPr>
                <w:sz w:val="20"/>
                <w:szCs w:val="20"/>
                <w:color w:val="auto"/>
              </w:rPr>
            </w:pPr>
            <w:r>
              <w:rPr>
                <w:rFonts w:ascii="Arial" w:cs="Arial" w:eastAsia="Arial" w:hAnsi="Arial"/>
                <w:sz w:val="14"/>
                <w:szCs w:val="14"/>
                <w:color w:val="auto"/>
              </w:rPr>
              <w:t>(Repayment) issuance of commercial paper, net</w:t>
            </w:r>
          </w:p>
        </w:tc>
        <w:tc>
          <w:tcPr>
            <w:tcW w:w="920" w:type="dxa"/>
            <w:vAlign w:val="bottom"/>
          </w:tcPr>
          <w:p>
            <w:pPr>
              <w:spacing w:after="0"/>
              <w:rPr>
                <w:sz w:val="12"/>
                <w:szCs w:val="12"/>
                <w:color w:val="auto"/>
              </w:rPr>
            </w:pPr>
          </w:p>
        </w:tc>
        <w:tc>
          <w:tcPr>
            <w:tcW w:w="1280" w:type="dxa"/>
            <w:vAlign w:val="bottom"/>
          </w:tcPr>
          <w:p>
            <w:pPr>
              <w:jc w:val="right"/>
              <w:ind w:right="672"/>
              <w:spacing w:after="0" w:line="149" w:lineRule="exact"/>
              <w:rPr>
                <w:sz w:val="20"/>
                <w:szCs w:val="20"/>
                <w:color w:val="auto"/>
              </w:rPr>
            </w:pPr>
            <w:r>
              <w:rPr>
                <w:rFonts w:ascii="Arial" w:cs="Arial" w:eastAsia="Arial" w:hAnsi="Arial"/>
                <w:sz w:val="14"/>
                <w:szCs w:val="14"/>
                <w:b w:val="1"/>
                <w:bCs w:val="1"/>
                <w:color w:val="auto"/>
                <w:w w:val="99"/>
              </w:rPr>
              <w:t>(70,942)</w:t>
            </w:r>
          </w:p>
        </w:tc>
        <w:tc>
          <w:tcPr>
            <w:tcW w:w="1340" w:type="dxa"/>
            <w:vAlign w:val="bottom"/>
          </w:tcPr>
          <w:p>
            <w:pPr>
              <w:spacing w:after="0"/>
              <w:rPr>
                <w:sz w:val="12"/>
                <w:szCs w:val="12"/>
                <w:color w:val="auto"/>
              </w:rPr>
            </w:pPr>
          </w:p>
        </w:tc>
        <w:tc>
          <w:tcPr>
            <w:tcW w:w="1220" w:type="dxa"/>
            <w:vAlign w:val="bottom"/>
          </w:tcPr>
          <w:p>
            <w:pPr>
              <w:jc w:val="right"/>
              <w:ind w:right="632"/>
              <w:spacing w:after="0" w:line="149" w:lineRule="exact"/>
              <w:rPr>
                <w:sz w:val="20"/>
                <w:szCs w:val="20"/>
                <w:color w:val="auto"/>
              </w:rPr>
            </w:pPr>
            <w:r>
              <w:rPr>
                <w:rFonts w:ascii="Arial" w:cs="Arial" w:eastAsia="Arial" w:hAnsi="Arial"/>
                <w:sz w:val="14"/>
                <w:szCs w:val="14"/>
                <w:color w:val="auto"/>
                <w:w w:val="83"/>
              </w:rPr>
              <w:t>(276,189)</w:t>
            </w:r>
          </w:p>
        </w:tc>
        <w:tc>
          <w:tcPr>
            <w:tcW w:w="980" w:type="dxa"/>
            <w:vAlign w:val="bottom"/>
          </w:tcPr>
          <w:p>
            <w:pPr>
              <w:spacing w:after="0"/>
              <w:rPr>
                <w:sz w:val="12"/>
                <w:szCs w:val="12"/>
                <w:color w:val="auto"/>
              </w:rPr>
            </w:pPr>
          </w:p>
        </w:tc>
        <w:tc>
          <w:tcPr>
            <w:tcW w:w="980" w:type="dxa"/>
            <w:vAlign w:val="bottom"/>
          </w:tcPr>
          <w:p>
            <w:pPr>
              <w:jc w:val="right"/>
              <w:ind w:right="432"/>
              <w:spacing w:after="0" w:line="149" w:lineRule="exact"/>
              <w:rPr>
                <w:sz w:val="20"/>
                <w:szCs w:val="20"/>
                <w:color w:val="auto"/>
              </w:rPr>
            </w:pPr>
            <w:r>
              <w:rPr>
                <w:rFonts w:ascii="Arial" w:cs="Arial" w:eastAsia="Arial" w:hAnsi="Arial"/>
                <w:sz w:val="14"/>
                <w:szCs w:val="14"/>
                <w:color w:val="auto"/>
              </w:rPr>
              <w:t>10,072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Borders>
              <w:right w:val="single" w:sz="8" w:color="EEEEEE"/>
            </w:tcBorders>
            <w:shd w:val="clear" w:color="auto" w:fill="EEEEEE"/>
          </w:tcPr>
          <w:p>
            <w:pPr>
              <w:ind w:left="280"/>
              <w:spacing w:after="0" w:line="149" w:lineRule="exact"/>
              <w:rPr>
                <w:sz w:val="20"/>
                <w:szCs w:val="20"/>
                <w:color w:val="auto"/>
              </w:rPr>
            </w:pPr>
            <w:r>
              <w:rPr>
                <w:rFonts w:ascii="Arial" w:cs="Arial" w:eastAsia="Arial" w:hAnsi="Arial"/>
                <w:sz w:val="14"/>
                <w:szCs w:val="14"/>
                <w:color w:val="auto"/>
              </w:rPr>
              <w:t>Dividends paid</w:t>
            </w:r>
          </w:p>
        </w:tc>
        <w:tc>
          <w:tcPr>
            <w:tcW w:w="920" w:type="dxa"/>
            <w:vAlign w:val="bottom"/>
            <w:shd w:val="clear" w:color="auto" w:fill="EEEEEE"/>
          </w:tcPr>
          <w:p>
            <w:pPr>
              <w:spacing w:after="0"/>
              <w:rPr>
                <w:sz w:val="12"/>
                <w:szCs w:val="12"/>
                <w:color w:val="auto"/>
              </w:rPr>
            </w:pPr>
          </w:p>
        </w:tc>
        <w:tc>
          <w:tcPr>
            <w:tcW w:w="1280" w:type="dxa"/>
            <w:vAlign w:val="bottom"/>
            <w:shd w:val="clear" w:color="auto" w:fill="EEEEEE"/>
          </w:tcPr>
          <w:p>
            <w:pPr>
              <w:jc w:val="right"/>
              <w:ind w:right="672"/>
              <w:spacing w:after="0" w:line="149" w:lineRule="exact"/>
              <w:rPr>
                <w:sz w:val="20"/>
                <w:szCs w:val="20"/>
                <w:color w:val="auto"/>
              </w:rPr>
            </w:pPr>
            <w:r>
              <w:rPr>
                <w:rFonts w:ascii="Arial" w:cs="Arial" w:eastAsia="Arial" w:hAnsi="Arial"/>
                <w:sz w:val="14"/>
                <w:szCs w:val="14"/>
                <w:b w:val="1"/>
                <w:bCs w:val="1"/>
                <w:color w:val="auto"/>
                <w:w w:val="99"/>
              </w:rPr>
              <w:t>(56,289)</w:t>
            </w:r>
          </w:p>
        </w:tc>
        <w:tc>
          <w:tcPr>
            <w:tcW w:w="1340" w:type="dxa"/>
            <w:vAlign w:val="bottom"/>
            <w:shd w:val="clear" w:color="auto" w:fill="EEEEEE"/>
          </w:tcPr>
          <w:p>
            <w:pPr>
              <w:spacing w:after="0"/>
              <w:rPr>
                <w:sz w:val="12"/>
                <w:szCs w:val="12"/>
                <w:color w:val="auto"/>
              </w:rPr>
            </w:pPr>
          </w:p>
        </w:tc>
        <w:tc>
          <w:tcPr>
            <w:tcW w:w="1220" w:type="dxa"/>
            <w:vAlign w:val="bottom"/>
            <w:shd w:val="clear" w:color="auto" w:fill="EEEEEE"/>
          </w:tcPr>
          <w:p>
            <w:pPr>
              <w:jc w:val="right"/>
              <w:ind w:right="632"/>
              <w:spacing w:after="0" w:line="149" w:lineRule="exact"/>
              <w:rPr>
                <w:sz w:val="20"/>
                <w:szCs w:val="20"/>
                <w:color w:val="auto"/>
              </w:rPr>
            </w:pPr>
            <w:r>
              <w:rPr>
                <w:rFonts w:ascii="Arial" w:cs="Arial" w:eastAsia="Arial" w:hAnsi="Arial"/>
                <w:sz w:val="14"/>
                <w:szCs w:val="14"/>
                <w:color w:val="auto"/>
                <w:w w:val="95"/>
              </w:rPr>
              <w:t>(54,256)</w:t>
            </w:r>
          </w:p>
        </w:tc>
        <w:tc>
          <w:tcPr>
            <w:tcW w:w="980" w:type="dxa"/>
            <w:vAlign w:val="bottom"/>
            <w:shd w:val="clear" w:color="auto" w:fill="EEEEEE"/>
          </w:tcPr>
          <w:p>
            <w:pPr>
              <w:spacing w:after="0"/>
              <w:rPr>
                <w:sz w:val="12"/>
                <w:szCs w:val="12"/>
                <w:color w:val="auto"/>
              </w:rPr>
            </w:pPr>
          </w:p>
        </w:tc>
        <w:tc>
          <w:tcPr>
            <w:tcW w:w="980" w:type="dxa"/>
            <w:vAlign w:val="bottom"/>
            <w:shd w:val="clear" w:color="auto" w:fill="EEEEEE"/>
          </w:tcPr>
          <w:p>
            <w:pPr>
              <w:jc w:val="right"/>
              <w:ind w:right="392"/>
              <w:spacing w:after="0" w:line="149" w:lineRule="exact"/>
              <w:rPr>
                <w:sz w:val="20"/>
                <w:szCs w:val="20"/>
                <w:color w:val="auto"/>
              </w:rPr>
            </w:pPr>
            <w:r>
              <w:rPr>
                <w:rFonts w:ascii="Arial" w:cs="Arial" w:eastAsia="Arial" w:hAnsi="Arial"/>
                <w:sz w:val="14"/>
                <w:szCs w:val="14"/>
                <w:color w:val="auto"/>
                <w:w w:val="95"/>
              </w:rPr>
              <w:t>(54,166)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280"/>
              <w:spacing w:after="0" w:line="149" w:lineRule="exact"/>
              <w:rPr>
                <w:sz w:val="20"/>
                <w:szCs w:val="20"/>
                <w:color w:val="auto"/>
              </w:rPr>
            </w:pPr>
            <w:r>
              <w:rPr>
                <w:rFonts w:ascii="Arial" w:cs="Arial" w:eastAsia="Arial" w:hAnsi="Arial"/>
                <w:sz w:val="14"/>
                <w:szCs w:val="14"/>
                <w:color w:val="auto"/>
              </w:rPr>
              <w:t>Common shares repurchased</w:t>
            </w:r>
          </w:p>
        </w:tc>
        <w:tc>
          <w:tcPr>
            <w:tcW w:w="920" w:type="dxa"/>
            <w:vAlign w:val="bottom"/>
          </w:tcPr>
          <w:p>
            <w:pPr>
              <w:spacing w:after="0"/>
              <w:rPr>
                <w:sz w:val="12"/>
                <w:szCs w:val="12"/>
                <w:color w:val="auto"/>
              </w:rPr>
            </w:pPr>
          </w:p>
        </w:tc>
        <w:tc>
          <w:tcPr>
            <w:tcW w:w="1280" w:type="dxa"/>
            <w:vAlign w:val="bottom"/>
          </w:tcPr>
          <w:p>
            <w:pPr>
              <w:jc w:val="right"/>
              <w:ind w:right="672"/>
              <w:spacing w:after="0" w:line="149" w:lineRule="exact"/>
              <w:rPr>
                <w:sz w:val="20"/>
                <w:szCs w:val="20"/>
                <w:color w:val="auto"/>
              </w:rPr>
            </w:pPr>
            <w:r>
              <w:rPr>
                <w:rFonts w:ascii="Arial" w:cs="Arial" w:eastAsia="Arial" w:hAnsi="Arial"/>
                <w:sz w:val="14"/>
                <w:szCs w:val="14"/>
                <w:b w:val="1"/>
                <w:bCs w:val="1"/>
                <w:color w:val="auto"/>
              </w:rPr>
              <w:t>(687)</w:t>
            </w:r>
          </w:p>
        </w:tc>
        <w:tc>
          <w:tcPr>
            <w:tcW w:w="1340" w:type="dxa"/>
            <w:vAlign w:val="bottom"/>
          </w:tcPr>
          <w:p>
            <w:pPr>
              <w:spacing w:after="0"/>
              <w:rPr>
                <w:sz w:val="12"/>
                <w:szCs w:val="12"/>
                <w:color w:val="auto"/>
              </w:rPr>
            </w:pPr>
          </w:p>
        </w:tc>
        <w:tc>
          <w:tcPr>
            <w:tcW w:w="1220" w:type="dxa"/>
            <w:vAlign w:val="bottom"/>
          </w:tcPr>
          <w:p>
            <w:pPr>
              <w:jc w:val="right"/>
              <w:ind w:right="632"/>
              <w:spacing w:after="0" w:line="149" w:lineRule="exact"/>
              <w:rPr>
                <w:sz w:val="20"/>
                <w:szCs w:val="20"/>
                <w:color w:val="auto"/>
              </w:rPr>
            </w:pPr>
            <w:r>
              <w:rPr>
                <w:rFonts w:ascii="Arial" w:cs="Arial" w:eastAsia="Arial" w:hAnsi="Arial"/>
                <w:sz w:val="14"/>
                <w:szCs w:val="14"/>
                <w:color w:val="auto"/>
              </w:rPr>
              <w:t>(786)</w:t>
            </w:r>
          </w:p>
        </w:tc>
        <w:tc>
          <w:tcPr>
            <w:tcW w:w="980" w:type="dxa"/>
            <w:vAlign w:val="bottom"/>
          </w:tcPr>
          <w:p>
            <w:pPr>
              <w:spacing w:after="0"/>
              <w:rPr>
                <w:sz w:val="12"/>
                <w:szCs w:val="12"/>
                <w:color w:val="auto"/>
              </w:rPr>
            </w:pPr>
          </w:p>
        </w:tc>
        <w:tc>
          <w:tcPr>
            <w:tcW w:w="9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(445)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Borders>
              <w:right w:val="single" w:sz="8" w:color="EEEEEE"/>
            </w:tcBorders>
            <w:shd w:val="clear" w:color="auto" w:fill="EEEEEE"/>
          </w:tcPr>
          <w:p>
            <w:pPr>
              <w:ind w:left="280"/>
              <w:spacing w:after="0" w:line="149" w:lineRule="exact"/>
              <w:rPr>
                <w:sz w:val="20"/>
                <w:szCs w:val="20"/>
                <w:color w:val="auto"/>
              </w:rPr>
            </w:pPr>
            <w:r>
              <w:rPr>
                <w:rFonts w:ascii="Arial" w:cs="Arial" w:eastAsia="Arial" w:hAnsi="Arial"/>
                <w:sz w:val="14"/>
                <w:szCs w:val="14"/>
                <w:color w:val="auto"/>
              </w:rPr>
              <w:t>Proceeds from exercise of stock options</w:t>
            </w:r>
          </w:p>
        </w:tc>
        <w:tc>
          <w:tcPr>
            <w:tcW w:w="920" w:type="dxa"/>
            <w:vAlign w:val="bottom"/>
            <w:shd w:val="clear" w:color="auto" w:fill="EEEEEE"/>
          </w:tcPr>
          <w:p>
            <w:pPr>
              <w:spacing w:after="0"/>
              <w:rPr>
                <w:sz w:val="12"/>
                <w:szCs w:val="12"/>
                <w:color w:val="auto"/>
              </w:rPr>
            </w:pPr>
          </w:p>
        </w:tc>
        <w:tc>
          <w:tcPr>
            <w:tcW w:w="1280" w:type="dxa"/>
            <w:vAlign w:val="bottom"/>
            <w:shd w:val="clear" w:color="auto" w:fill="EEEEEE"/>
          </w:tcPr>
          <w:p>
            <w:pPr>
              <w:jc w:val="right"/>
              <w:ind w:right="712"/>
              <w:spacing w:after="0" w:line="149" w:lineRule="exact"/>
              <w:rPr>
                <w:sz w:val="20"/>
                <w:szCs w:val="20"/>
                <w:color w:val="auto"/>
              </w:rPr>
            </w:pPr>
            <w:r>
              <w:rPr>
                <w:rFonts w:ascii="Arial" w:cs="Arial" w:eastAsia="Arial" w:hAnsi="Arial"/>
                <w:sz w:val="14"/>
                <w:szCs w:val="14"/>
                <w:b w:val="1"/>
                <w:bCs w:val="1"/>
                <w:color w:val="auto"/>
              </w:rPr>
              <w:t>5,898</w:t>
            </w:r>
          </w:p>
        </w:tc>
        <w:tc>
          <w:tcPr>
            <w:tcW w:w="1340" w:type="dxa"/>
            <w:vAlign w:val="bottom"/>
            <w:shd w:val="clear" w:color="auto" w:fill="EEEEEE"/>
          </w:tcPr>
          <w:p>
            <w:pPr>
              <w:spacing w:after="0"/>
              <w:rPr>
                <w:sz w:val="12"/>
                <w:szCs w:val="12"/>
                <w:color w:val="auto"/>
              </w:rPr>
            </w:pPr>
          </w:p>
        </w:tc>
        <w:tc>
          <w:tcPr>
            <w:tcW w:w="1220" w:type="dxa"/>
            <w:vAlign w:val="bottom"/>
            <w:shd w:val="clear" w:color="auto" w:fill="EEEEEE"/>
          </w:tcPr>
          <w:p>
            <w:pPr>
              <w:jc w:val="right"/>
              <w:ind w:right="672"/>
              <w:spacing w:after="0" w:line="149" w:lineRule="exact"/>
              <w:rPr>
                <w:sz w:val="20"/>
                <w:szCs w:val="20"/>
                <w:color w:val="auto"/>
              </w:rPr>
            </w:pPr>
            <w:r>
              <w:rPr>
                <w:rFonts w:ascii="Arial" w:cs="Arial" w:eastAsia="Arial" w:hAnsi="Arial"/>
                <w:sz w:val="14"/>
                <w:szCs w:val="14"/>
                <w:color w:val="auto"/>
              </w:rPr>
              <w:t>6,739</w:t>
            </w:r>
          </w:p>
        </w:tc>
        <w:tc>
          <w:tcPr>
            <w:tcW w:w="980" w:type="dxa"/>
            <w:vAlign w:val="bottom"/>
            <w:shd w:val="clear" w:color="auto" w:fill="EEEEEE"/>
          </w:tcPr>
          <w:p>
            <w:pPr>
              <w:spacing w:after="0"/>
              <w:rPr>
                <w:sz w:val="12"/>
                <w:szCs w:val="12"/>
                <w:color w:val="auto"/>
              </w:rPr>
            </w:pPr>
          </w:p>
        </w:tc>
        <w:tc>
          <w:tcPr>
            <w:tcW w:w="980" w:type="dxa"/>
            <w:vAlign w:val="bottom"/>
            <w:shd w:val="clear" w:color="auto" w:fill="EEEEEE"/>
          </w:tcPr>
          <w:p>
            <w:pPr>
              <w:jc w:val="right"/>
              <w:ind w:right="432"/>
              <w:spacing w:after="0" w:line="149" w:lineRule="exact"/>
              <w:rPr>
                <w:sz w:val="20"/>
                <w:szCs w:val="20"/>
                <w:color w:val="auto"/>
              </w:rPr>
            </w:pPr>
            <w:r>
              <w:rPr>
                <w:rFonts w:ascii="Arial" w:cs="Arial" w:eastAsia="Arial" w:hAnsi="Arial"/>
                <w:sz w:val="14"/>
                <w:szCs w:val="14"/>
                <w:color w:val="auto"/>
              </w:rPr>
              <w:t>4,671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80" w:type="dxa"/>
            <w:vAlign w:val="bottom"/>
          </w:tcPr>
          <w:p>
            <w:pPr>
              <w:ind w:left="280"/>
              <w:spacing w:after="0"/>
              <w:rPr>
                <w:sz w:val="20"/>
                <w:szCs w:val="20"/>
                <w:color w:val="auto"/>
              </w:rPr>
            </w:pPr>
            <w:r>
              <w:rPr>
                <w:rFonts w:ascii="Arial" w:cs="Arial" w:eastAsia="Arial" w:hAnsi="Arial"/>
                <w:sz w:val="14"/>
                <w:szCs w:val="14"/>
                <w:color w:val="auto"/>
              </w:rPr>
              <w:t>Other</w:t>
            </w:r>
          </w:p>
        </w:tc>
        <w:tc>
          <w:tcPr>
            <w:tcW w:w="920" w:type="dxa"/>
            <w:vAlign w:val="bottom"/>
          </w:tcPr>
          <w:p>
            <w:pPr>
              <w:spacing w:after="0"/>
              <w:rPr>
                <w:sz w:val="15"/>
                <w:szCs w:val="15"/>
                <w:color w:val="auto"/>
              </w:rPr>
            </w:pPr>
          </w:p>
        </w:tc>
        <w:tc>
          <w:tcPr>
            <w:tcW w:w="1280" w:type="dxa"/>
            <w:vAlign w:val="bottom"/>
          </w:tcPr>
          <w:p>
            <w:pPr>
              <w:jc w:val="right"/>
              <w:ind w:right="672"/>
              <w:spacing w:after="0"/>
              <w:rPr>
                <w:sz w:val="20"/>
                <w:szCs w:val="20"/>
                <w:color w:val="auto"/>
              </w:rPr>
            </w:pPr>
            <w:r>
              <w:rPr>
                <w:rFonts w:ascii="Arial" w:cs="Arial" w:eastAsia="Arial" w:hAnsi="Arial"/>
                <w:sz w:val="14"/>
                <w:szCs w:val="14"/>
                <w:b w:val="1"/>
                <w:bCs w:val="1"/>
                <w:color w:val="auto"/>
              </w:rPr>
              <w:t>(784)</w:t>
            </w:r>
          </w:p>
        </w:tc>
        <w:tc>
          <w:tcPr>
            <w:tcW w:w="1340" w:type="dxa"/>
            <w:vAlign w:val="bottom"/>
          </w:tcPr>
          <w:p>
            <w:pPr>
              <w:spacing w:after="0"/>
              <w:rPr>
                <w:sz w:val="15"/>
                <w:szCs w:val="15"/>
                <w:color w:val="auto"/>
              </w:rPr>
            </w:pPr>
          </w:p>
        </w:tc>
        <w:tc>
          <w:tcPr>
            <w:tcW w:w="1220" w:type="dxa"/>
            <w:vAlign w:val="bottom"/>
          </w:tcPr>
          <w:p>
            <w:pPr>
              <w:jc w:val="right"/>
              <w:ind w:right="672"/>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4680" w:type="dxa"/>
            <w:vAlign w:val="bottom"/>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1340" w:type="dxa"/>
            <w:vAlign w:val="bottom"/>
            <w:tcBorders>
              <w:bottom w:val="single" w:sz="8" w:color="808080"/>
            </w:tcBorders>
          </w:tcPr>
          <w:p>
            <w:pPr>
              <w:spacing w:after="0"/>
              <w:rPr>
                <w:sz w:val="7"/>
                <w:szCs w:val="7"/>
                <w:color w:val="auto"/>
              </w:rPr>
            </w:pPr>
          </w:p>
        </w:tc>
        <w:tc>
          <w:tcPr>
            <w:tcW w:w="122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Borders>
              <w:right w:val="single" w:sz="8" w:color="EEEEEE"/>
            </w:tcBorders>
            <w:shd w:val="clear" w:color="auto" w:fill="EEEEEE"/>
          </w:tcPr>
          <w:p>
            <w:pPr>
              <w:ind w:left="560"/>
              <w:spacing w:after="0" w:line="149" w:lineRule="exact"/>
              <w:rPr>
                <w:sz w:val="20"/>
                <w:szCs w:val="20"/>
                <w:color w:val="auto"/>
              </w:rPr>
            </w:pPr>
            <w:r>
              <w:rPr>
                <w:rFonts w:ascii="Arial" w:cs="Arial" w:eastAsia="Arial" w:hAnsi="Arial"/>
                <w:sz w:val="14"/>
                <w:szCs w:val="14"/>
                <w:color w:val="auto"/>
              </w:rPr>
              <w:t>Net cash used in financing activities</w:t>
            </w:r>
          </w:p>
        </w:tc>
        <w:tc>
          <w:tcPr>
            <w:tcW w:w="920" w:type="dxa"/>
            <w:vAlign w:val="bottom"/>
            <w:shd w:val="clear" w:color="auto" w:fill="EEEEEE"/>
          </w:tcPr>
          <w:p>
            <w:pPr>
              <w:spacing w:after="0"/>
              <w:rPr>
                <w:sz w:val="12"/>
                <w:szCs w:val="12"/>
                <w:color w:val="auto"/>
              </w:rPr>
            </w:pPr>
          </w:p>
        </w:tc>
        <w:tc>
          <w:tcPr>
            <w:tcW w:w="1280" w:type="dxa"/>
            <w:vAlign w:val="bottom"/>
            <w:shd w:val="clear" w:color="auto" w:fill="EEEEEE"/>
          </w:tcPr>
          <w:p>
            <w:pPr>
              <w:jc w:val="right"/>
              <w:ind w:right="672"/>
              <w:spacing w:after="0" w:line="149" w:lineRule="exact"/>
              <w:rPr>
                <w:sz w:val="20"/>
                <w:szCs w:val="20"/>
                <w:color w:val="auto"/>
              </w:rPr>
            </w:pPr>
            <w:r>
              <w:rPr>
                <w:rFonts w:ascii="Arial" w:cs="Arial" w:eastAsia="Arial" w:hAnsi="Arial"/>
                <w:sz w:val="14"/>
                <w:szCs w:val="14"/>
                <w:b w:val="1"/>
                <w:bCs w:val="1"/>
                <w:color w:val="auto"/>
                <w:w w:val="86"/>
              </w:rPr>
              <w:t>(122,804)</w:t>
            </w:r>
          </w:p>
        </w:tc>
        <w:tc>
          <w:tcPr>
            <w:tcW w:w="1340" w:type="dxa"/>
            <w:vAlign w:val="bottom"/>
            <w:shd w:val="clear" w:color="auto" w:fill="EEEEEE"/>
          </w:tcPr>
          <w:p>
            <w:pPr>
              <w:spacing w:after="0"/>
              <w:rPr>
                <w:sz w:val="12"/>
                <w:szCs w:val="12"/>
                <w:color w:val="auto"/>
              </w:rPr>
            </w:pPr>
          </w:p>
        </w:tc>
        <w:tc>
          <w:tcPr>
            <w:tcW w:w="1220" w:type="dxa"/>
            <w:vAlign w:val="bottom"/>
            <w:shd w:val="clear" w:color="auto" w:fill="EEEEEE"/>
          </w:tcPr>
          <w:p>
            <w:pPr>
              <w:jc w:val="right"/>
              <w:ind w:right="632"/>
              <w:spacing w:after="0" w:line="149" w:lineRule="exact"/>
              <w:rPr>
                <w:sz w:val="20"/>
                <w:szCs w:val="20"/>
                <w:color w:val="auto"/>
              </w:rPr>
            </w:pPr>
            <w:r>
              <w:rPr>
                <w:rFonts w:ascii="Arial" w:cs="Arial" w:eastAsia="Arial" w:hAnsi="Arial"/>
                <w:sz w:val="14"/>
                <w:szCs w:val="14"/>
                <w:color w:val="auto"/>
                <w:w w:val="83"/>
              </w:rPr>
              <w:t>(324,492)</w:t>
            </w:r>
          </w:p>
        </w:tc>
        <w:tc>
          <w:tcPr>
            <w:tcW w:w="980" w:type="dxa"/>
            <w:vAlign w:val="bottom"/>
            <w:shd w:val="clear" w:color="auto" w:fill="EEEEEE"/>
          </w:tcPr>
          <w:p>
            <w:pPr>
              <w:spacing w:after="0"/>
              <w:rPr>
                <w:sz w:val="12"/>
                <w:szCs w:val="12"/>
                <w:color w:val="auto"/>
              </w:rPr>
            </w:pPr>
          </w:p>
        </w:tc>
        <w:tc>
          <w:tcPr>
            <w:tcW w:w="980" w:type="dxa"/>
            <w:vAlign w:val="bottom"/>
            <w:shd w:val="clear" w:color="auto" w:fill="EEEEEE"/>
          </w:tcPr>
          <w:p>
            <w:pPr>
              <w:jc w:val="right"/>
              <w:ind w:right="392"/>
              <w:spacing w:after="0" w:line="149" w:lineRule="exact"/>
              <w:rPr>
                <w:sz w:val="20"/>
                <w:szCs w:val="20"/>
                <w:color w:val="auto"/>
              </w:rPr>
            </w:pPr>
            <w:r>
              <w:rPr>
                <w:rFonts w:ascii="Arial" w:cs="Arial" w:eastAsia="Arial" w:hAnsi="Arial"/>
                <w:sz w:val="14"/>
                <w:szCs w:val="14"/>
                <w:color w:val="auto"/>
                <w:w w:val="95"/>
              </w:rPr>
              <w:t>(39,868)</w:t>
            </w:r>
          </w:p>
        </w:tc>
        <w:tc>
          <w:tcPr>
            <w:tcW w:w="0" w:type="dxa"/>
            <w:vAlign w:val="bottom"/>
          </w:tcPr>
          <w:p>
            <w:pPr>
              <w:spacing w:after="0"/>
              <w:rPr>
                <w:sz w:val="1"/>
                <w:szCs w:val="1"/>
                <w:color w:val="auto"/>
              </w:rPr>
            </w:pPr>
          </w:p>
        </w:tc>
      </w:tr>
      <w:tr>
        <w:trPr>
          <w:trHeight w:val="108"/>
        </w:trPr>
        <w:tc>
          <w:tcPr>
            <w:tcW w:w="4700" w:type="dxa"/>
            <w:vAlign w:val="bottom"/>
            <w:gridSpan w:val="2"/>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700" w:type="dxa"/>
            <w:vAlign w:val="bottom"/>
            <w:gridSpan w:val="2"/>
          </w:tcPr>
          <w:p>
            <w:pPr>
              <w:spacing w:after="0"/>
              <w:rPr>
                <w:sz w:val="20"/>
                <w:szCs w:val="20"/>
                <w:color w:val="auto"/>
              </w:rPr>
            </w:pPr>
            <w:r>
              <w:rPr>
                <w:rFonts w:ascii="Arial" w:cs="Arial" w:eastAsia="Arial" w:hAnsi="Arial"/>
                <w:sz w:val="14"/>
                <w:szCs w:val="14"/>
                <w:b w:val="1"/>
                <w:bCs w:val="1"/>
                <w:color w:val="auto"/>
              </w:rPr>
              <w:t>Effect of Currency Exchange Rate Change</w:t>
            </w:r>
          </w:p>
        </w:tc>
        <w:tc>
          <w:tcPr>
            <w:tcW w:w="920" w:type="dxa"/>
            <w:vAlign w:val="bottom"/>
          </w:tcPr>
          <w:p>
            <w:pPr>
              <w:spacing w:after="0"/>
              <w:rPr>
                <w:sz w:val="22"/>
                <w:szCs w:val="22"/>
                <w:color w:val="auto"/>
              </w:rPr>
            </w:pPr>
          </w:p>
        </w:tc>
        <w:tc>
          <w:tcPr>
            <w:tcW w:w="1280" w:type="dxa"/>
            <w:vAlign w:val="bottom"/>
          </w:tcPr>
          <w:p>
            <w:pPr>
              <w:jc w:val="right"/>
              <w:ind w:right="712"/>
              <w:spacing w:after="0"/>
              <w:rPr>
                <w:sz w:val="20"/>
                <w:szCs w:val="20"/>
                <w:color w:val="auto"/>
              </w:rPr>
            </w:pPr>
            <w:r>
              <w:rPr>
                <w:rFonts w:ascii="Arial" w:cs="Arial" w:eastAsia="Arial" w:hAnsi="Arial"/>
                <w:sz w:val="14"/>
                <w:szCs w:val="14"/>
                <w:b w:val="1"/>
                <w:bCs w:val="1"/>
                <w:color w:val="auto"/>
              </w:rPr>
              <w:t>737</w:t>
            </w:r>
          </w:p>
        </w:tc>
        <w:tc>
          <w:tcPr>
            <w:tcW w:w="1340" w:type="dxa"/>
            <w:vAlign w:val="bottom"/>
          </w:tcPr>
          <w:p>
            <w:pPr>
              <w:spacing w:after="0"/>
              <w:rPr>
                <w:sz w:val="22"/>
                <w:szCs w:val="22"/>
                <w:color w:val="auto"/>
              </w:rPr>
            </w:pPr>
          </w:p>
        </w:tc>
        <w:tc>
          <w:tcPr>
            <w:tcW w:w="1220" w:type="dxa"/>
            <w:vAlign w:val="bottom"/>
          </w:tcPr>
          <w:p>
            <w:pPr>
              <w:jc w:val="right"/>
              <w:ind w:right="672"/>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22"/>
                <w:szCs w:val="22"/>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4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tcBorders>
              <w:right w:val="single" w:sz="8" w:color="EEEEEE"/>
            </w:tcBorders>
            <w:shd w:val="clear" w:color="auto" w:fill="EEEEEE"/>
          </w:tcPr>
          <w:p>
            <w:pPr>
              <w:spacing w:after="0" w:line="149" w:lineRule="exact"/>
              <w:rPr>
                <w:sz w:val="20"/>
                <w:szCs w:val="20"/>
                <w:color w:val="auto"/>
              </w:rPr>
            </w:pPr>
            <w:r>
              <w:rPr>
                <w:rFonts w:ascii="Arial" w:cs="Arial" w:eastAsia="Arial" w:hAnsi="Arial"/>
                <w:sz w:val="14"/>
                <w:szCs w:val="14"/>
                <w:b w:val="1"/>
                <w:bCs w:val="1"/>
                <w:color w:val="auto"/>
              </w:rPr>
              <w:t>Net Increase (Decrease) in Cash and Cash Equivalents</w:t>
            </w:r>
          </w:p>
        </w:tc>
        <w:tc>
          <w:tcPr>
            <w:tcW w:w="920" w:type="dxa"/>
            <w:vAlign w:val="bottom"/>
            <w:shd w:val="clear" w:color="auto" w:fill="EEEEEE"/>
          </w:tcPr>
          <w:p>
            <w:pPr>
              <w:spacing w:after="0"/>
              <w:rPr>
                <w:sz w:val="12"/>
                <w:szCs w:val="12"/>
                <w:color w:val="auto"/>
              </w:rPr>
            </w:pPr>
          </w:p>
        </w:tc>
        <w:tc>
          <w:tcPr>
            <w:tcW w:w="1280" w:type="dxa"/>
            <w:vAlign w:val="bottom"/>
            <w:shd w:val="clear" w:color="auto" w:fill="EEEEEE"/>
          </w:tcPr>
          <w:p>
            <w:pPr>
              <w:jc w:val="right"/>
              <w:ind w:right="712"/>
              <w:spacing w:after="0" w:line="149" w:lineRule="exact"/>
              <w:rPr>
                <w:sz w:val="20"/>
                <w:szCs w:val="20"/>
                <w:color w:val="auto"/>
              </w:rPr>
            </w:pPr>
            <w:r>
              <w:rPr>
                <w:rFonts w:ascii="Arial" w:cs="Arial" w:eastAsia="Arial" w:hAnsi="Arial"/>
                <w:sz w:val="14"/>
                <w:szCs w:val="14"/>
                <w:b w:val="1"/>
                <w:bCs w:val="1"/>
                <w:color w:val="auto"/>
              </w:rPr>
              <w:t>58,666</w:t>
            </w:r>
          </w:p>
        </w:tc>
        <w:tc>
          <w:tcPr>
            <w:tcW w:w="1340" w:type="dxa"/>
            <w:vAlign w:val="bottom"/>
            <w:shd w:val="clear" w:color="auto" w:fill="EEEEEE"/>
          </w:tcPr>
          <w:p>
            <w:pPr>
              <w:spacing w:after="0"/>
              <w:rPr>
                <w:sz w:val="12"/>
                <w:szCs w:val="12"/>
                <w:color w:val="auto"/>
              </w:rPr>
            </w:pPr>
          </w:p>
        </w:tc>
        <w:tc>
          <w:tcPr>
            <w:tcW w:w="1220" w:type="dxa"/>
            <w:vAlign w:val="bottom"/>
            <w:shd w:val="clear" w:color="auto" w:fill="EEEEEE"/>
          </w:tcPr>
          <w:p>
            <w:pPr>
              <w:jc w:val="right"/>
              <w:ind w:right="632"/>
              <w:spacing w:after="0" w:line="149" w:lineRule="exact"/>
              <w:rPr>
                <w:sz w:val="20"/>
                <w:szCs w:val="20"/>
                <w:color w:val="auto"/>
              </w:rPr>
            </w:pPr>
            <w:r>
              <w:rPr>
                <w:rFonts w:ascii="Arial" w:cs="Arial" w:eastAsia="Arial" w:hAnsi="Arial"/>
                <w:sz w:val="14"/>
                <w:szCs w:val="14"/>
                <w:color w:val="auto"/>
              </w:rPr>
              <w:t>(2,709)</w:t>
            </w:r>
          </w:p>
        </w:tc>
        <w:tc>
          <w:tcPr>
            <w:tcW w:w="980" w:type="dxa"/>
            <w:vAlign w:val="bottom"/>
            <w:shd w:val="clear" w:color="auto" w:fill="EEEEEE"/>
          </w:tcPr>
          <w:p>
            <w:pPr>
              <w:spacing w:after="0"/>
              <w:rPr>
                <w:sz w:val="12"/>
                <w:szCs w:val="12"/>
                <w:color w:val="auto"/>
              </w:rPr>
            </w:pPr>
          </w:p>
        </w:tc>
        <w:tc>
          <w:tcPr>
            <w:tcW w:w="980" w:type="dxa"/>
            <w:vAlign w:val="bottom"/>
            <w:shd w:val="clear" w:color="auto" w:fill="EEEEEE"/>
          </w:tcPr>
          <w:p>
            <w:pPr>
              <w:jc w:val="right"/>
              <w:ind w:right="432"/>
              <w:spacing w:after="0" w:line="149" w:lineRule="exact"/>
              <w:rPr>
                <w:sz w:val="20"/>
                <w:szCs w:val="20"/>
                <w:color w:val="auto"/>
              </w:rPr>
            </w:pPr>
            <w:r>
              <w:rPr>
                <w:rFonts w:ascii="Arial" w:cs="Arial" w:eastAsia="Arial" w:hAnsi="Arial"/>
                <w:sz w:val="14"/>
                <w:szCs w:val="14"/>
                <w:color w:val="auto"/>
              </w:rPr>
              <w:t>11,135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80" w:type="dxa"/>
            <w:vAlign w:val="bottom"/>
          </w:tcPr>
          <w:p>
            <w:pPr>
              <w:spacing w:after="0"/>
              <w:rPr>
                <w:sz w:val="20"/>
                <w:szCs w:val="20"/>
                <w:color w:val="auto"/>
              </w:rPr>
            </w:pPr>
            <w:r>
              <w:rPr>
                <w:rFonts w:ascii="Arial" w:cs="Arial" w:eastAsia="Arial" w:hAnsi="Arial"/>
                <w:sz w:val="14"/>
                <w:szCs w:val="14"/>
                <w:b w:val="1"/>
                <w:bCs w:val="1"/>
                <w:color w:val="auto"/>
              </w:rPr>
              <w:t>Cash and Cash Equivalents at Beginning of Year</w:t>
            </w:r>
          </w:p>
        </w:tc>
        <w:tc>
          <w:tcPr>
            <w:tcW w:w="920" w:type="dxa"/>
            <w:vAlign w:val="bottom"/>
          </w:tcPr>
          <w:p>
            <w:pPr>
              <w:spacing w:after="0"/>
              <w:rPr>
                <w:sz w:val="15"/>
                <w:szCs w:val="15"/>
                <w:color w:val="auto"/>
              </w:rPr>
            </w:pPr>
          </w:p>
        </w:tc>
        <w:tc>
          <w:tcPr>
            <w:tcW w:w="1280" w:type="dxa"/>
            <w:vAlign w:val="bottom"/>
          </w:tcPr>
          <w:p>
            <w:pPr>
              <w:jc w:val="right"/>
              <w:ind w:right="712"/>
              <w:spacing w:after="0"/>
              <w:rPr>
                <w:sz w:val="20"/>
                <w:szCs w:val="20"/>
                <w:color w:val="auto"/>
              </w:rPr>
            </w:pPr>
            <w:r>
              <w:rPr>
                <w:rFonts w:ascii="Arial" w:cs="Arial" w:eastAsia="Arial" w:hAnsi="Arial"/>
                <w:sz w:val="14"/>
                <w:szCs w:val="14"/>
                <w:b w:val="1"/>
                <w:bCs w:val="1"/>
                <w:color w:val="auto"/>
              </w:rPr>
              <w:t>28,771</w:t>
            </w:r>
          </w:p>
        </w:tc>
        <w:tc>
          <w:tcPr>
            <w:tcW w:w="1340" w:type="dxa"/>
            <w:vAlign w:val="bottom"/>
          </w:tcPr>
          <w:p>
            <w:pPr>
              <w:spacing w:after="0"/>
              <w:rPr>
                <w:sz w:val="15"/>
                <w:szCs w:val="15"/>
                <w:color w:val="auto"/>
              </w:rPr>
            </w:pPr>
          </w:p>
        </w:tc>
        <w:tc>
          <w:tcPr>
            <w:tcW w:w="1220" w:type="dxa"/>
            <w:vAlign w:val="bottom"/>
          </w:tcPr>
          <w:p>
            <w:pPr>
              <w:jc w:val="right"/>
              <w:ind w:right="672"/>
              <w:spacing w:after="0"/>
              <w:rPr>
                <w:sz w:val="20"/>
                <w:szCs w:val="20"/>
                <w:color w:val="auto"/>
              </w:rPr>
            </w:pPr>
            <w:r>
              <w:rPr>
                <w:rFonts w:ascii="Arial" w:cs="Arial" w:eastAsia="Arial" w:hAnsi="Arial"/>
                <w:sz w:val="14"/>
                <w:szCs w:val="14"/>
                <w:color w:val="auto"/>
              </w:rPr>
              <w:t>31,480</w:t>
            </w:r>
          </w:p>
        </w:tc>
        <w:tc>
          <w:tcPr>
            <w:tcW w:w="9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color w:val="auto"/>
              </w:rPr>
              <w:t>20,345</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4680" w:type="dxa"/>
            <w:vAlign w:val="bottom"/>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1340" w:type="dxa"/>
            <w:vAlign w:val="bottom"/>
            <w:tcBorders>
              <w:bottom w:val="single" w:sz="8" w:color="808080"/>
            </w:tcBorders>
          </w:tcPr>
          <w:p>
            <w:pPr>
              <w:spacing w:after="0"/>
              <w:rPr>
                <w:sz w:val="7"/>
                <w:szCs w:val="7"/>
                <w:color w:val="auto"/>
              </w:rPr>
            </w:pPr>
          </w:p>
        </w:tc>
        <w:tc>
          <w:tcPr>
            <w:tcW w:w="122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tcBorders>
              <w:right w:val="single" w:sz="8" w:color="EEEEEE"/>
            </w:tcBorders>
            <w:shd w:val="clear" w:color="auto" w:fill="EEEEEE"/>
          </w:tcPr>
          <w:p>
            <w:pPr>
              <w:spacing w:after="0" w:line="149" w:lineRule="exact"/>
              <w:rPr>
                <w:sz w:val="20"/>
                <w:szCs w:val="20"/>
                <w:color w:val="auto"/>
              </w:rPr>
            </w:pPr>
            <w:r>
              <w:rPr>
                <w:rFonts w:ascii="Arial" w:cs="Arial" w:eastAsia="Arial" w:hAnsi="Arial"/>
                <w:sz w:val="14"/>
                <w:szCs w:val="14"/>
                <w:b w:val="1"/>
                <w:bCs w:val="1"/>
                <w:color w:val="auto"/>
              </w:rPr>
              <w:t>Cash and Cash Equivalents at End of Year</w:t>
            </w:r>
          </w:p>
        </w:tc>
        <w:tc>
          <w:tcPr>
            <w:tcW w:w="9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EEEEEE"/>
          </w:tcPr>
          <w:p>
            <w:pPr>
              <w:jc w:val="right"/>
              <w:ind w:right="712"/>
              <w:spacing w:after="0" w:line="149" w:lineRule="exact"/>
              <w:rPr>
                <w:sz w:val="20"/>
                <w:szCs w:val="20"/>
                <w:color w:val="auto"/>
              </w:rPr>
            </w:pPr>
            <w:r>
              <w:rPr>
                <w:rFonts w:ascii="Arial" w:cs="Arial" w:eastAsia="Arial" w:hAnsi="Arial"/>
                <w:sz w:val="14"/>
                <w:szCs w:val="14"/>
                <w:b w:val="1"/>
                <w:bCs w:val="1"/>
                <w:color w:val="auto"/>
              </w:rPr>
              <w:t>87,437</w:t>
            </w:r>
          </w:p>
        </w:tc>
        <w:tc>
          <w:tcPr>
            <w:tcW w:w="13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EEEEEE"/>
          </w:tcPr>
          <w:p>
            <w:pPr>
              <w:jc w:val="right"/>
              <w:ind w:right="672"/>
              <w:spacing w:after="0" w:line="149" w:lineRule="exact"/>
              <w:rPr>
                <w:sz w:val="20"/>
                <w:szCs w:val="20"/>
                <w:color w:val="auto"/>
              </w:rPr>
            </w:pPr>
            <w:r>
              <w:rPr>
                <w:rFonts w:ascii="Arial" w:cs="Arial" w:eastAsia="Arial" w:hAnsi="Arial"/>
                <w:sz w:val="14"/>
                <w:szCs w:val="14"/>
                <w:color w:val="auto"/>
              </w:rPr>
              <w:t>28,771</w:t>
            </w:r>
          </w:p>
        </w:tc>
        <w:tc>
          <w:tcPr>
            <w:tcW w:w="9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EEEEEE"/>
          </w:tcPr>
          <w:p>
            <w:pPr>
              <w:jc w:val="right"/>
              <w:ind w:right="432"/>
              <w:spacing w:after="0" w:line="149" w:lineRule="exact"/>
              <w:rPr>
                <w:sz w:val="20"/>
                <w:szCs w:val="20"/>
                <w:color w:val="auto"/>
              </w:rPr>
            </w:pPr>
            <w:r>
              <w:rPr>
                <w:rFonts w:ascii="Arial" w:cs="Arial" w:eastAsia="Arial" w:hAnsi="Arial"/>
                <w:sz w:val="14"/>
                <w:szCs w:val="14"/>
                <w:color w:val="auto"/>
              </w:rPr>
              <w:t>31,480</w:t>
            </w:r>
          </w:p>
        </w:tc>
        <w:tc>
          <w:tcPr>
            <w:tcW w:w="0" w:type="dxa"/>
            <w:vAlign w:val="bottom"/>
          </w:tcPr>
          <w:p>
            <w:pPr>
              <w:spacing w:after="0"/>
              <w:rPr>
                <w:sz w:val="1"/>
                <w:szCs w:val="1"/>
                <w:color w:val="auto"/>
              </w:rPr>
            </w:pPr>
          </w:p>
        </w:tc>
      </w:tr>
      <w:tr>
        <w:trPr>
          <w:trHeight w:val="105"/>
        </w:trPr>
        <w:tc>
          <w:tcPr>
            <w:tcW w:w="4700" w:type="dxa"/>
            <w:vAlign w:val="bottom"/>
            <w:gridSpan w:val="2"/>
          </w:tcPr>
          <w:p>
            <w:pPr>
              <w:spacing w:after="0"/>
              <w:rPr>
                <w:sz w:val="9"/>
                <w:szCs w:val="9"/>
                <w:color w:val="auto"/>
              </w:rPr>
            </w:pPr>
          </w:p>
        </w:tc>
        <w:tc>
          <w:tcPr>
            <w:tcW w:w="9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700" w:type="dxa"/>
            <w:vAlign w:val="bottom"/>
            <w:tcBorders>
              <w:right w:val="single" w:sz="8" w:color="808080"/>
            </w:tcBorders>
            <w:gridSpan w:val="2"/>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4700" w:type="dxa"/>
            <w:vAlign w:val="bottom"/>
            <w:gridSpan w:val="2"/>
          </w:tcPr>
          <w:p>
            <w:pPr>
              <w:spacing w:after="0"/>
              <w:rPr>
                <w:sz w:val="20"/>
                <w:szCs w:val="20"/>
                <w:color w:val="auto"/>
              </w:rPr>
            </w:pPr>
            <w:r>
              <w:rPr>
                <w:rFonts w:ascii="Arial" w:cs="Arial" w:eastAsia="Arial" w:hAnsi="Arial"/>
                <w:sz w:val="14"/>
                <w:szCs w:val="14"/>
                <w:b w:val="1"/>
                <w:bCs w:val="1"/>
                <w:color w:val="auto"/>
              </w:rPr>
              <w:t>Supplemental Cash Flow Information:</w:t>
            </w:r>
          </w:p>
        </w:tc>
        <w:tc>
          <w:tcPr>
            <w:tcW w:w="9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Borders>
              <w:right w:val="single" w:sz="8" w:color="EEEEEE"/>
            </w:tcBorders>
            <w:shd w:val="clear" w:color="auto" w:fill="EEEEEE"/>
          </w:tcPr>
          <w:p>
            <w:pPr>
              <w:ind w:left="280"/>
              <w:spacing w:after="0" w:line="149" w:lineRule="exact"/>
              <w:rPr>
                <w:sz w:val="20"/>
                <w:szCs w:val="20"/>
                <w:color w:val="auto"/>
              </w:rPr>
            </w:pPr>
            <w:r>
              <w:rPr>
                <w:rFonts w:ascii="Arial" w:cs="Arial" w:eastAsia="Arial" w:hAnsi="Arial"/>
                <w:sz w:val="14"/>
                <w:szCs w:val="14"/>
                <w:color w:val="auto"/>
              </w:rPr>
              <w:t>Cash paid during the year for:</w:t>
            </w:r>
          </w:p>
        </w:tc>
        <w:tc>
          <w:tcPr>
            <w:tcW w:w="920" w:type="dxa"/>
            <w:vAlign w:val="bottom"/>
            <w:shd w:val="clear" w:color="auto" w:fill="EEEEEE"/>
          </w:tcPr>
          <w:p>
            <w:pPr>
              <w:spacing w:after="0"/>
              <w:rPr>
                <w:sz w:val="12"/>
                <w:szCs w:val="12"/>
                <w:color w:val="auto"/>
              </w:rPr>
            </w:pPr>
          </w:p>
        </w:tc>
        <w:tc>
          <w:tcPr>
            <w:tcW w:w="1280" w:type="dxa"/>
            <w:vAlign w:val="bottom"/>
            <w:shd w:val="clear" w:color="auto" w:fill="EEEEEE"/>
          </w:tcPr>
          <w:p>
            <w:pPr>
              <w:spacing w:after="0"/>
              <w:rPr>
                <w:sz w:val="12"/>
                <w:szCs w:val="12"/>
                <w:color w:val="auto"/>
              </w:rPr>
            </w:pPr>
          </w:p>
        </w:tc>
        <w:tc>
          <w:tcPr>
            <w:tcW w:w="1340" w:type="dxa"/>
            <w:vAlign w:val="bottom"/>
            <w:shd w:val="clear" w:color="auto" w:fill="EEEEEE"/>
          </w:tcPr>
          <w:p>
            <w:pPr>
              <w:spacing w:after="0"/>
              <w:rPr>
                <w:sz w:val="12"/>
                <w:szCs w:val="12"/>
                <w:color w:val="auto"/>
              </w:rPr>
            </w:pPr>
          </w:p>
        </w:tc>
        <w:tc>
          <w:tcPr>
            <w:tcW w:w="1220" w:type="dxa"/>
            <w:vAlign w:val="bottom"/>
            <w:shd w:val="clear" w:color="auto" w:fill="EEEEEE"/>
          </w:tcPr>
          <w:p>
            <w:pPr>
              <w:spacing w:after="0"/>
              <w:rPr>
                <w:sz w:val="12"/>
                <w:szCs w:val="12"/>
                <w:color w:val="auto"/>
              </w:rPr>
            </w:pPr>
          </w:p>
        </w:tc>
        <w:tc>
          <w:tcPr>
            <w:tcW w:w="980" w:type="dxa"/>
            <w:vAlign w:val="bottom"/>
            <w:shd w:val="clear" w:color="auto" w:fill="EEEEEE"/>
          </w:tcPr>
          <w:p>
            <w:pPr>
              <w:spacing w:after="0"/>
              <w:rPr>
                <w:sz w:val="12"/>
                <w:szCs w:val="12"/>
                <w:color w:val="auto"/>
              </w:rPr>
            </w:pPr>
          </w:p>
        </w:tc>
        <w:tc>
          <w:tcPr>
            <w:tcW w:w="9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560"/>
              <w:spacing w:after="0" w:line="149" w:lineRule="exact"/>
              <w:rPr>
                <w:sz w:val="20"/>
                <w:szCs w:val="20"/>
                <w:color w:val="auto"/>
              </w:rPr>
            </w:pPr>
            <w:r>
              <w:rPr>
                <w:rFonts w:ascii="Arial" w:cs="Arial" w:eastAsia="Arial" w:hAnsi="Arial"/>
                <w:sz w:val="14"/>
                <w:szCs w:val="14"/>
                <w:color w:val="auto"/>
              </w:rPr>
              <w:t>Income taxes</w:t>
            </w:r>
          </w:p>
        </w:tc>
        <w:tc>
          <w:tcPr>
            <w:tcW w:w="9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712"/>
              <w:spacing w:after="0" w:line="149" w:lineRule="exact"/>
              <w:rPr>
                <w:sz w:val="20"/>
                <w:szCs w:val="20"/>
                <w:color w:val="auto"/>
              </w:rPr>
            </w:pPr>
            <w:r>
              <w:rPr>
                <w:rFonts w:ascii="Arial" w:cs="Arial" w:eastAsia="Arial" w:hAnsi="Arial"/>
                <w:sz w:val="14"/>
                <w:szCs w:val="14"/>
                <w:b w:val="1"/>
                <w:bCs w:val="1"/>
                <w:color w:val="auto"/>
                <w:w w:val="94"/>
              </w:rPr>
              <w:t>116,900</w:t>
            </w: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tcPr>
          <w:p>
            <w:pPr>
              <w:jc w:val="right"/>
              <w:ind w:right="672"/>
              <w:spacing w:after="0" w:line="149" w:lineRule="exact"/>
              <w:rPr>
                <w:sz w:val="20"/>
                <w:szCs w:val="20"/>
                <w:color w:val="auto"/>
              </w:rPr>
            </w:pPr>
            <w:r>
              <w:rPr>
                <w:rFonts w:ascii="Arial" w:cs="Arial" w:eastAsia="Arial" w:hAnsi="Arial"/>
                <w:sz w:val="14"/>
                <w:szCs w:val="14"/>
                <w:color w:val="auto"/>
              </w:rPr>
              <w:t>68,900</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432"/>
              <w:spacing w:after="0" w:line="149" w:lineRule="exact"/>
              <w:rPr>
                <w:sz w:val="20"/>
                <w:szCs w:val="20"/>
                <w:color w:val="auto"/>
              </w:rPr>
            </w:pPr>
            <w:r>
              <w:rPr>
                <w:rFonts w:ascii="Arial" w:cs="Arial" w:eastAsia="Arial" w:hAnsi="Arial"/>
                <w:sz w:val="14"/>
                <w:szCs w:val="14"/>
                <w:color w:val="auto"/>
              </w:rPr>
              <w:t>52,600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Borders>
              <w:right w:val="single" w:sz="8" w:color="EEEEEE"/>
            </w:tcBorders>
            <w:shd w:val="clear" w:color="auto" w:fill="EEEEEE"/>
          </w:tcPr>
          <w:p>
            <w:pPr>
              <w:ind w:left="560"/>
              <w:spacing w:after="0" w:line="149" w:lineRule="exact"/>
              <w:rPr>
                <w:sz w:val="20"/>
                <w:szCs w:val="20"/>
                <w:color w:val="auto"/>
              </w:rPr>
            </w:pPr>
            <w:r>
              <w:rPr>
                <w:rFonts w:ascii="Arial" w:cs="Arial" w:eastAsia="Arial" w:hAnsi="Arial"/>
                <w:sz w:val="14"/>
                <w:szCs w:val="14"/>
                <w:color w:val="auto"/>
              </w:rPr>
              <w:t>Interest, net of amounts capitalized</w:t>
            </w:r>
          </w:p>
        </w:tc>
        <w:tc>
          <w:tcPr>
            <w:tcW w:w="9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EEEEEE"/>
          </w:tcPr>
          <w:p>
            <w:pPr>
              <w:jc w:val="right"/>
              <w:ind w:right="712"/>
              <w:spacing w:after="0" w:line="149" w:lineRule="exact"/>
              <w:rPr>
                <w:sz w:val="20"/>
                <w:szCs w:val="20"/>
                <w:color w:val="auto"/>
              </w:rPr>
            </w:pPr>
            <w:r>
              <w:rPr>
                <w:rFonts w:ascii="Arial" w:cs="Arial" w:eastAsia="Arial" w:hAnsi="Arial"/>
                <w:sz w:val="14"/>
                <w:szCs w:val="14"/>
                <w:b w:val="1"/>
                <w:bCs w:val="1"/>
                <w:color w:val="auto"/>
              </w:rPr>
              <w:t>27,500</w:t>
            </w:r>
          </w:p>
        </w:tc>
        <w:tc>
          <w:tcPr>
            <w:tcW w:w="13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EEEEEE"/>
          </w:tcPr>
          <w:p>
            <w:pPr>
              <w:jc w:val="right"/>
              <w:ind w:right="672"/>
              <w:spacing w:after="0" w:line="149" w:lineRule="exact"/>
              <w:rPr>
                <w:sz w:val="20"/>
                <w:szCs w:val="20"/>
                <w:color w:val="auto"/>
              </w:rPr>
            </w:pPr>
            <w:r>
              <w:rPr>
                <w:rFonts w:ascii="Arial" w:cs="Arial" w:eastAsia="Arial" w:hAnsi="Arial"/>
                <w:sz w:val="14"/>
                <w:szCs w:val="14"/>
                <w:color w:val="auto"/>
              </w:rPr>
              <w:t>30,600</w:t>
            </w:r>
          </w:p>
        </w:tc>
        <w:tc>
          <w:tcPr>
            <w:tcW w:w="9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EEEEEE"/>
          </w:tcPr>
          <w:p>
            <w:pPr>
              <w:jc w:val="right"/>
              <w:ind w:right="432"/>
              <w:spacing w:after="0" w:line="149" w:lineRule="exact"/>
              <w:rPr>
                <w:sz w:val="20"/>
                <w:szCs w:val="20"/>
                <w:color w:val="auto"/>
              </w:rPr>
            </w:pPr>
            <w:r>
              <w:rPr>
                <w:rFonts w:ascii="Arial" w:cs="Arial" w:eastAsia="Arial" w:hAnsi="Arial"/>
                <w:sz w:val="14"/>
                <w:szCs w:val="14"/>
                <w:color w:val="auto"/>
              </w:rPr>
              <w:t>48,000</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on pages 44 through 58 is an integral part of the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CONSOLIDATED STATEMENTS OF CHANGES IN COMMON SHAREHOLDERS’ EQUITY</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Cumulative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7"/>
              </w:rPr>
              <w:t>Unrealized</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Foreign</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Gain on</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8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5"/>
              </w:rPr>
              <w:t>Class A</w:t>
            </w:r>
          </w:p>
        </w:tc>
        <w:tc>
          <w:tcPr>
            <w:tcW w:w="11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1"/>
              </w:rPr>
              <w:t>Class B</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Capital in</w:t>
            </w:r>
          </w:p>
        </w:tc>
        <w:tc>
          <w:tcPr>
            <w:tcW w:w="126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Currency</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Available-</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8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88"/>
              </w:rPr>
              <w:t>Common</w:t>
            </w:r>
          </w:p>
        </w:tc>
        <w:tc>
          <w:tcPr>
            <w:tcW w:w="11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8"/>
              </w:rPr>
              <w:t>Common</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Excess of</w:t>
            </w:r>
          </w:p>
        </w:tc>
        <w:tc>
          <w:tcPr>
            <w:tcW w:w="1260" w:type="dxa"/>
            <w:vAlign w:val="bottom"/>
          </w:tcPr>
          <w:p>
            <w:pPr>
              <w:jc w:val="right"/>
              <w:ind w:right="292"/>
              <w:spacing w:after="0" w:line="149" w:lineRule="exact"/>
              <w:rPr>
                <w:sz w:val="20"/>
                <w:szCs w:val="20"/>
                <w:color w:val="auto"/>
              </w:rPr>
            </w:pPr>
            <w:r>
              <w:rPr>
                <w:rFonts w:ascii="Arial" w:cs="Arial" w:eastAsia="Arial" w:hAnsi="Arial"/>
                <w:sz w:val="14"/>
                <w:szCs w:val="14"/>
                <w:b w:val="1"/>
                <w:bCs w:val="1"/>
                <w:color w:val="auto"/>
              </w:rPr>
              <w:t>Retained</w:t>
            </w: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Translation</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for-Sale</w:t>
            </w:r>
          </w:p>
        </w:tc>
        <w:tc>
          <w:tcPr>
            <w:tcW w:w="1280" w:type="dxa"/>
            <w:vAlign w:val="bottom"/>
          </w:tcPr>
          <w:p>
            <w:pPr>
              <w:jc w:val="right"/>
              <w:ind w:right="272"/>
              <w:spacing w:after="0" w:line="149" w:lineRule="exact"/>
              <w:rPr>
                <w:sz w:val="20"/>
                <w:szCs w:val="20"/>
                <w:color w:val="auto"/>
              </w:rPr>
            </w:pPr>
            <w:r>
              <w:rPr>
                <w:rFonts w:ascii="Arial" w:cs="Arial" w:eastAsia="Arial" w:hAnsi="Arial"/>
                <w:sz w:val="14"/>
                <w:szCs w:val="14"/>
                <w:b w:val="1"/>
                <w:bCs w:val="1"/>
                <w:color w:val="auto"/>
              </w:rPr>
              <w:t>Treasury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20" w:type="dxa"/>
            <w:vAlign w:val="bottom"/>
          </w:tcPr>
          <w:p>
            <w:pPr>
              <w:ind w:left="1020"/>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jc w:val="center"/>
              <w:ind w:right="52"/>
              <w:spacing w:after="0"/>
              <w:rPr>
                <w:sz w:val="20"/>
                <w:szCs w:val="20"/>
                <w:color w:val="auto"/>
              </w:rPr>
            </w:pPr>
            <w:r>
              <w:rPr>
                <w:rFonts w:ascii="Arial" w:cs="Arial" w:eastAsia="Arial" w:hAnsi="Arial"/>
                <w:sz w:val="14"/>
                <w:szCs w:val="14"/>
                <w:b w:val="1"/>
                <w:bCs w:val="1"/>
                <w:color w:val="auto"/>
                <w:w w:val="83"/>
              </w:rPr>
              <w:t>Stock</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3"/>
              </w:rPr>
              <w:t>Stock</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Par Value</w:t>
            </w:r>
          </w:p>
        </w:tc>
        <w:tc>
          <w:tcPr>
            <w:tcW w:w="1260" w:type="dxa"/>
            <w:vAlign w:val="bottom"/>
          </w:tcPr>
          <w:p>
            <w:pPr>
              <w:jc w:val="right"/>
              <w:ind w:right="292"/>
              <w:spacing w:after="0"/>
              <w:rPr>
                <w:sz w:val="20"/>
                <w:szCs w:val="20"/>
                <w:color w:val="auto"/>
              </w:rPr>
            </w:pPr>
            <w:r>
              <w:rPr>
                <w:rFonts w:ascii="Arial" w:cs="Arial" w:eastAsia="Arial" w:hAnsi="Arial"/>
                <w:sz w:val="14"/>
                <w:szCs w:val="14"/>
                <w:b w:val="1"/>
                <w:bCs w:val="1"/>
                <w:color w:val="auto"/>
              </w:rPr>
              <w:t>Earnings</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Adjustment</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3"/>
              </w:rPr>
              <w:t>Securities</w:t>
            </w:r>
          </w:p>
        </w:tc>
        <w:tc>
          <w:tcPr>
            <w:tcW w:w="1280" w:type="dxa"/>
            <w:vAlign w:val="bottom"/>
          </w:tcPr>
          <w:p>
            <w:pPr>
              <w:jc w:val="right"/>
              <w:ind w:right="372"/>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20" w:type="dxa"/>
            <w:vAlign w:val="bottom"/>
            <w:shd w:val="clear" w:color="auto" w:fill="EEEEEE"/>
          </w:tcPr>
          <w:p>
            <w:pPr>
              <w:spacing w:after="0" w:line="149" w:lineRule="exact"/>
              <w:rPr>
                <w:sz w:val="20"/>
                <w:szCs w:val="20"/>
                <w:color w:val="auto"/>
              </w:rPr>
            </w:pPr>
            <w:r>
              <w:rPr>
                <w:rFonts w:ascii="Arial" w:cs="Arial" w:eastAsia="Arial" w:hAnsi="Arial"/>
                <w:sz w:val="14"/>
                <w:szCs w:val="14"/>
                <w:b w:val="1"/>
                <w:bCs w:val="1"/>
                <w:color w:val="auto"/>
              </w:rPr>
              <w:t>Balance, December 31, 2000</w:t>
            </w:r>
          </w:p>
        </w:tc>
        <w:tc>
          <w:tcPr>
            <w:tcW w:w="880" w:type="dxa"/>
            <w:vAlign w:val="bottom"/>
            <w:shd w:val="clear" w:color="auto" w:fill="EEEEEE"/>
          </w:tcPr>
          <w:p>
            <w:pPr>
              <w:jc w:val="right"/>
              <w:ind w:right="292"/>
              <w:spacing w:after="0" w:line="149" w:lineRule="exact"/>
              <w:rPr>
                <w:sz w:val="20"/>
                <w:szCs w:val="20"/>
                <w:color w:val="auto"/>
              </w:rPr>
            </w:pPr>
            <w:r>
              <w:rPr>
                <w:rFonts w:ascii="Arial" w:cs="Arial" w:eastAsia="Arial" w:hAnsi="Arial"/>
                <w:sz w:val="14"/>
                <w:szCs w:val="14"/>
                <w:color w:val="auto"/>
              </w:rPr>
              <w:t>$1,739</w:t>
            </w:r>
          </w:p>
        </w:tc>
        <w:tc>
          <w:tcPr>
            <w:tcW w:w="1100" w:type="dxa"/>
            <w:vAlign w:val="bottom"/>
            <w:shd w:val="clear" w:color="auto" w:fill="EEEEEE"/>
          </w:tcPr>
          <w:p>
            <w:pPr>
              <w:jc w:val="right"/>
              <w:ind w:right="332"/>
              <w:spacing w:after="0" w:line="149" w:lineRule="exact"/>
              <w:rPr>
                <w:sz w:val="20"/>
                <w:szCs w:val="20"/>
                <w:color w:val="auto"/>
              </w:rPr>
            </w:pPr>
            <w:r>
              <w:rPr>
                <w:rFonts w:ascii="Arial" w:cs="Arial" w:eastAsia="Arial" w:hAnsi="Arial"/>
                <w:sz w:val="14"/>
                <w:szCs w:val="14"/>
                <w:color w:val="auto"/>
              </w:rPr>
              <w:t>$18,261</w:t>
            </w:r>
          </w:p>
        </w:tc>
        <w:tc>
          <w:tcPr>
            <w:tcW w:w="1220" w:type="dxa"/>
            <w:vAlign w:val="bottom"/>
            <w:shd w:val="clear" w:color="auto" w:fill="EEEEEE"/>
          </w:tcPr>
          <w:p>
            <w:pPr>
              <w:jc w:val="right"/>
              <w:ind w:right="332"/>
              <w:spacing w:after="0" w:line="149" w:lineRule="exact"/>
              <w:rPr>
                <w:sz w:val="20"/>
                <w:szCs w:val="20"/>
                <w:color w:val="auto"/>
              </w:rPr>
            </w:pPr>
            <w:r>
              <w:rPr>
                <w:rFonts w:ascii="Arial" w:cs="Arial" w:eastAsia="Arial" w:hAnsi="Arial"/>
                <w:sz w:val="14"/>
                <w:szCs w:val="14"/>
                <w:color w:val="auto"/>
              </w:rPr>
              <w:t>$128,159</w:t>
            </w:r>
          </w:p>
        </w:tc>
        <w:tc>
          <w:tcPr>
            <w:tcW w:w="1260" w:type="dxa"/>
            <w:vAlign w:val="bottom"/>
            <w:shd w:val="clear" w:color="auto" w:fill="EEEEEE"/>
          </w:tcPr>
          <w:p>
            <w:pPr>
              <w:jc w:val="right"/>
              <w:ind w:right="252"/>
              <w:spacing w:after="0" w:line="149" w:lineRule="exact"/>
              <w:rPr>
                <w:sz w:val="20"/>
                <w:szCs w:val="20"/>
                <w:color w:val="auto"/>
              </w:rPr>
            </w:pPr>
            <w:r>
              <w:rPr>
                <w:rFonts w:ascii="Arial" w:cs="Arial" w:eastAsia="Arial" w:hAnsi="Arial"/>
                <w:sz w:val="14"/>
                <w:szCs w:val="14"/>
                <w:color w:val="auto"/>
              </w:rPr>
              <w:t>$2,854,122</w:t>
            </w:r>
          </w:p>
        </w:tc>
        <w:tc>
          <w:tcPr>
            <w:tcW w:w="4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EEEEEE"/>
          </w:tcPr>
          <w:p>
            <w:pPr>
              <w:jc w:val="right"/>
              <w:ind w:right="332"/>
              <w:spacing w:after="0" w:line="149" w:lineRule="exact"/>
              <w:rPr>
                <w:sz w:val="20"/>
                <w:szCs w:val="20"/>
                <w:color w:val="auto"/>
              </w:rPr>
            </w:pPr>
            <w:r>
              <w:rPr>
                <w:rFonts w:ascii="Arial" w:cs="Arial" w:eastAsia="Arial" w:hAnsi="Arial"/>
                <w:sz w:val="14"/>
                <w:szCs w:val="14"/>
                <w:color w:val="auto"/>
                <w:w w:val="90"/>
              </w:rPr>
              <w:t>(6,574)</w:t>
            </w:r>
          </w:p>
        </w:tc>
        <w:tc>
          <w:tcPr>
            <w:tcW w:w="1280" w:type="dxa"/>
            <w:vAlign w:val="bottom"/>
            <w:shd w:val="clear" w:color="auto" w:fill="EEEEEE"/>
          </w:tcPr>
          <w:p>
            <w:pPr>
              <w:jc w:val="right"/>
              <w:ind w:right="412"/>
              <w:spacing w:after="0" w:line="149" w:lineRule="exact"/>
              <w:rPr>
                <w:sz w:val="20"/>
                <w:szCs w:val="20"/>
                <w:color w:val="auto"/>
              </w:rPr>
            </w:pPr>
            <w:r>
              <w:rPr>
                <w:rFonts w:ascii="Arial" w:cs="Arial" w:eastAsia="Arial" w:hAnsi="Arial"/>
                <w:sz w:val="14"/>
                <w:szCs w:val="14"/>
                <w:color w:val="auto"/>
              </w:rPr>
              <w:t>$13,502</w:t>
            </w:r>
          </w:p>
        </w:tc>
        <w:tc>
          <w:tcPr>
            <w:tcW w:w="1280" w:type="dxa"/>
            <w:vAlign w:val="bottom"/>
            <w:shd w:val="clear" w:color="auto" w:fill="EEEEEE"/>
          </w:tcPr>
          <w:p>
            <w:pPr>
              <w:jc w:val="right"/>
              <w:ind w:right="152"/>
              <w:spacing w:after="0" w:line="149" w:lineRule="exact"/>
              <w:rPr>
                <w:sz w:val="20"/>
                <w:szCs w:val="20"/>
                <w:color w:val="auto"/>
              </w:rPr>
            </w:pPr>
            <w:r>
              <w:rPr>
                <w:rFonts w:ascii="Arial" w:cs="Arial" w:eastAsia="Arial" w:hAnsi="Arial"/>
                <w:sz w:val="14"/>
                <w:szCs w:val="14"/>
                <w:color w:val="auto"/>
              </w:rPr>
              <w:t>$(1,528,202)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ind w:left="240"/>
              <w:spacing w:after="0" w:line="149" w:lineRule="exact"/>
              <w:rPr>
                <w:sz w:val="20"/>
                <w:szCs w:val="20"/>
                <w:color w:val="auto"/>
              </w:rPr>
            </w:pPr>
            <w:r>
              <w:rPr>
                <w:rFonts w:ascii="Arial" w:cs="Arial" w:eastAsia="Arial" w:hAnsi="Arial"/>
                <w:sz w:val="14"/>
                <w:szCs w:val="14"/>
                <w:color w:val="auto"/>
              </w:rPr>
              <w:t>Net income for the year</w:t>
            </w:r>
          </w:p>
        </w:tc>
        <w:tc>
          <w:tcPr>
            <w:tcW w:w="8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6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229,639</w:t>
            </w: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20" w:type="dxa"/>
            <w:vAlign w:val="bottom"/>
            <w:shd w:val="clear" w:color="auto" w:fill="EEEEEE"/>
          </w:tcPr>
          <w:p>
            <w:pPr>
              <w:ind w:left="240"/>
              <w:spacing w:after="0" w:line="138" w:lineRule="exact"/>
              <w:rPr>
                <w:sz w:val="20"/>
                <w:szCs w:val="20"/>
                <w:color w:val="auto"/>
              </w:rPr>
            </w:pPr>
            <w:r>
              <w:rPr>
                <w:rFonts w:ascii="Arial" w:cs="Arial" w:eastAsia="Arial" w:hAnsi="Arial"/>
                <w:sz w:val="14"/>
                <w:szCs w:val="14"/>
                <w:color w:val="auto"/>
                <w:w w:val="99"/>
              </w:rPr>
              <w:t>Dividends paid on common stock — $5.60 per</w:t>
            </w:r>
          </w:p>
        </w:tc>
        <w:tc>
          <w:tcPr>
            <w:tcW w:w="880" w:type="dxa"/>
            <w:vAlign w:val="bottom"/>
            <w:shd w:val="clear" w:color="auto" w:fill="EEEEEE"/>
          </w:tcPr>
          <w:p>
            <w:pPr>
              <w:spacing w:after="0"/>
              <w:rPr>
                <w:sz w:val="11"/>
                <w:szCs w:val="11"/>
                <w:color w:val="auto"/>
              </w:rPr>
            </w:pPr>
          </w:p>
        </w:tc>
        <w:tc>
          <w:tcPr>
            <w:tcW w:w="1100" w:type="dxa"/>
            <w:vAlign w:val="bottom"/>
            <w:shd w:val="clear" w:color="auto" w:fill="EEEEEE"/>
          </w:tcPr>
          <w:p>
            <w:pPr>
              <w:spacing w:after="0"/>
              <w:rPr>
                <w:sz w:val="11"/>
                <w:szCs w:val="11"/>
                <w:color w:val="auto"/>
              </w:rPr>
            </w:pPr>
          </w:p>
        </w:tc>
        <w:tc>
          <w:tcPr>
            <w:tcW w:w="1220" w:type="dxa"/>
            <w:vAlign w:val="bottom"/>
            <w:shd w:val="clear" w:color="auto" w:fill="EEEEEE"/>
          </w:tcPr>
          <w:p>
            <w:pPr>
              <w:spacing w:after="0"/>
              <w:rPr>
                <w:sz w:val="11"/>
                <w:szCs w:val="11"/>
                <w:color w:val="auto"/>
              </w:rPr>
            </w:pPr>
          </w:p>
        </w:tc>
        <w:tc>
          <w:tcPr>
            <w:tcW w:w="126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820" w:type="dxa"/>
            <w:vAlign w:val="bottom"/>
            <w:shd w:val="clear" w:color="auto" w:fill="EEEEEE"/>
          </w:tcPr>
          <w:p>
            <w:pPr>
              <w:spacing w:after="0"/>
              <w:rPr>
                <w:sz w:val="11"/>
                <w:szCs w:val="11"/>
                <w:color w:val="auto"/>
              </w:rPr>
            </w:pPr>
          </w:p>
        </w:tc>
        <w:tc>
          <w:tcPr>
            <w:tcW w:w="1280" w:type="dxa"/>
            <w:vAlign w:val="bottom"/>
            <w:shd w:val="clear" w:color="auto" w:fill="EEEEEE"/>
          </w:tcPr>
          <w:p>
            <w:pPr>
              <w:spacing w:after="0"/>
              <w:rPr>
                <w:sz w:val="11"/>
                <w:szCs w:val="11"/>
                <w:color w:val="auto"/>
              </w:rPr>
            </w:pPr>
          </w:p>
        </w:tc>
        <w:tc>
          <w:tcPr>
            <w:tcW w:w="12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20" w:type="dxa"/>
            <w:vAlign w:val="bottom"/>
            <w:shd w:val="clear" w:color="auto" w:fill="EEEEEE"/>
          </w:tcPr>
          <w:p>
            <w:pPr>
              <w:ind w:left="360"/>
              <w:spacing w:after="0" w:line="159" w:lineRule="exact"/>
              <w:rPr>
                <w:sz w:val="20"/>
                <w:szCs w:val="20"/>
                <w:color w:val="auto"/>
              </w:rPr>
            </w:pPr>
            <w:r>
              <w:rPr>
                <w:rFonts w:ascii="Arial" w:cs="Arial" w:eastAsia="Arial" w:hAnsi="Arial"/>
                <w:sz w:val="14"/>
                <w:szCs w:val="14"/>
                <w:color w:val="auto"/>
              </w:rPr>
              <w:t>share</w:t>
            </w:r>
          </w:p>
        </w:tc>
        <w:tc>
          <w:tcPr>
            <w:tcW w:w="880" w:type="dxa"/>
            <w:vAlign w:val="bottom"/>
            <w:shd w:val="clear" w:color="auto" w:fill="EEEEEE"/>
          </w:tcPr>
          <w:p>
            <w:pPr>
              <w:spacing w:after="0"/>
              <w:rPr>
                <w:sz w:val="13"/>
                <w:szCs w:val="13"/>
                <w:color w:val="auto"/>
              </w:rPr>
            </w:pPr>
          </w:p>
        </w:tc>
        <w:tc>
          <w:tcPr>
            <w:tcW w:w="1100" w:type="dxa"/>
            <w:vAlign w:val="bottom"/>
            <w:shd w:val="clear" w:color="auto" w:fill="EEEEEE"/>
          </w:tcPr>
          <w:p>
            <w:pPr>
              <w:spacing w:after="0"/>
              <w:rPr>
                <w:sz w:val="13"/>
                <w:szCs w:val="13"/>
                <w:color w:val="auto"/>
              </w:rPr>
            </w:pPr>
          </w:p>
        </w:tc>
        <w:tc>
          <w:tcPr>
            <w:tcW w:w="1220" w:type="dxa"/>
            <w:vAlign w:val="bottom"/>
            <w:shd w:val="clear" w:color="auto" w:fill="EEEEEE"/>
          </w:tcPr>
          <w:p>
            <w:pPr>
              <w:spacing w:after="0"/>
              <w:rPr>
                <w:sz w:val="13"/>
                <w:szCs w:val="13"/>
                <w:color w:val="auto"/>
              </w:rPr>
            </w:pPr>
          </w:p>
        </w:tc>
        <w:tc>
          <w:tcPr>
            <w:tcW w:w="1260" w:type="dxa"/>
            <w:vAlign w:val="bottom"/>
            <w:shd w:val="clear" w:color="auto" w:fill="EEEEEE"/>
          </w:tcPr>
          <w:p>
            <w:pPr>
              <w:jc w:val="right"/>
              <w:ind w:right="192"/>
              <w:spacing w:after="0" w:line="159" w:lineRule="exact"/>
              <w:rPr>
                <w:sz w:val="20"/>
                <w:szCs w:val="20"/>
                <w:color w:val="auto"/>
              </w:rPr>
            </w:pPr>
            <w:r>
              <w:rPr>
                <w:rFonts w:ascii="Arial" w:cs="Arial" w:eastAsia="Arial" w:hAnsi="Arial"/>
                <w:sz w:val="14"/>
                <w:szCs w:val="14"/>
                <w:color w:val="auto"/>
              </w:rPr>
              <w:t>(53,114)</w:t>
            </w:r>
          </w:p>
        </w:tc>
        <w:tc>
          <w:tcPr>
            <w:tcW w:w="440" w:type="dxa"/>
            <w:vAlign w:val="bottom"/>
            <w:shd w:val="clear" w:color="auto" w:fill="EEEEEE"/>
          </w:tcPr>
          <w:p>
            <w:pPr>
              <w:spacing w:after="0"/>
              <w:rPr>
                <w:sz w:val="13"/>
                <w:szCs w:val="13"/>
                <w:color w:val="auto"/>
              </w:rPr>
            </w:pPr>
          </w:p>
        </w:tc>
        <w:tc>
          <w:tcPr>
            <w:tcW w:w="820" w:type="dxa"/>
            <w:vAlign w:val="bottom"/>
            <w:shd w:val="clear" w:color="auto" w:fill="EEEEEE"/>
          </w:tcPr>
          <w:p>
            <w:pPr>
              <w:spacing w:after="0"/>
              <w:rPr>
                <w:sz w:val="13"/>
                <w:szCs w:val="13"/>
                <w:color w:val="auto"/>
              </w:rPr>
            </w:pPr>
          </w:p>
        </w:tc>
        <w:tc>
          <w:tcPr>
            <w:tcW w:w="1280" w:type="dxa"/>
            <w:vAlign w:val="bottom"/>
            <w:shd w:val="clear" w:color="auto" w:fill="EEEEEE"/>
          </w:tcPr>
          <w:p>
            <w:pPr>
              <w:spacing w:after="0"/>
              <w:rPr>
                <w:sz w:val="13"/>
                <w:szCs w:val="13"/>
                <w:color w:val="auto"/>
              </w:rPr>
            </w:pPr>
          </w:p>
        </w:tc>
        <w:tc>
          <w:tcPr>
            <w:tcW w:w="128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ind w:left="240"/>
              <w:spacing w:after="0" w:line="149" w:lineRule="exact"/>
              <w:rPr>
                <w:sz w:val="20"/>
                <w:szCs w:val="20"/>
                <w:color w:val="auto"/>
              </w:rPr>
            </w:pPr>
            <w:r>
              <w:rPr>
                <w:rFonts w:ascii="Arial" w:cs="Arial" w:eastAsia="Arial" w:hAnsi="Arial"/>
                <w:sz w:val="14"/>
                <w:szCs w:val="14"/>
                <w:color w:val="auto"/>
                <w:w w:val="99"/>
              </w:rPr>
              <w:t>Dividends paid on redeemable preferred stock</w:t>
            </w:r>
          </w:p>
        </w:tc>
        <w:tc>
          <w:tcPr>
            <w:tcW w:w="8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(1,052)</w:t>
            </w: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20" w:type="dxa"/>
            <w:vAlign w:val="bottom"/>
            <w:shd w:val="clear" w:color="auto" w:fill="EEEEEE"/>
          </w:tcPr>
          <w:p>
            <w:pPr>
              <w:ind w:left="240"/>
              <w:spacing w:after="0" w:line="138" w:lineRule="exact"/>
              <w:rPr>
                <w:sz w:val="20"/>
                <w:szCs w:val="20"/>
                <w:color w:val="auto"/>
              </w:rPr>
            </w:pPr>
            <w:r>
              <w:rPr>
                <w:rFonts w:ascii="Arial" w:cs="Arial" w:eastAsia="Arial" w:hAnsi="Arial"/>
                <w:sz w:val="14"/>
                <w:szCs w:val="14"/>
                <w:color w:val="auto"/>
                <w:w w:val="98"/>
              </w:rPr>
              <w:t>Repurchase of 714 shares of Class B common</w:t>
            </w:r>
          </w:p>
        </w:tc>
        <w:tc>
          <w:tcPr>
            <w:tcW w:w="880" w:type="dxa"/>
            <w:vAlign w:val="bottom"/>
            <w:shd w:val="clear" w:color="auto" w:fill="EEEEEE"/>
          </w:tcPr>
          <w:p>
            <w:pPr>
              <w:spacing w:after="0"/>
              <w:rPr>
                <w:sz w:val="11"/>
                <w:szCs w:val="11"/>
                <w:color w:val="auto"/>
              </w:rPr>
            </w:pPr>
          </w:p>
        </w:tc>
        <w:tc>
          <w:tcPr>
            <w:tcW w:w="1100" w:type="dxa"/>
            <w:vAlign w:val="bottom"/>
            <w:shd w:val="clear" w:color="auto" w:fill="EEEEEE"/>
          </w:tcPr>
          <w:p>
            <w:pPr>
              <w:spacing w:after="0"/>
              <w:rPr>
                <w:sz w:val="11"/>
                <w:szCs w:val="11"/>
                <w:color w:val="auto"/>
              </w:rPr>
            </w:pPr>
          </w:p>
        </w:tc>
        <w:tc>
          <w:tcPr>
            <w:tcW w:w="1220" w:type="dxa"/>
            <w:vAlign w:val="bottom"/>
            <w:shd w:val="clear" w:color="auto" w:fill="EEEEEE"/>
          </w:tcPr>
          <w:p>
            <w:pPr>
              <w:spacing w:after="0"/>
              <w:rPr>
                <w:sz w:val="11"/>
                <w:szCs w:val="11"/>
                <w:color w:val="auto"/>
              </w:rPr>
            </w:pPr>
          </w:p>
        </w:tc>
        <w:tc>
          <w:tcPr>
            <w:tcW w:w="126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820" w:type="dxa"/>
            <w:vAlign w:val="bottom"/>
            <w:shd w:val="clear" w:color="auto" w:fill="EEEEEE"/>
          </w:tcPr>
          <w:p>
            <w:pPr>
              <w:spacing w:after="0"/>
              <w:rPr>
                <w:sz w:val="11"/>
                <w:szCs w:val="11"/>
                <w:color w:val="auto"/>
              </w:rPr>
            </w:pPr>
          </w:p>
        </w:tc>
        <w:tc>
          <w:tcPr>
            <w:tcW w:w="1280" w:type="dxa"/>
            <w:vAlign w:val="bottom"/>
            <w:shd w:val="clear" w:color="auto" w:fill="EEEEEE"/>
          </w:tcPr>
          <w:p>
            <w:pPr>
              <w:spacing w:after="0"/>
              <w:rPr>
                <w:sz w:val="11"/>
                <w:szCs w:val="11"/>
                <w:color w:val="auto"/>
              </w:rPr>
            </w:pPr>
          </w:p>
        </w:tc>
        <w:tc>
          <w:tcPr>
            <w:tcW w:w="12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20" w:type="dxa"/>
            <w:vAlign w:val="bottom"/>
            <w:shd w:val="clear" w:color="auto" w:fill="EEEEEE"/>
          </w:tcPr>
          <w:p>
            <w:pPr>
              <w:ind w:left="360"/>
              <w:spacing w:after="0" w:line="159" w:lineRule="exact"/>
              <w:rPr>
                <w:sz w:val="20"/>
                <w:szCs w:val="20"/>
                <w:color w:val="auto"/>
              </w:rPr>
            </w:pPr>
            <w:r>
              <w:rPr>
                <w:rFonts w:ascii="Arial" w:cs="Arial" w:eastAsia="Arial" w:hAnsi="Arial"/>
                <w:sz w:val="14"/>
                <w:szCs w:val="14"/>
                <w:color w:val="auto"/>
              </w:rPr>
              <w:t>stock</w:t>
            </w:r>
          </w:p>
        </w:tc>
        <w:tc>
          <w:tcPr>
            <w:tcW w:w="880" w:type="dxa"/>
            <w:vAlign w:val="bottom"/>
            <w:shd w:val="clear" w:color="auto" w:fill="EEEEEE"/>
          </w:tcPr>
          <w:p>
            <w:pPr>
              <w:spacing w:after="0"/>
              <w:rPr>
                <w:sz w:val="13"/>
                <w:szCs w:val="13"/>
                <w:color w:val="auto"/>
              </w:rPr>
            </w:pPr>
          </w:p>
        </w:tc>
        <w:tc>
          <w:tcPr>
            <w:tcW w:w="1100" w:type="dxa"/>
            <w:vAlign w:val="bottom"/>
            <w:shd w:val="clear" w:color="auto" w:fill="EEEEEE"/>
          </w:tcPr>
          <w:p>
            <w:pPr>
              <w:spacing w:after="0"/>
              <w:rPr>
                <w:sz w:val="13"/>
                <w:szCs w:val="13"/>
                <w:color w:val="auto"/>
              </w:rPr>
            </w:pPr>
          </w:p>
        </w:tc>
        <w:tc>
          <w:tcPr>
            <w:tcW w:w="1220" w:type="dxa"/>
            <w:vAlign w:val="bottom"/>
            <w:shd w:val="clear" w:color="auto" w:fill="EEEEEE"/>
          </w:tcPr>
          <w:p>
            <w:pPr>
              <w:spacing w:after="0"/>
              <w:rPr>
                <w:sz w:val="13"/>
                <w:szCs w:val="13"/>
                <w:color w:val="auto"/>
              </w:rPr>
            </w:pPr>
          </w:p>
        </w:tc>
        <w:tc>
          <w:tcPr>
            <w:tcW w:w="1260" w:type="dxa"/>
            <w:vAlign w:val="bottom"/>
            <w:shd w:val="clear" w:color="auto" w:fill="EEEEEE"/>
          </w:tcPr>
          <w:p>
            <w:pPr>
              <w:spacing w:after="0"/>
              <w:rPr>
                <w:sz w:val="13"/>
                <w:szCs w:val="13"/>
                <w:color w:val="auto"/>
              </w:rPr>
            </w:pPr>
          </w:p>
        </w:tc>
        <w:tc>
          <w:tcPr>
            <w:tcW w:w="440" w:type="dxa"/>
            <w:vAlign w:val="bottom"/>
            <w:shd w:val="clear" w:color="auto" w:fill="EEEEEE"/>
          </w:tcPr>
          <w:p>
            <w:pPr>
              <w:spacing w:after="0"/>
              <w:rPr>
                <w:sz w:val="13"/>
                <w:szCs w:val="13"/>
                <w:color w:val="auto"/>
              </w:rPr>
            </w:pPr>
          </w:p>
        </w:tc>
        <w:tc>
          <w:tcPr>
            <w:tcW w:w="820" w:type="dxa"/>
            <w:vAlign w:val="bottom"/>
            <w:shd w:val="clear" w:color="auto" w:fill="EEEEEE"/>
          </w:tcPr>
          <w:p>
            <w:pPr>
              <w:spacing w:after="0"/>
              <w:rPr>
                <w:sz w:val="13"/>
                <w:szCs w:val="13"/>
                <w:color w:val="auto"/>
              </w:rPr>
            </w:pPr>
          </w:p>
        </w:tc>
        <w:tc>
          <w:tcPr>
            <w:tcW w:w="1280" w:type="dxa"/>
            <w:vAlign w:val="bottom"/>
            <w:shd w:val="clear" w:color="auto" w:fill="EEEEEE"/>
          </w:tcPr>
          <w:p>
            <w:pPr>
              <w:spacing w:after="0"/>
              <w:rPr>
                <w:sz w:val="13"/>
                <w:szCs w:val="13"/>
                <w:color w:val="auto"/>
              </w:rPr>
            </w:pPr>
          </w:p>
        </w:tc>
        <w:tc>
          <w:tcPr>
            <w:tcW w:w="1280" w:type="dxa"/>
            <w:vAlign w:val="bottom"/>
            <w:shd w:val="clear" w:color="auto" w:fill="EEEEEE"/>
          </w:tcPr>
          <w:p>
            <w:pPr>
              <w:jc w:val="right"/>
              <w:ind w:right="152"/>
              <w:spacing w:after="0" w:line="159" w:lineRule="exact"/>
              <w:rPr>
                <w:sz w:val="20"/>
                <w:szCs w:val="20"/>
                <w:color w:val="auto"/>
              </w:rPr>
            </w:pPr>
            <w:r>
              <w:rPr>
                <w:rFonts w:ascii="Arial" w:cs="Arial" w:eastAsia="Arial" w:hAnsi="Arial"/>
                <w:sz w:val="14"/>
                <w:szCs w:val="14"/>
                <w:color w:val="auto"/>
              </w:rPr>
              <w:t>(445)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20" w:type="dxa"/>
            <w:vAlign w:val="bottom"/>
          </w:tcPr>
          <w:p>
            <w:pPr>
              <w:ind w:left="240"/>
              <w:spacing w:after="0" w:line="138" w:lineRule="exact"/>
              <w:rPr>
                <w:sz w:val="20"/>
                <w:szCs w:val="20"/>
                <w:color w:val="auto"/>
              </w:rPr>
            </w:pPr>
            <w:r>
              <w:rPr>
                <w:rFonts w:ascii="Arial" w:cs="Arial" w:eastAsia="Arial" w:hAnsi="Arial"/>
                <w:sz w:val="14"/>
                <w:szCs w:val="14"/>
                <w:color w:val="auto"/>
                <w:w w:val="98"/>
              </w:rPr>
              <w:t>Issuance of 35,105 shares of Class B common</w:t>
            </w:r>
          </w:p>
        </w:tc>
        <w:tc>
          <w:tcPr>
            <w:tcW w:w="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20" w:type="dxa"/>
            <w:vAlign w:val="bottom"/>
          </w:tcPr>
          <w:p>
            <w:pPr>
              <w:ind w:left="360"/>
              <w:spacing w:after="0" w:line="159" w:lineRule="exact"/>
              <w:rPr>
                <w:sz w:val="20"/>
                <w:szCs w:val="20"/>
                <w:color w:val="auto"/>
              </w:rPr>
            </w:pPr>
            <w:r>
              <w:rPr>
                <w:rFonts w:ascii="Arial" w:cs="Arial" w:eastAsia="Arial" w:hAnsi="Arial"/>
                <w:sz w:val="14"/>
                <w:szCs w:val="14"/>
                <w:color w:val="auto"/>
                <w:w w:val="97"/>
              </w:rPr>
              <w:t>stock, net of restricted stock award forfeitures</w:t>
            </w:r>
          </w:p>
        </w:tc>
        <w:tc>
          <w:tcPr>
            <w:tcW w:w="8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20" w:type="dxa"/>
            <w:vAlign w:val="bottom"/>
          </w:tcPr>
          <w:p>
            <w:pPr>
              <w:jc w:val="right"/>
              <w:ind w:right="332"/>
              <w:spacing w:after="0" w:line="159" w:lineRule="exact"/>
              <w:rPr>
                <w:sz w:val="20"/>
                <w:szCs w:val="20"/>
                <w:color w:val="auto"/>
              </w:rPr>
            </w:pPr>
            <w:r>
              <w:rPr>
                <w:rFonts w:ascii="Arial" w:cs="Arial" w:eastAsia="Arial" w:hAnsi="Arial"/>
                <w:sz w:val="14"/>
                <w:szCs w:val="14"/>
                <w:color w:val="auto"/>
              </w:rPr>
              <w:t>10,639</w:t>
            </w:r>
          </w:p>
        </w:tc>
        <w:tc>
          <w:tcPr>
            <w:tcW w:w="1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80" w:type="dxa"/>
            <w:vAlign w:val="bottom"/>
          </w:tcPr>
          <w:p>
            <w:pPr>
              <w:jc w:val="right"/>
              <w:ind w:right="192"/>
              <w:spacing w:after="0" w:line="159" w:lineRule="exact"/>
              <w:rPr>
                <w:sz w:val="20"/>
                <w:szCs w:val="20"/>
                <w:color w:val="auto"/>
              </w:rPr>
            </w:pPr>
            <w:r>
              <w:rPr>
                <w:rFonts w:ascii="Arial" w:cs="Arial" w:eastAsia="Arial" w:hAnsi="Arial"/>
                <w:sz w:val="14"/>
                <w:szCs w:val="14"/>
                <w:color w:val="auto"/>
              </w:rPr>
              <w:t>5,120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20" w:type="dxa"/>
            <w:vAlign w:val="bottom"/>
            <w:shd w:val="clear" w:color="auto" w:fill="EEEEEE"/>
          </w:tcPr>
          <w:p>
            <w:pPr>
              <w:ind w:left="240"/>
              <w:spacing w:after="0" w:line="138" w:lineRule="exact"/>
              <w:rPr>
                <w:sz w:val="20"/>
                <w:szCs w:val="20"/>
                <w:color w:val="auto"/>
              </w:rPr>
            </w:pPr>
            <w:r>
              <w:rPr>
                <w:rFonts w:ascii="Arial" w:cs="Arial" w:eastAsia="Arial" w:hAnsi="Arial"/>
                <w:sz w:val="14"/>
                <w:szCs w:val="14"/>
                <w:color w:val="auto"/>
              </w:rPr>
              <w:t>Change in foreign currency translation</w:t>
            </w:r>
          </w:p>
        </w:tc>
        <w:tc>
          <w:tcPr>
            <w:tcW w:w="880" w:type="dxa"/>
            <w:vAlign w:val="bottom"/>
            <w:shd w:val="clear" w:color="auto" w:fill="EEEEEE"/>
          </w:tcPr>
          <w:p>
            <w:pPr>
              <w:spacing w:after="0"/>
              <w:rPr>
                <w:sz w:val="11"/>
                <w:szCs w:val="11"/>
                <w:color w:val="auto"/>
              </w:rPr>
            </w:pPr>
          </w:p>
        </w:tc>
        <w:tc>
          <w:tcPr>
            <w:tcW w:w="1100" w:type="dxa"/>
            <w:vAlign w:val="bottom"/>
            <w:shd w:val="clear" w:color="auto" w:fill="EEEEEE"/>
          </w:tcPr>
          <w:p>
            <w:pPr>
              <w:spacing w:after="0"/>
              <w:rPr>
                <w:sz w:val="11"/>
                <w:szCs w:val="11"/>
                <w:color w:val="auto"/>
              </w:rPr>
            </w:pPr>
          </w:p>
        </w:tc>
        <w:tc>
          <w:tcPr>
            <w:tcW w:w="1220" w:type="dxa"/>
            <w:vAlign w:val="bottom"/>
            <w:shd w:val="clear" w:color="auto" w:fill="EEEEEE"/>
          </w:tcPr>
          <w:p>
            <w:pPr>
              <w:spacing w:after="0"/>
              <w:rPr>
                <w:sz w:val="11"/>
                <w:szCs w:val="11"/>
                <w:color w:val="auto"/>
              </w:rPr>
            </w:pPr>
          </w:p>
        </w:tc>
        <w:tc>
          <w:tcPr>
            <w:tcW w:w="126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820" w:type="dxa"/>
            <w:vAlign w:val="bottom"/>
            <w:shd w:val="clear" w:color="auto" w:fill="EEEEEE"/>
          </w:tcPr>
          <w:p>
            <w:pPr>
              <w:spacing w:after="0"/>
              <w:rPr>
                <w:sz w:val="11"/>
                <w:szCs w:val="11"/>
                <w:color w:val="auto"/>
              </w:rPr>
            </w:pPr>
          </w:p>
        </w:tc>
        <w:tc>
          <w:tcPr>
            <w:tcW w:w="1280" w:type="dxa"/>
            <w:vAlign w:val="bottom"/>
            <w:shd w:val="clear" w:color="auto" w:fill="EEEEEE"/>
          </w:tcPr>
          <w:p>
            <w:pPr>
              <w:spacing w:after="0"/>
              <w:rPr>
                <w:sz w:val="11"/>
                <w:szCs w:val="11"/>
                <w:color w:val="auto"/>
              </w:rPr>
            </w:pPr>
          </w:p>
        </w:tc>
        <w:tc>
          <w:tcPr>
            <w:tcW w:w="12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20" w:type="dxa"/>
            <w:vAlign w:val="bottom"/>
            <w:shd w:val="clear" w:color="auto" w:fill="EEEEEE"/>
          </w:tcPr>
          <w:p>
            <w:pPr>
              <w:ind w:left="360"/>
              <w:spacing w:after="0" w:line="159" w:lineRule="exact"/>
              <w:rPr>
                <w:sz w:val="20"/>
                <w:szCs w:val="20"/>
                <w:color w:val="auto"/>
              </w:rPr>
            </w:pPr>
            <w:r>
              <w:rPr>
                <w:rFonts w:ascii="Arial" w:cs="Arial" w:eastAsia="Arial" w:hAnsi="Arial"/>
                <w:sz w:val="14"/>
                <w:szCs w:val="14"/>
                <w:color w:val="auto"/>
              </w:rPr>
              <w:t>adjustment (net of taxes)</w:t>
            </w:r>
          </w:p>
        </w:tc>
        <w:tc>
          <w:tcPr>
            <w:tcW w:w="880" w:type="dxa"/>
            <w:vAlign w:val="bottom"/>
            <w:shd w:val="clear" w:color="auto" w:fill="EEEEEE"/>
          </w:tcPr>
          <w:p>
            <w:pPr>
              <w:spacing w:after="0"/>
              <w:rPr>
                <w:sz w:val="13"/>
                <w:szCs w:val="13"/>
                <w:color w:val="auto"/>
              </w:rPr>
            </w:pPr>
          </w:p>
        </w:tc>
        <w:tc>
          <w:tcPr>
            <w:tcW w:w="1100" w:type="dxa"/>
            <w:vAlign w:val="bottom"/>
            <w:shd w:val="clear" w:color="auto" w:fill="EEEEEE"/>
          </w:tcPr>
          <w:p>
            <w:pPr>
              <w:spacing w:after="0"/>
              <w:rPr>
                <w:sz w:val="13"/>
                <w:szCs w:val="13"/>
                <w:color w:val="auto"/>
              </w:rPr>
            </w:pPr>
          </w:p>
        </w:tc>
        <w:tc>
          <w:tcPr>
            <w:tcW w:w="1220" w:type="dxa"/>
            <w:vAlign w:val="bottom"/>
            <w:shd w:val="clear" w:color="auto" w:fill="EEEEEE"/>
          </w:tcPr>
          <w:p>
            <w:pPr>
              <w:spacing w:after="0"/>
              <w:rPr>
                <w:sz w:val="13"/>
                <w:szCs w:val="13"/>
                <w:color w:val="auto"/>
              </w:rPr>
            </w:pPr>
          </w:p>
        </w:tc>
        <w:tc>
          <w:tcPr>
            <w:tcW w:w="1260" w:type="dxa"/>
            <w:vAlign w:val="bottom"/>
            <w:shd w:val="clear" w:color="auto" w:fill="EEEEEE"/>
          </w:tcPr>
          <w:p>
            <w:pPr>
              <w:spacing w:after="0"/>
              <w:rPr>
                <w:sz w:val="13"/>
                <w:szCs w:val="13"/>
                <w:color w:val="auto"/>
              </w:rPr>
            </w:pPr>
          </w:p>
        </w:tc>
        <w:tc>
          <w:tcPr>
            <w:tcW w:w="440" w:type="dxa"/>
            <w:vAlign w:val="bottom"/>
            <w:shd w:val="clear" w:color="auto" w:fill="EEEEEE"/>
          </w:tcPr>
          <w:p>
            <w:pPr>
              <w:spacing w:after="0"/>
              <w:rPr>
                <w:sz w:val="13"/>
                <w:szCs w:val="13"/>
                <w:color w:val="auto"/>
              </w:rPr>
            </w:pPr>
          </w:p>
        </w:tc>
        <w:tc>
          <w:tcPr>
            <w:tcW w:w="820" w:type="dxa"/>
            <w:vAlign w:val="bottom"/>
            <w:shd w:val="clear" w:color="auto" w:fill="EEEEEE"/>
          </w:tcPr>
          <w:p>
            <w:pPr>
              <w:jc w:val="right"/>
              <w:ind w:right="332"/>
              <w:spacing w:after="0" w:line="159" w:lineRule="exact"/>
              <w:rPr>
                <w:sz w:val="20"/>
                <w:szCs w:val="20"/>
                <w:color w:val="auto"/>
              </w:rPr>
            </w:pPr>
            <w:r>
              <w:rPr>
                <w:rFonts w:ascii="Arial" w:cs="Arial" w:eastAsia="Arial" w:hAnsi="Arial"/>
                <w:sz w:val="14"/>
                <w:szCs w:val="14"/>
                <w:color w:val="auto"/>
                <w:w w:val="90"/>
              </w:rPr>
              <w:t>(3,104)</w:t>
            </w:r>
          </w:p>
        </w:tc>
        <w:tc>
          <w:tcPr>
            <w:tcW w:w="1280" w:type="dxa"/>
            <w:vAlign w:val="bottom"/>
            <w:shd w:val="clear" w:color="auto" w:fill="EEEEEE"/>
          </w:tcPr>
          <w:p>
            <w:pPr>
              <w:spacing w:after="0"/>
              <w:rPr>
                <w:sz w:val="13"/>
                <w:szCs w:val="13"/>
                <w:color w:val="auto"/>
              </w:rPr>
            </w:pPr>
          </w:p>
        </w:tc>
        <w:tc>
          <w:tcPr>
            <w:tcW w:w="128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20" w:type="dxa"/>
            <w:vAlign w:val="bottom"/>
          </w:tcPr>
          <w:p>
            <w:pPr>
              <w:ind w:left="240"/>
              <w:spacing w:after="0" w:line="138" w:lineRule="exact"/>
              <w:rPr>
                <w:sz w:val="20"/>
                <w:szCs w:val="20"/>
                <w:color w:val="auto"/>
              </w:rPr>
            </w:pPr>
            <w:r>
              <w:rPr>
                <w:rFonts w:ascii="Arial" w:cs="Arial" w:eastAsia="Arial" w:hAnsi="Arial"/>
                <w:sz w:val="14"/>
                <w:szCs w:val="14"/>
                <w:color w:val="auto"/>
                <w:w w:val="97"/>
              </w:rPr>
              <w:t>Change in unrealized gain on available-for-sale</w:t>
            </w:r>
          </w:p>
        </w:tc>
        <w:tc>
          <w:tcPr>
            <w:tcW w:w="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20" w:type="dxa"/>
            <w:vAlign w:val="bottom"/>
          </w:tcPr>
          <w:p>
            <w:pPr>
              <w:ind w:left="360"/>
              <w:spacing w:after="0" w:line="159" w:lineRule="exact"/>
              <w:rPr>
                <w:sz w:val="20"/>
                <w:szCs w:val="20"/>
                <w:color w:val="auto"/>
              </w:rPr>
            </w:pPr>
            <w:r>
              <w:rPr>
                <w:rFonts w:ascii="Arial" w:cs="Arial" w:eastAsia="Arial" w:hAnsi="Arial"/>
                <w:sz w:val="14"/>
                <w:szCs w:val="14"/>
                <w:color w:val="auto"/>
              </w:rPr>
              <w:t>securities (net of taxes)</w:t>
            </w:r>
          </w:p>
        </w:tc>
        <w:tc>
          <w:tcPr>
            <w:tcW w:w="8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80" w:type="dxa"/>
            <w:vAlign w:val="bottom"/>
          </w:tcPr>
          <w:p>
            <w:pPr>
              <w:jc w:val="right"/>
              <w:ind w:right="412"/>
              <w:spacing w:after="0" w:line="159" w:lineRule="exact"/>
              <w:rPr>
                <w:sz w:val="20"/>
                <w:szCs w:val="20"/>
                <w:color w:val="auto"/>
              </w:rPr>
            </w:pPr>
            <w:r>
              <w:rPr>
                <w:rFonts w:ascii="Arial" w:cs="Arial" w:eastAsia="Arial" w:hAnsi="Arial"/>
                <w:sz w:val="14"/>
                <w:szCs w:val="14"/>
                <w:color w:val="auto"/>
              </w:rPr>
              <w:t>10,779</w:t>
            </w: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20" w:type="dxa"/>
            <w:vAlign w:val="bottom"/>
            <w:shd w:val="clear" w:color="auto" w:fill="EEEEEE"/>
          </w:tcPr>
          <w:p>
            <w:pPr>
              <w:ind w:left="240"/>
              <w:spacing w:after="0" w:line="138" w:lineRule="exact"/>
              <w:rPr>
                <w:sz w:val="20"/>
                <w:szCs w:val="20"/>
                <w:color w:val="auto"/>
              </w:rPr>
            </w:pPr>
            <w:r>
              <w:rPr>
                <w:rFonts w:ascii="Arial" w:cs="Arial" w:eastAsia="Arial" w:hAnsi="Arial"/>
                <w:sz w:val="14"/>
                <w:szCs w:val="14"/>
                <w:color w:val="auto"/>
                <w:w w:val="95"/>
              </w:rPr>
              <w:t>Conversion of Class A common stock to Class B</w:t>
            </w:r>
          </w:p>
        </w:tc>
        <w:tc>
          <w:tcPr>
            <w:tcW w:w="880" w:type="dxa"/>
            <w:vAlign w:val="bottom"/>
            <w:shd w:val="clear" w:color="auto" w:fill="EEEEEE"/>
          </w:tcPr>
          <w:p>
            <w:pPr>
              <w:spacing w:after="0"/>
              <w:rPr>
                <w:sz w:val="11"/>
                <w:szCs w:val="11"/>
                <w:color w:val="auto"/>
              </w:rPr>
            </w:pPr>
          </w:p>
        </w:tc>
        <w:tc>
          <w:tcPr>
            <w:tcW w:w="1100" w:type="dxa"/>
            <w:vAlign w:val="bottom"/>
            <w:shd w:val="clear" w:color="auto" w:fill="EEEEEE"/>
          </w:tcPr>
          <w:p>
            <w:pPr>
              <w:spacing w:after="0"/>
              <w:rPr>
                <w:sz w:val="11"/>
                <w:szCs w:val="11"/>
                <w:color w:val="auto"/>
              </w:rPr>
            </w:pPr>
          </w:p>
        </w:tc>
        <w:tc>
          <w:tcPr>
            <w:tcW w:w="1220" w:type="dxa"/>
            <w:vAlign w:val="bottom"/>
            <w:shd w:val="clear" w:color="auto" w:fill="EEEEEE"/>
          </w:tcPr>
          <w:p>
            <w:pPr>
              <w:spacing w:after="0"/>
              <w:rPr>
                <w:sz w:val="11"/>
                <w:szCs w:val="11"/>
                <w:color w:val="auto"/>
              </w:rPr>
            </w:pPr>
          </w:p>
        </w:tc>
        <w:tc>
          <w:tcPr>
            <w:tcW w:w="126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820" w:type="dxa"/>
            <w:vAlign w:val="bottom"/>
            <w:shd w:val="clear" w:color="auto" w:fill="EEEEEE"/>
          </w:tcPr>
          <w:p>
            <w:pPr>
              <w:spacing w:after="0"/>
              <w:rPr>
                <w:sz w:val="11"/>
                <w:szCs w:val="11"/>
                <w:color w:val="auto"/>
              </w:rPr>
            </w:pPr>
          </w:p>
        </w:tc>
        <w:tc>
          <w:tcPr>
            <w:tcW w:w="1280" w:type="dxa"/>
            <w:vAlign w:val="bottom"/>
            <w:shd w:val="clear" w:color="auto" w:fill="EEEEEE"/>
          </w:tcPr>
          <w:p>
            <w:pPr>
              <w:spacing w:after="0"/>
              <w:rPr>
                <w:sz w:val="11"/>
                <w:szCs w:val="11"/>
                <w:color w:val="auto"/>
              </w:rPr>
            </w:pPr>
          </w:p>
        </w:tc>
        <w:tc>
          <w:tcPr>
            <w:tcW w:w="12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20" w:type="dxa"/>
            <w:vAlign w:val="bottom"/>
            <w:shd w:val="clear" w:color="auto" w:fill="EEEEEE"/>
          </w:tcPr>
          <w:p>
            <w:pPr>
              <w:ind w:left="360"/>
              <w:spacing w:after="0" w:line="159" w:lineRule="exact"/>
              <w:rPr>
                <w:sz w:val="20"/>
                <w:szCs w:val="20"/>
                <w:color w:val="auto"/>
              </w:rPr>
            </w:pPr>
            <w:r>
              <w:rPr>
                <w:rFonts w:ascii="Arial" w:cs="Arial" w:eastAsia="Arial" w:hAnsi="Arial"/>
                <w:sz w:val="14"/>
                <w:szCs w:val="14"/>
                <w:color w:val="auto"/>
              </w:rPr>
              <w:t>common stock</w:t>
            </w:r>
          </w:p>
        </w:tc>
        <w:tc>
          <w:tcPr>
            <w:tcW w:w="880" w:type="dxa"/>
            <w:vAlign w:val="bottom"/>
            <w:shd w:val="clear" w:color="auto" w:fill="EEEEEE"/>
          </w:tcPr>
          <w:p>
            <w:pPr>
              <w:jc w:val="right"/>
              <w:ind w:right="232"/>
              <w:spacing w:after="0" w:line="159" w:lineRule="exact"/>
              <w:rPr>
                <w:sz w:val="20"/>
                <w:szCs w:val="20"/>
                <w:color w:val="auto"/>
              </w:rPr>
            </w:pPr>
            <w:r>
              <w:rPr>
                <w:rFonts w:ascii="Arial" w:cs="Arial" w:eastAsia="Arial" w:hAnsi="Arial"/>
                <w:sz w:val="14"/>
                <w:szCs w:val="14"/>
                <w:color w:val="auto"/>
              </w:rPr>
              <w:t>(17)</w:t>
            </w:r>
          </w:p>
        </w:tc>
        <w:tc>
          <w:tcPr>
            <w:tcW w:w="1100" w:type="dxa"/>
            <w:vAlign w:val="bottom"/>
            <w:shd w:val="clear" w:color="auto" w:fill="EEEEEE"/>
          </w:tcPr>
          <w:p>
            <w:pPr>
              <w:jc w:val="right"/>
              <w:ind w:right="332"/>
              <w:spacing w:after="0" w:line="159" w:lineRule="exact"/>
              <w:rPr>
                <w:sz w:val="20"/>
                <w:szCs w:val="20"/>
                <w:color w:val="auto"/>
              </w:rPr>
            </w:pPr>
            <w:r>
              <w:rPr>
                <w:rFonts w:ascii="Arial" w:cs="Arial" w:eastAsia="Arial" w:hAnsi="Arial"/>
                <w:sz w:val="14"/>
                <w:szCs w:val="14"/>
                <w:color w:val="auto"/>
              </w:rPr>
              <w:t>17</w:t>
            </w:r>
          </w:p>
        </w:tc>
        <w:tc>
          <w:tcPr>
            <w:tcW w:w="1220" w:type="dxa"/>
            <w:vAlign w:val="bottom"/>
            <w:shd w:val="clear" w:color="auto" w:fill="EEEEEE"/>
          </w:tcPr>
          <w:p>
            <w:pPr>
              <w:spacing w:after="0"/>
              <w:rPr>
                <w:sz w:val="13"/>
                <w:szCs w:val="13"/>
                <w:color w:val="auto"/>
              </w:rPr>
            </w:pPr>
          </w:p>
        </w:tc>
        <w:tc>
          <w:tcPr>
            <w:tcW w:w="1260" w:type="dxa"/>
            <w:vAlign w:val="bottom"/>
            <w:shd w:val="clear" w:color="auto" w:fill="EEEEEE"/>
          </w:tcPr>
          <w:p>
            <w:pPr>
              <w:spacing w:after="0"/>
              <w:rPr>
                <w:sz w:val="13"/>
                <w:szCs w:val="13"/>
                <w:color w:val="auto"/>
              </w:rPr>
            </w:pPr>
          </w:p>
        </w:tc>
        <w:tc>
          <w:tcPr>
            <w:tcW w:w="440" w:type="dxa"/>
            <w:vAlign w:val="bottom"/>
            <w:shd w:val="clear" w:color="auto" w:fill="EEEEEE"/>
          </w:tcPr>
          <w:p>
            <w:pPr>
              <w:spacing w:after="0"/>
              <w:rPr>
                <w:sz w:val="13"/>
                <w:szCs w:val="13"/>
                <w:color w:val="auto"/>
              </w:rPr>
            </w:pPr>
          </w:p>
        </w:tc>
        <w:tc>
          <w:tcPr>
            <w:tcW w:w="820" w:type="dxa"/>
            <w:vAlign w:val="bottom"/>
            <w:shd w:val="clear" w:color="auto" w:fill="EEEEEE"/>
          </w:tcPr>
          <w:p>
            <w:pPr>
              <w:spacing w:after="0"/>
              <w:rPr>
                <w:sz w:val="13"/>
                <w:szCs w:val="13"/>
                <w:color w:val="auto"/>
              </w:rPr>
            </w:pPr>
          </w:p>
        </w:tc>
        <w:tc>
          <w:tcPr>
            <w:tcW w:w="1280" w:type="dxa"/>
            <w:vAlign w:val="bottom"/>
            <w:shd w:val="clear" w:color="auto" w:fill="EEEEEE"/>
          </w:tcPr>
          <w:p>
            <w:pPr>
              <w:spacing w:after="0"/>
              <w:rPr>
                <w:sz w:val="13"/>
                <w:szCs w:val="13"/>
                <w:color w:val="auto"/>
              </w:rPr>
            </w:pPr>
          </w:p>
        </w:tc>
        <w:tc>
          <w:tcPr>
            <w:tcW w:w="128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20" w:type="dxa"/>
            <w:vAlign w:val="bottom"/>
          </w:tcPr>
          <w:p>
            <w:pPr>
              <w:ind w:left="240"/>
              <w:spacing w:after="0"/>
              <w:rPr>
                <w:sz w:val="20"/>
                <w:szCs w:val="20"/>
                <w:color w:val="auto"/>
              </w:rPr>
            </w:pPr>
            <w:r>
              <w:rPr>
                <w:rFonts w:ascii="Arial" w:cs="Arial" w:eastAsia="Arial" w:hAnsi="Arial"/>
                <w:sz w:val="14"/>
                <w:szCs w:val="14"/>
                <w:color w:val="auto"/>
                <w:w w:val="98"/>
              </w:rPr>
              <w:t>Tax benefits arising from employee stock plans</w:t>
            </w: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jc w:val="right"/>
              <w:ind w:right="332"/>
              <w:spacing w:after="0"/>
              <w:rPr>
                <w:sz w:val="20"/>
                <w:szCs w:val="20"/>
                <w:color w:val="auto"/>
              </w:rPr>
            </w:pPr>
            <w:r>
              <w:rPr>
                <w:rFonts w:ascii="Arial" w:cs="Arial" w:eastAsia="Arial" w:hAnsi="Arial"/>
                <w:sz w:val="14"/>
                <w:szCs w:val="14"/>
                <w:color w:val="auto"/>
              </w:rPr>
              <w:t>4,016</w:t>
            </w: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120" w:type="dxa"/>
            <w:vAlign w:val="bottom"/>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1100" w:type="dxa"/>
            <w:vAlign w:val="bottom"/>
            <w:tcBorders>
              <w:bottom w:val="single" w:sz="8" w:color="808080"/>
            </w:tcBorders>
          </w:tcPr>
          <w:p>
            <w:pPr>
              <w:spacing w:after="0"/>
              <w:rPr>
                <w:sz w:val="7"/>
                <w:szCs w:val="7"/>
                <w:color w:val="auto"/>
              </w:rPr>
            </w:pPr>
          </w:p>
        </w:tc>
        <w:tc>
          <w:tcPr>
            <w:tcW w:w="1220" w:type="dxa"/>
            <w:vAlign w:val="bottom"/>
            <w:tcBorders>
              <w:bottom w:val="single" w:sz="8" w:color="808080"/>
            </w:tcBorders>
          </w:tcPr>
          <w:p>
            <w:pPr>
              <w:spacing w:after="0"/>
              <w:rPr>
                <w:sz w:val="7"/>
                <w:szCs w:val="7"/>
                <w:color w:val="auto"/>
              </w:rPr>
            </w:pPr>
          </w:p>
        </w:tc>
        <w:tc>
          <w:tcPr>
            <w:tcW w:w="126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3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20" w:type="dxa"/>
            <w:vAlign w:val="bottom"/>
            <w:shd w:val="clear" w:color="auto" w:fill="EEEEEE"/>
          </w:tcPr>
          <w:p>
            <w:pPr>
              <w:spacing w:after="0" w:line="149" w:lineRule="exact"/>
              <w:rPr>
                <w:sz w:val="20"/>
                <w:szCs w:val="20"/>
                <w:color w:val="auto"/>
              </w:rPr>
            </w:pPr>
            <w:r>
              <w:rPr>
                <w:rFonts w:ascii="Arial" w:cs="Arial" w:eastAsia="Arial" w:hAnsi="Arial"/>
                <w:sz w:val="14"/>
                <w:szCs w:val="14"/>
                <w:b w:val="1"/>
                <w:bCs w:val="1"/>
                <w:color w:val="auto"/>
              </w:rPr>
              <w:t>Balance, December 30, 2001</w:t>
            </w:r>
          </w:p>
        </w:tc>
        <w:tc>
          <w:tcPr>
            <w:tcW w:w="880" w:type="dxa"/>
            <w:vAlign w:val="bottom"/>
            <w:shd w:val="clear" w:color="auto" w:fill="EEEEEE"/>
          </w:tcPr>
          <w:p>
            <w:pPr>
              <w:jc w:val="right"/>
              <w:ind w:right="292"/>
              <w:spacing w:after="0" w:line="149" w:lineRule="exact"/>
              <w:rPr>
                <w:sz w:val="20"/>
                <w:szCs w:val="20"/>
                <w:color w:val="auto"/>
              </w:rPr>
            </w:pPr>
            <w:r>
              <w:rPr>
                <w:rFonts w:ascii="Arial" w:cs="Arial" w:eastAsia="Arial" w:hAnsi="Arial"/>
                <w:sz w:val="14"/>
                <w:szCs w:val="14"/>
                <w:color w:val="auto"/>
              </w:rPr>
              <w:t>1,722</w:t>
            </w:r>
          </w:p>
        </w:tc>
        <w:tc>
          <w:tcPr>
            <w:tcW w:w="1100" w:type="dxa"/>
            <w:vAlign w:val="bottom"/>
            <w:shd w:val="clear" w:color="auto" w:fill="EEEEEE"/>
          </w:tcPr>
          <w:p>
            <w:pPr>
              <w:jc w:val="right"/>
              <w:ind w:right="332"/>
              <w:spacing w:after="0" w:line="149" w:lineRule="exact"/>
              <w:rPr>
                <w:sz w:val="20"/>
                <w:szCs w:val="20"/>
                <w:color w:val="auto"/>
              </w:rPr>
            </w:pPr>
            <w:r>
              <w:rPr>
                <w:rFonts w:ascii="Arial" w:cs="Arial" w:eastAsia="Arial" w:hAnsi="Arial"/>
                <w:sz w:val="14"/>
                <w:szCs w:val="14"/>
                <w:color w:val="auto"/>
              </w:rPr>
              <w:t>18,278</w:t>
            </w:r>
          </w:p>
        </w:tc>
        <w:tc>
          <w:tcPr>
            <w:tcW w:w="1220" w:type="dxa"/>
            <w:vAlign w:val="bottom"/>
            <w:shd w:val="clear" w:color="auto" w:fill="EEEEEE"/>
          </w:tcPr>
          <w:p>
            <w:pPr>
              <w:jc w:val="right"/>
              <w:ind w:right="332"/>
              <w:spacing w:after="0" w:line="149" w:lineRule="exact"/>
              <w:rPr>
                <w:sz w:val="20"/>
                <w:szCs w:val="20"/>
                <w:color w:val="auto"/>
              </w:rPr>
            </w:pPr>
            <w:r>
              <w:rPr>
                <w:rFonts w:ascii="Arial" w:cs="Arial" w:eastAsia="Arial" w:hAnsi="Arial"/>
                <w:sz w:val="14"/>
                <w:szCs w:val="14"/>
                <w:color w:val="auto"/>
              </w:rPr>
              <w:t>142,814</w:t>
            </w:r>
          </w:p>
        </w:tc>
        <w:tc>
          <w:tcPr>
            <w:tcW w:w="1260" w:type="dxa"/>
            <w:vAlign w:val="bottom"/>
            <w:shd w:val="clear" w:color="auto" w:fill="EEEEEE"/>
          </w:tcPr>
          <w:p>
            <w:pPr>
              <w:jc w:val="right"/>
              <w:ind w:right="252"/>
              <w:spacing w:after="0" w:line="149" w:lineRule="exact"/>
              <w:rPr>
                <w:sz w:val="20"/>
                <w:szCs w:val="20"/>
                <w:color w:val="auto"/>
              </w:rPr>
            </w:pPr>
            <w:r>
              <w:rPr>
                <w:rFonts w:ascii="Arial" w:cs="Arial" w:eastAsia="Arial" w:hAnsi="Arial"/>
                <w:sz w:val="14"/>
                <w:szCs w:val="14"/>
                <w:color w:val="auto"/>
              </w:rPr>
              <w:t>3,029,595</w:t>
            </w:r>
          </w:p>
        </w:tc>
        <w:tc>
          <w:tcPr>
            <w:tcW w:w="440" w:type="dxa"/>
            <w:vAlign w:val="bottom"/>
            <w:shd w:val="clear" w:color="auto" w:fill="EEEEEE"/>
          </w:tcPr>
          <w:p>
            <w:pPr>
              <w:spacing w:after="0"/>
              <w:rPr>
                <w:sz w:val="12"/>
                <w:szCs w:val="12"/>
                <w:color w:val="auto"/>
              </w:rPr>
            </w:pPr>
          </w:p>
        </w:tc>
        <w:tc>
          <w:tcPr>
            <w:tcW w:w="820" w:type="dxa"/>
            <w:vAlign w:val="bottom"/>
            <w:shd w:val="clear" w:color="auto" w:fill="EEEEEE"/>
          </w:tcPr>
          <w:p>
            <w:pPr>
              <w:jc w:val="right"/>
              <w:ind w:right="332"/>
              <w:spacing w:after="0" w:line="149" w:lineRule="exact"/>
              <w:rPr>
                <w:sz w:val="20"/>
                <w:szCs w:val="20"/>
                <w:color w:val="auto"/>
              </w:rPr>
            </w:pPr>
            <w:r>
              <w:rPr>
                <w:rFonts w:ascii="Arial" w:cs="Arial" w:eastAsia="Arial" w:hAnsi="Arial"/>
                <w:sz w:val="14"/>
                <w:szCs w:val="14"/>
                <w:color w:val="auto"/>
                <w:w w:val="90"/>
              </w:rPr>
              <w:t>(9,678)</w:t>
            </w:r>
          </w:p>
        </w:tc>
        <w:tc>
          <w:tcPr>
            <w:tcW w:w="1280" w:type="dxa"/>
            <w:vAlign w:val="bottom"/>
            <w:shd w:val="clear" w:color="auto" w:fill="EEEEEE"/>
          </w:tcPr>
          <w:p>
            <w:pPr>
              <w:jc w:val="right"/>
              <w:ind w:right="412"/>
              <w:spacing w:after="0" w:line="149" w:lineRule="exact"/>
              <w:rPr>
                <w:sz w:val="20"/>
                <w:szCs w:val="20"/>
                <w:color w:val="auto"/>
              </w:rPr>
            </w:pPr>
            <w:r>
              <w:rPr>
                <w:rFonts w:ascii="Arial" w:cs="Arial" w:eastAsia="Arial" w:hAnsi="Arial"/>
                <w:sz w:val="14"/>
                <w:szCs w:val="14"/>
                <w:color w:val="auto"/>
              </w:rPr>
              <w:t>24,281</w:t>
            </w:r>
          </w:p>
        </w:tc>
        <w:tc>
          <w:tcPr>
            <w:tcW w:w="1280" w:type="dxa"/>
            <w:vAlign w:val="bottom"/>
            <w:shd w:val="clear" w:color="auto" w:fill="EEEEEE"/>
          </w:tcPr>
          <w:p>
            <w:pPr>
              <w:jc w:val="right"/>
              <w:ind w:right="152"/>
              <w:spacing w:after="0" w:line="149" w:lineRule="exact"/>
              <w:rPr>
                <w:sz w:val="20"/>
                <w:szCs w:val="20"/>
                <w:color w:val="auto"/>
              </w:rPr>
            </w:pPr>
            <w:r>
              <w:rPr>
                <w:rFonts w:ascii="Arial" w:cs="Arial" w:eastAsia="Arial" w:hAnsi="Arial"/>
                <w:sz w:val="14"/>
                <w:szCs w:val="14"/>
                <w:color w:val="auto"/>
              </w:rPr>
              <w:t>(1,523,527)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ind w:left="240"/>
              <w:spacing w:after="0" w:line="149" w:lineRule="exact"/>
              <w:rPr>
                <w:sz w:val="20"/>
                <w:szCs w:val="20"/>
                <w:color w:val="auto"/>
              </w:rPr>
            </w:pPr>
            <w:r>
              <w:rPr>
                <w:rFonts w:ascii="Arial" w:cs="Arial" w:eastAsia="Arial" w:hAnsi="Arial"/>
                <w:sz w:val="14"/>
                <w:szCs w:val="14"/>
                <w:color w:val="auto"/>
              </w:rPr>
              <w:t>Net income for the year</w:t>
            </w:r>
          </w:p>
        </w:tc>
        <w:tc>
          <w:tcPr>
            <w:tcW w:w="8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6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204,268</w:t>
            </w: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20" w:type="dxa"/>
            <w:vAlign w:val="bottom"/>
            <w:shd w:val="clear" w:color="auto" w:fill="EEEEEE"/>
          </w:tcPr>
          <w:p>
            <w:pPr>
              <w:ind w:left="240"/>
              <w:spacing w:after="0" w:line="138" w:lineRule="exact"/>
              <w:rPr>
                <w:sz w:val="20"/>
                <w:szCs w:val="20"/>
                <w:color w:val="auto"/>
              </w:rPr>
            </w:pPr>
            <w:r>
              <w:rPr>
                <w:rFonts w:ascii="Arial" w:cs="Arial" w:eastAsia="Arial" w:hAnsi="Arial"/>
                <w:sz w:val="14"/>
                <w:szCs w:val="14"/>
                <w:color w:val="auto"/>
                <w:w w:val="99"/>
              </w:rPr>
              <w:t>Dividends paid on common stock — $5.60 per</w:t>
            </w:r>
          </w:p>
        </w:tc>
        <w:tc>
          <w:tcPr>
            <w:tcW w:w="880" w:type="dxa"/>
            <w:vAlign w:val="bottom"/>
            <w:shd w:val="clear" w:color="auto" w:fill="EEEEEE"/>
          </w:tcPr>
          <w:p>
            <w:pPr>
              <w:spacing w:after="0"/>
              <w:rPr>
                <w:sz w:val="11"/>
                <w:szCs w:val="11"/>
                <w:color w:val="auto"/>
              </w:rPr>
            </w:pPr>
          </w:p>
        </w:tc>
        <w:tc>
          <w:tcPr>
            <w:tcW w:w="1100" w:type="dxa"/>
            <w:vAlign w:val="bottom"/>
            <w:shd w:val="clear" w:color="auto" w:fill="EEEEEE"/>
          </w:tcPr>
          <w:p>
            <w:pPr>
              <w:spacing w:after="0"/>
              <w:rPr>
                <w:sz w:val="11"/>
                <w:szCs w:val="11"/>
                <w:color w:val="auto"/>
              </w:rPr>
            </w:pPr>
          </w:p>
        </w:tc>
        <w:tc>
          <w:tcPr>
            <w:tcW w:w="1220" w:type="dxa"/>
            <w:vAlign w:val="bottom"/>
            <w:shd w:val="clear" w:color="auto" w:fill="EEEEEE"/>
          </w:tcPr>
          <w:p>
            <w:pPr>
              <w:spacing w:after="0"/>
              <w:rPr>
                <w:sz w:val="11"/>
                <w:szCs w:val="11"/>
                <w:color w:val="auto"/>
              </w:rPr>
            </w:pPr>
          </w:p>
        </w:tc>
        <w:tc>
          <w:tcPr>
            <w:tcW w:w="126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820" w:type="dxa"/>
            <w:vAlign w:val="bottom"/>
            <w:shd w:val="clear" w:color="auto" w:fill="EEEEEE"/>
          </w:tcPr>
          <w:p>
            <w:pPr>
              <w:spacing w:after="0"/>
              <w:rPr>
                <w:sz w:val="11"/>
                <w:szCs w:val="11"/>
                <w:color w:val="auto"/>
              </w:rPr>
            </w:pPr>
          </w:p>
        </w:tc>
        <w:tc>
          <w:tcPr>
            <w:tcW w:w="1280" w:type="dxa"/>
            <w:vAlign w:val="bottom"/>
            <w:shd w:val="clear" w:color="auto" w:fill="EEEEEE"/>
          </w:tcPr>
          <w:p>
            <w:pPr>
              <w:spacing w:after="0"/>
              <w:rPr>
                <w:sz w:val="11"/>
                <w:szCs w:val="11"/>
                <w:color w:val="auto"/>
              </w:rPr>
            </w:pPr>
          </w:p>
        </w:tc>
        <w:tc>
          <w:tcPr>
            <w:tcW w:w="12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20" w:type="dxa"/>
            <w:vAlign w:val="bottom"/>
            <w:shd w:val="clear" w:color="auto" w:fill="EEEEEE"/>
          </w:tcPr>
          <w:p>
            <w:pPr>
              <w:ind w:left="360"/>
              <w:spacing w:after="0" w:line="159" w:lineRule="exact"/>
              <w:rPr>
                <w:sz w:val="20"/>
                <w:szCs w:val="20"/>
                <w:color w:val="auto"/>
              </w:rPr>
            </w:pPr>
            <w:r>
              <w:rPr>
                <w:rFonts w:ascii="Arial" w:cs="Arial" w:eastAsia="Arial" w:hAnsi="Arial"/>
                <w:sz w:val="14"/>
                <w:szCs w:val="14"/>
                <w:color w:val="auto"/>
              </w:rPr>
              <w:t>share</w:t>
            </w:r>
          </w:p>
        </w:tc>
        <w:tc>
          <w:tcPr>
            <w:tcW w:w="880" w:type="dxa"/>
            <w:vAlign w:val="bottom"/>
            <w:shd w:val="clear" w:color="auto" w:fill="EEEEEE"/>
          </w:tcPr>
          <w:p>
            <w:pPr>
              <w:spacing w:after="0"/>
              <w:rPr>
                <w:sz w:val="13"/>
                <w:szCs w:val="13"/>
                <w:color w:val="auto"/>
              </w:rPr>
            </w:pPr>
          </w:p>
        </w:tc>
        <w:tc>
          <w:tcPr>
            <w:tcW w:w="1100" w:type="dxa"/>
            <w:vAlign w:val="bottom"/>
            <w:shd w:val="clear" w:color="auto" w:fill="EEEEEE"/>
          </w:tcPr>
          <w:p>
            <w:pPr>
              <w:spacing w:after="0"/>
              <w:rPr>
                <w:sz w:val="13"/>
                <w:szCs w:val="13"/>
                <w:color w:val="auto"/>
              </w:rPr>
            </w:pPr>
          </w:p>
        </w:tc>
        <w:tc>
          <w:tcPr>
            <w:tcW w:w="1220" w:type="dxa"/>
            <w:vAlign w:val="bottom"/>
            <w:shd w:val="clear" w:color="auto" w:fill="EEEEEE"/>
          </w:tcPr>
          <w:p>
            <w:pPr>
              <w:spacing w:after="0"/>
              <w:rPr>
                <w:sz w:val="13"/>
                <w:szCs w:val="13"/>
                <w:color w:val="auto"/>
              </w:rPr>
            </w:pPr>
          </w:p>
        </w:tc>
        <w:tc>
          <w:tcPr>
            <w:tcW w:w="1260" w:type="dxa"/>
            <w:vAlign w:val="bottom"/>
            <w:shd w:val="clear" w:color="auto" w:fill="EEEEEE"/>
          </w:tcPr>
          <w:p>
            <w:pPr>
              <w:jc w:val="right"/>
              <w:ind w:right="192"/>
              <w:spacing w:after="0" w:line="159" w:lineRule="exact"/>
              <w:rPr>
                <w:sz w:val="20"/>
                <w:szCs w:val="20"/>
                <w:color w:val="auto"/>
              </w:rPr>
            </w:pPr>
            <w:r>
              <w:rPr>
                <w:rFonts w:ascii="Arial" w:cs="Arial" w:eastAsia="Arial" w:hAnsi="Arial"/>
                <w:sz w:val="14"/>
                <w:szCs w:val="14"/>
                <w:color w:val="auto"/>
              </w:rPr>
              <w:t>(53,223)</w:t>
            </w:r>
          </w:p>
        </w:tc>
        <w:tc>
          <w:tcPr>
            <w:tcW w:w="440" w:type="dxa"/>
            <w:vAlign w:val="bottom"/>
            <w:shd w:val="clear" w:color="auto" w:fill="EEEEEE"/>
          </w:tcPr>
          <w:p>
            <w:pPr>
              <w:spacing w:after="0"/>
              <w:rPr>
                <w:sz w:val="13"/>
                <w:szCs w:val="13"/>
                <w:color w:val="auto"/>
              </w:rPr>
            </w:pPr>
          </w:p>
        </w:tc>
        <w:tc>
          <w:tcPr>
            <w:tcW w:w="820" w:type="dxa"/>
            <w:vAlign w:val="bottom"/>
            <w:shd w:val="clear" w:color="auto" w:fill="EEEEEE"/>
          </w:tcPr>
          <w:p>
            <w:pPr>
              <w:spacing w:after="0"/>
              <w:rPr>
                <w:sz w:val="13"/>
                <w:szCs w:val="13"/>
                <w:color w:val="auto"/>
              </w:rPr>
            </w:pPr>
          </w:p>
        </w:tc>
        <w:tc>
          <w:tcPr>
            <w:tcW w:w="1280" w:type="dxa"/>
            <w:vAlign w:val="bottom"/>
            <w:shd w:val="clear" w:color="auto" w:fill="EEEEEE"/>
          </w:tcPr>
          <w:p>
            <w:pPr>
              <w:spacing w:after="0"/>
              <w:rPr>
                <w:sz w:val="13"/>
                <w:szCs w:val="13"/>
                <w:color w:val="auto"/>
              </w:rPr>
            </w:pPr>
          </w:p>
        </w:tc>
        <w:tc>
          <w:tcPr>
            <w:tcW w:w="128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ind w:left="240"/>
              <w:spacing w:after="0" w:line="149" w:lineRule="exact"/>
              <w:rPr>
                <w:sz w:val="20"/>
                <w:szCs w:val="20"/>
                <w:color w:val="auto"/>
              </w:rPr>
            </w:pPr>
            <w:r>
              <w:rPr>
                <w:rFonts w:ascii="Arial" w:cs="Arial" w:eastAsia="Arial" w:hAnsi="Arial"/>
                <w:sz w:val="14"/>
                <w:szCs w:val="14"/>
                <w:color w:val="auto"/>
                <w:w w:val="99"/>
              </w:rPr>
              <w:t>Dividends paid on redeemable preferred stock</w:t>
            </w:r>
          </w:p>
        </w:tc>
        <w:tc>
          <w:tcPr>
            <w:tcW w:w="8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(1,033)</w:t>
            </w: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20" w:type="dxa"/>
            <w:vAlign w:val="bottom"/>
            <w:shd w:val="clear" w:color="auto" w:fill="EEEEEE"/>
          </w:tcPr>
          <w:p>
            <w:pPr>
              <w:ind w:left="240"/>
              <w:spacing w:after="0" w:line="138" w:lineRule="exact"/>
              <w:rPr>
                <w:sz w:val="20"/>
                <w:szCs w:val="20"/>
                <w:color w:val="auto"/>
              </w:rPr>
            </w:pPr>
            <w:r>
              <w:rPr>
                <w:rFonts w:ascii="Arial" w:cs="Arial" w:eastAsia="Arial" w:hAnsi="Arial"/>
                <w:sz w:val="14"/>
                <w:szCs w:val="14"/>
                <w:color w:val="auto"/>
                <w:w w:val="94"/>
              </w:rPr>
              <w:t>Repurchase of 1,229 shares of Class B common</w:t>
            </w:r>
          </w:p>
        </w:tc>
        <w:tc>
          <w:tcPr>
            <w:tcW w:w="880" w:type="dxa"/>
            <w:vAlign w:val="bottom"/>
            <w:shd w:val="clear" w:color="auto" w:fill="EEEEEE"/>
          </w:tcPr>
          <w:p>
            <w:pPr>
              <w:spacing w:after="0"/>
              <w:rPr>
                <w:sz w:val="11"/>
                <w:szCs w:val="11"/>
                <w:color w:val="auto"/>
              </w:rPr>
            </w:pPr>
          </w:p>
        </w:tc>
        <w:tc>
          <w:tcPr>
            <w:tcW w:w="1100" w:type="dxa"/>
            <w:vAlign w:val="bottom"/>
            <w:shd w:val="clear" w:color="auto" w:fill="EEEEEE"/>
          </w:tcPr>
          <w:p>
            <w:pPr>
              <w:spacing w:after="0"/>
              <w:rPr>
                <w:sz w:val="11"/>
                <w:szCs w:val="11"/>
                <w:color w:val="auto"/>
              </w:rPr>
            </w:pPr>
          </w:p>
        </w:tc>
        <w:tc>
          <w:tcPr>
            <w:tcW w:w="1220" w:type="dxa"/>
            <w:vAlign w:val="bottom"/>
            <w:shd w:val="clear" w:color="auto" w:fill="EEEEEE"/>
          </w:tcPr>
          <w:p>
            <w:pPr>
              <w:spacing w:after="0"/>
              <w:rPr>
                <w:sz w:val="11"/>
                <w:szCs w:val="11"/>
                <w:color w:val="auto"/>
              </w:rPr>
            </w:pPr>
          </w:p>
        </w:tc>
        <w:tc>
          <w:tcPr>
            <w:tcW w:w="126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820" w:type="dxa"/>
            <w:vAlign w:val="bottom"/>
            <w:shd w:val="clear" w:color="auto" w:fill="EEEEEE"/>
          </w:tcPr>
          <w:p>
            <w:pPr>
              <w:spacing w:after="0"/>
              <w:rPr>
                <w:sz w:val="11"/>
                <w:szCs w:val="11"/>
                <w:color w:val="auto"/>
              </w:rPr>
            </w:pPr>
          </w:p>
        </w:tc>
        <w:tc>
          <w:tcPr>
            <w:tcW w:w="1280" w:type="dxa"/>
            <w:vAlign w:val="bottom"/>
            <w:shd w:val="clear" w:color="auto" w:fill="EEEEEE"/>
          </w:tcPr>
          <w:p>
            <w:pPr>
              <w:spacing w:after="0"/>
              <w:rPr>
                <w:sz w:val="11"/>
                <w:szCs w:val="11"/>
                <w:color w:val="auto"/>
              </w:rPr>
            </w:pPr>
          </w:p>
        </w:tc>
        <w:tc>
          <w:tcPr>
            <w:tcW w:w="12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20" w:type="dxa"/>
            <w:vAlign w:val="bottom"/>
            <w:shd w:val="clear" w:color="auto" w:fill="EEEEEE"/>
          </w:tcPr>
          <w:p>
            <w:pPr>
              <w:ind w:left="360"/>
              <w:spacing w:after="0" w:line="159" w:lineRule="exact"/>
              <w:rPr>
                <w:sz w:val="20"/>
                <w:szCs w:val="20"/>
                <w:color w:val="auto"/>
              </w:rPr>
            </w:pPr>
            <w:r>
              <w:rPr>
                <w:rFonts w:ascii="Arial" w:cs="Arial" w:eastAsia="Arial" w:hAnsi="Arial"/>
                <w:sz w:val="14"/>
                <w:szCs w:val="14"/>
                <w:color w:val="auto"/>
              </w:rPr>
              <w:t>stock</w:t>
            </w:r>
          </w:p>
        </w:tc>
        <w:tc>
          <w:tcPr>
            <w:tcW w:w="880" w:type="dxa"/>
            <w:vAlign w:val="bottom"/>
            <w:shd w:val="clear" w:color="auto" w:fill="EEEEEE"/>
          </w:tcPr>
          <w:p>
            <w:pPr>
              <w:spacing w:after="0"/>
              <w:rPr>
                <w:sz w:val="13"/>
                <w:szCs w:val="13"/>
                <w:color w:val="auto"/>
              </w:rPr>
            </w:pPr>
          </w:p>
        </w:tc>
        <w:tc>
          <w:tcPr>
            <w:tcW w:w="1100" w:type="dxa"/>
            <w:vAlign w:val="bottom"/>
            <w:shd w:val="clear" w:color="auto" w:fill="EEEEEE"/>
          </w:tcPr>
          <w:p>
            <w:pPr>
              <w:spacing w:after="0"/>
              <w:rPr>
                <w:sz w:val="13"/>
                <w:szCs w:val="13"/>
                <w:color w:val="auto"/>
              </w:rPr>
            </w:pPr>
          </w:p>
        </w:tc>
        <w:tc>
          <w:tcPr>
            <w:tcW w:w="1220" w:type="dxa"/>
            <w:vAlign w:val="bottom"/>
            <w:shd w:val="clear" w:color="auto" w:fill="EEEEEE"/>
          </w:tcPr>
          <w:p>
            <w:pPr>
              <w:spacing w:after="0"/>
              <w:rPr>
                <w:sz w:val="13"/>
                <w:szCs w:val="13"/>
                <w:color w:val="auto"/>
              </w:rPr>
            </w:pPr>
          </w:p>
        </w:tc>
        <w:tc>
          <w:tcPr>
            <w:tcW w:w="1260" w:type="dxa"/>
            <w:vAlign w:val="bottom"/>
            <w:shd w:val="clear" w:color="auto" w:fill="EEEEEE"/>
          </w:tcPr>
          <w:p>
            <w:pPr>
              <w:spacing w:after="0"/>
              <w:rPr>
                <w:sz w:val="13"/>
                <w:szCs w:val="13"/>
                <w:color w:val="auto"/>
              </w:rPr>
            </w:pPr>
          </w:p>
        </w:tc>
        <w:tc>
          <w:tcPr>
            <w:tcW w:w="440" w:type="dxa"/>
            <w:vAlign w:val="bottom"/>
            <w:shd w:val="clear" w:color="auto" w:fill="EEEEEE"/>
          </w:tcPr>
          <w:p>
            <w:pPr>
              <w:spacing w:after="0"/>
              <w:rPr>
                <w:sz w:val="13"/>
                <w:szCs w:val="13"/>
                <w:color w:val="auto"/>
              </w:rPr>
            </w:pPr>
          </w:p>
        </w:tc>
        <w:tc>
          <w:tcPr>
            <w:tcW w:w="820" w:type="dxa"/>
            <w:vAlign w:val="bottom"/>
            <w:shd w:val="clear" w:color="auto" w:fill="EEEEEE"/>
          </w:tcPr>
          <w:p>
            <w:pPr>
              <w:spacing w:after="0"/>
              <w:rPr>
                <w:sz w:val="13"/>
                <w:szCs w:val="13"/>
                <w:color w:val="auto"/>
              </w:rPr>
            </w:pPr>
          </w:p>
        </w:tc>
        <w:tc>
          <w:tcPr>
            <w:tcW w:w="1280" w:type="dxa"/>
            <w:vAlign w:val="bottom"/>
            <w:shd w:val="clear" w:color="auto" w:fill="EEEEEE"/>
          </w:tcPr>
          <w:p>
            <w:pPr>
              <w:spacing w:after="0"/>
              <w:rPr>
                <w:sz w:val="13"/>
                <w:szCs w:val="13"/>
                <w:color w:val="auto"/>
              </w:rPr>
            </w:pPr>
          </w:p>
        </w:tc>
        <w:tc>
          <w:tcPr>
            <w:tcW w:w="1280" w:type="dxa"/>
            <w:vAlign w:val="bottom"/>
            <w:shd w:val="clear" w:color="auto" w:fill="EEEEEE"/>
          </w:tcPr>
          <w:p>
            <w:pPr>
              <w:jc w:val="right"/>
              <w:ind w:right="152"/>
              <w:spacing w:after="0" w:line="159" w:lineRule="exact"/>
              <w:rPr>
                <w:sz w:val="20"/>
                <w:szCs w:val="20"/>
                <w:color w:val="auto"/>
              </w:rPr>
            </w:pPr>
            <w:r>
              <w:rPr>
                <w:rFonts w:ascii="Arial" w:cs="Arial" w:eastAsia="Arial" w:hAnsi="Arial"/>
                <w:sz w:val="14"/>
                <w:szCs w:val="14"/>
                <w:color w:val="auto"/>
              </w:rPr>
              <w:t>(786)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20" w:type="dxa"/>
            <w:vAlign w:val="bottom"/>
          </w:tcPr>
          <w:p>
            <w:pPr>
              <w:ind w:left="240"/>
              <w:spacing w:after="0" w:line="138" w:lineRule="exact"/>
              <w:rPr>
                <w:sz w:val="20"/>
                <w:szCs w:val="20"/>
                <w:color w:val="auto"/>
              </w:rPr>
            </w:pPr>
            <w:r>
              <w:rPr>
                <w:rFonts w:ascii="Arial" w:cs="Arial" w:eastAsia="Arial" w:hAnsi="Arial"/>
                <w:sz w:val="14"/>
                <w:szCs w:val="14"/>
                <w:color w:val="auto"/>
                <w:w w:val="98"/>
              </w:rPr>
              <w:t>Issuance of 17,156 shares of Class B common</w:t>
            </w:r>
          </w:p>
        </w:tc>
        <w:tc>
          <w:tcPr>
            <w:tcW w:w="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20" w:type="dxa"/>
            <w:vAlign w:val="bottom"/>
          </w:tcPr>
          <w:p>
            <w:pPr>
              <w:ind w:left="360"/>
              <w:spacing w:after="0" w:line="159" w:lineRule="exact"/>
              <w:rPr>
                <w:sz w:val="20"/>
                <w:szCs w:val="20"/>
                <w:color w:val="auto"/>
              </w:rPr>
            </w:pPr>
            <w:r>
              <w:rPr>
                <w:rFonts w:ascii="Arial" w:cs="Arial" w:eastAsia="Arial" w:hAnsi="Arial"/>
                <w:sz w:val="14"/>
                <w:szCs w:val="14"/>
                <w:color w:val="auto"/>
                <w:w w:val="97"/>
              </w:rPr>
              <w:t>stock, net of restricted stock award forfeitures</w:t>
            </w:r>
          </w:p>
        </w:tc>
        <w:tc>
          <w:tcPr>
            <w:tcW w:w="8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20" w:type="dxa"/>
            <w:vAlign w:val="bottom"/>
          </w:tcPr>
          <w:p>
            <w:pPr>
              <w:jc w:val="right"/>
              <w:ind w:right="332"/>
              <w:spacing w:after="0" w:line="159" w:lineRule="exact"/>
              <w:rPr>
                <w:sz w:val="20"/>
                <w:szCs w:val="20"/>
                <w:color w:val="auto"/>
              </w:rPr>
            </w:pPr>
            <w:r>
              <w:rPr>
                <w:rFonts w:ascii="Arial" w:cs="Arial" w:eastAsia="Arial" w:hAnsi="Arial"/>
                <w:sz w:val="14"/>
                <w:szCs w:val="14"/>
                <w:color w:val="auto"/>
              </w:rPr>
              <w:t>4,440</w:t>
            </w:r>
          </w:p>
        </w:tc>
        <w:tc>
          <w:tcPr>
            <w:tcW w:w="1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80" w:type="dxa"/>
            <w:vAlign w:val="bottom"/>
          </w:tcPr>
          <w:p>
            <w:pPr>
              <w:jc w:val="right"/>
              <w:ind w:right="192"/>
              <w:spacing w:after="0" w:line="159" w:lineRule="exact"/>
              <w:rPr>
                <w:sz w:val="20"/>
                <w:szCs w:val="20"/>
                <w:color w:val="auto"/>
              </w:rPr>
            </w:pPr>
            <w:r>
              <w:rPr>
                <w:rFonts w:ascii="Arial" w:cs="Arial" w:eastAsia="Arial" w:hAnsi="Arial"/>
                <w:sz w:val="14"/>
                <w:szCs w:val="14"/>
                <w:color w:val="auto"/>
              </w:rPr>
              <w:t>2,507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20" w:type="dxa"/>
            <w:vAlign w:val="bottom"/>
            <w:shd w:val="clear" w:color="auto" w:fill="EEEEEE"/>
          </w:tcPr>
          <w:p>
            <w:pPr>
              <w:ind w:left="240"/>
              <w:spacing w:after="0" w:line="138" w:lineRule="exact"/>
              <w:rPr>
                <w:sz w:val="20"/>
                <w:szCs w:val="20"/>
                <w:color w:val="auto"/>
              </w:rPr>
            </w:pPr>
            <w:r>
              <w:rPr>
                <w:rFonts w:ascii="Arial" w:cs="Arial" w:eastAsia="Arial" w:hAnsi="Arial"/>
                <w:sz w:val="14"/>
                <w:szCs w:val="14"/>
                <w:color w:val="auto"/>
              </w:rPr>
              <w:t>Change in foreign currency translation</w:t>
            </w:r>
          </w:p>
        </w:tc>
        <w:tc>
          <w:tcPr>
            <w:tcW w:w="880" w:type="dxa"/>
            <w:vAlign w:val="bottom"/>
            <w:shd w:val="clear" w:color="auto" w:fill="EEEEEE"/>
          </w:tcPr>
          <w:p>
            <w:pPr>
              <w:spacing w:after="0"/>
              <w:rPr>
                <w:sz w:val="11"/>
                <w:szCs w:val="11"/>
                <w:color w:val="auto"/>
              </w:rPr>
            </w:pPr>
          </w:p>
        </w:tc>
        <w:tc>
          <w:tcPr>
            <w:tcW w:w="1100" w:type="dxa"/>
            <w:vAlign w:val="bottom"/>
            <w:shd w:val="clear" w:color="auto" w:fill="EEEEEE"/>
          </w:tcPr>
          <w:p>
            <w:pPr>
              <w:spacing w:after="0"/>
              <w:rPr>
                <w:sz w:val="11"/>
                <w:szCs w:val="11"/>
                <w:color w:val="auto"/>
              </w:rPr>
            </w:pPr>
          </w:p>
        </w:tc>
        <w:tc>
          <w:tcPr>
            <w:tcW w:w="1220" w:type="dxa"/>
            <w:vAlign w:val="bottom"/>
            <w:shd w:val="clear" w:color="auto" w:fill="EEEEEE"/>
          </w:tcPr>
          <w:p>
            <w:pPr>
              <w:spacing w:after="0"/>
              <w:rPr>
                <w:sz w:val="11"/>
                <w:szCs w:val="11"/>
                <w:color w:val="auto"/>
              </w:rPr>
            </w:pPr>
          </w:p>
        </w:tc>
        <w:tc>
          <w:tcPr>
            <w:tcW w:w="126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820" w:type="dxa"/>
            <w:vAlign w:val="bottom"/>
            <w:shd w:val="clear" w:color="auto" w:fill="EEEEEE"/>
          </w:tcPr>
          <w:p>
            <w:pPr>
              <w:spacing w:after="0"/>
              <w:rPr>
                <w:sz w:val="11"/>
                <w:szCs w:val="11"/>
                <w:color w:val="auto"/>
              </w:rPr>
            </w:pPr>
          </w:p>
        </w:tc>
        <w:tc>
          <w:tcPr>
            <w:tcW w:w="1280" w:type="dxa"/>
            <w:vAlign w:val="bottom"/>
            <w:shd w:val="clear" w:color="auto" w:fill="EEEEEE"/>
          </w:tcPr>
          <w:p>
            <w:pPr>
              <w:spacing w:after="0"/>
              <w:rPr>
                <w:sz w:val="11"/>
                <w:szCs w:val="11"/>
                <w:color w:val="auto"/>
              </w:rPr>
            </w:pPr>
          </w:p>
        </w:tc>
        <w:tc>
          <w:tcPr>
            <w:tcW w:w="12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20" w:type="dxa"/>
            <w:vAlign w:val="bottom"/>
            <w:shd w:val="clear" w:color="auto" w:fill="EEEEEE"/>
          </w:tcPr>
          <w:p>
            <w:pPr>
              <w:ind w:left="360"/>
              <w:spacing w:after="0" w:line="159" w:lineRule="exact"/>
              <w:rPr>
                <w:sz w:val="20"/>
                <w:szCs w:val="20"/>
                <w:color w:val="auto"/>
              </w:rPr>
            </w:pPr>
            <w:r>
              <w:rPr>
                <w:rFonts w:ascii="Arial" w:cs="Arial" w:eastAsia="Arial" w:hAnsi="Arial"/>
                <w:sz w:val="14"/>
                <w:szCs w:val="14"/>
                <w:color w:val="auto"/>
              </w:rPr>
              <w:t>adjustment (net of taxes)</w:t>
            </w:r>
          </w:p>
        </w:tc>
        <w:tc>
          <w:tcPr>
            <w:tcW w:w="880" w:type="dxa"/>
            <w:vAlign w:val="bottom"/>
            <w:shd w:val="clear" w:color="auto" w:fill="EEEEEE"/>
          </w:tcPr>
          <w:p>
            <w:pPr>
              <w:spacing w:after="0"/>
              <w:rPr>
                <w:sz w:val="13"/>
                <w:szCs w:val="13"/>
                <w:color w:val="auto"/>
              </w:rPr>
            </w:pPr>
          </w:p>
        </w:tc>
        <w:tc>
          <w:tcPr>
            <w:tcW w:w="1100" w:type="dxa"/>
            <w:vAlign w:val="bottom"/>
            <w:shd w:val="clear" w:color="auto" w:fill="EEEEEE"/>
          </w:tcPr>
          <w:p>
            <w:pPr>
              <w:spacing w:after="0"/>
              <w:rPr>
                <w:sz w:val="13"/>
                <w:szCs w:val="13"/>
                <w:color w:val="auto"/>
              </w:rPr>
            </w:pPr>
          </w:p>
        </w:tc>
        <w:tc>
          <w:tcPr>
            <w:tcW w:w="1220" w:type="dxa"/>
            <w:vAlign w:val="bottom"/>
            <w:shd w:val="clear" w:color="auto" w:fill="EEEEEE"/>
          </w:tcPr>
          <w:p>
            <w:pPr>
              <w:spacing w:after="0"/>
              <w:rPr>
                <w:sz w:val="13"/>
                <w:szCs w:val="13"/>
                <w:color w:val="auto"/>
              </w:rPr>
            </w:pPr>
          </w:p>
        </w:tc>
        <w:tc>
          <w:tcPr>
            <w:tcW w:w="1260" w:type="dxa"/>
            <w:vAlign w:val="bottom"/>
            <w:shd w:val="clear" w:color="auto" w:fill="EEEEEE"/>
          </w:tcPr>
          <w:p>
            <w:pPr>
              <w:spacing w:after="0"/>
              <w:rPr>
                <w:sz w:val="13"/>
                <w:szCs w:val="13"/>
                <w:color w:val="auto"/>
              </w:rPr>
            </w:pPr>
          </w:p>
        </w:tc>
        <w:tc>
          <w:tcPr>
            <w:tcW w:w="440" w:type="dxa"/>
            <w:vAlign w:val="bottom"/>
            <w:shd w:val="clear" w:color="auto" w:fill="EEEEEE"/>
          </w:tcPr>
          <w:p>
            <w:pPr>
              <w:spacing w:after="0"/>
              <w:rPr>
                <w:sz w:val="13"/>
                <w:szCs w:val="13"/>
                <w:color w:val="auto"/>
              </w:rPr>
            </w:pPr>
          </w:p>
        </w:tc>
        <w:tc>
          <w:tcPr>
            <w:tcW w:w="820" w:type="dxa"/>
            <w:vAlign w:val="bottom"/>
            <w:shd w:val="clear" w:color="auto" w:fill="EEEEEE"/>
          </w:tcPr>
          <w:p>
            <w:pPr>
              <w:jc w:val="right"/>
              <w:ind w:right="392"/>
              <w:spacing w:after="0" w:line="159" w:lineRule="exact"/>
              <w:rPr>
                <w:sz w:val="20"/>
                <w:szCs w:val="20"/>
                <w:color w:val="auto"/>
              </w:rPr>
            </w:pPr>
            <w:r>
              <w:rPr>
                <w:rFonts w:ascii="Arial" w:cs="Arial" w:eastAsia="Arial" w:hAnsi="Arial"/>
                <w:sz w:val="14"/>
                <w:szCs w:val="14"/>
                <w:color w:val="auto"/>
                <w:w w:val="96"/>
              </w:rPr>
              <w:t>2,167</w:t>
            </w:r>
          </w:p>
        </w:tc>
        <w:tc>
          <w:tcPr>
            <w:tcW w:w="1280" w:type="dxa"/>
            <w:vAlign w:val="bottom"/>
            <w:shd w:val="clear" w:color="auto" w:fill="EEEEEE"/>
          </w:tcPr>
          <w:p>
            <w:pPr>
              <w:spacing w:after="0"/>
              <w:rPr>
                <w:sz w:val="13"/>
                <w:szCs w:val="13"/>
                <w:color w:val="auto"/>
              </w:rPr>
            </w:pPr>
          </w:p>
        </w:tc>
        <w:tc>
          <w:tcPr>
            <w:tcW w:w="128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20" w:type="dxa"/>
            <w:vAlign w:val="bottom"/>
          </w:tcPr>
          <w:p>
            <w:pPr>
              <w:ind w:left="240"/>
              <w:spacing w:after="0" w:line="138" w:lineRule="exact"/>
              <w:rPr>
                <w:sz w:val="20"/>
                <w:szCs w:val="20"/>
                <w:color w:val="auto"/>
              </w:rPr>
            </w:pPr>
            <w:r>
              <w:rPr>
                <w:rFonts w:ascii="Arial" w:cs="Arial" w:eastAsia="Arial" w:hAnsi="Arial"/>
                <w:sz w:val="14"/>
                <w:szCs w:val="14"/>
                <w:color w:val="auto"/>
                <w:w w:val="97"/>
              </w:rPr>
              <w:t>Change in unrealized gain on available-for-sale</w:t>
            </w:r>
          </w:p>
        </w:tc>
        <w:tc>
          <w:tcPr>
            <w:tcW w:w="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20" w:type="dxa"/>
            <w:vAlign w:val="bottom"/>
          </w:tcPr>
          <w:p>
            <w:pPr>
              <w:ind w:left="360"/>
              <w:spacing w:after="0" w:line="159" w:lineRule="exact"/>
              <w:rPr>
                <w:sz w:val="20"/>
                <w:szCs w:val="20"/>
                <w:color w:val="auto"/>
              </w:rPr>
            </w:pPr>
            <w:r>
              <w:rPr>
                <w:rFonts w:ascii="Arial" w:cs="Arial" w:eastAsia="Arial" w:hAnsi="Arial"/>
                <w:sz w:val="14"/>
                <w:szCs w:val="14"/>
                <w:color w:val="auto"/>
              </w:rPr>
              <w:t>securities (net of taxes)</w:t>
            </w:r>
          </w:p>
        </w:tc>
        <w:tc>
          <w:tcPr>
            <w:tcW w:w="8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80" w:type="dxa"/>
            <w:vAlign w:val="bottom"/>
          </w:tcPr>
          <w:p>
            <w:pPr>
              <w:jc w:val="right"/>
              <w:ind w:right="372"/>
              <w:spacing w:after="0" w:line="159" w:lineRule="exact"/>
              <w:rPr>
                <w:sz w:val="20"/>
                <w:szCs w:val="20"/>
                <w:color w:val="auto"/>
              </w:rPr>
            </w:pPr>
            <w:r>
              <w:rPr>
                <w:rFonts w:ascii="Arial" w:cs="Arial" w:eastAsia="Arial" w:hAnsi="Arial"/>
                <w:sz w:val="14"/>
                <w:szCs w:val="14"/>
                <w:color w:val="auto"/>
              </w:rPr>
              <w:t>(6,368)</w:t>
            </w: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EEEEEE"/>
          </w:tcPr>
          <w:p>
            <w:pPr>
              <w:ind w:left="240"/>
              <w:spacing w:after="0" w:line="149" w:lineRule="exact"/>
              <w:rPr>
                <w:sz w:val="20"/>
                <w:szCs w:val="20"/>
                <w:color w:val="auto"/>
              </w:rPr>
            </w:pPr>
            <w:r>
              <w:rPr>
                <w:rFonts w:ascii="Arial" w:cs="Arial" w:eastAsia="Arial" w:hAnsi="Arial"/>
                <w:sz w:val="14"/>
                <w:szCs w:val="14"/>
                <w:color w:val="auto"/>
              </w:rPr>
              <w:t>Stock option expense</w:t>
            </w:r>
          </w:p>
        </w:tc>
        <w:tc>
          <w:tcPr>
            <w:tcW w:w="880" w:type="dxa"/>
            <w:vAlign w:val="bottom"/>
            <w:shd w:val="clear" w:color="auto" w:fill="EEEEEE"/>
          </w:tcPr>
          <w:p>
            <w:pPr>
              <w:spacing w:after="0"/>
              <w:rPr>
                <w:sz w:val="12"/>
                <w:szCs w:val="12"/>
                <w:color w:val="auto"/>
              </w:rPr>
            </w:pPr>
          </w:p>
        </w:tc>
        <w:tc>
          <w:tcPr>
            <w:tcW w:w="1100" w:type="dxa"/>
            <w:vAlign w:val="bottom"/>
            <w:shd w:val="clear" w:color="auto" w:fill="EEEEEE"/>
          </w:tcPr>
          <w:p>
            <w:pPr>
              <w:spacing w:after="0"/>
              <w:rPr>
                <w:sz w:val="12"/>
                <w:szCs w:val="12"/>
                <w:color w:val="auto"/>
              </w:rPr>
            </w:pPr>
          </w:p>
        </w:tc>
        <w:tc>
          <w:tcPr>
            <w:tcW w:w="1220" w:type="dxa"/>
            <w:vAlign w:val="bottom"/>
            <w:shd w:val="clear" w:color="auto" w:fill="EEEEEE"/>
          </w:tcPr>
          <w:p>
            <w:pPr>
              <w:jc w:val="right"/>
              <w:ind w:right="332"/>
              <w:spacing w:after="0" w:line="149" w:lineRule="exact"/>
              <w:rPr>
                <w:sz w:val="20"/>
                <w:szCs w:val="20"/>
                <w:color w:val="auto"/>
              </w:rPr>
            </w:pPr>
            <w:r>
              <w:rPr>
                <w:rFonts w:ascii="Arial" w:cs="Arial" w:eastAsia="Arial" w:hAnsi="Arial"/>
                <w:sz w:val="14"/>
                <w:szCs w:val="14"/>
                <w:color w:val="auto"/>
              </w:rPr>
              <w:t>45</w:t>
            </w:r>
          </w:p>
        </w:tc>
        <w:tc>
          <w:tcPr>
            <w:tcW w:w="126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820" w:type="dxa"/>
            <w:vAlign w:val="bottom"/>
            <w:shd w:val="clear" w:color="auto" w:fill="EEEEEE"/>
          </w:tcPr>
          <w:p>
            <w:pPr>
              <w:spacing w:after="0"/>
              <w:rPr>
                <w:sz w:val="12"/>
                <w:szCs w:val="12"/>
                <w:color w:val="auto"/>
              </w:rPr>
            </w:pPr>
          </w:p>
        </w:tc>
        <w:tc>
          <w:tcPr>
            <w:tcW w:w="1280" w:type="dxa"/>
            <w:vAlign w:val="bottom"/>
            <w:shd w:val="clear" w:color="auto" w:fill="EEEEEE"/>
          </w:tcPr>
          <w:p>
            <w:pPr>
              <w:spacing w:after="0"/>
              <w:rPr>
                <w:sz w:val="12"/>
                <w:szCs w:val="12"/>
                <w:color w:val="auto"/>
              </w:rPr>
            </w:pPr>
          </w:p>
        </w:tc>
        <w:tc>
          <w:tcPr>
            <w:tcW w:w="12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20" w:type="dxa"/>
            <w:vAlign w:val="bottom"/>
          </w:tcPr>
          <w:p>
            <w:pPr>
              <w:ind w:left="240"/>
              <w:spacing w:after="0"/>
              <w:rPr>
                <w:sz w:val="20"/>
                <w:szCs w:val="20"/>
                <w:color w:val="auto"/>
              </w:rPr>
            </w:pPr>
            <w:r>
              <w:rPr>
                <w:rFonts w:ascii="Arial" w:cs="Arial" w:eastAsia="Arial" w:hAnsi="Arial"/>
                <w:sz w:val="14"/>
                <w:szCs w:val="14"/>
                <w:color w:val="auto"/>
                <w:w w:val="98"/>
              </w:rPr>
              <w:t>Tax benefits arising from employee stock plans</w:t>
            </w: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jc w:val="right"/>
              <w:ind w:right="332"/>
              <w:spacing w:after="0"/>
              <w:rPr>
                <w:sz w:val="20"/>
                <w:szCs w:val="20"/>
                <w:color w:val="auto"/>
              </w:rPr>
            </w:pPr>
            <w:r>
              <w:rPr>
                <w:rFonts w:ascii="Arial" w:cs="Arial" w:eastAsia="Arial" w:hAnsi="Arial"/>
                <w:sz w:val="14"/>
                <w:szCs w:val="14"/>
                <w:color w:val="auto"/>
              </w:rPr>
              <w:t>1,791</w:t>
            </w: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120" w:type="dxa"/>
            <w:vAlign w:val="bottom"/>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1100" w:type="dxa"/>
            <w:vAlign w:val="bottom"/>
            <w:tcBorders>
              <w:bottom w:val="single" w:sz="8" w:color="808080"/>
            </w:tcBorders>
          </w:tcPr>
          <w:p>
            <w:pPr>
              <w:spacing w:after="0"/>
              <w:rPr>
                <w:sz w:val="7"/>
                <w:szCs w:val="7"/>
                <w:color w:val="auto"/>
              </w:rPr>
            </w:pPr>
          </w:p>
        </w:tc>
        <w:tc>
          <w:tcPr>
            <w:tcW w:w="1220" w:type="dxa"/>
            <w:vAlign w:val="bottom"/>
            <w:tcBorders>
              <w:bottom w:val="single" w:sz="8" w:color="808080"/>
            </w:tcBorders>
          </w:tcPr>
          <w:p>
            <w:pPr>
              <w:spacing w:after="0"/>
              <w:rPr>
                <w:sz w:val="7"/>
                <w:szCs w:val="7"/>
                <w:color w:val="auto"/>
              </w:rPr>
            </w:pPr>
          </w:p>
        </w:tc>
        <w:tc>
          <w:tcPr>
            <w:tcW w:w="126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3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20" w:type="dxa"/>
            <w:vAlign w:val="bottom"/>
            <w:shd w:val="clear" w:color="auto" w:fill="EEEEEE"/>
          </w:tcPr>
          <w:p>
            <w:pPr>
              <w:spacing w:after="0" w:line="149" w:lineRule="exact"/>
              <w:rPr>
                <w:sz w:val="20"/>
                <w:szCs w:val="20"/>
                <w:color w:val="auto"/>
              </w:rPr>
            </w:pPr>
            <w:r>
              <w:rPr>
                <w:rFonts w:ascii="Arial" w:cs="Arial" w:eastAsia="Arial" w:hAnsi="Arial"/>
                <w:sz w:val="14"/>
                <w:szCs w:val="14"/>
                <w:b w:val="1"/>
                <w:bCs w:val="1"/>
                <w:color w:val="auto"/>
              </w:rPr>
              <w:t>Balance, December 29, 2002</w:t>
            </w:r>
          </w:p>
        </w:tc>
        <w:tc>
          <w:tcPr>
            <w:tcW w:w="880" w:type="dxa"/>
            <w:vAlign w:val="bottom"/>
            <w:shd w:val="clear" w:color="auto" w:fill="EEEEEE"/>
          </w:tcPr>
          <w:p>
            <w:pPr>
              <w:jc w:val="right"/>
              <w:ind w:right="292"/>
              <w:spacing w:after="0" w:line="149" w:lineRule="exact"/>
              <w:rPr>
                <w:sz w:val="20"/>
                <w:szCs w:val="20"/>
                <w:color w:val="auto"/>
              </w:rPr>
            </w:pPr>
            <w:r>
              <w:rPr>
                <w:rFonts w:ascii="Arial" w:cs="Arial" w:eastAsia="Arial" w:hAnsi="Arial"/>
                <w:sz w:val="14"/>
                <w:szCs w:val="14"/>
                <w:color w:val="auto"/>
              </w:rPr>
              <w:t>1,722</w:t>
            </w:r>
          </w:p>
        </w:tc>
        <w:tc>
          <w:tcPr>
            <w:tcW w:w="1100" w:type="dxa"/>
            <w:vAlign w:val="bottom"/>
            <w:shd w:val="clear" w:color="auto" w:fill="EEEEEE"/>
          </w:tcPr>
          <w:p>
            <w:pPr>
              <w:jc w:val="right"/>
              <w:ind w:right="332"/>
              <w:spacing w:after="0" w:line="149" w:lineRule="exact"/>
              <w:rPr>
                <w:sz w:val="20"/>
                <w:szCs w:val="20"/>
                <w:color w:val="auto"/>
              </w:rPr>
            </w:pPr>
            <w:r>
              <w:rPr>
                <w:rFonts w:ascii="Arial" w:cs="Arial" w:eastAsia="Arial" w:hAnsi="Arial"/>
                <w:sz w:val="14"/>
                <w:szCs w:val="14"/>
                <w:color w:val="auto"/>
              </w:rPr>
              <w:t>18,278</w:t>
            </w:r>
          </w:p>
        </w:tc>
        <w:tc>
          <w:tcPr>
            <w:tcW w:w="1220" w:type="dxa"/>
            <w:vAlign w:val="bottom"/>
            <w:shd w:val="clear" w:color="auto" w:fill="EEEEEE"/>
          </w:tcPr>
          <w:p>
            <w:pPr>
              <w:jc w:val="right"/>
              <w:ind w:right="332"/>
              <w:spacing w:after="0" w:line="149" w:lineRule="exact"/>
              <w:rPr>
                <w:sz w:val="20"/>
                <w:szCs w:val="20"/>
                <w:color w:val="auto"/>
              </w:rPr>
            </w:pPr>
            <w:r>
              <w:rPr>
                <w:rFonts w:ascii="Arial" w:cs="Arial" w:eastAsia="Arial" w:hAnsi="Arial"/>
                <w:sz w:val="14"/>
                <w:szCs w:val="14"/>
                <w:color w:val="auto"/>
              </w:rPr>
              <w:t>149,090</w:t>
            </w:r>
          </w:p>
        </w:tc>
        <w:tc>
          <w:tcPr>
            <w:tcW w:w="1260" w:type="dxa"/>
            <w:vAlign w:val="bottom"/>
            <w:shd w:val="clear" w:color="auto" w:fill="EEEEEE"/>
          </w:tcPr>
          <w:p>
            <w:pPr>
              <w:jc w:val="right"/>
              <w:ind w:right="252"/>
              <w:spacing w:after="0" w:line="149" w:lineRule="exact"/>
              <w:rPr>
                <w:sz w:val="20"/>
                <w:szCs w:val="20"/>
                <w:color w:val="auto"/>
              </w:rPr>
            </w:pPr>
            <w:r>
              <w:rPr>
                <w:rFonts w:ascii="Arial" w:cs="Arial" w:eastAsia="Arial" w:hAnsi="Arial"/>
                <w:sz w:val="14"/>
                <w:szCs w:val="14"/>
                <w:color w:val="auto"/>
              </w:rPr>
              <w:t>3,179,607</w:t>
            </w:r>
          </w:p>
        </w:tc>
        <w:tc>
          <w:tcPr>
            <w:tcW w:w="440" w:type="dxa"/>
            <w:vAlign w:val="bottom"/>
            <w:shd w:val="clear" w:color="auto" w:fill="EEEEEE"/>
          </w:tcPr>
          <w:p>
            <w:pPr>
              <w:spacing w:after="0"/>
              <w:rPr>
                <w:sz w:val="12"/>
                <w:szCs w:val="12"/>
                <w:color w:val="auto"/>
              </w:rPr>
            </w:pPr>
          </w:p>
        </w:tc>
        <w:tc>
          <w:tcPr>
            <w:tcW w:w="820" w:type="dxa"/>
            <w:vAlign w:val="bottom"/>
            <w:shd w:val="clear" w:color="auto" w:fill="EEEEEE"/>
          </w:tcPr>
          <w:p>
            <w:pPr>
              <w:jc w:val="right"/>
              <w:ind w:right="332"/>
              <w:spacing w:after="0" w:line="149" w:lineRule="exact"/>
              <w:rPr>
                <w:sz w:val="20"/>
                <w:szCs w:val="20"/>
                <w:color w:val="auto"/>
              </w:rPr>
            </w:pPr>
            <w:r>
              <w:rPr>
                <w:rFonts w:ascii="Arial" w:cs="Arial" w:eastAsia="Arial" w:hAnsi="Arial"/>
                <w:sz w:val="14"/>
                <w:szCs w:val="14"/>
                <w:color w:val="auto"/>
                <w:w w:val="90"/>
              </w:rPr>
              <w:t>(7,511)</w:t>
            </w:r>
          </w:p>
        </w:tc>
        <w:tc>
          <w:tcPr>
            <w:tcW w:w="1280" w:type="dxa"/>
            <w:vAlign w:val="bottom"/>
            <w:shd w:val="clear" w:color="auto" w:fill="EEEEEE"/>
          </w:tcPr>
          <w:p>
            <w:pPr>
              <w:jc w:val="right"/>
              <w:ind w:right="412"/>
              <w:spacing w:after="0" w:line="149" w:lineRule="exact"/>
              <w:rPr>
                <w:sz w:val="20"/>
                <w:szCs w:val="20"/>
                <w:color w:val="auto"/>
              </w:rPr>
            </w:pPr>
            <w:r>
              <w:rPr>
                <w:rFonts w:ascii="Arial" w:cs="Arial" w:eastAsia="Arial" w:hAnsi="Arial"/>
                <w:sz w:val="14"/>
                <w:szCs w:val="14"/>
                <w:color w:val="auto"/>
              </w:rPr>
              <w:t>17,913</w:t>
            </w:r>
          </w:p>
        </w:tc>
        <w:tc>
          <w:tcPr>
            <w:tcW w:w="1280" w:type="dxa"/>
            <w:vAlign w:val="bottom"/>
            <w:shd w:val="clear" w:color="auto" w:fill="EEEEEE"/>
          </w:tcPr>
          <w:p>
            <w:pPr>
              <w:jc w:val="right"/>
              <w:ind w:right="152"/>
              <w:spacing w:after="0" w:line="149" w:lineRule="exact"/>
              <w:rPr>
                <w:sz w:val="20"/>
                <w:szCs w:val="20"/>
                <w:color w:val="auto"/>
              </w:rPr>
            </w:pPr>
            <w:r>
              <w:rPr>
                <w:rFonts w:ascii="Arial" w:cs="Arial" w:eastAsia="Arial" w:hAnsi="Arial"/>
                <w:sz w:val="14"/>
                <w:szCs w:val="14"/>
                <w:color w:val="auto"/>
              </w:rPr>
              <w:t>(1,521,806)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ind w:left="240"/>
              <w:spacing w:after="0" w:line="149" w:lineRule="exact"/>
              <w:rPr>
                <w:sz w:val="20"/>
                <w:szCs w:val="20"/>
                <w:color w:val="auto"/>
              </w:rPr>
            </w:pPr>
            <w:r>
              <w:rPr>
                <w:rFonts w:ascii="Arial" w:cs="Arial" w:eastAsia="Arial" w:hAnsi="Arial"/>
                <w:sz w:val="14"/>
                <w:szCs w:val="14"/>
                <w:color w:val="auto"/>
              </w:rPr>
              <w:t>Net income for the year</w:t>
            </w:r>
          </w:p>
        </w:tc>
        <w:tc>
          <w:tcPr>
            <w:tcW w:w="8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6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241,088</w:t>
            </w: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20" w:type="dxa"/>
            <w:vAlign w:val="bottom"/>
            <w:shd w:val="clear" w:color="auto" w:fill="EEEEEE"/>
          </w:tcPr>
          <w:p>
            <w:pPr>
              <w:ind w:left="240"/>
              <w:spacing w:after="0" w:line="138" w:lineRule="exact"/>
              <w:rPr>
                <w:sz w:val="20"/>
                <w:szCs w:val="20"/>
                <w:color w:val="auto"/>
              </w:rPr>
            </w:pPr>
            <w:r>
              <w:rPr>
                <w:rFonts w:ascii="Arial" w:cs="Arial" w:eastAsia="Arial" w:hAnsi="Arial"/>
                <w:sz w:val="14"/>
                <w:szCs w:val="14"/>
                <w:color w:val="auto"/>
                <w:w w:val="99"/>
              </w:rPr>
              <w:t>Dividends paid on common stock — $5.80 per</w:t>
            </w:r>
          </w:p>
        </w:tc>
        <w:tc>
          <w:tcPr>
            <w:tcW w:w="880" w:type="dxa"/>
            <w:vAlign w:val="bottom"/>
            <w:shd w:val="clear" w:color="auto" w:fill="EEEEEE"/>
          </w:tcPr>
          <w:p>
            <w:pPr>
              <w:spacing w:after="0"/>
              <w:rPr>
                <w:sz w:val="11"/>
                <w:szCs w:val="11"/>
                <w:color w:val="auto"/>
              </w:rPr>
            </w:pPr>
          </w:p>
        </w:tc>
        <w:tc>
          <w:tcPr>
            <w:tcW w:w="1100" w:type="dxa"/>
            <w:vAlign w:val="bottom"/>
            <w:shd w:val="clear" w:color="auto" w:fill="EEEEEE"/>
          </w:tcPr>
          <w:p>
            <w:pPr>
              <w:spacing w:after="0"/>
              <w:rPr>
                <w:sz w:val="11"/>
                <w:szCs w:val="11"/>
                <w:color w:val="auto"/>
              </w:rPr>
            </w:pPr>
          </w:p>
        </w:tc>
        <w:tc>
          <w:tcPr>
            <w:tcW w:w="1220" w:type="dxa"/>
            <w:vAlign w:val="bottom"/>
            <w:shd w:val="clear" w:color="auto" w:fill="EEEEEE"/>
          </w:tcPr>
          <w:p>
            <w:pPr>
              <w:spacing w:after="0"/>
              <w:rPr>
                <w:sz w:val="11"/>
                <w:szCs w:val="11"/>
                <w:color w:val="auto"/>
              </w:rPr>
            </w:pPr>
          </w:p>
        </w:tc>
        <w:tc>
          <w:tcPr>
            <w:tcW w:w="126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820" w:type="dxa"/>
            <w:vAlign w:val="bottom"/>
            <w:shd w:val="clear" w:color="auto" w:fill="EEEEEE"/>
          </w:tcPr>
          <w:p>
            <w:pPr>
              <w:spacing w:after="0"/>
              <w:rPr>
                <w:sz w:val="11"/>
                <w:szCs w:val="11"/>
                <w:color w:val="auto"/>
              </w:rPr>
            </w:pPr>
          </w:p>
        </w:tc>
        <w:tc>
          <w:tcPr>
            <w:tcW w:w="1280" w:type="dxa"/>
            <w:vAlign w:val="bottom"/>
            <w:shd w:val="clear" w:color="auto" w:fill="EEEEEE"/>
          </w:tcPr>
          <w:p>
            <w:pPr>
              <w:spacing w:after="0"/>
              <w:rPr>
                <w:sz w:val="11"/>
                <w:szCs w:val="11"/>
                <w:color w:val="auto"/>
              </w:rPr>
            </w:pPr>
          </w:p>
        </w:tc>
        <w:tc>
          <w:tcPr>
            <w:tcW w:w="12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20" w:type="dxa"/>
            <w:vAlign w:val="bottom"/>
            <w:shd w:val="clear" w:color="auto" w:fill="EEEEEE"/>
          </w:tcPr>
          <w:p>
            <w:pPr>
              <w:ind w:left="360"/>
              <w:spacing w:after="0" w:line="159" w:lineRule="exact"/>
              <w:rPr>
                <w:sz w:val="20"/>
                <w:szCs w:val="20"/>
                <w:color w:val="auto"/>
              </w:rPr>
            </w:pPr>
            <w:r>
              <w:rPr>
                <w:rFonts w:ascii="Arial" w:cs="Arial" w:eastAsia="Arial" w:hAnsi="Arial"/>
                <w:sz w:val="14"/>
                <w:szCs w:val="14"/>
                <w:color w:val="auto"/>
              </w:rPr>
              <w:t>share</w:t>
            </w:r>
          </w:p>
        </w:tc>
        <w:tc>
          <w:tcPr>
            <w:tcW w:w="880" w:type="dxa"/>
            <w:vAlign w:val="bottom"/>
            <w:shd w:val="clear" w:color="auto" w:fill="EEEEEE"/>
          </w:tcPr>
          <w:p>
            <w:pPr>
              <w:spacing w:after="0"/>
              <w:rPr>
                <w:sz w:val="13"/>
                <w:szCs w:val="13"/>
                <w:color w:val="auto"/>
              </w:rPr>
            </w:pPr>
          </w:p>
        </w:tc>
        <w:tc>
          <w:tcPr>
            <w:tcW w:w="1100" w:type="dxa"/>
            <w:vAlign w:val="bottom"/>
            <w:shd w:val="clear" w:color="auto" w:fill="EEEEEE"/>
          </w:tcPr>
          <w:p>
            <w:pPr>
              <w:spacing w:after="0"/>
              <w:rPr>
                <w:sz w:val="13"/>
                <w:szCs w:val="13"/>
                <w:color w:val="auto"/>
              </w:rPr>
            </w:pPr>
          </w:p>
        </w:tc>
        <w:tc>
          <w:tcPr>
            <w:tcW w:w="1220" w:type="dxa"/>
            <w:vAlign w:val="bottom"/>
            <w:shd w:val="clear" w:color="auto" w:fill="EEEEEE"/>
          </w:tcPr>
          <w:p>
            <w:pPr>
              <w:spacing w:after="0"/>
              <w:rPr>
                <w:sz w:val="13"/>
                <w:szCs w:val="13"/>
                <w:color w:val="auto"/>
              </w:rPr>
            </w:pPr>
          </w:p>
        </w:tc>
        <w:tc>
          <w:tcPr>
            <w:tcW w:w="1260" w:type="dxa"/>
            <w:vAlign w:val="bottom"/>
            <w:shd w:val="clear" w:color="auto" w:fill="EEEEEE"/>
          </w:tcPr>
          <w:p>
            <w:pPr>
              <w:jc w:val="right"/>
              <w:ind w:right="192"/>
              <w:spacing w:after="0" w:line="159" w:lineRule="exact"/>
              <w:rPr>
                <w:sz w:val="20"/>
                <w:szCs w:val="20"/>
                <w:color w:val="auto"/>
              </w:rPr>
            </w:pPr>
            <w:r>
              <w:rPr>
                <w:rFonts w:ascii="Arial" w:cs="Arial" w:eastAsia="Arial" w:hAnsi="Arial"/>
                <w:sz w:val="14"/>
                <w:szCs w:val="14"/>
                <w:color w:val="auto"/>
              </w:rPr>
              <w:t>(55,261)</w:t>
            </w:r>
          </w:p>
        </w:tc>
        <w:tc>
          <w:tcPr>
            <w:tcW w:w="440" w:type="dxa"/>
            <w:vAlign w:val="bottom"/>
            <w:shd w:val="clear" w:color="auto" w:fill="EEEEEE"/>
          </w:tcPr>
          <w:p>
            <w:pPr>
              <w:spacing w:after="0"/>
              <w:rPr>
                <w:sz w:val="13"/>
                <w:szCs w:val="13"/>
                <w:color w:val="auto"/>
              </w:rPr>
            </w:pPr>
          </w:p>
        </w:tc>
        <w:tc>
          <w:tcPr>
            <w:tcW w:w="820" w:type="dxa"/>
            <w:vAlign w:val="bottom"/>
            <w:shd w:val="clear" w:color="auto" w:fill="EEEEEE"/>
          </w:tcPr>
          <w:p>
            <w:pPr>
              <w:spacing w:after="0"/>
              <w:rPr>
                <w:sz w:val="13"/>
                <w:szCs w:val="13"/>
                <w:color w:val="auto"/>
              </w:rPr>
            </w:pPr>
          </w:p>
        </w:tc>
        <w:tc>
          <w:tcPr>
            <w:tcW w:w="1280" w:type="dxa"/>
            <w:vAlign w:val="bottom"/>
            <w:shd w:val="clear" w:color="auto" w:fill="EEEEEE"/>
          </w:tcPr>
          <w:p>
            <w:pPr>
              <w:spacing w:after="0"/>
              <w:rPr>
                <w:sz w:val="13"/>
                <w:szCs w:val="13"/>
                <w:color w:val="auto"/>
              </w:rPr>
            </w:pPr>
          </w:p>
        </w:tc>
        <w:tc>
          <w:tcPr>
            <w:tcW w:w="128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ind w:left="240"/>
              <w:spacing w:after="0" w:line="149" w:lineRule="exact"/>
              <w:rPr>
                <w:sz w:val="20"/>
                <w:szCs w:val="20"/>
                <w:color w:val="auto"/>
              </w:rPr>
            </w:pPr>
            <w:r>
              <w:rPr>
                <w:rFonts w:ascii="Arial" w:cs="Arial" w:eastAsia="Arial" w:hAnsi="Arial"/>
                <w:sz w:val="14"/>
                <w:szCs w:val="14"/>
                <w:color w:val="auto"/>
                <w:w w:val="99"/>
              </w:rPr>
              <w:t>Dividends paid on redeemable preferred stock</w:t>
            </w:r>
          </w:p>
        </w:tc>
        <w:tc>
          <w:tcPr>
            <w:tcW w:w="8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(1,027)</w:t>
            </w: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20" w:type="dxa"/>
            <w:vAlign w:val="bottom"/>
            <w:shd w:val="clear" w:color="auto" w:fill="EEEEEE"/>
          </w:tcPr>
          <w:p>
            <w:pPr>
              <w:ind w:left="240"/>
              <w:spacing w:after="0" w:line="138" w:lineRule="exact"/>
              <w:rPr>
                <w:sz w:val="20"/>
                <w:szCs w:val="20"/>
                <w:color w:val="auto"/>
              </w:rPr>
            </w:pPr>
            <w:r>
              <w:rPr>
                <w:rFonts w:ascii="Arial" w:cs="Arial" w:eastAsia="Arial" w:hAnsi="Arial"/>
                <w:sz w:val="14"/>
                <w:szCs w:val="14"/>
                <w:color w:val="auto"/>
                <w:w w:val="98"/>
              </w:rPr>
              <w:t>Repurchase of 910 shares of Class B common</w:t>
            </w:r>
          </w:p>
        </w:tc>
        <w:tc>
          <w:tcPr>
            <w:tcW w:w="880" w:type="dxa"/>
            <w:vAlign w:val="bottom"/>
            <w:shd w:val="clear" w:color="auto" w:fill="EEEEEE"/>
          </w:tcPr>
          <w:p>
            <w:pPr>
              <w:spacing w:after="0"/>
              <w:rPr>
                <w:sz w:val="11"/>
                <w:szCs w:val="11"/>
                <w:color w:val="auto"/>
              </w:rPr>
            </w:pPr>
          </w:p>
        </w:tc>
        <w:tc>
          <w:tcPr>
            <w:tcW w:w="1100" w:type="dxa"/>
            <w:vAlign w:val="bottom"/>
            <w:shd w:val="clear" w:color="auto" w:fill="EEEEEE"/>
          </w:tcPr>
          <w:p>
            <w:pPr>
              <w:spacing w:after="0"/>
              <w:rPr>
                <w:sz w:val="11"/>
                <w:szCs w:val="11"/>
                <w:color w:val="auto"/>
              </w:rPr>
            </w:pPr>
          </w:p>
        </w:tc>
        <w:tc>
          <w:tcPr>
            <w:tcW w:w="1220" w:type="dxa"/>
            <w:vAlign w:val="bottom"/>
            <w:shd w:val="clear" w:color="auto" w:fill="EEEEEE"/>
          </w:tcPr>
          <w:p>
            <w:pPr>
              <w:spacing w:after="0"/>
              <w:rPr>
                <w:sz w:val="11"/>
                <w:szCs w:val="11"/>
                <w:color w:val="auto"/>
              </w:rPr>
            </w:pPr>
          </w:p>
        </w:tc>
        <w:tc>
          <w:tcPr>
            <w:tcW w:w="126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820" w:type="dxa"/>
            <w:vAlign w:val="bottom"/>
            <w:shd w:val="clear" w:color="auto" w:fill="EEEEEE"/>
          </w:tcPr>
          <w:p>
            <w:pPr>
              <w:spacing w:after="0"/>
              <w:rPr>
                <w:sz w:val="11"/>
                <w:szCs w:val="11"/>
                <w:color w:val="auto"/>
              </w:rPr>
            </w:pPr>
          </w:p>
        </w:tc>
        <w:tc>
          <w:tcPr>
            <w:tcW w:w="1280" w:type="dxa"/>
            <w:vAlign w:val="bottom"/>
            <w:shd w:val="clear" w:color="auto" w:fill="EEEEEE"/>
          </w:tcPr>
          <w:p>
            <w:pPr>
              <w:spacing w:after="0"/>
              <w:rPr>
                <w:sz w:val="11"/>
                <w:szCs w:val="11"/>
                <w:color w:val="auto"/>
              </w:rPr>
            </w:pPr>
          </w:p>
        </w:tc>
        <w:tc>
          <w:tcPr>
            <w:tcW w:w="12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20" w:type="dxa"/>
            <w:vAlign w:val="bottom"/>
            <w:shd w:val="clear" w:color="auto" w:fill="EEEEEE"/>
          </w:tcPr>
          <w:p>
            <w:pPr>
              <w:ind w:left="360"/>
              <w:spacing w:after="0" w:line="159" w:lineRule="exact"/>
              <w:rPr>
                <w:sz w:val="20"/>
                <w:szCs w:val="20"/>
                <w:color w:val="auto"/>
              </w:rPr>
            </w:pPr>
            <w:r>
              <w:rPr>
                <w:rFonts w:ascii="Arial" w:cs="Arial" w:eastAsia="Arial" w:hAnsi="Arial"/>
                <w:sz w:val="14"/>
                <w:szCs w:val="14"/>
                <w:color w:val="auto"/>
              </w:rPr>
              <w:t>stock</w:t>
            </w:r>
          </w:p>
        </w:tc>
        <w:tc>
          <w:tcPr>
            <w:tcW w:w="880" w:type="dxa"/>
            <w:vAlign w:val="bottom"/>
            <w:shd w:val="clear" w:color="auto" w:fill="EEEEEE"/>
          </w:tcPr>
          <w:p>
            <w:pPr>
              <w:spacing w:after="0"/>
              <w:rPr>
                <w:sz w:val="13"/>
                <w:szCs w:val="13"/>
                <w:color w:val="auto"/>
              </w:rPr>
            </w:pPr>
          </w:p>
        </w:tc>
        <w:tc>
          <w:tcPr>
            <w:tcW w:w="1100" w:type="dxa"/>
            <w:vAlign w:val="bottom"/>
            <w:shd w:val="clear" w:color="auto" w:fill="EEEEEE"/>
          </w:tcPr>
          <w:p>
            <w:pPr>
              <w:spacing w:after="0"/>
              <w:rPr>
                <w:sz w:val="13"/>
                <w:szCs w:val="13"/>
                <w:color w:val="auto"/>
              </w:rPr>
            </w:pPr>
          </w:p>
        </w:tc>
        <w:tc>
          <w:tcPr>
            <w:tcW w:w="1220" w:type="dxa"/>
            <w:vAlign w:val="bottom"/>
            <w:shd w:val="clear" w:color="auto" w:fill="EEEEEE"/>
          </w:tcPr>
          <w:p>
            <w:pPr>
              <w:spacing w:after="0"/>
              <w:rPr>
                <w:sz w:val="13"/>
                <w:szCs w:val="13"/>
                <w:color w:val="auto"/>
              </w:rPr>
            </w:pPr>
          </w:p>
        </w:tc>
        <w:tc>
          <w:tcPr>
            <w:tcW w:w="1260" w:type="dxa"/>
            <w:vAlign w:val="bottom"/>
            <w:shd w:val="clear" w:color="auto" w:fill="EEEEEE"/>
          </w:tcPr>
          <w:p>
            <w:pPr>
              <w:spacing w:after="0"/>
              <w:rPr>
                <w:sz w:val="13"/>
                <w:szCs w:val="13"/>
                <w:color w:val="auto"/>
              </w:rPr>
            </w:pPr>
          </w:p>
        </w:tc>
        <w:tc>
          <w:tcPr>
            <w:tcW w:w="440" w:type="dxa"/>
            <w:vAlign w:val="bottom"/>
            <w:shd w:val="clear" w:color="auto" w:fill="EEEEEE"/>
          </w:tcPr>
          <w:p>
            <w:pPr>
              <w:spacing w:after="0"/>
              <w:rPr>
                <w:sz w:val="13"/>
                <w:szCs w:val="13"/>
                <w:color w:val="auto"/>
              </w:rPr>
            </w:pPr>
          </w:p>
        </w:tc>
        <w:tc>
          <w:tcPr>
            <w:tcW w:w="820" w:type="dxa"/>
            <w:vAlign w:val="bottom"/>
            <w:shd w:val="clear" w:color="auto" w:fill="EEEEEE"/>
          </w:tcPr>
          <w:p>
            <w:pPr>
              <w:spacing w:after="0"/>
              <w:rPr>
                <w:sz w:val="13"/>
                <w:szCs w:val="13"/>
                <w:color w:val="auto"/>
              </w:rPr>
            </w:pPr>
          </w:p>
        </w:tc>
        <w:tc>
          <w:tcPr>
            <w:tcW w:w="1280" w:type="dxa"/>
            <w:vAlign w:val="bottom"/>
            <w:shd w:val="clear" w:color="auto" w:fill="EEEEEE"/>
          </w:tcPr>
          <w:p>
            <w:pPr>
              <w:spacing w:after="0"/>
              <w:rPr>
                <w:sz w:val="13"/>
                <w:szCs w:val="13"/>
                <w:color w:val="auto"/>
              </w:rPr>
            </w:pPr>
          </w:p>
        </w:tc>
        <w:tc>
          <w:tcPr>
            <w:tcW w:w="1280" w:type="dxa"/>
            <w:vAlign w:val="bottom"/>
            <w:shd w:val="clear" w:color="auto" w:fill="EEEEEE"/>
          </w:tcPr>
          <w:p>
            <w:pPr>
              <w:jc w:val="right"/>
              <w:ind w:right="152"/>
              <w:spacing w:after="0" w:line="159" w:lineRule="exact"/>
              <w:rPr>
                <w:sz w:val="20"/>
                <w:szCs w:val="20"/>
                <w:color w:val="auto"/>
              </w:rPr>
            </w:pPr>
            <w:r>
              <w:rPr>
                <w:rFonts w:ascii="Arial" w:cs="Arial" w:eastAsia="Arial" w:hAnsi="Arial"/>
                <w:sz w:val="14"/>
                <w:szCs w:val="14"/>
                <w:color w:val="auto"/>
              </w:rPr>
              <w:t>(687)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20" w:type="dxa"/>
            <w:vAlign w:val="bottom"/>
          </w:tcPr>
          <w:p>
            <w:pPr>
              <w:ind w:left="240"/>
              <w:spacing w:after="0" w:line="138" w:lineRule="exact"/>
              <w:rPr>
                <w:sz w:val="20"/>
                <w:szCs w:val="20"/>
                <w:color w:val="auto"/>
              </w:rPr>
            </w:pPr>
            <w:r>
              <w:rPr>
                <w:rFonts w:ascii="Arial" w:cs="Arial" w:eastAsia="Arial" w:hAnsi="Arial"/>
                <w:sz w:val="14"/>
                <w:szCs w:val="14"/>
                <w:color w:val="auto"/>
                <w:w w:val="98"/>
              </w:rPr>
              <w:t>Issuance of 31,697 shares of Class B common</w:t>
            </w:r>
          </w:p>
        </w:tc>
        <w:tc>
          <w:tcPr>
            <w:tcW w:w="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20" w:type="dxa"/>
            <w:vAlign w:val="bottom"/>
          </w:tcPr>
          <w:p>
            <w:pPr>
              <w:ind w:left="360"/>
              <w:spacing w:after="0" w:line="159" w:lineRule="exact"/>
              <w:rPr>
                <w:sz w:val="20"/>
                <w:szCs w:val="20"/>
                <w:color w:val="auto"/>
              </w:rPr>
            </w:pPr>
            <w:r>
              <w:rPr>
                <w:rFonts w:ascii="Arial" w:cs="Arial" w:eastAsia="Arial" w:hAnsi="Arial"/>
                <w:sz w:val="14"/>
                <w:szCs w:val="14"/>
                <w:color w:val="auto"/>
                <w:w w:val="97"/>
              </w:rPr>
              <w:t>stock, net of restricted stock award forfeitures</w:t>
            </w:r>
          </w:p>
        </w:tc>
        <w:tc>
          <w:tcPr>
            <w:tcW w:w="8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20" w:type="dxa"/>
            <w:vAlign w:val="bottom"/>
          </w:tcPr>
          <w:p>
            <w:pPr>
              <w:jc w:val="right"/>
              <w:ind w:right="332"/>
              <w:spacing w:after="0" w:line="159" w:lineRule="exact"/>
              <w:rPr>
                <w:sz w:val="20"/>
                <w:szCs w:val="20"/>
                <w:color w:val="auto"/>
              </w:rPr>
            </w:pPr>
            <w:r>
              <w:rPr>
                <w:rFonts w:ascii="Arial" w:cs="Arial" w:eastAsia="Arial" w:hAnsi="Arial"/>
                <w:sz w:val="14"/>
                <w:szCs w:val="14"/>
                <w:color w:val="auto"/>
              </w:rPr>
              <w:t>14,147</w:t>
            </w:r>
          </w:p>
        </w:tc>
        <w:tc>
          <w:tcPr>
            <w:tcW w:w="1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80" w:type="dxa"/>
            <w:vAlign w:val="bottom"/>
          </w:tcPr>
          <w:p>
            <w:pPr>
              <w:jc w:val="right"/>
              <w:ind w:right="192"/>
              <w:spacing w:after="0" w:line="159" w:lineRule="exact"/>
              <w:rPr>
                <w:sz w:val="20"/>
                <w:szCs w:val="20"/>
                <w:color w:val="auto"/>
              </w:rPr>
            </w:pPr>
            <w:r>
              <w:rPr>
                <w:rFonts w:ascii="Arial" w:cs="Arial" w:eastAsia="Arial" w:hAnsi="Arial"/>
                <w:sz w:val="14"/>
                <w:szCs w:val="14"/>
                <w:color w:val="auto"/>
              </w:rPr>
              <w:t>4,599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20" w:type="dxa"/>
            <w:vAlign w:val="bottom"/>
            <w:shd w:val="clear" w:color="auto" w:fill="EEEEEE"/>
          </w:tcPr>
          <w:p>
            <w:pPr>
              <w:ind w:left="240"/>
              <w:spacing w:after="0" w:line="138" w:lineRule="exact"/>
              <w:rPr>
                <w:sz w:val="20"/>
                <w:szCs w:val="20"/>
                <w:color w:val="auto"/>
              </w:rPr>
            </w:pPr>
            <w:r>
              <w:rPr>
                <w:rFonts w:ascii="Arial" w:cs="Arial" w:eastAsia="Arial" w:hAnsi="Arial"/>
                <w:sz w:val="14"/>
                <w:szCs w:val="14"/>
                <w:color w:val="auto"/>
              </w:rPr>
              <w:t>Change in foreign currency translation</w:t>
            </w:r>
          </w:p>
        </w:tc>
        <w:tc>
          <w:tcPr>
            <w:tcW w:w="880" w:type="dxa"/>
            <w:vAlign w:val="bottom"/>
            <w:shd w:val="clear" w:color="auto" w:fill="EEEEEE"/>
          </w:tcPr>
          <w:p>
            <w:pPr>
              <w:spacing w:after="0"/>
              <w:rPr>
                <w:sz w:val="11"/>
                <w:szCs w:val="11"/>
                <w:color w:val="auto"/>
              </w:rPr>
            </w:pPr>
          </w:p>
        </w:tc>
        <w:tc>
          <w:tcPr>
            <w:tcW w:w="1100" w:type="dxa"/>
            <w:vAlign w:val="bottom"/>
            <w:shd w:val="clear" w:color="auto" w:fill="EEEEEE"/>
          </w:tcPr>
          <w:p>
            <w:pPr>
              <w:spacing w:after="0"/>
              <w:rPr>
                <w:sz w:val="11"/>
                <w:szCs w:val="11"/>
                <w:color w:val="auto"/>
              </w:rPr>
            </w:pPr>
          </w:p>
        </w:tc>
        <w:tc>
          <w:tcPr>
            <w:tcW w:w="1220" w:type="dxa"/>
            <w:vAlign w:val="bottom"/>
            <w:shd w:val="clear" w:color="auto" w:fill="EEEEEE"/>
          </w:tcPr>
          <w:p>
            <w:pPr>
              <w:spacing w:after="0"/>
              <w:rPr>
                <w:sz w:val="11"/>
                <w:szCs w:val="11"/>
                <w:color w:val="auto"/>
              </w:rPr>
            </w:pPr>
          </w:p>
        </w:tc>
        <w:tc>
          <w:tcPr>
            <w:tcW w:w="126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820" w:type="dxa"/>
            <w:vAlign w:val="bottom"/>
            <w:shd w:val="clear" w:color="auto" w:fill="EEEEEE"/>
          </w:tcPr>
          <w:p>
            <w:pPr>
              <w:spacing w:after="0"/>
              <w:rPr>
                <w:sz w:val="11"/>
                <w:szCs w:val="11"/>
                <w:color w:val="auto"/>
              </w:rPr>
            </w:pPr>
          </w:p>
        </w:tc>
        <w:tc>
          <w:tcPr>
            <w:tcW w:w="1280" w:type="dxa"/>
            <w:vAlign w:val="bottom"/>
            <w:shd w:val="clear" w:color="auto" w:fill="EEEEEE"/>
          </w:tcPr>
          <w:p>
            <w:pPr>
              <w:spacing w:after="0"/>
              <w:rPr>
                <w:sz w:val="11"/>
                <w:szCs w:val="11"/>
                <w:color w:val="auto"/>
              </w:rPr>
            </w:pPr>
          </w:p>
        </w:tc>
        <w:tc>
          <w:tcPr>
            <w:tcW w:w="12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20" w:type="dxa"/>
            <w:vAlign w:val="bottom"/>
            <w:shd w:val="clear" w:color="auto" w:fill="EEEEEE"/>
          </w:tcPr>
          <w:p>
            <w:pPr>
              <w:ind w:left="360"/>
              <w:spacing w:after="0" w:line="159" w:lineRule="exact"/>
              <w:rPr>
                <w:sz w:val="20"/>
                <w:szCs w:val="20"/>
                <w:color w:val="auto"/>
              </w:rPr>
            </w:pPr>
            <w:r>
              <w:rPr>
                <w:rFonts w:ascii="Arial" w:cs="Arial" w:eastAsia="Arial" w:hAnsi="Arial"/>
                <w:sz w:val="14"/>
                <w:szCs w:val="14"/>
                <w:color w:val="auto"/>
              </w:rPr>
              <w:t>adjustment (net of taxes)</w:t>
            </w:r>
          </w:p>
        </w:tc>
        <w:tc>
          <w:tcPr>
            <w:tcW w:w="880" w:type="dxa"/>
            <w:vAlign w:val="bottom"/>
            <w:shd w:val="clear" w:color="auto" w:fill="EEEEEE"/>
          </w:tcPr>
          <w:p>
            <w:pPr>
              <w:spacing w:after="0"/>
              <w:rPr>
                <w:sz w:val="13"/>
                <w:szCs w:val="13"/>
                <w:color w:val="auto"/>
              </w:rPr>
            </w:pPr>
          </w:p>
        </w:tc>
        <w:tc>
          <w:tcPr>
            <w:tcW w:w="1100" w:type="dxa"/>
            <w:vAlign w:val="bottom"/>
            <w:shd w:val="clear" w:color="auto" w:fill="EEEEEE"/>
          </w:tcPr>
          <w:p>
            <w:pPr>
              <w:spacing w:after="0"/>
              <w:rPr>
                <w:sz w:val="13"/>
                <w:szCs w:val="13"/>
                <w:color w:val="auto"/>
              </w:rPr>
            </w:pPr>
          </w:p>
        </w:tc>
        <w:tc>
          <w:tcPr>
            <w:tcW w:w="1220" w:type="dxa"/>
            <w:vAlign w:val="bottom"/>
            <w:shd w:val="clear" w:color="auto" w:fill="EEEEEE"/>
          </w:tcPr>
          <w:p>
            <w:pPr>
              <w:spacing w:after="0"/>
              <w:rPr>
                <w:sz w:val="13"/>
                <w:szCs w:val="13"/>
                <w:color w:val="auto"/>
              </w:rPr>
            </w:pPr>
          </w:p>
        </w:tc>
        <w:tc>
          <w:tcPr>
            <w:tcW w:w="1260" w:type="dxa"/>
            <w:vAlign w:val="bottom"/>
            <w:shd w:val="clear" w:color="auto" w:fill="EEEEEE"/>
          </w:tcPr>
          <w:p>
            <w:pPr>
              <w:spacing w:after="0"/>
              <w:rPr>
                <w:sz w:val="13"/>
                <w:szCs w:val="13"/>
                <w:color w:val="auto"/>
              </w:rPr>
            </w:pPr>
          </w:p>
        </w:tc>
        <w:tc>
          <w:tcPr>
            <w:tcW w:w="440" w:type="dxa"/>
            <w:vAlign w:val="bottom"/>
            <w:shd w:val="clear" w:color="auto" w:fill="EEEEEE"/>
          </w:tcPr>
          <w:p>
            <w:pPr>
              <w:spacing w:after="0"/>
              <w:rPr>
                <w:sz w:val="13"/>
                <w:szCs w:val="13"/>
                <w:color w:val="auto"/>
              </w:rPr>
            </w:pPr>
          </w:p>
        </w:tc>
        <w:tc>
          <w:tcPr>
            <w:tcW w:w="820" w:type="dxa"/>
            <w:vAlign w:val="bottom"/>
            <w:shd w:val="clear" w:color="auto" w:fill="EEEEEE"/>
          </w:tcPr>
          <w:p>
            <w:pPr>
              <w:jc w:val="right"/>
              <w:ind w:right="392"/>
              <w:spacing w:after="0" w:line="159" w:lineRule="exact"/>
              <w:rPr>
                <w:sz w:val="20"/>
                <w:szCs w:val="20"/>
                <w:color w:val="auto"/>
              </w:rPr>
            </w:pPr>
            <w:r>
              <w:rPr>
                <w:rFonts w:ascii="Arial" w:cs="Arial" w:eastAsia="Arial" w:hAnsi="Arial"/>
                <w:sz w:val="14"/>
                <w:szCs w:val="14"/>
                <w:color w:val="auto"/>
                <w:w w:val="79"/>
              </w:rPr>
              <w:t>11,783</w:t>
            </w:r>
          </w:p>
        </w:tc>
        <w:tc>
          <w:tcPr>
            <w:tcW w:w="1280" w:type="dxa"/>
            <w:vAlign w:val="bottom"/>
            <w:shd w:val="clear" w:color="auto" w:fill="EEEEEE"/>
          </w:tcPr>
          <w:p>
            <w:pPr>
              <w:spacing w:after="0"/>
              <w:rPr>
                <w:sz w:val="13"/>
                <w:szCs w:val="13"/>
                <w:color w:val="auto"/>
              </w:rPr>
            </w:pPr>
          </w:p>
        </w:tc>
        <w:tc>
          <w:tcPr>
            <w:tcW w:w="128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20" w:type="dxa"/>
            <w:vAlign w:val="bottom"/>
          </w:tcPr>
          <w:p>
            <w:pPr>
              <w:ind w:left="240"/>
              <w:spacing w:after="0" w:line="138" w:lineRule="exact"/>
              <w:rPr>
                <w:sz w:val="20"/>
                <w:szCs w:val="20"/>
                <w:color w:val="auto"/>
              </w:rPr>
            </w:pPr>
            <w:r>
              <w:rPr>
                <w:rFonts w:ascii="Arial" w:cs="Arial" w:eastAsia="Arial" w:hAnsi="Arial"/>
                <w:sz w:val="14"/>
                <w:szCs w:val="14"/>
                <w:color w:val="auto"/>
                <w:w w:val="97"/>
              </w:rPr>
              <w:t>Change in unrealized gain on available-for-sale</w:t>
            </w:r>
          </w:p>
        </w:tc>
        <w:tc>
          <w:tcPr>
            <w:tcW w:w="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20" w:type="dxa"/>
            <w:vAlign w:val="bottom"/>
          </w:tcPr>
          <w:p>
            <w:pPr>
              <w:ind w:left="360"/>
              <w:spacing w:after="0" w:line="159" w:lineRule="exact"/>
              <w:rPr>
                <w:sz w:val="20"/>
                <w:szCs w:val="20"/>
                <w:color w:val="auto"/>
              </w:rPr>
            </w:pPr>
            <w:r>
              <w:rPr>
                <w:rFonts w:ascii="Arial" w:cs="Arial" w:eastAsia="Arial" w:hAnsi="Arial"/>
                <w:sz w:val="14"/>
                <w:szCs w:val="14"/>
                <w:color w:val="auto"/>
              </w:rPr>
              <w:t>securities (net of taxes)</w:t>
            </w:r>
          </w:p>
        </w:tc>
        <w:tc>
          <w:tcPr>
            <w:tcW w:w="8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80" w:type="dxa"/>
            <w:vAlign w:val="bottom"/>
          </w:tcPr>
          <w:p>
            <w:pPr>
              <w:jc w:val="right"/>
              <w:ind w:right="412"/>
              <w:spacing w:after="0" w:line="159" w:lineRule="exact"/>
              <w:rPr>
                <w:sz w:val="20"/>
                <w:szCs w:val="20"/>
                <w:color w:val="auto"/>
              </w:rPr>
            </w:pPr>
            <w:r>
              <w:rPr>
                <w:rFonts w:ascii="Arial" w:cs="Arial" w:eastAsia="Arial" w:hAnsi="Arial"/>
                <w:sz w:val="14"/>
                <w:szCs w:val="14"/>
                <w:color w:val="auto"/>
              </w:rPr>
              <w:t>19,292</w:t>
            </w: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shd w:val="clear" w:color="auto" w:fill="EEEEEE"/>
          </w:tcPr>
          <w:p>
            <w:pPr>
              <w:ind w:left="240"/>
              <w:spacing w:after="0" w:line="149" w:lineRule="exact"/>
              <w:rPr>
                <w:sz w:val="20"/>
                <w:szCs w:val="20"/>
                <w:color w:val="auto"/>
              </w:rPr>
            </w:pPr>
            <w:r>
              <w:rPr>
                <w:rFonts w:ascii="Arial" w:cs="Arial" w:eastAsia="Arial" w:hAnsi="Arial"/>
                <w:sz w:val="14"/>
                <w:szCs w:val="14"/>
                <w:color w:val="auto"/>
              </w:rPr>
              <w:t>Stock option expense</w:t>
            </w:r>
          </w:p>
        </w:tc>
        <w:tc>
          <w:tcPr>
            <w:tcW w:w="880" w:type="dxa"/>
            <w:vAlign w:val="bottom"/>
            <w:shd w:val="clear" w:color="auto" w:fill="EEEEEE"/>
          </w:tcPr>
          <w:p>
            <w:pPr>
              <w:spacing w:after="0"/>
              <w:rPr>
                <w:sz w:val="12"/>
                <w:szCs w:val="12"/>
                <w:color w:val="auto"/>
              </w:rPr>
            </w:pPr>
          </w:p>
        </w:tc>
        <w:tc>
          <w:tcPr>
            <w:tcW w:w="1100" w:type="dxa"/>
            <w:vAlign w:val="bottom"/>
            <w:shd w:val="clear" w:color="auto" w:fill="EEEEEE"/>
          </w:tcPr>
          <w:p>
            <w:pPr>
              <w:spacing w:after="0"/>
              <w:rPr>
                <w:sz w:val="12"/>
                <w:szCs w:val="12"/>
                <w:color w:val="auto"/>
              </w:rPr>
            </w:pPr>
          </w:p>
        </w:tc>
        <w:tc>
          <w:tcPr>
            <w:tcW w:w="1220" w:type="dxa"/>
            <w:vAlign w:val="bottom"/>
            <w:shd w:val="clear" w:color="auto" w:fill="EEEEEE"/>
          </w:tcPr>
          <w:p>
            <w:pPr>
              <w:jc w:val="right"/>
              <w:ind w:right="332"/>
              <w:spacing w:after="0" w:line="149" w:lineRule="exact"/>
              <w:rPr>
                <w:sz w:val="20"/>
                <w:szCs w:val="20"/>
                <w:color w:val="auto"/>
              </w:rPr>
            </w:pPr>
            <w:r>
              <w:rPr>
                <w:rFonts w:ascii="Arial" w:cs="Arial" w:eastAsia="Arial" w:hAnsi="Arial"/>
                <w:sz w:val="14"/>
                <w:szCs w:val="14"/>
                <w:color w:val="auto"/>
              </w:rPr>
              <w:t>606</w:t>
            </w:r>
          </w:p>
        </w:tc>
        <w:tc>
          <w:tcPr>
            <w:tcW w:w="126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820" w:type="dxa"/>
            <w:vAlign w:val="bottom"/>
            <w:shd w:val="clear" w:color="auto" w:fill="EEEEEE"/>
          </w:tcPr>
          <w:p>
            <w:pPr>
              <w:spacing w:after="0"/>
              <w:rPr>
                <w:sz w:val="12"/>
                <w:szCs w:val="12"/>
                <w:color w:val="auto"/>
              </w:rPr>
            </w:pPr>
          </w:p>
        </w:tc>
        <w:tc>
          <w:tcPr>
            <w:tcW w:w="1280" w:type="dxa"/>
            <w:vAlign w:val="bottom"/>
            <w:shd w:val="clear" w:color="auto" w:fill="EEEEEE"/>
          </w:tcPr>
          <w:p>
            <w:pPr>
              <w:spacing w:after="0"/>
              <w:rPr>
                <w:sz w:val="12"/>
                <w:szCs w:val="12"/>
                <w:color w:val="auto"/>
              </w:rPr>
            </w:pPr>
          </w:p>
        </w:tc>
        <w:tc>
          <w:tcPr>
            <w:tcW w:w="12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20" w:type="dxa"/>
            <w:vAlign w:val="bottom"/>
          </w:tcPr>
          <w:p>
            <w:pPr>
              <w:ind w:left="240"/>
              <w:spacing w:after="0"/>
              <w:rPr>
                <w:sz w:val="20"/>
                <w:szCs w:val="20"/>
                <w:color w:val="auto"/>
              </w:rPr>
            </w:pPr>
            <w:r>
              <w:rPr>
                <w:rFonts w:ascii="Arial" w:cs="Arial" w:eastAsia="Arial" w:hAnsi="Arial"/>
                <w:sz w:val="14"/>
                <w:szCs w:val="14"/>
                <w:color w:val="auto"/>
                <w:w w:val="98"/>
              </w:rPr>
              <w:t>Tax benefits arising from employee stock plans</w:t>
            </w: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jc w:val="right"/>
              <w:ind w:right="332"/>
              <w:spacing w:after="0"/>
              <w:rPr>
                <w:sz w:val="20"/>
                <w:szCs w:val="20"/>
                <w:color w:val="auto"/>
              </w:rPr>
            </w:pPr>
            <w:r>
              <w:rPr>
                <w:rFonts w:ascii="Arial" w:cs="Arial" w:eastAsia="Arial" w:hAnsi="Arial"/>
                <w:sz w:val="14"/>
                <w:szCs w:val="14"/>
                <w:color w:val="auto"/>
              </w:rPr>
              <w:t>3,108</w:t>
            </w: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120" w:type="dxa"/>
            <w:vAlign w:val="bottom"/>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1100" w:type="dxa"/>
            <w:vAlign w:val="bottom"/>
            <w:tcBorders>
              <w:bottom w:val="single" w:sz="8" w:color="808080"/>
            </w:tcBorders>
          </w:tcPr>
          <w:p>
            <w:pPr>
              <w:spacing w:after="0"/>
              <w:rPr>
                <w:sz w:val="7"/>
                <w:szCs w:val="7"/>
                <w:color w:val="auto"/>
              </w:rPr>
            </w:pPr>
          </w:p>
        </w:tc>
        <w:tc>
          <w:tcPr>
            <w:tcW w:w="1220" w:type="dxa"/>
            <w:vAlign w:val="bottom"/>
            <w:tcBorders>
              <w:bottom w:val="single" w:sz="8" w:color="808080"/>
            </w:tcBorders>
          </w:tcPr>
          <w:p>
            <w:pPr>
              <w:spacing w:after="0"/>
              <w:rPr>
                <w:sz w:val="7"/>
                <w:szCs w:val="7"/>
                <w:color w:val="auto"/>
              </w:rPr>
            </w:pPr>
          </w:p>
        </w:tc>
        <w:tc>
          <w:tcPr>
            <w:tcW w:w="126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3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20" w:type="dxa"/>
            <w:vAlign w:val="bottom"/>
            <w:shd w:val="clear" w:color="auto" w:fill="EEEEEE"/>
          </w:tcPr>
          <w:p>
            <w:pPr>
              <w:spacing w:after="0" w:line="149" w:lineRule="exact"/>
              <w:rPr>
                <w:sz w:val="20"/>
                <w:szCs w:val="20"/>
                <w:color w:val="auto"/>
              </w:rPr>
            </w:pPr>
            <w:r>
              <w:rPr>
                <w:rFonts w:ascii="Arial" w:cs="Arial" w:eastAsia="Arial" w:hAnsi="Arial"/>
                <w:sz w:val="14"/>
                <w:szCs w:val="14"/>
                <w:b w:val="1"/>
                <w:bCs w:val="1"/>
                <w:color w:val="auto"/>
              </w:rPr>
              <w:t>Balance, December 28, 2003</w:t>
            </w:r>
          </w:p>
        </w:tc>
        <w:tc>
          <w:tcPr>
            <w:tcW w:w="880" w:type="dxa"/>
            <w:vAlign w:val="bottom"/>
            <w:shd w:val="clear" w:color="auto" w:fill="EEEEEE"/>
          </w:tcPr>
          <w:p>
            <w:pPr>
              <w:jc w:val="right"/>
              <w:ind w:right="292"/>
              <w:spacing w:after="0" w:line="149" w:lineRule="exact"/>
              <w:rPr>
                <w:sz w:val="20"/>
                <w:szCs w:val="20"/>
                <w:color w:val="auto"/>
              </w:rPr>
            </w:pPr>
            <w:r>
              <w:rPr>
                <w:rFonts w:ascii="Arial" w:cs="Arial" w:eastAsia="Arial" w:hAnsi="Arial"/>
                <w:sz w:val="14"/>
                <w:szCs w:val="14"/>
                <w:color w:val="auto"/>
              </w:rPr>
              <w:t>$1,722</w:t>
            </w:r>
          </w:p>
        </w:tc>
        <w:tc>
          <w:tcPr>
            <w:tcW w:w="1100" w:type="dxa"/>
            <w:vAlign w:val="bottom"/>
            <w:shd w:val="clear" w:color="auto" w:fill="EEEEEE"/>
          </w:tcPr>
          <w:p>
            <w:pPr>
              <w:jc w:val="right"/>
              <w:ind w:right="332"/>
              <w:spacing w:after="0" w:line="149" w:lineRule="exact"/>
              <w:rPr>
                <w:sz w:val="20"/>
                <w:szCs w:val="20"/>
                <w:color w:val="auto"/>
              </w:rPr>
            </w:pPr>
            <w:r>
              <w:rPr>
                <w:rFonts w:ascii="Arial" w:cs="Arial" w:eastAsia="Arial" w:hAnsi="Arial"/>
                <w:sz w:val="14"/>
                <w:szCs w:val="14"/>
                <w:color w:val="auto"/>
              </w:rPr>
              <w:t>$18,278</w:t>
            </w:r>
          </w:p>
        </w:tc>
        <w:tc>
          <w:tcPr>
            <w:tcW w:w="1220" w:type="dxa"/>
            <w:vAlign w:val="bottom"/>
            <w:shd w:val="clear" w:color="auto" w:fill="EEEEEE"/>
          </w:tcPr>
          <w:p>
            <w:pPr>
              <w:jc w:val="right"/>
              <w:ind w:right="332"/>
              <w:spacing w:after="0" w:line="149" w:lineRule="exact"/>
              <w:rPr>
                <w:sz w:val="20"/>
                <w:szCs w:val="20"/>
                <w:color w:val="auto"/>
              </w:rPr>
            </w:pPr>
            <w:r>
              <w:rPr>
                <w:rFonts w:ascii="Arial" w:cs="Arial" w:eastAsia="Arial" w:hAnsi="Arial"/>
                <w:sz w:val="14"/>
                <w:szCs w:val="14"/>
                <w:color w:val="auto"/>
              </w:rPr>
              <w:t>$166,951</w:t>
            </w:r>
          </w:p>
        </w:tc>
        <w:tc>
          <w:tcPr>
            <w:tcW w:w="1260" w:type="dxa"/>
            <w:vAlign w:val="bottom"/>
            <w:shd w:val="clear" w:color="auto" w:fill="EEEEEE"/>
          </w:tcPr>
          <w:p>
            <w:pPr>
              <w:jc w:val="right"/>
              <w:ind w:right="252"/>
              <w:spacing w:after="0" w:line="149" w:lineRule="exact"/>
              <w:rPr>
                <w:sz w:val="20"/>
                <w:szCs w:val="20"/>
                <w:color w:val="auto"/>
              </w:rPr>
            </w:pPr>
            <w:r>
              <w:rPr>
                <w:rFonts w:ascii="Arial" w:cs="Arial" w:eastAsia="Arial" w:hAnsi="Arial"/>
                <w:sz w:val="14"/>
                <w:szCs w:val="14"/>
                <w:color w:val="auto"/>
              </w:rPr>
              <w:t>$3,364,407</w:t>
            </w:r>
          </w:p>
        </w:tc>
        <w:tc>
          <w:tcPr>
            <w:tcW w:w="4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EEEEEE"/>
          </w:tcPr>
          <w:p>
            <w:pPr>
              <w:jc w:val="right"/>
              <w:ind w:right="392"/>
              <w:spacing w:after="0" w:line="149" w:lineRule="exact"/>
              <w:rPr>
                <w:sz w:val="20"/>
                <w:szCs w:val="20"/>
                <w:color w:val="auto"/>
              </w:rPr>
            </w:pPr>
            <w:r>
              <w:rPr>
                <w:rFonts w:ascii="Arial" w:cs="Arial" w:eastAsia="Arial" w:hAnsi="Arial"/>
                <w:sz w:val="14"/>
                <w:szCs w:val="14"/>
                <w:color w:val="auto"/>
                <w:w w:val="96"/>
              </w:rPr>
              <w:t>4,272</w:t>
            </w:r>
          </w:p>
        </w:tc>
        <w:tc>
          <w:tcPr>
            <w:tcW w:w="1280" w:type="dxa"/>
            <w:vAlign w:val="bottom"/>
            <w:shd w:val="clear" w:color="auto" w:fill="EEEEEE"/>
          </w:tcPr>
          <w:p>
            <w:pPr>
              <w:jc w:val="right"/>
              <w:ind w:right="412"/>
              <w:spacing w:after="0" w:line="149" w:lineRule="exact"/>
              <w:rPr>
                <w:sz w:val="20"/>
                <w:szCs w:val="20"/>
                <w:color w:val="auto"/>
              </w:rPr>
            </w:pPr>
            <w:r>
              <w:rPr>
                <w:rFonts w:ascii="Arial" w:cs="Arial" w:eastAsia="Arial" w:hAnsi="Arial"/>
                <w:sz w:val="14"/>
                <w:szCs w:val="14"/>
                <w:color w:val="auto"/>
              </w:rPr>
              <w:t>$37,205</w:t>
            </w:r>
          </w:p>
        </w:tc>
        <w:tc>
          <w:tcPr>
            <w:tcW w:w="1280" w:type="dxa"/>
            <w:vAlign w:val="bottom"/>
            <w:shd w:val="clear" w:color="auto" w:fill="EEEEEE"/>
          </w:tcPr>
          <w:p>
            <w:pPr>
              <w:jc w:val="right"/>
              <w:ind w:right="152"/>
              <w:spacing w:after="0" w:line="149" w:lineRule="exact"/>
              <w:rPr>
                <w:sz w:val="20"/>
                <w:szCs w:val="20"/>
                <w:color w:val="auto"/>
              </w:rPr>
            </w:pPr>
            <w:r>
              <w:rPr>
                <w:rFonts w:ascii="Arial" w:cs="Arial" w:eastAsia="Arial" w:hAnsi="Arial"/>
                <w:sz w:val="14"/>
                <w:szCs w:val="14"/>
                <w:color w:val="auto"/>
              </w:rPr>
              <w:t>$(1,517,894)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20" w:type="dxa"/>
            <w:vAlign w:val="bottom"/>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on pages 44 through 58 is an integral part of the financial statements.</w:t>
      </w: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2" w:name="page53"/>
    <w:bookmarkEnd w:id="52"/>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SUMMARY OF SIGNIFICANT ACCOUNTING POLICIES</w:t>
      </w:r>
    </w:p>
    <w:p>
      <w:pPr>
        <w:spacing w:after="0" w:line="225" w:lineRule="exact"/>
        <w:rPr>
          <w:sz w:val="20"/>
          <w:szCs w:val="20"/>
          <w:color w:val="auto"/>
        </w:rPr>
      </w:pPr>
    </w:p>
    <w:p>
      <w:pPr>
        <w:jc w:val="both"/>
        <w:ind w:right="340"/>
        <w:spacing w:after="0" w:line="262" w:lineRule="auto"/>
        <w:rPr>
          <w:sz w:val="20"/>
          <w:szCs w:val="20"/>
          <w:color w:val="auto"/>
        </w:rPr>
      </w:pPr>
      <w:r>
        <w:rPr>
          <w:rFonts w:ascii="Arial" w:cs="Arial" w:eastAsia="Arial" w:hAnsi="Arial"/>
          <w:sz w:val="18"/>
          <w:szCs w:val="18"/>
          <w:b w:val="1"/>
          <w:bCs w:val="1"/>
          <w:color w:val="auto"/>
        </w:rPr>
        <w:t xml:space="preserve">Fiscal Year. </w:t>
      </w:r>
      <w:r>
        <w:rPr>
          <w:rFonts w:ascii="Arial" w:cs="Arial" w:eastAsia="Arial" w:hAnsi="Arial"/>
          <w:sz w:val="18"/>
          <w:szCs w:val="18"/>
          <w:color w:val="auto"/>
        </w:rPr>
        <w:t>The Company reports on a 52- to 53-week fiscal year ending on the Sunday nearest December 31. The fiscal years 2003, 2002 and 2001, which</w:t>
      </w:r>
      <w:r>
        <w:rPr>
          <w:rFonts w:ascii="Arial" w:cs="Arial" w:eastAsia="Arial" w:hAnsi="Arial"/>
          <w:sz w:val="18"/>
          <w:szCs w:val="18"/>
          <w:b w:val="1"/>
          <w:bCs w:val="1"/>
          <w:color w:val="auto"/>
        </w:rPr>
        <w:t xml:space="preserve"> </w:t>
      </w:r>
      <w:r>
        <w:rPr>
          <w:rFonts w:ascii="Arial" w:cs="Arial" w:eastAsia="Arial" w:hAnsi="Arial"/>
          <w:sz w:val="18"/>
          <w:szCs w:val="18"/>
          <w:color w:val="auto"/>
        </w:rPr>
        <w:t>ended on December 28, 2003, December 29, 2002, and December 30, 2001, respectively, included 52 weeks. With the exception of the newspaper publishing operations, subsidiaries of the Company report on a calendar-year basis.</w:t>
      </w:r>
    </w:p>
    <w:p>
      <w:pPr>
        <w:spacing w:after="0" w:line="186"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The accompanying financial statements include the accounts of the Company and its subsidiaries; significant intercompany</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have been eliminated.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Presentation. </w:t>
      </w:r>
      <w:r>
        <w:rPr>
          <w:rFonts w:ascii="Arial" w:cs="Arial" w:eastAsia="Arial" w:hAnsi="Arial"/>
          <w:sz w:val="18"/>
          <w:szCs w:val="18"/>
          <w:color w:val="auto"/>
        </w:rPr>
        <w:t>Certain amounts in previously issued financial statements have been reclassified to conform with the 2003 presentation.</w:t>
      </w:r>
    </w:p>
    <w:p>
      <w:pPr>
        <w:spacing w:after="0" w:line="225" w:lineRule="exact"/>
        <w:rPr>
          <w:sz w:val="20"/>
          <w:szCs w:val="20"/>
          <w:color w:val="auto"/>
        </w:rPr>
      </w:pPr>
    </w:p>
    <w:p>
      <w:pPr>
        <w:ind w:right="200"/>
        <w:spacing w:after="0" w:line="339" w:lineRule="auto"/>
        <w:rPr>
          <w:sz w:val="20"/>
          <w:szCs w:val="20"/>
          <w:color w:val="auto"/>
        </w:rPr>
      </w:pPr>
      <w:r>
        <w:rPr>
          <w:rFonts w:ascii="Arial" w:cs="Arial" w:eastAsia="Arial" w:hAnsi="Arial"/>
          <w:sz w:val="16"/>
          <w:szCs w:val="16"/>
          <w:b w:val="1"/>
          <w:bCs w:val="1"/>
          <w:color w:val="auto"/>
        </w:rPr>
        <w:t xml:space="preserve">Use of Estimates. </w:t>
      </w:r>
      <w:r>
        <w:rPr>
          <w:rFonts w:ascii="Arial" w:cs="Arial" w:eastAsia="Arial" w:hAnsi="Arial"/>
          <w:sz w:val="16"/>
          <w:szCs w:val="16"/>
          <w:color w:val="auto"/>
        </w:rPr>
        <w:t>The preparation of financial statements in conformity with generally accepted accounting principles requires management to make estimates</w:t>
      </w:r>
      <w:r>
        <w:rPr>
          <w:rFonts w:ascii="Arial" w:cs="Arial" w:eastAsia="Arial" w:hAnsi="Arial"/>
          <w:sz w:val="16"/>
          <w:szCs w:val="16"/>
          <w:b w:val="1"/>
          <w:bCs w:val="1"/>
          <w:color w:val="auto"/>
        </w:rPr>
        <w:t xml:space="preserve"> </w:t>
      </w:r>
      <w:r>
        <w:rPr>
          <w:rFonts w:ascii="Arial" w:cs="Arial" w:eastAsia="Arial" w:hAnsi="Arial"/>
          <w:sz w:val="16"/>
          <w:szCs w:val="16"/>
          <w:color w:val="auto"/>
        </w:rPr>
        <w:t>and assumptions that affect the amounts reported in the financial statements. Actual results could differ from those estimates.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Cash Equivalents. </w:t>
      </w:r>
      <w:r>
        <w:rPr>
          <w:rFonts w:ascii="Arial" w:cs="Arial" w:eastAsia="Arial" w:hAnsi="Arial"/>
          <w:sz w:val="18"/>
          <w:szCs w:val="18"/>
          <w:color w:val="auto"/>
        </w:rPr>
        <w:t>Short-term investments with original maturities of 90 days or less are considered cash equivalents.</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Investments in Marketable Equity Securities. </w:t>
      </w:r>
      <w:r>
        <w:rPr>
          <w:rFonts w:ascii="Arial" w:cs="Arial" w:eastAsia="Arial" w:hAnsi="Arial"/>
          <w:sz w:val="18"/>
          <w:szCs w:val="18"/>
          <w:color w:val="auto"/>
        </w:rPr>
        <w:t>The Company’s investments in marketable equity securities are classified as available-for-sale and therefore are</w:t>
      </w:r>
      <w:r>
        <w:rPr>
          <w:rFonts w:ascii="Arial" w:cs="Arial" w:eastAsia="Arial" w:hAnsi="Arial"/>
          <w:sz w:val="18"/>
          <w:szCs w:val="18"/>
          <w:b w:val="1"/>
          <w:bCs w:val="1"/>
          <w:color w:val="auto"/>
        </w:rPr>
        <w:t xml:space="preserve"> </w:t>
      </w:r>
      <w:r>
        <w:rPr>
          <w:rFonts w:ascii="Arial" w:cs="Arial" w:eastAsia="Arial" w:hAnsi="Arial"/>
          <w:sz w:val="18"/>
          <w:szCs w:val="18"/>
          <w:color w:val="auto"/>
        </w:rPr>
        <w:t>recorded at fair value in the Consolidated Balance Sheets, with the change in fair value during the period excluded from earnings and recorded net of tax as a separate component of comprehensive income. Marketable equity securities that the Company expects to hold long term are classified as non-current assets. If the fair value of a marketable security declines below its cost basis, and the decline is considered other than temporary, the Company will record a write-down which is included in earnings.</w:t>
      </w:r>
    </w:p>
    <w:p>
      <w:pPr>
        <w:spacing w:after="0" w:line="193"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Inventories are valued at the lower of cost or market. Cost of newsprint is determined by the first-in, first-out method, and cost of magazine paper is</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the specific-cost method.</w:t>
      </w:r>
    </w:p>
    <w:p>
      <w:pPr>
        <w:spacing w:after="0" w:line="174" w:lineRule="exact"/>
        <w:rPr>
          <w:sz w:val="20"/>
          <w:szCs w:val="20"/>
          <w:color w:val="auto"/>
        </w:rPr>
      </w:pPr>
    </w:p>
    <w:p>
      <w:pPr>
        <w:ind w:right="680"/>
        <w:spacing w:after="0" w:line="339" w:lineRule="auto"/>
        <w:rPr>
          <w:sz w:val="20"/>
          <w:szCs w:val="20"/>
          <w:color w:val="auto"/>
        </w:rPr>
      </w:pPr>
      <w:r>
        <w:rPr>
          <w:rFonts w:ascii="Arial" w:cs="Arial" w:eastAsia="Arial" w:hAnsi="Arial"/>
          <w:sz w:val="16"/>
          <w:szCs w:val="16"/>
          <w:b w:val="1"/>
          <w:bCs w:val="1"/>
          <w:color w:val="auto"/>
        </w:rPr>
        <w:t xml:space="preserve">Property, Plant and Equipment. </w:t>
      </w:r>
      <w:r>
        <w:rPr>
          <w:rFonts w:ascii="Arial" w:cs="Arial" w:eastAsia="Arial" w:hAnsi="Arial"/>
          <w:sz w:val="16"/>
          <w:szCs w:val="16"/>
          <w:color w:val="auto"/>
        </w:rPr>
        <w:t>Property, plant and equipment is recorded at cost and includes interest capitalized in connection with major long-term</w:t>
      </w:r>
      <w:r>
        <w:rPr>
          <w:rFonts w:ascii="Arial" w:cs="Arial" w:eastAsia="Arial" w:hAnsi="Arial"/>
          <w:sz w:val="16"/>
          <w:szCs w:val="16"/>
          <w:b w:val="1"/>
          <w:bCs w:val="1"/>
          <w:color w:val="auto"/>
        </w:rPr>
        <w:t xml:space="preserve"> </w:t>
      </w:r>
      <w:r>
        <w:rPr>
          <w:rFonts w:ascii="Arial" w:cs="Arial" w:eastAsia="Arial" w:hAnsi="Arial"/>
          <w:sz w:val="16"/>
          <w:szCs w:val="16"/>
          <w:color w:val="auto"/>
        </w:rPr>
        <w:t>construction projects. Replacements and major improvements are capitalized; maintenance and repairs are charged to operations as incurred.</w:t>
      </w:r>
    </w:p>
    <w:p>
      <w:pPr>
        <w:spacing w:after="0" w:line="13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Depreciation is calculated using the straight-line method over the estimated useful lives of the property, plant and equipment: 3 to 20 years for machinery and equipment, and 20 to 50 years for buildings. The costs of leasehold improvements are amortized over the lesser of the useful lives or the terms of the respective leases.</w:t>
      </w:r>
    </w:p>
    <w:p>
      <w:pPr>
        <w:spacing w:after="0" w:line="188" w:lineRule="exact"/>
        <w:rPr>
          <w:sz w:val="20"/>
          <w:szCs w:val="20"/>
          <w:color w:val="auto"/>
        </w:rPr>
      </w:pPr>
    </w:p>
    <w:p>
      <w:pPr>
        <w:jc w:val="both"/>
        <w:ind w:right="160"/>
        <w:spacing w:after="0" w:line="296" w:lineRule="auto"/>
        <w:rPr>
          <w:sz w:val="20"/>
          <w:szCs w:val="20"/>
          <w:color w:val="auto"/>
        </w:rPr>
      </w:pPr>
      <w:r>
        <w:rPr>
          <w:rFonts w:ascii="Arial" w:cs="Arial" w:eastAsia="Arial" w:hAnsi="Arial"/>
          <w:sz w:val="16"/>
          <w:szCs w:val="16"/>
          <w:b w:val="1"/>
          <w:bCs w:val="1"/>
          <w:color w:val="auto"/>
        </w:rPr>
        <w:t xml:space="preserve">Investments in Affiliates. </w:t>
      </w:r>
      <w:r>
        <w:rPr>
          <w:rFonts w:ascii="Arial" w:cs="Arial" w:eastAsia="Arial" w:hAnsi="Arial"/>
          <w:sz w:val="16"/>
          <w:szCs w:val="16"/>
          <w:color w:val="auto"/>
        </w:rPr>
        <w:t>The Company uses the equity method of accounting for its investments in and earnings or losses of affiliates that it does not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but over which it does exert significant influence. The Company considers whether the fair values of any of its equity method investments have declined below their carrying value whenever adverse events or changes in circumstances indicate that recorded values may not be recoverable. If the Company considered any such decline to be other than temporary (based on various factors, including historical financial results, product development activities and the overall health of the affiliate’s industry), a write-down would be recorded to estimated fair value.</w:t>
      </w:r>
    </w:p>
    <w:p>
      <w:pPr>
        <w:spacing w:after="0" w:line="162"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 xml:space="preserve">Cost Method Investments. </w:t>
      </w:r>
      <w:r>
        <w:rPr>
          <w:rFonts w:ascii="Arial" w:cs="Arial" w:eastAsia="Arial" w:hAnsi="Arial"/>
          <w:sz w:val="16"/>
          <w:szCs w:val="16"/>
          <w:color w:val="auto"/>
        </w:rPr>
        <w:t>The Company uses the cost method of accounting for its minority investments in non-public companies where it does not have</w:t>
      </w:r>
      <w:r>
        <w:rPr>
          <w:rFonts w:ascii="Arial" w:cs="Arial" w:eastAsia="Arial" w:hAnsi="Arial"/>
          <w:sz w:val="16"/>
          <w:szCs w:val="16"/>
          <w:b w:val="1"/>
          <w:bCs w:val="1"/>
          <w:color w:val="auto"/>
        </w:rPr>
        <w:t xml:space="preserve"> </w:t>
      </w:r>
      <w:r>
        <w:rPr>
          <w:rFonts w:ascii="Arial" w:cs="Arial" w:eastAsia="Arial" w:hAnsi="Arial"/>
          <w:sz w:val="16"/>
          <w:szCs w:val="16"/>
          <w:color w:val="auto"/>
        </w:rPr>
        <w:t>significant influence over the operations and management of the investee. Investments are recorded at the lower of cost or fair value as estimated by management. Charges recorded to write-down cost method investments to their estimated fair value and gross realized gains or losses upon the sale of cost method investments are included in “Other income (expense), net” in the Consolidated Statements of Income. Fair value estimates are based on a review of the investees’ product development activities, historical financial results and projected discounted cash flows.</w:t>
      </w:r>
    </w:p>
    <w:p>
      <w:pPr>
        <w:spacing w:after="0" w:line="16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b w:val="1"/>
          <w:bCs w:val="1"/>
          <w:color w:val="auto"/>
        </w:rPr>
        <w:t xml:space="preserve">Goodwill and Other Intangibles. </w:t>
      </w:r>
      <w:r>
        <w:rPr>
          <w:rFonts w:ascii="Arial" w:cs="Arial" w:eastAsia="Arial" w:hAnsi="Arial"/>
          <w:sz w:val="16"/>
          <w:szCs w:val="16"/>
          <w:color w:val="auto"/>
        </w:rPr>
        <w:t>Prior to 2002, goodwill and other intangibles were amortized by use of the straight-line method over periods ranging from 15</w:t>
      </w:r>
      <w:r>
        <w:rPr>
          <w:rFonts w:ascii="Arial" w:cs="Arial" w:eastAsia="Arial" w:hAnsi="Arial"/>
          <w:sz w:val="16"/>
          <w:szCs w:val="16"/>
          <w:b w:val="1"/>
          <w:bCs w:val="1"/>
          <w:color w:val="auto"/>
        </w:rPr>
        <w:t xml:space="preserve"> </w:t>
      </w:r>
      <w:r>
        <w:rPr>
          <w:rFonts w:ascii="Arial" w:cs="Arial" w:eastAsia="Arial" w:hAnsi="Arial"/>
          <w:sz w:val="16"/>
          <w:szCs w:val="16"/>
          <w:color w:val="auto"/>
        </w:rPr>
        <w:t>to 40 years (with the majority being amortized over 15 to 25 years). Prior to the adoption of Statement of Financial Accounting Standards No. 142 (SFAS 142), “Goodwill and Other Intangible Assets,” the carrying value of goodwill and other intangible assets was assessed whenever adverse trends and changes in circumstances indicated that previously anticipated undiscounted cash flows warranted assessment. The carrying value of goodwill and other intangible assets would be considered impaired if the projected undiscounted future cash flows from a business were less than the carrying value of the business. Impairment would be measured based on the amounts that the carrying value of a business exceeded the fair market value (the fair market value determined primarily based on projected future cash flows with an appropriate discount rate).</w:t>
      </w:r>
    </w:p>
    <w:p>
      <w:pPr>
        <w:spacing w:after="0" w:line="17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As a result of the adoption of SFAS 142 in 2002, goodwill and indefinite-lived intangibles are no longer amortized, but are reviewed at least annually for impairment. All other intangible assets are amortized over their useful lives. The Company reviews the carrying value of goodwill and indefinite-lived intangible assets utilizing a discounted cash flow model (in the case of the Company’s cable systems, both a discounted cash flow model and an estimated fair market value per cable subscriber approach are considered). The Company must make assumptions regarding estimated future cash flows and market values to determine a reporting unit’s estimated fair value. In reviewing the carrying value of goodwill and indefinite-lived intangible assets at the cable division, the Company aggregates its cable systems on a regional basis. If these estimates or related assumptions change in the future, the Company may be required to record an impairment charge.</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3" w:name="page54"/>
    <w:bookmarkEnd w:id="53"/>
    <w:p>
      <w:pPr>
        <w:spacing w:after="0" w:line="1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Long-Lived Assets. </w:t>
      </w:r>
      <w:r>
        <w:rPr>
          <w:rFonts w:ascii="Arial" w:cs="Arial" w:eastAsia="Arial" w:hAnsi="Arial"/>
          <w:sz w:val="18"/>
          <w:szCs w:val="18"/>
          <w:color w:val="auto"/>
        </w:rPr>
        <w:t>The recoverability of long-lived assets other than goodwill and other intangibles is assessed whenever adverse events or changes in</w:t>
      </w:r>
      <w:r>
        <w:rPr>
          <w:rFonts w:ascii="Arial" w:cs="Arial" w:eastAsia="Arial" w:hAnsi="Arial"/>
          <w:sz w:val="18"/>
          <w:szCs w:val="18"/>
          <w:b w:val="1"/>
          <w:bCs w:val="1"/>
          <w:color w:val="auto"/>
        </w:rPr>
        <w:t xml:space="preserve"> </w:t>
      </w:r>
      <w:r>
        <w:rPr>
          <w:rFonts w:ascii="Arial" w:cs="Arial" w:eastAsia="Arial" w:hAnsi="Arial"/>
          <w:sz w:val="18"/>
          <w:szCs w:val="18"/>
          <w:color w:val="auto"/>
        </w:rPr>
        <w:t>circumstances indicate that recorded values may not be recoverable. A long-lived asset is considered to be not recoverable when the undiscounted estimated future cash flows are less than its recorded value. An impairment charge is measured based on estimated fair market value, determined primarily using estimated future cash flows on a discounted basis. Losses on long-lived assets to be disposed are determined in a similar manner, but the fair market value would be reduced for estimated costs to dispose.</w:t>
      </w:r>
    </w:p>
    <w:p>
      <w:pPr>
        <w:spacing w:after="0" w:line="193" w:lineRule="exact"/>
        <w:rPr>
          <w:sz w:val="20"/>
          <w:szCs w:val="20"/>
          <w:color w:val="auto"/>
        </w:rPr>
      </w:pPr>
    </w:p>
    <w:p>
      <w:pPr>
        <w:ind w:right="220"/>
        <w:spacing w:after="0" w:line="339" w:lineRule="auto"/>
        <w:rPr>
          <w:sz w:val="20"/>
          <w:szCs w:val="20"/>
          <w:color w:val="auto"/>
        </w:rPr>
      </w:pPr>
      <w:r>
        <w:rPr>
          <w:rFonts w:ascii="Arial" w:cs="Arial" w:eastAsia="Arial" w:hAnsi="Arial"/>
          <w:sz w:val="16"/>
          <w:szCs w:val="16"/>
          <w:b w:val="1"/>
          <w:bCs w:val="1"/>
          <w:color w:val="auto"/>
        </w:rPr>
        <w:t xml:space="preserve">Program Rights. </w:t>
      </w:r>
      <w:r>
        <w:rPr>
          <w:rFonts w:ascii="Arial" w:cs="Arial" w:eastAsia="Arial" w:hAnsi="Arial"/>
          <w:sz w:val="16"/>
          <w:szCs w:val="16"/>
          <w:color w:val="auto"/>
        </w:rPr>
        <w:t>The broadcast subsidiaries are parties to agreements that entitle them to show syndicated and other programs on television. The costs of such</w:t>
      </w:r>
      <w:r>
        <w:rPr>
          <w:rFonts w:ascii="Arial" w:cs="Arial" w:eastAsia="Arial" w:hAnsi="Arial"/>
          <w:sz w:val="16"/>
          <w:szCs w:val="16"/>
          <w:b w:val="1"/>
          <w:bCs w:val="1"/>
          <w:color w:val="auto"/>
        </w:rPr>
        <w:t xml:space="preserve"> </w:t>
      </w:r>
      <w:r>
        <w:rPr>
          <w:rFonts w:ascii="Arial" w:cs="Arial" w:eastAsia="Arial" w:hAnsi="Arial"/>
          <w:sz w:val="16"/>
          <w:szCs w:val="16"/>
          <w:color w:val="auto"/>
        </w:rPr>
        <w:t>program rights are recorded when the programs are available for broadcasting, and such costs are charged to operations as the programming is aired.</w:t>
      </w:r>
    </w:p>
    <w:p>
      <w:pPr>
        <w:spacing w:after="0" w:line="12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Revenue from media advertising is recognized, net of agency commissions, when the underlying advertisement is published or broadcast.</w:t>
      </w:r>
      <w:r>
        <w:rPr>
          <w:rFonts w:ascii="Arial" w:cs="Arial" w:eastAsia="Arial" w:hAnsi="Arial"/>
          <w:sz w:val="16"/>
          <w:szCs w:val="16"/>
          <w:b w:val="1"/>
          <w:bCs w:val="1"/>
          <w:color w:val="auto"/>
        </w:rPr>
        <w:t xml:space="preserve"> </w:t>
      </w:r>
      <w:r>
        <w:rPr>
          <w:rFonts w:ascii="Arial" w:cs="Arial" w:eastAsia="Arial" w:hAnsi="Arial"/>
          <w:sz w:val="16"/>
          <w:szCs w:val="16"/>
          <w:color w:val="auto"/>
        </w:rPr>
        <w:t>Revenues from newspaper and magazine subscriptions are recognized upon delivery. Revenues from newspaper retail sales are recognized upon delivery, and revenues from magazine retail sales are recognized on the later of delivery or cover date, with adequate provision made for anticipated sales returns. Cable subscriber revenue is recognized monthly as services are delivered. Education revenue is generally recognized ratably over the period during which educational services are delivered. At Kaplan’s test preparation division, estimates of average student course length are developed for each course, and these estimates are evaluated on an ongoing basis and adjusted as necessary.</w:t>
      </w:r>
    </w:p>
    <w:p>
      <w:pPr>
        <w:spacing w:after="0" w:line="171"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Company bases its estimates for sales returns on historical experience and has not experienced significant fluctuations between estimated and actual return activity. Amounts received from customers in advance of revenue recognition are deferred as liabilities. Deferred revenue to be earned after one year is included in “Other Liabilities” in the Consolidated Balance Sheets.</w:t>
      </w:r>
    </w:p>
    <w:p>
      <w:pPr>
        <w:spacing w:after="0" w:line="188" w:lineRule="exact"/>
        <w:rPr>
          <w:sz w:val="20"/>
          <w:szCs w:val="20"/>
          <w:color w:val="auto"/>
        </w:rPr>
      </w:pPr>
    </w:p>
    <w:p>
      <w:pPr>
        <w:jc w:val="both"/>
        <w:ind w:right="160"/>
        <w:spacing w:after="0" w:line="275" w:lineRule="auto"/>
        <w:rPr>
          <w:sz w:val="20"/>
          <w:szCs w:val="20"/>
          <w:color w:val="auto"/>
        </w:rPr>
      </w:pPr>
      <w:r>
        <w:rPr>
          <w:rFonts w:ascii="Arial" w:cs="Arial" w:eastAsia="Arial" w:hAnsi="Arial"/>
          <w:sz w:val="18"/>
          <w:szCs w:val="18"/>
          <w:b w:val="1"/>
          <w:bCs w:val="1"/>
          <w:color w:val="auto"/>
        </w:rPr>
        <w:t xml:space="preserve">Postretirement Benefits Other Than Pensions. </w:t>
      </w:r>
      <w:r>
        <w:rPr>
          <w:rFonts w:ascii="Arial" w:cs="Arial" w:eastAsia="Arial" w:hAnsi="Arial"/>
          <w:sz w:val="18"/>
          <w:szCs w:val="18"/>
          <w:color w:val="auto"/>
        </w:rPr>
        <w:t>The Company provides health care and life insurance benefits for certain retired employees. The expected cost</w:t>
      </w:r>
      <w:r>
        <w:rPr>
          <w:rFonts w:ascii="Arial" w:cs="Arial" w:eastAsia="Arial" w:hAnsi="Arial"/>
          <w:sz w:val="18"/>
          <w:szCs w:val="18"/>
          <w:b w:val="1"/>
          <w:bCs w:val="1"/>
          <w:color w:val="auto"/>
        </w:rPr>
        <w:t xml:space="preserve"> </w:t>
      </w:r>
      <w:r>
        <w:rPr>
          <w:rFonts w:ascii="Arial" w:cs="Arial" w:eastAsia="Arial" w:hAnsi="Arial"/>
          <w:sz w:val="18"/>
          <w:szCs w:val="18"/>
          <w:color w:val="auto"/>
        </w:rPr>
        <w:t>of providing these postretirement benefits is accrued over the years that employees render services.</w:t>
      </w:r>
    </w:p>
    <w:p>
      <w:pPr>
        <w:spacing w:after="0" w:line="174" w:lineRule="exact"/>
        <w:rPr>
          <w:sz w:val="20"/>
          <w:szCs w:val="20"/>
          <w:color w:val="auto"/>
        </w:rPr>
      </w:pPr>
    </w:p>
    <w:p>
      <w:pPr>
        <w:ind w:right="380"/>
        <w:spacing w:after="0" w:line="339"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The provision for income taxes is determined using the asset and liability approach. Under this approach, deferred income taxes represent the</w:t>
      </w:r>
      <w:r>
        <w:rPr>
          <w:rFonts w:ascii="Arial" w:cs="Arial" w:eastAsia="Arial" w:hAnsi="Arial"/>
          <w:sz w:val="16"/>
          <w:szCs w:val="16"/>
          <w:b w:val="1"/>
          <w:bCs w:val="1"/>
          <w:color w:val="auto"/>
        </w:rPr>
        <w:t xml:space="preserve"> </w:t>
      </w:r>
      <w:r>
        <w:rPr>
          <w:rFonts w:ascii="Arial" w:cs="Arial" w:eastAsia="Arial" w:hAnsi="Arial"/>
          <w:sz w:val="16"/>
          <w:szCs w:val="16"/>
          <w:color w:val="auto"/>
        </w:rPr>
        <w:t>expected future tax consequences of temporary differences between the carrying amounts and tax bases of assets and liabilities.</w:t>
      </w:r>
    </w:p>
    <w:p>
      <w:pPr>
        <w:spacing w:after="0" w:line="12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color w:val="auto"/>
        </w:rPr>
        <w:t xml:space="preserve">Foreign Currency Translation. </w:t>
      </w:r>
      <w:r>
        <w:rPr>
          <w:rFonts w:ascii="Arial" w:cs="Arial" w:eastAsia="Arial" w:hAnsi="Arial"/>
          <w:sz w:val="16"/>
          <w:szCs w:val="16"/>
          <w:color w:val="auto"/>
        </w:rPr>
        <w:t>Gains and losses on foreign currency transactions and the translation of the accounts of the Company’s foreign operations where</w:t>
      </w:r>
      <w:r>
        <w:rPr>
          <w:rFonts w:ascii="Arial" w:cs="Arial" w:eastAsia="Arial" w:hAnsi="Arial"/>
          <w:sz w:val="16"/>
          <w:szCs w:val="16"/>
          <w:b w:val="1"/>
          <w:bCs w:val="1"/>
          <w:color w:val="auto"/>
        </w:rPr>
        <w:t xml:space="preserve"> </w:t>
      </w:r>
      <w:r>
        <w:rPr>
          <w:rFonts w:ascii="Arial" w:cs="Arial" w:eastAsia="Arial" w:hAnsi="Arial"/>
          <w:sz w:val="16"/>
          <w:szCs w:val="16"/>
          <w:color w:val="auto"/>
        </w:rPr>
        <w:t>the U.S. dollar is the functional currency are recognized currently in the Consolidated Statements of Income. Gains and losses on translation of the accounts of the Company’s foreign operations, where the local currency is the functional currency, and the Company’s equity investments in its foreign affiliates are accumulated and reported as a separate component of equity and comprehensive income.</w:t>
      </w:r>
    </w:p>
    <w:p>
      <w:pPr>
        <w:spacing w:after="0" w:line="157"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color w:val="auto"/>
        </w:rPr>
        <w:t xml:space="preserve">Stock Options. </w:t>
      </w:r>
      <w:r>
        <w:rPr>
          <w:rFonts w:ascii="Arial" w:cs="Arial" w:eastAsia="Arial" w:hAnsi="Arial"/>
          <w:sz w:val="16"/>
          <w:szCs w:val="16"/>
          <w:color w:val="auto"/>
        </w:rPr>
        <w:t>Effective the first day of the Company’s 2002 fiscal year, the Company adopted the fair-value-based method of accounting for Company stock</w:t>
      </w:r>
      <w:r>
        <w:rPr>
          <w:rFonts w:ascii="Arial" w:cs="Arial" w:eastAsia="Arial" w:hAnsi="Arial"/>
          <w:sz w:val="16"/>
          <w:szCs w:val="16"/>
          <w:b w:val="1"/>
          <w:bCs w:val="1"/>
          <w:color w:val="auto"/>
        </w:rPr>
        <w:t xml:space="preserve"> </w:t>
      </w:r>
      <w:r>
        <w:rPr>
          <w:rFonts w:ascii="Arial" w:cs="Arial" w:eastAsia="Arial" w:hAnsi="Arial"/>
          <w:sz w:val="16"/>
          <w:szCs w:val="16"/>
          <w:color w:val="auto"/>
        </w:rPr>
        <w:t>options as outlined in Statement of Financial Accounting Standards No. 123 (SFAS 123), “Accounting for Stock-Based Compensation.” This change in accounting method was applied prospectively to all awards granted from the beginning of the Company’s fiscal year 2002 and thereafter. Stock options awarded prior to fiscal year 2002 will continue to be accounted for under the intrinsic value method under Accounting Principles Board Opinion No. 25, “Accounting for Stock Issued to Employees.” The following table presents what the Company’s results would have been had the fair values of options granted after 1995, but prior to 2002, been recognized as compensation expense in 2003, 2002 and 2001 (in thousands, except per share amounts).</w:t>
      </w:r>
    </w:p>
    <w:p>
      <w:pPr>
        <w:spacing w:after="0" w:line="381"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ind w:right="352"/>
              <w:spacing w:after="0"/>
              <w:rPr>
                <w:sz w:val="20"/>
                <w:szCs w:val="20"/>
                <w:color w:val="auto"/>
              </w:rPr>
            </w:pPr>
            <w:r>
              <w:rPr>
                <w:rFonts w:ascii="Arial" w:cs="Arial" w:eastAsia="Arial" w:hAnsi="Arial"/>
                <w:sz w:val="18"/>
                <w:szCs w:val="18"/>
                <w:b w:val="1"/>
                <w:bCs w:val="1"/>
                <w:color w:val="auto"/>
              </w:rPr>
              <w:t>2003</w:t>
            </w:r>
          </w:p>
        </w:tc>
        <w:tc>
          <w:tcPr>
            <w:tcW w:w="540" w:type="dxa"/>
            <w:vAlign w:val="bottom"/>
          </w:tcPr>
          <w:p>
            <w:pPr>
              <w:spacing w:after="0"/>
              <w:rPr>
                <w:sz w:val="19"/>
                <w:szCs w:val="19"/>
                <w:color w:val="auto"/>
              </w:rPr>
            </w:pPr>
          </w:p>
        </w:tc>
        <w:tc>
          <w:tcPr>
            <w:tcW w:w="1020" w:type="dxa"/>
            <w:vAlign w:val="bottom"/>
          </w:tcPr>
          <w:p>
            <w:pPr>
              <w:jc w:val="right"/>
              <w:ind w:right="352"/>
              <w:spacing w:after="0"/>
              <w:rPr>
                <w:sz w:val="20"/>
                <w:szCs w:val="20"/>
                <w:color w:val="auto"/>
              </w:rPr>
            </w:pPr>
            <w:r>
              <w:rPr>
                <w:rFonts w:ascii="Arial" w:cs="Arial" w:eastAsia="Arial" w:hAnsi="Arial"/>
                <w:sz w:val="18"/>
                <w:szCs w:val="18"/>
                <w:color w:val="auto"/>
              </w:rPr>
              <w:t>2002</w:t>
            </w:r>
          </w:p>
        </w:tc>
        <w:tc>
          <w:tcPr>
            <w:tcW w:w="540" w:type="dxa"/>
            <w:vAlign w:val="bottom"/>
          </w:tcPr>
          <w:p>
            <w:pPr>
              <w:spacing w:after="0"/>
              <w:rPr>
                <w:sz w:val="19"/>
                <w:szCs w:val="19"/>
                <w:color w:val="auto"/>
              </w:rPr>
            </w:pPr>
          </w:p>
        </w:tc>
        <w:tc>
          <w:tcPr>
            <w:tcW w:w="840" w:type="dxa"/>
            <w:vAlign w:val="bottom"/>
          </w:tcPr>
          <w:p>
            <w:pPr>
              <w:jc w:val="right"/>
              <w:ind w:right="192"/>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8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EEEEEE"/>
          </w:tcPr>
          <w:p>
            <w:pPr>
              <w:spacing w:after="0"/>
              <w:rPr>
                <w:sz w:val="20"/>
                <w:szCs w:val="20"/>
                <w:color w:val="auto"/>
              </w:rPr>
            </w:pPr>
            <w:r>
              <w:rPr>
                <w:rFonts w:ascii="Arial" w:cs="Arial" w:eastAsia="Arial" w:hAnsi="Arial"/>
                <w:sz w:val="18"/>
                <w:szCs w:val="18"/>
                <w:color w:val="auto"/>
              </w:rPr>
              <w:t>Stock option compensation expense included in net income</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EEEEEE"/>
          </w:tcPr>
          <w:p>
            <w:pPr>
              <w:jc w:val="right"/>
              <w:ind w:right="352"/>
              <w:spacing w:after="0"/>
              <w:rPr>
                <w:sz w:val="20"/>
                <w:szCs w:val="20"/>
                <w:color w:val="auto"/>
              </w:rPr>
            </w:pPr>
            <w:r>
              <w:rPr>
                <w:rFonts w:ascii="Arial" w:cs="Arial" w:eastAsia="Arial" w:hAnsi="Arial"/>
                <w:sz w:val="18"/>
                <w:szCs w:val="18"/>
                <w:b w:val="1"/>
                <w:bCs w:val="1"/>
                <w:color w:val="auto"/>
              </w:rPr>
              <w:t>606</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45</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5880" w:type="dxa"/>
            <w:vAlign w:val="bottom"/>
            <w:gridSpan w:val="2"/>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80" w:type="dxa"/>
            <w:vAlign w:val="bottom"/>
            <w:gridSpan w:val="2"/>
          </w:tcPr>
          <w:p>
            <w:pPr>
              <w:spacing w:after="0"/>
              <w:rPr>
                <w:sz w:val="20"/>
                <w:szCs w:val="20"/>
                <w:color w:val="auto"/>
              </w:rPr>
            </w:pPr>
            <w:r>
              <w:rPr>
                <w:rFonts w:ascii="Arial" w:cs="Arial" w:eastAsia="Arial" w:hAnsi="Arial"/>
                <w:sz w:val="18"/>
                <w:szCs w:val="18"/>
                <w:color w:val="auto"/>
              </w:rPr>
              <w:t>Net income available for common shares, as reported</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352"/>
              <w:spacing w:after="0"/>
              <w:rPr>
                <w:sz w:val="20"/>
                <w:szCs w:val="20"/>
                <w:color w:val="auto"/>
              </w:rPr>
            </w:pPr>
            <w:r>
              <w:rPr>
                <w:rFonts w:ascii="Arial" w:cs="Arial" w:eastAsia="Arial" w:hAnsi="Arial"/>
                <w:sz w:val="18"/>
                <w:szCs w:val="18"/>
                <w:b w:val="1"/>
                <w:bCs w:val="1"/>
                <w:color w:val="auto"/>
                <w:w w:val="86"/>
              </w:rPr>
              <w:t>240,061</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2"/>
              <w:spacing w:after="0"/>
              <w:rPr>
                <w:sz w:val="20"/>
                <w:szCs w:val="20"/>
                <w:color w:val="auto"/>
              </w:rPr>
            </w:pPr>
            <w:r>
              <w:rPr>
                <w:rFonts w:ascii="Arial" w:cs="Arial" w:eastAsia="Arial" w:hAnsi="Arial"/>
                <w:sz w:val="18"/>
                <w:szCs w:val="18"/>
                <w:color w:val="auto"/>
                <w:w w:val="86"/>
              </w:rPr>
              <w:t>203,235</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2"/>
              <w:spacing w:after="0"/>
              <w:rPr>
                <w:sz w:val="20"/>
                <w:szCs w:val="20"/>
                <w:color w:val="auto"/>
              </w:rPr>
            </w:pPr>
            <w:r>
              <w:rPr>
                <w:rFonts w:ascii="Arial" w:cs="Arial" w:eastAsia="Arial" w:hAnsi="Arial"/>
                <w:sz w:val="18"/>
                <w:szCs w:val="18"/>
                <w:color w:val="auto"/>
                <w:w w:val="82"/>
              </w:rPr>
              <w:t>228,587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60" w:type="dxa"/>
            <w:vAlign w:val="bottom"/>
            <w:shd w:val="clear" w:color="auto" w:fill="EEEEEE"/>
          </w:tcPr>
          <w:p>
            <w:pPr>
              <w:spacing w:after="0"/>
              <w:rPr>
                <w:sz w:val="20"/>
                <w:szCs w:val="20"/>
                <w:color w:val="auto"/>
              </w:rPr>
            </w:pPr>
            <w:r>
              <w:rPr>
                <w:rFonts w:ascii="Arial" w:cs="Arial" w:eastAsia="Arial" w:hAnsi="Arial"/>
                <w:sz w:val="18"/>
                <w:szCs w:val="18"/>
                <w:color w:val="auto"/>
              </w:rPr>
              <w:t>Stock option compensation expense not included in net income</w:t>
            </w:r>
          </w:p>
        </w:tc>
        <w:tc>
          <w:tcPr>
            <w:tcW w:w="44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352"/>
              <w:spacing w:after="0"/>
              <w:rPr>
                <w:sz w:val="20"/>
                <w:szCs w:val="20"/>
                <w:color w:val="auto"/>
              </w:rPr>
            </w:pPr>
            <w:r>
              <w:rPr>
                <w:rFonts w:ascii="Arial" w:cs="Arial" w:eastAsia="Arial" w:hAnsi="Arial"/>
                <w:sz w:val="18"/>
                <w:szCs w:val="18"/>
                <w:b w:val="1"/>
                <w:bCs w:val="1"/>
                <w:color w:val="auto"/>
              </w:rPr>
              <w:t>3,159</w:t>
            </w:r>
          </w:p>
        </w:tc>
        <w:tc>
          <w:tcPr>
            <w:tcW w:w="54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3,617</w:t>
            </w:r>
          </w:p>
        </w:tc>
        <w:tc>
          <w:tcPr>
            <w:tcW w:w="540" w:type="dxa"/>
            <w:vAlign w:val="bottom"/>
            <w:shd w:val="clear" w:color="auto" w:fill="EEEEEE"/>
          </w:tcPr>
          <w:p>
            <w:pPr>
              <w:spacing w:after="0"/>
              <w:rPr>
                <w:sz w:val="18"/>
                <w:szCs w:val="18"/>
                <w:color w:val="auto"/>
              </w:rPr>
            </w:pPr>
          </w:p>
        </w:tc>
        <w:tc>
          <w:tcPr>
            <w:tcW w:w="84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rPr>
              <w:t>4,309</w:t>
            </w:r>
          </w:p>
        </w:tc>
        <w:tc>
          <w:tcPr>
            <w:tcW w:w="0" w:type="dxa"/>
            <w:vAlign w:val="bottom"/>
          </w:tcPr>
          <w:p>
            <w:pPr>
              <w:spacing w:after="0"/>
              <w:rPr>
                <w:sz w:val="1"/>
                <w:szCs w:val="1"/>
                <w:color w:val="auto"/>
              </w:rPr>
            </w:pPr>
          </w:p>
        </w:tc>
      </w:tr>
      <w:tr>
        <w:trPr>
          <w:trHeight w:val="108"/>
        </w:trPr>
        <w:tc>
          <w:tcPr>
            <w:tcW w:w="5880" w:type="dxa"/>
            <w:vAlign w:val="bottom"/>
            <w:gridSpan w:val="2"/>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Pro forma net income available for common shares</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352"/>
              <w:spacing w:after="0"/>
              <w:rPr>
                <w:sz w:val="20"/>
                <w:szCs w:val="20"/>
                <w:color w:val="auto"/>
              </w:rPr>
            </w:pPr>
            <w:r>
              <w:rPr>
                <w:rFonts w:ascii="Arial" w:cs="Arial" w:eastAsia="Arial" w:hAnsi="Arial"/>
                <w:sz w:val="18"/>
                <w:szCs w:val="18"/>
                <w:b w:val="1"/>
                <w:bCs w:val="1"/>
                <w:color w:val="auto"/>
                <w:w w:val="86"/>
              </w:rPr>
              <w:t>236,902</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2"/>
              <w:spacing w:after="0"/>
              <w:rPr>
                <w:sz w:val="20"/>
                <w:szCs w:val="20"/>
                <w:color w:val="auto"/>
              </w:rPr>
            </w:pPr>
            <w:r>
              <w:rPr>
                <w:rFonts w:ascii="Arial" w:cs="Arial" w:eastAsia="Arial" w:hAnsi="Arial"/>
                <w:sz w:val="18"/>
                <w:szCs w:val="18"/>
                <w:color w:val="auto"/>
                <w:w w:val="86"/>
              </w:rPr>
              <w:t>199,618</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2"/>
              <w:spacing w:after="0"/>
              <w:rPr>
                <w:sz w:val="20"/>
                <w:szCs w:val="20"/>
                <w:color w:val="auto"/>
              </w:rPr>
            </w:pPr>
            <w:r>
              <w:rPr>
                <w:rFonts w:ascii="Arial" w:cs="Arial" w:eastAsia="Arial" w:hAnsi="Arial"/>
                <w:sz w:val="18"/>
                <w:szCs w:val="18"/>
                <w:color w:val="auto"/>
                <w:w w:val="82"/>
              </w:rPr>
              <w:t>224,278</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8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EEEEEE"/>
          </w:tcPr>
          <w:p>
            <w:pPr>
              <w:spacing w:after="0"/>
              <w:rPr>
                <w:sz w:val="20"/>
                <w:szCs w:val="20"/>
                <w:color w:val="auto"/>
              </w:rPr>
            </w:pPr>
            <w:r>
              <w:rPr>
                <w:rFonts w:ascii="Arial" w:cs="Arial" w:eastAsia="Arial" w:hAnsi="Arial"/>
                <w:sz w:val="18"/>
                <w:szCs w:val="18"/>
                <w:color w:val="auto"/>
              </w:rPr>
              <w:t>Basic earnings per share, as reported</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EEEEEE"/>
          </w:tcPr>
          <w:p>
            <w:pPr>
              <w:jc w:val="right"/>
              <w:ind w:right="352"/>
              <w:spacing w:after="0"/>
              <w:rPr>
                <w:sz w:val="20"/>
                <w:szCs w:val="20"/>
                <w:color w:val="auto"/>
              </w:rPr>
            </w:pPr>
            <w:r>
              <w:rPr>
                <w:rFonts w:ascii="Arial" w:cs="Arial" w:eastAsia="Arial" w:hAnsi="Arial"/>
                <w:sz w:val="18"/>
                <w:szCs w:val="18"/>
                <w:b w:val="1"/>
                <w:bCs w:val="1"/>
                <w:color w:val="auto"/>
              </w:rPr>
              <w:t>25.19</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21.38</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rPr>
              <w:t>24.10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Pro forma basic earnings per share</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352"/>
              <w:spacing w:after="0"/>
              <w:rPr>
                <w:sz w:val="20"/>
                <w:szCs w:val="20"/>
                <w:color w:val="auto"/>
              </w:rPr>
            </w:pPr>
            <w:r>
              <w:rPr>
                <w:rFonts w:ascii="Arial" w:cs="Arial" w:eastAsia="Arial" w:hAnsi="Arial"/>
                <w:sz w:val="18"/>
                <w:szCs w:val="18"/>
                <w:b w:val="1"/>
                <w:bCs w:val="1"/>
                <w:color w:val="auto"/>
              </w:rPr>
              <w:t>24.86</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2"/>
              <w:spacing w:after="0"/>
              <w:rPr>
                <w:sz w:val="20"/>
                <w:szCs w:val="20"/>
                <w:color w:val="auto"/>
              </w:rPr>
            </w:pPr>
            <w:r>
              <w:rPr>
                <w:rFonts w:ascii="Arial" w:cs="Arial" w:eastAsia="Arial" w:hAnsi="Arial"/>
                <w:sz w:val="18"/>
                <w:szCs w:val="18"/>
                <w:color w:val="auto"/>
              </w:rPr>
              <w:t>21.00</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2"/>
              <w:spacing w:after="0"/>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EEEEEE"/>
          </w:tcPr>
          <w:p>
            <w:pPr>
              <w:spacing w:after="0"/>
              <w:rPr>
                <w:sz w:val="20"/>
                <w:szCs w:val="20"/>
                <w:color w:val="auto"/>
              </w:rPr>
            </w:pPr>
            <w:r>
              <w:rPr>
                <w:rFonts w:ascii="Arial" w:cs="Arial" w:eastAsia="Arial" w:hAnsi="Arial"/>
                <w:sz w:val="18"/>
                <w:szCs w:val="18"/>
                <w:color w:val="auto"/>
              </w:rPr>
              <w:t>Diluted earnings per share, as reported</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EEEEEE"/>
          </w:tcPr>
          <w:p>
            <w:pPr>
              <w:jc w:val="right"/>
              <w:ind w:right="352"/>
              <w:spacing w:after="0"/>
              <w:rPr>
                <w:sz w:val="20"/>
                <w:szCs w:val="20"/>
                <w:color w:val="auto"/>
              </w:rPr>
            </w:pPr>
            <w:r>
              <w:rPr>
                <w:rFonts w:ascii="Arial" w:cs="Arial" w:eastAsia="Arial" w:hAnsi="Arial"/>
                <w:sz w:val="18"/>
                <w:szCs w:val="18"/>
                <w:b w:val="1"/>
                <w:bCs w:val="1"/>
                <w:color w:val="auto"/>
              </w:rPr>
              <w:t>25.12</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21.34</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rPr>
              <w:t>24.06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Pro forma diluted earnings per share</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352"/>
              <w:spacing w:after="0"/>
              <w:rPr>
                <w:sz w:val="20"/>
                <w:szCs w:val="20"/>
                <w:color w:val="auto"/>
              </w:rPr>
            </w:pPr>
            <w:r>
              <w:rPr>
                <w:rFonts w:ascii="Arial" w:cs="Arial" w:eastAsia="Arial" w:hAnsi="Arial"/>
                <w:sz w:val="18"/>
                <w:szCs w:val="18"/>
                <w:b w:val="1"/>
                <w:bCs w:val="1"/>
                <w:color w:val="auto"/>
              </w:rPr>
              <w:t>24.79</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2"/>
              <w:spacing w:after="0"/>
              <w:rPr>
                <w:sz w:val="20"/>
                <w:szCs w:val="20"/>
                <w:color w:val="auto"/>
              </w:rPr>
            </w:pPr>
            <w:r>
              <w:rPr>
                <w:rFonts w:ascii="Arial" w:cs="Arial" w:eastAsia="Arial" w:hAnsi="Arial"/>
                <w:sz w:val="18"/>
                <w:szCs w:val="18"/>
                <w:color w:val="auto"/>
              </w:rPr>
              <w:t>20.96</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2"/>
              <w:spacing w:after="0"/>
              <w:rPr>
                <w:sz w:val="20"/>
                <w:szCs w:val="20"/>
                <w:color w:val="auto"/>
              </w:rPr>
            </w:pPr>
            <w:r>
              <w:rPr>
                <w:rFonts w:ascii="Arial" w:cs="Arial" w:eastAsia="Arial" w:hAnsi="Arial"/>
                <w:sz w:val="18"/>
                <w:szCs w:val="18"/>
                <w:color w:val="auto"/>
              </w:rPr>
              <w:t>23.61</w:t>
            </w: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ACCOUNTS RECEIVABLE AND ACCOUNTS PAYABLE AND ACCRUED LIABILITIES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at December 28, 2003 and December 29, 2002 consist of the following (in thousands):</w:t>
      </w:r>
    </w:p>
    <w:p>
      <w:pPr>
        <w:spacing w:after="0" w:line="200" w:lineRule="exact"/>
        <w:rPr>
          <w:sz w:val="20"/>
          <w:szCs w:val="20"/>
          <w:color w:val="auto"/>
        </w:rPr>
      </w:pP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1500" w:type="dxa"/>
            <w:vAlign w:val="bottom"/>
          </w:tcPr>
          <w:p>
            <w:pPr>
              <w:jc w:val="right"/>
              <w:ind w:right="352"/>
              <w:spacing w:after="0"/>
              <w:rPr>
                <w:sz w:val="20"/>
                <w:szCs w:val="20"/>
                <w:color w:val="auto"/>
              </w:rPr>
            </w:pPr>
            <w:r>
              <w:rPr>
                <w:rFonts w:ascii="Arial" w:cs="Arial" w:eastAsia="Arial" w:hAnsi="Arial"/>
                <w:sz w:val="18"/>
                <w:szCs w:val="18"/>
                <w:b w:val="1"/>
                <w:bCs w:val="1"/>
                <w:color w:val="auto"/>
              </w:rPr>
              <w:t>2003</w:t>
            </w: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16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160" w:type="dxa"/>
            <w:vAlign w:val="bottom"/>
            <w:shd w:val="clear" w:color="auto" w:fill="EEEEEE"/>
          </w:tcPr>
          <w:p>
            <w:pPr>
              <w:spacing w:after="0"/>
              <w:rPr>
                <w:sz w:val="20"/>
                <w:szCs w:val="20"/>
                <w:color w:val="auto"/>
              </w:rPr>
            </w:pPr>
            <w:r>
              <w:rPr>
                <w:rFonts w:ascii="Arial" w:cs="Arial" w:eastAsia="Arial" w:hAnsi="Arial"/>
                <w:sz w:val="18"/>
                <w:szCs w:val="18"/>
                <w:color w:val="auto"/>
              </w:rPr>
              <w:t>Trade accounts receivable,</w:t>
            </w:r>
          </w:p>
        </w:tc>
        <w:tc>
          <w:tcPr>
            <w:tcW w:w="150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less estimated returns, doubtful</w:t>
            </w:r>
          </w:p>
        </w:tc>
        <w:tc>
          <w:tcPr>
            <w:tcW w:w="150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accounts and allowances of</w:t>
            </w:r>
          </w:p>
        </w:tc>
        <w:tc>
          <w:tcPr>
            <w:tcW w:w="1500" w:type="dxa"/>
            <w:vAlign w:val="bottom"/>
            <w:vMerge w:val="restart"/>
            <w:shd w:val="clear" w:color="auto" w:fill="EEEEEE"/>
          </w:tcPr>
          <w:p>
            <w:pPr>
              <w:jc w:val="right"/>
              <w:ind w:right="352"/>
              <w:spacing w:after="0"/>
              <w:rPr>
                <w:sz w:val="20"/>
                <w:szCs w:val="20"/>
                <w:color w:val="auto"/>
              </w:rPr>
            </w:pPr>
            <w:r>
              <w:rPr>
                <w:rFonts w:ascii="Arial" w:cs="Arial" w:eastAsia="Arial" w:hAnsi="Arial"/>
                <w:sz w:val="18"/>
                <w:szCs w:val="18"/>
                <w:b w:val="1"/>
                <w:bCs w:val="1"/>
                <w:color w:val="auto"/>
              </w:rPr>
              <w:t>$ 311,807</w:t>
            </w:r>
          </w:p>
        </w:tc>
        <w:tc>
          <w:tcPr>
            <w:tcW w:w="1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$66,524 and $65,396</w:t>
            </w:r>
          </w:p>
        </w:tc>
        <w:tc>
          <w:tcPr>
            <w:tcW w:w="1500" w:type="dxa"/>
            <w:vAlign w:val="bottom"/>
            <w:vMerge w:val="continue"/>
            <w:shd w:val="clear" w:color="auto" w:fill="EEEEEE"/>
          </w:tcPr>
          <w:p>
            <w:pPr>
              <w:spacing w:after="0"/>
              <w:rPr>
                <w:sz w:val="19"/>
                <w:szCs w:val="19"/>
                <w:color w:val="auto"/>
              </w:rPr>
            </w:pPr>
          </w:p>
        </w:tc>
        <w:tc>
          <w:tcPr>
            <w:tcW w:w="146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$266,319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Other accounts receivable</w:t>
            </w:r>
          </w:p>
        </w:tc>
        <w:tc>
          <w:tcPr>
            <w:tcW w:w="1500" w:type="dxa"/>
            <w:vAlign w:val="bottom"/>
          </w:tcPr>
          <w:p>
            <w:pPr>
              <w:jc w:val="right"/>
              <w:ind w:right="352"/>
              <w:spacing w:after="0"/>
              <w:rPr>
                <w:sz w:val="20"/>
                <w:szCs w:val="20"/>
                <w:color w:val="auto"/>
              </w:rPr>
            </w:pPr>
            <w:r>
              <w:rPr>
                <w:rFonts w:ascii="Arial" w:cs="Arial" w:eastAsia="Arial" w:hAnsi="Arial"/>
                <w:sz w:val="18"/>
                <w:szCs w:val="18"/>
                <w:b w:val="1"/>
                <w:bCs w:val="1"/>
                <w:color w:val="auto"/>
              </w:rPr>
              <w:t>17,009</w:t>
            </w: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19,055</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16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EEEEEE"/>
          </w:tcPr>
          <w:p>
            <w:pPr>
              <w:spacing w:after="0"/>
              <w:rPr>
                <w:sz w:val="18"/>
                <w:szCs w:val="18"/>
                <w:color w:val="auto"/>
              </w:rPr>
            </w:pPr>
          </w:p>
        </w:tc>
        <w:tc>
          <w:tcPr>
            <w:tcW w:w="1500" w:type="dxa"/>
            <w:vAlign w:val="bottom"/>
            <w:shd w:val="clear" w:color="auto" w:fill="EEEEEE"/>
          </w:tcPr>
          <w:p>
            <w:pPr>
              <w:jc w:val="right"/>
              <w:ind w:right="352"/>
              <w:spacing w:after="0"/>
              <w:rPr>
                <w:sz w:val="20"/>
                <w:szCs w:val="20"/>
                <w:color w:val="auto"/>
              </w:rPr>
            </w:pPr>
            <w:r>
              <w:rPr>
                <w:rFonts w:ascii="Arial" w:cs="Arial" w:eastAsia="Arial" w:hAnsi="Arial"/>
                <w:sz w:val="18"/>
                <w:szCs w:val="18"/>
                <w:b w:val="1"/>
                <w:bCs w:val="1"/>
                <w:color w:val="auto"/>
              </w:rPr>
              <w:t>$328,816</w:t>
            </w:r>
          </w:p>
        </w:tc>
        <w:tc>
          <w:tcPr>
            <w:tcW w:w="146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$285,374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60" w:type="dxa"/>
            <w:vAlign w:val="bottom"/>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liabilities at December 28, 2003 and December 29, 2002 consist of the following (in thousands):</w:t>
      </w:r>
    </w:p>
    <w:p>
      <w:pPr>
        <w:sectPr>
          <w:pgSz w:w="11900" w:h="16853" w:orient="portrait"/>
          <w:cols w:equalWidth="0" w:num="1">
            <w:col w:w="11420"/>
          </w:cols>
          <w:pgMar w:left="240" w:top="936" w:right="239" w:bottom="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28"/>
        </w:trPr>
        <w:tc>
          <w:tcPr>
            <w:tcW w:w="116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39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2003</w:t>
            </w: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2002</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160" w:type="dxa"/>
            <w:vAlign w:val="bottom"/>
          </w:tcPr>
          <w:p>
            <w:pPr>
              <w:spacing w:after="0"/>
              <w:rPr>
                <w:sz w:val="9"/>
                <w:szCs w:val="9"/>
                <w:color w:val="auto"/>
              </w:rPr>
            </w:pPr>
          </w:p>
        </w:tc>
        <w:tc>
          <w:tcPr>
            <w:tcW w:w="3740" w:type="dxa"/>
            <w:vAlign w:val="bottom"/>
            <w:tcBorders>
              <w:bottom w:val="single" w:sz="8" w:color="808080"/>
            </w:tcBorders>
          </w:tcPr>
          <w:p>
            <w:pPr>
              <w:spacing w:after="0"/>
              <w:rPr>
                <w:sz w:val="9"/>
                <w:szCs w:val="9"/>
                <w:color w:val="auto"/>
              </w:rPr>
            </w:pPr>
          </w:p>
        </w:tc>
        <w:tc>
          <w:tcPr>
            <w:tcW w:w="242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374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740" w:type="dxa"/>
            <w:vAlign w:val="bottom"/>
            <w:shd w:val="clear" w:color="auto" w:fill="EEEEEE"/>
          </w:tcPr>
          <w:p>
            <w:pPr>
              <w:spacing w:after="0"/>
              <w:rPr>
                <w:sz w:val="20"/>
                <w:szCs w:val="20"/>
                <w:color w:val="auto"/>
              </w:rPr>
            </w:pPr>
            <w:r>
              <w:rPr>
                <w:rFonts w:ascii="Arial" w:cs="Arial" w:eastAsia="Arial" w:hAnsi="Arial"/>
                <w:sz w:val="18"/>
                <w:szCs w:val="18"/>
                <w:color w:val="auto"/>
              </w:rPr>
              <w:t>Accounts payable and accrued expenses</w:t>
            </w:r>
          </w:p>
        </w:tc>
        <w:tc>
          <w:tcPr>
            <w:tcW w:w="392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b w:val="1"/>
                <w:bCs w:val="1"/>
                <w:color w:val="auto"/>
              </w:rPr>
              <w:t>$182,848</w:t>
            </w:r>
          </w:p>
        </w:tc>
        <w:tc>
          <w:tcPr>
            <w:tcW w:w="146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$175,174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Accrued compensation and related benefits</w:t>
            </w:r>
          </w:p>
        </w:tc>
        <w:tc>
          <w:tcPr>
            <w:tcW w:w="39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147,985</w:t>
            </w: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154,666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40" w:type="dxa"/>
            <w:vAlign w:val="bottom"/>
            <w:shd w:val="clear" w:color="auto" w:fill="EEEEEE"/>
          </w:tcPr>
          <w:p>
            <w:pPr>
              <w:spacing w:after="0"/>
              <w:rPr>
                <w:sz w:val="20"/>
                <w:szCs w:val="20"/>
                <w:color w:val="auto"/>
              </w:rPr>
            </w:pPr>
            <w:r>
              <w:rPr>
                <w:rFonts w:ascii="Arial" w:cs="Arial" w:eastAsia="Arial" w:hAnsi="Arial"/>
                <w:sz w:val="18"/>
                <w:szCs w:val="18"/>
                <w:color w:val="auto"/>
              </w:rPr>
              <w:t>Due to affiliates (newsprint)</w:t>
            </w:r>
          </w:p>
        </w:tc>
        <w:tc>
          <w:tcPr>
            <w:tcW w:w="392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b w:val="1"/>
                <w:bCs w:val="1"/>
                <w:color w:val="auto"/>
              </w:rPr>
              <w:t>8,406</w:t>
            </w:r>
          </w:p>
        </w:tc>
        <w:tc>
          <w:tcPr>
            <w:tcW w:w="146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6,742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374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1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9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$339,239</w:t>
            </w: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$336,582</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160" w:type="dxa"/>
            <w:vAlign w:val="bottom"/>
          </w:tcPr>
          <w:p>
            <w:pPr>
              <w:spacing w:after="0"/>
              <w:rPr>
                <w:sz w:val="9"/>
                <w:szCs w:val="9"/>
                <w:color w:val="auto"/>
              </w:rPr>
            </w:pPr>
          </w:p>
        </w:tc>
        <w:tc>
          <w:tcPr>
            <w:tcW w:w="3740" w:type="dxa"/>
            <w:vAlign w:val="bottom"/>
          </w:tcPr>
          <w:p>
            <w:pPr>
              <w:spacing w:after="0"/>
              <w:rPr>
                <w:sz w:val="9"/>
                <w:szCs w:val="9"/>
                <w:color w:val="auto"/>
              </w:rPr>
            </w:pPr>
          </w:p>
        </w:tc>
        <w:tc>
          <w:tcPr>
            <w:tcW w:w="2420" w:type="dxa"/>
            <w:vAlign w:val="bottom"/>
            <w:vMerge w:val="restart"/>
          </w:tcPr>
          <w:p>
            <w:pPr>
              <w:jc w:val="right"/>
              <w:ind w:right="1432"/>
              <w:spacing w:after="0"/>
              <w:rPr>
                <w:sz w:val="20"/>
                <w:szCs w:val="20"/>
                <w:color w:val="auto"/>
              </w:rPr>
            </w:pPr>
            <w:r>
              <w:rPr>
                <w:rFonts w:ascii="Arial" w:cs="Arial" w:eastAsia="Arial" w:hAnsi="Arial"/>
                <w:sz w:val="18"/>
                <w:szCs w:val="18"/>
                <w:color w:val="auto"/>
              </w:rPr>
              <w:t>45</w:t>
            </w:r>
          </w:p>
        </w:tc>
        <w:tc>
          <w:tcPr>
            <w:tcW w:w="15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tcPr>
          <w:p>
            <w:pPr>
              <w:spacing w:after="0"/>
              <w:rPr>
                <w:sz w:val="5"/>
                <w:szCs w:val="5"/>
                <w:color w:val="auto"/>
              </w:rPr>
            </w:pPr>
          </w:p>
        </w:tc>
        <w:tc>
          <w:tcPr>
            <w:tcW w:w="374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2"/>
        </w:trPr>
        <w:tc>
          <w:tcPr>
            <w:tcW w:w="11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740" w:type="dxa"/>
            <w:vAlign w:val="bottom"/>
            <w:tcBorders>
              <w:bottom w:val="single" w:sz="8" w:color="808080"/>
            </w:tcBorders>
          </w:tcPr>
          <w:p>
            <w:pPr>
              <w:spacing w:after="0"/>
              <w:rPr>
                <w:sz w:val="19"/>
                <w:szCs w:val="19"/>
                <w:color w:val="auto"/>
              </w:rPr>
            </w:pPr>
          </w:p>
        </w:tc>
        <w:tc>
          <w:tcPr>
            <w:tcW w:w="242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5" w:name="page56"/>
    <w:bookmarkEnd w:id="55"/>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INVESTMENTS</w:t>
      </w:r>
    </w:p>
    <w:p>
      <w:pPr>
        <w:spacing w:after="0" w:line="225" w:lineRule="exact"/>
        <w:rPr>
          <w:sz w:val="20"/>
          <w:szCs w:val="20"/>
          <w:color w:val="auto"/>
        </w:rPr>
      </w:pPr>
    </w:p>
    <w:p>
      <w:pPr>
        <w:ind w:right="560"/>
        <w:spacing w:after="0" w:line="275" w:lineRule="auto"/>
        <w:rPr>
          <w:sz w:val="20"/>
          <w:szCs w:val="20"/>
          <w:color w:val="auto"/>
        </w:rPr>
      </w:pPr>
      <w:r>
        <w:rPr>
          <w:rFonts w:ascii="Arial" w:cs="Arial" w:eastAsia="Arial" w:hAnsi="Arial"/>
          <w:sz w:val="18"/>
          <w:szCs w:val="18"/>
          <w:b w:val="1"/>
          <w:bCs w:val="1"/>
          <w:color w:val="auto"/>
        </w:rPr>
        <w:t xml:space="preserve">Investments in Marketable Equity Securities. </w:t>
      </w:r>
      <w:r>
        <w:rPr>
          <w:rFonts w:ascii="Arial" w:cs="Arial" w:eastAsia="Arial" w:hAnsi="Arial"/>
          <w:sz w:val="18"/>
          <w:szCs w:val="18"/>
          <w:color w:val="auto"/>
        </w:rPr>
        <w:t>Investments in marketable equity securities at December 28, 2003 and December 29, 2002 consist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(in thousands):</w:t>
      </w:r>
    </w:p>
    <w:p>
      <w:pPr>
        <w:spacing w:after="0" w:line="390"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1500" w:type="dxa"/>
            <w:vAlign w:val="bottom"/>
          </w:tcPr>
          <w:p>
            <w:pPr>
              <w:jc w:val="right"/>
              <w:ind w:right="352"/>
              <w:spacing w:after="0"/>
              <w:rPr>
                <w:sz w:val="20"/>
                <w:szCs w:val="20"/>
                <w:color w:val="auto"/>
              </w:rPr>
            </w:pPr>
            <w:r>
              <w:rPr>
                <w:rFonts w:ascii="Arial" w:cs="Arial" w:eastAsia="Arial" w:hAnsi="Arial"/>
                <w:sz w:val="18"/>
                <w:szCs w:val="18"/>
                <w:b w:val="1"/>
                <w:bCs w:val="1"/>
                <w:color w:val="auto"/>
              </w:rPr>
              <w:t>2003</w:t>
            </w: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16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EEEEEE"/>
          </w:tcPr>
          <w:p>
            <w:pPr>
              <w:spacing w:after="0"/>
              <w:rPr>
                <w:sz w:val="20"/>
                <w:szCs w:val="20"/>
                <w:color w:val="auto"/>
              </w:rPr>
            </w:pPr>
            <w:r>
              <w:rPr>
                <w:rFonts w:ascii="Arial" w:cs="Arial" w:eastAsia="Arial" w:hAnsi="Arial"/>
                <w:sz w:val="18"/>
                <w:szCs w:val="18"/>
                <w:color w:val="auto"/>
              </w:rPr>
              <w:t>Total cost</w:t>
            </w:r>
          </w:p>
        </w:tc>
        <w:tc>
          <w:tcPr>
            <w:tcW w:w="1500" w:type="dxa"/>
            <w:vAlign w:val="bottom"/>
            <w:shd w:val="clear" w:color="auto" w:fill="EEEEEE"/>
          </w:tcPr>
          <w:p>
            <w:pPr>
              <w:jc w:val="right"/>
              <w:ind w:right="352"/>
              <w:spacing w:after="0"/>
              <w:rPr>
                <w:sz w:val="20"/>
                <w:szCs w:val="20"/>
                <w:color w:val="auto"/>
              </w:rPr>
            </w:pPr>
            <w:r>
              <w:rPr>
                <w:rFonts w:ascii="Arial" w:cs="Arial" w:eastAsia="Arial" w:hAnsi="Arial"/>
                <w:sz w:val="18"/>
                <w:szCs w:val="18"/>
                <w:b w:val="1"/>
                <w:bCs w:val="1"/>
                <w:color w:val="auto"/>
              </w:rPr>
              <w:t>$186,954</w:t>
            </w:r>
          </w:p>
        </w:tc>
        <w:tc>
          <w:tcPr>
            <w:tcW w:w="146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$187,169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Net unrealized gains</w:t>
            </w:r>
          </w:p>
        </w:tc>
        <w:tc>
          <w:tcPr>
            <w:tcW w:w="1500" w:type="dxa"/>
            <w:vAlign w:val="bottom"/>
          </w:tcPr>
          <w:p>
            <w:pPr>
              <w:jc w:val="right"/>
              <w:ind w:right="352"/>
              <w:spacing w:after="0"/>
              <w:rPr>
                <w:sz w:val="20"/>
                <w:szCs w:val="20"/>
                <w:color w:val="auto"/>
              </w:rPr>
            </w:pPr>
            <w:r>
              <w:rPr>
                <w:rFonts w:ascii="Arial" w:cs="Arial" w:eastAsia="Arial" w:hAnsi="Arial"/>
                <w:sz w:val="18"/>
                <w:szCs w:val="18"/>
                <w:b w:val="1"/>
                <w:bCs w:val="1"/>
                <w:color w:val="auto"/>
              </w:rPr>
              <w:t>61,004</w:t>
            </w: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29,364</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16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EEEEEE"/>
          </w:tcPr>
          <w:p>
            <w:pPr>
              <w:spacing w:after="0"/>
              <w:rPr>
                <w:sz w:val="20"/>
                <w:szCs w:val="20"/>
                <w:color w:val="auto"/>
              </w:rPr>
            </w:pPr>
            <w:r>
              <w:rPr>
                <w:rFonts w:ascii="Arial" w:cs="Arial" w:eastAsia="Arial" w:hAnsi="Arial"/>
                <w:sz w:val="18"/>
                <w:szCs w:val="18"/>
                <w:color w:val="auto"/>
              </w:rPr>
              <w:t>Total fair value</w:t>
            </w:r>
          </w:p>
        </w:tc>
        <w:tc>
          <w:tcPr>
            <w:tcW w:w="1500" w:type="dxa"/>
            <w:vAlign w:val="bottom"/>
            <w:shd w:val="clear" w:color="auto" w:fill="EEEEEE"/>
          </w:tcPr>
          <w:p>
            <w:pPr>
              <w:jc w:val="right"/>
              <w:ind w:right="352"/>
              <w:spacing w:after="0"/>
              <w:rPr>
                <w:sz w:val="20"/>
                <w:szCs w:val="20"/>
                <w:color w:val="auto"/>
              </w:rPr>
            </w:pPr>
            <w:r>
              <w:rPr>
                <w:rFonts w:ascii="Arial" w:cs="Arial" w:eastAsia="Arial" w:hAnsi="Arial"/>
                <w:sz w:val="18"/>
                <w:szCs w:val="18"/>
                <w:b w:val="1"/>
                <w:bCs w:val="1"/>
                <w:color w:val="auto"/>
              </w:rPr>
              <w:t>$247,958</w:t>
            </w:r>
          </w:p>
        </w:tc>
        <w:tc>
          <w:tcPr>
            <w:tcW w:w="146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$216,533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60" w:type="dxa"/>
            <w:vAlign w:val="bottom"/>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28, 2003 and December 29, 2002, the Company’s ownership of 2,634 shares of Berkshire Hathaway Inc. (“Berkshire”) Class A common stock and 9,845 shares of Berkshire Class B common stock accounted for $245.3 million or 99 percent and $214.8 million or 99 percent, respectively, of the total fair value of the Company’s investments in marketable equity securities.</w:t>
      </w:r>
    </w:p>
    <w:p>
      <w:pPr>
        <w:spacing w:after="0" w:line="194"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Berkshire is a holding company owning subsidiaries engaged in a number of diverse business activities, the most significant of which consist of property and casualty insurance business conducted on both a direct and reinsurance basis. Berkshire also owns approximately 18 percent of the common stock of the Company. The chairman, chief executive officer and largest shareholder of Berkshire, Mr. Warren Buffett, is a member of the Company’s Board of Directors. Neither Berkshire nor Mr. Buffett participated in the Company’s evaluation, approval or execution of its decision to invest in Berkshire common stock. The Company’s investment in Berkshire common stock is less than 1 percent of the consolidated equity of Berkshire. At December 28, 2003 and December 29, 2002, the unrealized gain related to the Company’s Berkshire stock investment totaled $60.4 million and $29.9 million, respectively. The Company presently intends to hold the Berkshire common stock investment long term, thus the investment has been classified as a non-current asset in the Consolidated Balance Sheets.</w:t>
      </w:r>
    </w:p>
    <w:p>
      <w:pPr>
        <w:spacing w:after="0" w:line="15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During 2003, 2002 and 2001, proceeds from sales of marketable equity securities were $0, $19.7 million and $0.1 million, respectively, and gross realized gains (losses) on such sales were $0, $13.2 million, and ($0.3 million), respectively. During 2003, 2002 and 2001, the Company recorded write-downs on marketable equity securities of $0.2 million, $2.0 million and $3.0 million, respectively. Realized gains or losses on marketable equity securities are included in “Other income (expense), net” in the Consolidated Statements of Income. For purposes of computing realized gains and losses, the cost basis of securities sold is determined by specific identification.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Investments in Affiliates. </w:t>
      </w:r>
      <w:r>
        <w:rPr>
          <w:rFonts w:ascii="Arial" w:cs="Arial" w:eastAsia="Arial" w:hAnsi="Arial"/>
          <w:sz w:val="16"/>
          <w:szCs w:val="16"/>
          <w:color w:val="auto"/>
        </w:rPr>
        <w:t>The Company’s investments in affiliates at December 28, 2003 and December 29, 2002 include the following (in thousands):</w:t>
      </w:r>
    </w:p>
    <w:p>
      <w:pPr>
        <w:spacing w:after="0" w:line="200" w:lineRule="exact"/>
        <w:rPr>
          <w:sz w:val="20"/>
          <w:szCs w:val="20"/>
          <w:color w:val="auto"/>
        </w:rPr>
      </w:pPr>
    </w:p>
    <w:p>
      <w:pPr>
        <w:spacing w:after="0" w:line="264"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1440" w:type="dxa"/>
            <w:vAlign w:val="bottom"/>
          </w:tcPr>
          <w:p>
            <w:pPr>
              <w:jc w:val="right"/>
              <w:ind w:right="372"/>
              <w:spacing w:after="0"/>
              <w:rPr>
                <w:sz w:val="20"/>
                <w:szCs w:val="20"/>
                <w:color w:val="auto"/>
              </w:rPr>
            </w:pPr>
            <w:r>
              <w:rPr>
                <w:rFonts w:ascii="Arial" w:cs="Arial" w:eastAsia="Arial" w:hAnsi="Arial"/>
                <w:sz w:val="18"/>
                <w:szCs w:val="18"/>
                <w:b w:val="1"/>
                <w:bCs w:val="1"/>
                <w:color w:val="auto"/>
              </w:rPr>
              <w:t>2003</w:t>
            </w: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40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EEEEEE"/>
          </w:tcPr>
          <w:p>
            <w:pPr>
              <w:spacing w:after="0"/>
              <w:rPr>
                <w:sz w:val="20"/>
                <w:szCs w:val="20"/>
                <w:color w:val="auto"/>
              </w:rPr>
            </w:pPr>
            <w:r>
              <w:rPr>
                <w:rFonts w:ascii="Arial" w:cs="Arial" w:eastAsia="Arial" w:hAnsi="Arial"/>
                <w:sz w:val="18"/>
                <w:szCs w:val="18"/>
                <w:color w:val="auto"/>
              </w:rPr>
              <w:t>BrassRing</w:t>
            </w:r>
          </w:p>
        </w:tc>
        <w:tc>
          <w:tcPr>
            <w:tcW w:w="1440" w:type="dxa"/>
            <w:vAlign w:val="bottom"/>
            <w:shd w:val="clear" w:color="auto" w:fill="EEEEEE"/>
          </w:tcPr>
          <w:p>
            <w:pPr>
              <w:jc w:val="right"/>
              <w:ind w:right="372"/>
              <w:spacing w:after="0"/>
              <w:rPr>
                <w:sz w:val="20"/>
                <w:szCs w:val="20"/>
                <w:color w:val="auto"/>
              </w:rPr>
            </w:pPr>
            <w:r>
              <w:rPr>
                <w:rFonts w:ascii="Arial" w:cs="Arial" w:eastAsia="Arial" w:hAnsi="Arial"/>
                <w:sz w:val="18"/>
                <w:szCs w:val="18"/>
                <w:b w:val="1"/>
                <w:bCs w:val="1"/>
                <w:color w:val="auto"/>
              </w:rPr>
              <w:t>$11,892</w:t>
            </w:r>
          </w:p>
        </w:tc>
        <w:tc>
          <w:tcPr>
            <w:tcW w:w="1280" w:type="dxa"/>
            <w:vAlign w:val="bottom"/>
            <w:shd w:val="clear" w:color="auto" w:fill="EEEEEE"/>
          </w:tcPr>
          <w:p>
            <w:pPr>
              <w:jc w:val="right"/>
              <w:ind w:right="172"/>
              <w:spacing w:after="0"/>
              <w:rPr>
                <w:sz w:val="20"/>
                <w:szCs w:val="20"/>
                <w:color w:val="auto"/>
              </w:rPr>
            </w:pPr>
            <w:r>
              <w:rPr>
                <w:rFonts w:ascii="Arial" w:cs="Arial" w:eastAsia="Arial" w:hAnsi="Arial"/>
                <w:sz w:val="18"/>
                <w:szCs w:val="18"/>
                <w:color w:val="auto"/>
              </w:rPr>
              <w:t>$13,658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Bowater Mersey Paper Company</w:t>
            </w:r>
          </w:p>
        </w:tc>
        <w:tc>
          <w:tcPr>
            <w:tcW w:w="1440" w:type="dxa"/>
            <w:vAlign w:val="bottom"/>
          </w:tcPr>
          <w:p>
            <w:pPr>
              <w:jc w:val="right"/>
              <w:ind w:right="372"/>
              <w:spacing w:after="0"/>
              <w:rPr>
                <w:sz w:val="20"/>
                <w:szCs w:val="20"/>
                <w:color w:val="auto"/>
              </w:rPr>
            </w:pPr>
            <w:r>
              <w:rPr>
                <w:rFonts w:ascii="Arial" w:cs="Arial" w:eastAsia="Arial" w:hAnsi="Arial"/>
                <w:sz w:val="18"/>
                <w:szCs w:val="18"/>
                <w:b w:val="1"/>
                <w:bCs w:val="1"/>
                <w:color w:val="auto"/>
              </w:rPr>
              <w:t>48,559</w:t>
            </w: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42,519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EEEEEE"/>
          </w:tcPr>
          <w:p>
            <w:pPr>
              <w:spacing w:after="0"/>
              <w:rPr>
                <w:sz w:val="20"/>
                <w:szCs w:val="20"/>
                <w:color w:val="auto"/>
              </w:rPr>
            </w:pPr>
            <w:r>
              <w:rPr>
                <w:rFonts w:ascii="Arial" w:cs="Arial" w:eastAsia="Arial" w:hAnsi="Arial"/>
                <w:sz w:val="18"/>
                <w:szCs w:val="18"/>
                <w:color w:val="auto"/>
              </w:rPr>
              <w:t>International Herald Tribune</w:t>
            </w:r>
          </w:p>
        </w:tc>
        <w:tc>
          <w:tcPr>
            <w:tcW w:w="1440" w:type="dxa"/>
            <w:vAlign w:val="bottom"/>
            <w:shd w:val="clear" w:color="auto" w:fill="EEEEEE"/>
          </w:tcPr>
          <w:p>
            <w:pPr>
              <w:jc w:val="right"/>
              <w:ind w:right="372"/>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EEEEEE"/>
          </w:tcPr>
          <w:p>
            <w:pPr>
              <w:jc w:val="right"/>
              <w:ind w:right="172"/>
              <w:spacing w:after="0"/>
              <w:rPr>
                <w:sz w:val="20"/>
                <w:szCs w:val="20"/>
                <w:color w:val="auto"/>
              </w:rPr>
            </w:pPr>
            <w:r>
              <w:rPr>
                <w:rFonts w:ascii="Arial" w:cs="Arial" w:eastAsia="Arial" w:hAnsi="Arial"/>
                <w:sz w:val="18"/>
                <w:szCs w:val="18"/>
                <w:color w:val="auto"/>
              </w:rPr>
              <w:t>13,776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Los Angeles Times–Washington Post News Service</w:t>
            </w:r>
          </w:p>
        </w:tc>
        <w:tc>
          <w:tcPr>
            <w:tcW w:w="1440" w:type="dxa"/>
            <w:vAlign w:val="bottom"/>
          </w:tcPr>
          <w:p>
            <w:pPr>
              <w:jc w:val="right"/>
              <w:ind w:right="372"/>
              <w:spacing w:after="0"/>
              <w:rPr>
                <w:sz w:val="20"/>
                <w:szCs w:val="20"/>
                <w:color w:val="auto"/>
              </w:rPr>
            </w:pPr>
            <w:r>
              <w:rPr>
                <w:rFonts w:ascii="Arial" w:cs="Arial" w:eastAsia="Arial" w:hAnsi="Arial"/>
                <w:sz w:val="18"/>
                <w:szCs w:val="18"/>
                <w:b w:val="1"/>
                <w:bCs w:val="1"/>
                <w:color w:val="auto"/>
              </w:rPr>
              <w:t>861</w:t>
            </w: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400" w:type="dxa"/>
            <w:vAlign w:val="bottom"/>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4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EEEEEE"/>
          </w:tcPr>
          <w:p>
            <w:pPr>
              <w:spacing w:after="0"/>
              <w:rPr>
                <w:sz w:val="18"/>
                <w:szCs w:val="18"/>
                <w:color w:val="auto"/>
              </w:rPr>
            </w:pPr>
          </w:p>
        </w:tc>
        <w:tc>
          <w:tcPr>
            <w:tcW w:w="1440" w:type="dxa"/>
            <w:vAlign w:val="bottom"/>
            <w:shd w:val="clear" w:color="auto" w:fill="EEEEEE"/>
          </w:tcPr>
          <w:p>
            <w:pPr>
              <w:jc w:val="right"/>
              <w:ind w:right="372"/>
              <w:spacing w:after="0"/>
              <w:rPr>
                <w:sz w:val="20"/>
                <w:szCs w:val="20"/>
                <w:color w:val="auto"/>
              </w:rPr>
            </w:pPr>
            <w:r>
              <w:rPr>
                <w:rFonts w:ascii="Arial" w:cs="Arial" w:eastAsia="Arial" w:hAnsi="Arial"/>
                <w:sz w:val="18"/>
                <w:szCs w:val="18"/>
                <w:b w:val="1"/>
                <w:bCs w:val="1"/>
                <w:color w:val="auto"/>
              </w:rPr>
              <w:t>$61,312</w:t>
            </w:r>
          </w:p>
        </w:tc>
        <w:tc>
          <w:tcPr>
            <w:tcW w:w="1280" w:type="dxa"/>
            <w:vAlign w:val="bottom"/>
            <w:shd w:val="clear" w:color="auto" w:fill="EEEEEE"/>
          </w:tcPr>
          <w:p>
            <w:pPr>
              <w:jc w:val="right"/>
              <w:ind w:right="172"/>
              <w:spacing w:after="0"/>
              <w:rPr>
                <w:sz w:val="20"/>
                <w:szCs w:val="20"/>
                <w:color w:val="auto"/>
              </w:rPr>
            </w:pPr>
            <w:r>
              <w:rPr>
                <w:rFonts w:ascii="Arial" w:cs="Arial" w:eastAsia="Arial" w:hAnsi="Arial"/>
                <w:sz w:val="18"/>
                <w:szCs w:val="18"/>
                <w:color w:val="auto"/>
              </w:rPr>
              <w:t>$70,703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00" w:type="dxa"/>
            <w:vAlign w:val="bottom"/>
          </w:tcPr>
          <w:p>
            <w:pPr>
              <w:spacing w:after="0"/>
              <w:rPr>
                <w:sz w:val="5"/>
                <w:szCs w:val="5"/>
                <w:color w:val="auto"/>
              </w:rPr>
            </w:pPr>
          </w:p>
        </w:tc>
        <w:tc>
          <w:tcPr>
            <w:tcW w:w="144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At the end of 2003, the Company’s investments in affiliates consisted of a 49.3 percent interest in BrassRing LLC, an Internet-based hiring management company; a 49 percent interest in the common stock of Bowater Mersey Paper Company Limited, which owns and operates a newsprint mill in Nova Scotia; and a 50 percent common stock interest in the Los Angeles Times–Washington Post News Service, Inc. Summarized financial data for the affiliates’ operations are as follows (in thousands):</w:t>
      </w:r>
    </w:p>
    <w:p>
      <w:pPr>
        <w:spacing w:after="0" w:line="200" w:lineRule="exact"/>
        <w:rPr>
          <w:sz w:val="20"/>
          <w:szCs w:val="20"/>
          <w:color w:val="auto"/>
        </w:rPr>
      </w:pP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40" w:type="dxa"/>
            <w:vAlign w:val="bottom"/>
          </w:tcPr>
          <w:p>
            <w:pPr>
              <w:jc w:val="right"/>
              <w:ind w:right="372"/>
              <w:spacing w:after="0"/>
              <w:rPr>
                <w:sz w:val="20"/>
                <w:szCs w:val="20"/>
                <w:color w:val="auto"/>
              </w:rPr>
            </w:pPr>
            <w:r>
              <w:rPr>
                <w:rFonts w:ascii="Arial" w:cs="Arial" w:eastAsia="Arial" w:hAnsi="Arial"/>
                <w:sz w:val="18"/>
                <w:szCs w:val="18"/>
                <w:b w:val="1"/>
                <w:bCs w:val="1"/>
                <w:color w:val="auto"/>
              </w:rPr>
              <w:t>2003</w:t>
            </w:r>
          </w:p>
        </w:tc>
        <w:tc>
          <w:tcPr>
            <w:tcW w:w="520" w:type="dxa"/>
            <w:vAlign w:val="bottom"/>
          </w:tcPr>
          <w:p>
            <w:pPr>
              <w:spacing w:after="0"/>
              <w:rPr>
                <w:sz w:val="19"/>
                <w:szCs w:val="19"/>
                <w:color w:val="auto"/>
              </w:rPr>
            </w:pPr>
          </w:p>
        </w:tc>
        <w:tc>
          <w:tcPr>
            <w:tcW w:w="1040" w:type="dxa"/>
            <w:vAlign w:val="bottom"/>
          </w:tcPr>
          <w:p>
            <w:pPr>
              <w:jc w:val="right"/>
              <w:ind w:right="392"/>
              <w:spacing w:after="0"/>
              <w:rPr>
                <w:sz w:val="20"/>
                <w:szCs w:val="20"/>
                <w:color w:val="auto"/>
              </w:rPr>
            </w:pPr>
            <w:r>
              <w:rPr>
                <w:rFonts w:ascii="Arial" w:cs="Arial" w:eastAsia="Arial" w:hAnsi="Arial"/>
                <w:sz w:val="18"/>
                <w:szCs w:val="18"/>
                <w:color w:val="auto"/>
              </w:rPr>
              <w:t>2002</w:t>
            </w:r>
          </w:p>
        </w:tc>
        <w:tc>
          <w:tcPr>
            <w:tcW w:w="500" w:type="dxa"/>
            <w:vAlign w:val="bottom"/>
          </w:tcPr>
          <w:p>
            <w:pPr>
              <w:spacing w:after="0"/>
              <w:rPr>
                <w:sz w:val="19"/>
                <w:szCs w:val="19"/>
                <w:color w:val="auto"/>
              </w:rPr>
            </w:pPr>
          </w:p>
        </w:tc>
        <w:tc>
          <w:tcPr>
            <w:tcW w:w="1000" w:type="dxa"/>
            <w:vAlign w:val="bottom"/>
          </w:tcPr>
          <w:p>
            <w:pPr>
              <w:jc w:val="right"/>
              <w:ind w:right="272"/>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20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Financial Position:</w:t>
            </w:r>
          </w:p>
        </w:tc>
        <w:tc>
          <w:tcPr>
            <w:tcW w:w="196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220"/>
              <w:spacing w:after="0"/>
              <w:rPr>
                <w:sz w:val="20"/>
                <w:szCs w:val="20"/>
                <w:color w:val="auto"/>
              </w:rPr>
            </w:pPr>
            <w:r>
              <w:rPr>
                <w:rFonts w:ascii="Arial" w:cs="Arial" w:eastAsia="Arial" w:hAnsi="Arial"/>
                <w:sz w:val="18"/>
                <w:szCs w:val="18"/>
                <w:color w:val="auto"/>
              </w:rPr>
              <w:t>Working capital</w:t>
            </w: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372"/>
              <w:spacing w:after="0"/>
              <w:rPr>
                <w:sz w:val="20"/>
                <w:szCs w:val="20"/>
                <w:color w:val="auto"/>
              </w:rPr>
            </w:pPr>
            <w:r>
              <w:rPr>
                <w:rFonts w:ascii="Arial" w:cs="Arial" w:eastAsia="Arial" w:hAnsi="Arial"/>
                <w:sz w:val="18"/>
                <w:szCs w:val="18"/>
                <w:b w:val="1"/>
                <w:bCs w:val="1"/>
                <w:color w:val="auto"/>
              </w:rPr>
              <w:t>11,108</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92"/>
              <w:spacing w:after="0"/>
              <w:rPr>
                <w:sz w:val="20"/>
                <w:szCs w:val="20"/>
                <w:color w:val="auto"/>
              </w:rPr>
            </w:pPr>
            <w:r>
              <w:rPr>
                <w:rFonts w:ascii="Arial" w:cs="Arial" w:eastAsia="Arial" w:hAnsi="Arial"/>
                <w:sz w:val="18"/>
                <w:szCs w:val="18"/>
                <w:color w:val="auto"/>
                <w:w w:val="98"/>
              </w:rPr>
              <w:t>10,366</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2"/>
              <w:spacing w:after="0"/>
              <w:rPr>
                <w:sz w:val="20"/>
                <w:szCs w:val="20"/>
                <w:color w:val="auto"/>
              </w:rPr>
            </w:pPr>
            <w:r>
              <w:rPr>
                <w:rFonts w:ascii="Arial" w:cs="Arial" w:eastAsia="Arial" w:hAnsi="Arial"/>
                <w:sz w:val="18"/>
                <w:szCs w:val="18"/>
                <w:color w:val="auto"/>
              </w:rPr>
              <w:t>(8,767)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Property, plant and equipment</w:t>
            </w:r>
          </w:p>
        </w:tc>
        <w:tc>
          <w:tcPr>
            <w:tcW w:w="196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372"/>
              <w:spacing w:after="0"/>
              <w:rPr>
                <w:sz w:val="20"/>
                <w:szCs w:val="20"/>
                <w:color w:val="auto"/>
              </w:rPr>
            </w:pPr>
            <w:r>
              <w:rPr>
                <w:rFonts w:ascii="Arial" w:cs="Arial" w:eastAsia="Arial" w:hAnsi="Arial"/>
                <w:sz w:val="18"/>
                <w:szCs w:val="18"/>
                <w:b w:val="1"/>
                <w:bCs w:val="1"/>
                <w:color w:val="auto"/>
                <w:w w:val="86"/>
              </w:rPr>
              <w:t>140,917</w:t>
            </w:r>
          </w:p>
        </w:tc>
        <w:tc>
          <w:tcPr>
            <w:tcW w:w="52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392"/>
              <w:spacing w:after="0"/>
              <w:rPr>
                <w:sz w:val="20"/>
                <w:szCs w:val="20"/>
                <w:color w:val="auto"/>
              </w:rPr>
            </w:pPr>
            <w:r>
              <w:rPr>
                <w:rFonts w:ascii="Arial" w:cs="Arial" w:eastAsia="Arial" w:hAnsi="Arial"/>
                <w:sz w:val="18"/>
                <w:szCs w:val="18"/>
                <w:color w:val="auto"/>
                <w:w w:val="82"/>
              </w:rPr>
              <w:t>135,013</w:t>
            </w:r>
          </w:p>
        </w:tc>
        <w:tc>
          <w:tcPr>
            <w:tcW w:w="50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w w:val="95"/>
              </w:rPr>
              <w:t>126,682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1960" w:type="dxa"/>
            <w:vAlign w:val="bottom"/>
          </w:tcPr>
          <w:p>
            <w:pPr>
              <w:spacing w:after="0"/>
              <w:rPr>
                <w:sz w:val="18"/>
                <w:szCs w:val="18"/>
                <w:color w:val="auto"/>
              </w:rPr>
            </w:pPr>
          </w:p>
        </w:tc>
        <w:tc>
          <w:tcPr>
            <w:tcW w:w="1040" w:type="dxa"/>
            <w:vAlign w:val="bottom"/>
          </w:tcPr>
          <w:p>
            <w:pPr>
              <w:jc w:val="right"/>
              <w:ind w:right="372"/>
              <w:spacing w:after="0"/>
              <w:rPr>
                <w:sz w:val="20"/>
                <w:szCs w:val="20"/>
                <w:color w:val="auto"/>
              </w:rPr>
            </w:pPr>
            <w:r>
              <w:rPr>
                <w:rFonts w:ascii="Arial" w:cs="Arial" w:eastAsia="Arial" w:hAnsi="Arial"/>
                <w:sz w:val="18"/>
                <w:szCs w:val="18"/>
                <w:b w:val="1"/>
                <w:bCs w:val="1"/>
                <w:color w:val="auto"/>
                <w:w w:val="86"/>
              </w:rPr>
              <w:t>214,658</w:t>
            </w:r>
          </w:p>
        </w:tc>
        <w:tc>
          <w:tcPr>
            <w:tcW w:w="520" w:type="dxa"/>
            <w:vAlign w:val="bottom"/>
          </w:tcPr>
          <w:p>
            <w:pPr>
              <w:spacing w:after="0"/>
              <w:rPr>
                <w:sz w:val="18"/>
                <w:szCs w:val="18"/>
                <w:color w:val="auto"/>
              </w:rPr>
            </w:pPr>
          </w:p>
        </w:tc>
        <w:tc>
          <w:tcPr>
            <w:tcW w:w="1040" w:type="dxa"/>
            <w:vAlign w:val="bottom"/>
          </w:tcPr>
          <w:p>
            <w:pPr>
              <w:jc w:val="right"/>
              <w:ind w:right="392"/>
              <w:spacing w:after="0"/>
              <w:rPr>
                <w:sz w:val="20"/>
                <w:szCs w:val="20"/>
                <w:color w:val="auto"/>
              </w:rPr>
            </w:pPr>
            <w:r>
              <w:rPr>
                <w:rFonts w:ascii="Arial" w:cs="Arial" w:eastAsia="Arial" w:hAnsi="Arial"/>
                <w:sz w:val="18"/>
                <w:szCs w:val="18"/>
                <w:color w:val="auto"/>
                <w:w w:val="82"/>
              </w:rPr>
              <w:t>235,208</w:t>
            </w:r>
          </w:p>
        </w:tc>
        <w:tc>
          <w:tcPr>
            <w:tcW w:w="500" w:type="dxa"/>
            <w:vAlign w:val="bottom"/>
          </w:tcPr>
          <w:p>
            <w:pPr>
              <w:spacing w:after="0"/>
              <w:rPr>
                <w:sz w:val="18"/>
                <w:szCs w:val="18"/>
                <w:color w:val="auto"/>
              </w:rPr>
            </w:pPr>
          </w:p>
        </w:tc>
        <w:tc>
          <w:tcPr>
            <w:tcW w:w="1000" w:type="dxa"/>
            <w:vAlign w:val="bottom"/>
          </w:tcPr>
          <w:p>
            <w:pPr>
              <w:jc w:val="right"/>
              <w:ind w:right="272"/>
              <w:spacing w:after="0"/>
              <w:rPr>
                <w:sz w:val="20"/>
                <w:szCs w:val="20"/>
                <w:color w:val="auto"/>
              </w:rPr>
            </w:pPr>
            <w:r>
              <w:rPr>
                <w:rFonts w:ascii="Arial" w:cs="Arial" w:eastAsia="Arial" w:hAnsi="Arial"/>
                <w:sz w:val="18"/>
                <w:szCs w:val="18"/>
                <w:color w:val="auto"/>
                <w:w w:val="95"/>
              </w:rPr>
              <w:t>246,321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EEEEEE"/>
          </w:tcPr>
          <w:p>
            <w:pPr>
              <w:ind w:left="220"/>
              <w:spacing w:after="0"/>
              <w:rPr>
                <w:sz w:val="20"/>
                <w:szCs w:val="20"/>
                <w:color w:val="auto"/>
              </w:rPr>
            </w:pPr>
            <w:r>
              <w:rPr>
                <w:rFonts w:ascii="Arial" w:cs="Arial" w:eastAsia="Arial" w:hAnsi="Arial"/>
                <w:sz w:val="18"/>
                <w:szCs w:val="18"/>
                <w:color w:val="auto"/>
              </w:rPr>
              <w:t>Long-term debt</w:t>
            </w:r>
          </w:p>
        </w:tc>
        <w:tc>
          <w:tcPr>
            <w:tcW w:w="196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372"/>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392"/>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220"/>
              <w:spacing w:after="0"/>
              <w:rPr>
                <w:sz w:val="20"/>
                <w:szCs w:val="20"/>
                <w:color w:val="auto"/>
              </w:rPr>
            </w:pPr>
            <w:r>
              <w:rPr>
                <w:rFonts w:ascii="Arial" w:cs="Arial" w:eastAsia="Arial" w:hAnsi="Arial"/>
                <w:sz w:val="18"/>
                <w:szCs w:val="18"/>
                <w:color w:val="auto"/>
              </w:rPr>
              <w:t>Net equity</w:t>
            </w:r>
          </w:p>
        </w:tc>
        <w:tc>
          <w:tcPr>
            <w:tcW w:w="1960" w:type="dxa"/>
            <w:vAlign w:val="bottom"/>
          </w:tcPr>
          <w:p>
            <w:pPr>
              <w:spacing w:after="0"/>
              <w:rPr>
                <w:sz w:val="18"/>
                <w:szCs w:val="18"/>
                <w:color w:val="auto"/>
              </w:rPr>
            </w:pPr>
          </w:p>
        </w:tc>
        <w:tc>
          <w:tcPr>
            <w:tcW w:w="1040" w:type="dxa"/>
            <w:vAlign w:val="bottom"/>
          </w:tcPr>
          <w:p>
            <w:pPr>
              <w:jc w:val="right"/>
              <w:ind w:right="372"/>
              <w:spacing w:after="0"/>
              <w:rPr>
                <w:sz w:val="20"/>
                <w:szCs w:val="20"/>
                <w:color w:val="auto"/>
              </w:rPr>
            </w:pPr>
            <w:r>
              <w:rPr>
                <w:rFonts w:ascii="Arial" w:cs="Arial" w:eastAsia="Arial" w:hAnsi="Arial"/>
                <w:sz w:val="18"/>
                <w:szCs w:val="18"/>
                <w:b w:val="1"/>
                <w:bCs w:val="1"/>
                <w:color w:val="auto"/>
                <w:w w:val="86"/>
              </w:rPr>
              <w:t>149,584</w:t>
            </w:r>
          </w:p>
        </w:tc>
        <w:tc>
          <w:tcPr>
            <w:tcW w:w="520" w:type="dxa"/>
            <w:vAlign w:val="bottom"/>
          </w:tcPr>
          <w:p>
            <w:pPr>
              <w:spacing w:after="0"/>
              <w:rPr>
                <w:sz w:val="18"/>
                <w:szCs w:val="18"/>
                <w:color w:val="auto"/>
              </w:rPr>
            </w:pPr>
          </w:p>
        </w:tc>
        <w:tc>
          <w:tcPr>
            <w:tcW w:w="1040" w:type="dxa"/>
            <w:vAlign w:val="bottom"/>
          </w:tcPr>
          <w:p>
            <w:pPr>
              <w:jc w:val="right"/>
              <w:ind w:right="392"/>
              <w:spacing w:after="0"/>
              <w:rPr>
                <w:sz w:val="20"/>
                <w:szCs w:val="20"/>
                <w:color w:val="auto"/>
              </w:rPr>
            </w:pPr>
            <w:r>
              <w:rPr>
                <w:rFonts w:ascii="Arial" w:cs="Arial" w:eastAsia="Arial" w:hAnsi="Arial"/>
                <w:sz w:val="18"/>
                <w:szCs w:val="18"/>
                <w:color w:val="auto"/>
                <w:w w:val="82"/>
              </w:rPr>
              <w:t>138,723</w:t>
            </w:r>
          </w:p>
        </w:tc>
        <w:tc>
          <w:tcPr>
            <w:tcW w:w="500" w:type="dxa"/>
            <w:vAlign w:val="bottom"/>
          </w:tcPr>
          <w:p>
            <w:pPr>
              <w:spacing w:after="0"/>
              <w:rPr>
                <w:sz w:val="18"/>
                <w:szCs w:val="18"/>
                <w:color w:val="auto"/>
              </w:rPr>
            </w:pPr>
          </w:p>
        </w:tc>
        <w:tc>
          <w:tcPr>
            <w:tcW w:w="1000" w:type="dxa"/>
            <w:vAlign w:val="bottom"/>
          </w:tcPr>
          <w:p>
            <w:pPr>
              <w:jc w:val="right"/>
              <w:ind w:right="272"/>
              <w:spacing w:after="0"/>
              <w:rPr>
                <w:sz w:val="20"/>
                <w:szCs w:val="20"/>
                <w:color w:val="auto"/>
              </w:rPr>
            </w:pPr>
            <w:r>
              <w:rPr>
                <w:rFonts w:ascii="Arial" w:cs="Arial" w:eastAsia="Arial" w:hAnsi="Arial"/>
                <w:sz w:val="18"/>
                <w:szCs w:val="18"/>
                <w:color w:val="auto"/>
                <w:w w:val="95"/>
              </w:rPr>
              <w:t>125,211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Results of Operations:</w:t>
            </w:r>
          </w:p>
        </w:tc>
        <w:tc>
          <w:tcPr>
            <w:tcW w:w="196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220"/>
              <w:spacing w:after="0"/>
              <w:rPr>
                <w:sz w:val="20"/>
                <w:szCs w:val="20"/>
                <w:color w:val="auto"/>
              </w:rPr>
            </w:pPr>
            <w:r>
              <w:rPr>
                <w:rFonts w:ascii="Arial" w:cs="Arial" w:eastAsia="Arial" w:hAnsi="Arial"/>
                <w:sz w:val="18"/>
                <w:szCs w:val="18"/>
                <w:color w:val="auto"/>
              </w:rPr>
              <w:t>Operating revenues</w:t>
            </w: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372"/>
              <w:spacing w:after="0"/>
              <w:rPr>
                <w:sz w:val="20"/>
                <w:szCs w:val="20"/>
                <w:color w:val="auto"/>
              </w:rPr>
            </w:pPr>
            <w:r>
              <w:rPr>
                <w:rFonts w:ascii="Arial" w:cs="Arial" w:eastAsia="Arial" w:hAnsi="Arial"/>
                <w:sz w:val="18"/>
                <w:szCs w:val="18"/>
                <w:b w:val="1"/>
                <w:bCs w:val="1"/>
                <w:color w:val="auto"/>
                <w:w w:val="86"/>
              </w:rPr>
              <w:t>174,505</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92"/>
              <w:spacing w:after="0"/>
              <w:rPr>
                <w:sz w:val="20"/>
                <w:szCs w:val="20"/>
                <w:color w:val="auto"/>
              </w:rPr>
            </w:pPr>
            <w:r>
              <w:rPr>
                <w:rFonts w:ascii="Arial" w:cs="Arial" w:eastAsia="Arial" w:hAnsi="Arial"/>
                <w:sz w:val="18"/>
                <w:szCs w:val="18"/>
                <w:color w:val="auto"/>
                <w:w w:val="82"/>
              </w:rPr>
              <w:t>263,709</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72"/>
              <w:spacing w:after="0"/>
              <w:rPr>
                <w:sz w:val="20"/>
                <w:szCs w:val="20"/>
                <w:color w:val="auto"/>
              </w:rPr>
            </w:pPr>
            <w:r>
              <w:rPr>
                <w:rFonts w:ascii="Arial" w:cs="Arial" w:eastAsia="Arial" w:hAnsi="Arial"/>
                <w:sz w:val="18"/>
                <w:szCs w:val="18"/>
                <w:color w:val="auto"/>
                <w:w w:val="95"/>
              </w:rPr>
              <w:t>317,389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EEEEEE"/>
          </w:tcPr>
          <w:p>
            <w:pPr>
              <w:ind w:left="220"/>
              <w:spacing w:after="0"/>
              <w:rPr>
                <w:sz w:val="20"/>
                <w:szCs w:val="20"/>
                <w:color w:val="auto"/>
              </w:rPr>
            </w:pPr>
            <w:r>
              <w:rPr>
                <w:rFonts w:ascii="Arial" w:cs="Arial" w:eastAsia="Arial" w:hAnsi="Arial"/>
                <w:sz w:val="18"/>
                <w:szCs w:val="18"/>
                <w:color w:val="auto"/>
              </w:rPr>
              <w:t>Operating loss</w:t>
            </w:r>
          </w:p>
        </w:tc>
        <w:tc>
          <w:tcPr>
            <w:tcW w:w="196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312"/>
              <w:spacing w:after="0"/>
              <w:rPr>
                <w:sz w:val="20"/>
                <w:szCs w:val="20"/>
                <w:color w:val="auto"/>
              </w:rPr>
            </w:pPr>
            <w:r>
              <w:rPr>
                <w:rFonts w:ascii="Arial" w:cs="Arial" w:eastAsia="Arial" w:hAnsi="Arial"/>
                <w:sz w:val="18"/>
                <w:szCs w:val="18"/>
                <w:b w:val="1"/>
                <w:bCs w:val="1"/>
                <w:color w:val="auto"/>
                <w:w w:val="92"/>
              </w:rPr>
              <w:t>(18,753)</w:t>
            </w:r>
          </w:p>
        </w:tc>
        <w:tc>
          <w:tcPr>
            <w:tcW w:w="52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332"/>
              <w:spacing w:after="0"/>
              <w:rPr>
                <w:sz w:val="20"/>
                <w:szCs w:val="20"/>
                <w:color w:val="auto"/>
              </w:rPr>
            </w:pPr>
            <w:r>
              <w:rPr>
                <w:rFonts w:ascii="Arial" w:cs="Arial" w:eastAsia="Arial" w:hAnsi="Arial"/>
                <w:sz w:val="18"/>
                <w:szCs w:val="18"/>
                <w:color w:val="auto"/>
                <w:w w:val="89"/>
              </w:rPr>
              <w:t>(21,725)</w:t>
            </w:r>
          </w:p>
        </w:tc>
        <w:tc>
          <w:tcPr>
            <w:tcW w:w="50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212"/>
              <w:spacing w:after="0"/>
              <w:rPr>
                <w:sz w:val="20"/>
                <w:szCs w:val="20"/>
                <w:color w:val="auto"/>
              </w:rPr>
            </w:pPr>
            <w:r>
              <w:rPr>
                <w:rFonts w:ascii="Arial" w:cs="Arial" w:eastAsia="Arial" w:hAnsi="Arial"/>
                <w:sz w:val="18"/>
                <w:szCs w:val="18"/>
                <w:color w:val="auto"/>
              </w:rPr>
              <w:t>(14,793)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00" w:type="dxa"/>
            <w:vAlign w:val="bottom"/>
          </w:tcPr>
          <w:p>
            <w:pPr>
              <w:ind w:left="220"/>
              <w:spacing w:after="0"/>
              <w:rPr>
                <w:sz w:val="20"/>
                <w:szCs w:val="20"/>
                <w:color w:val="auto"/>
              </w:rPr>
            </w:pPr>
            <w:r>
              <w:rPr>
                <w:rFonts w:ascii="Arial" w:cs="Arial" w:eastAsia="Arial" w:hAnsi="Arial"/>
                <w:sz w:val="18"/>
                <w:szCs w:val="18"/>
                <w:color w:val="auto"/>
              </w:rPr>
              <w:t>Net loss</w:t>
            </w:r>
          </w:p>
        </w:tc>
        <w:tc>
          <w:tcPr>
            <w:tcW w:w="1960" w:type="dxa"/>
            <w:vAlign w:val="bottom"/>
          </w:tcPr>
          <w:p>
            <w:pPr>
              <w:spacing w:after="0"/>
              <w:rPr>
                <w:sz w:val="19"/>
                <w:szCs w:val="19"/>
                <w:color w:val="auto"/>
              </w:rPr>
            </w:pPr>
          </w:p>
        </w:tc>
        <w:tc>
          <w:tcPr>
            <w:tcW w:w="1040" w:type="dxa"/>
            <w:vAlign w:val="bottom"/>
          </w:tcPr>
          <w:p>
            <w:pPr>
              <w:jc w:val="right"/>
              <w:ind w:right="312"/>
              <w:spacing w:after="0"/>
              <w:rPr>
                <w:sz w:val="20"/>
                <w:szCs w:val="20"/>
                <w:color w:val="auto"/>
              </w:rPr>
            </w:pPr>
            <w:r>
              <w:rPr>
                <w:rFonts w:ascii="Arial" w:cs="Arial" w:eastAsia="Arial" w:hAnsi="Arial"/>
                <w:sz w:val="18"/>
                <w:szCs w:val="18"/>
                <w:b w:val="1"/>
                <w:bCs w:val="1"/>
                <w:color w:val="auto"/>
                <w:w w:val="92"/>
              </w:rPr>
              <w:t>(20,164)</w:t>
            </w:r>
          </w:p>
        </w:tc>
        <w:tc>
          <w:tcPr>
            <w:tcW w:w="520" w:type="dxa"/>
            <w:vAlign w:val="bottom"/>
          </w:tcPr>
          <w:p>
            <w:pPr>
              <w:spacing w:after="0"/>
              <w:rPr>
                <w:sz w:val="19"/>
                <w:szCs w:val="19"/>
                <w:color w:val="auto"/>
              </w:rPr>
            </w:pPr>
          </w:p>
        </w:tc>
        <w:tc>
          <w:tcPr>
            <w:tcW w:w="1040" w:type="dxa"/>
            <w:vAlign w:val="bottom"/>
          </w:tcPr>
          <w:p>
            <w:pPr>
              <w:jc w:val="right"/>
              <w:ind w:right="332"/>
              <w:spacing w:after="0"/>
              <w:rPr>
                <w:sz w:val="20"/>
                <w:szCs w:val="20"/>
                <w:color w:val="auto"/>
              </w:rPr>
            </w:pPr>
            <w:r>
              <w:rPr>
                <w:rFonts w:ascii="Arial" w:cs="Arial" w:eastAsia="Arial" w:hAnsi="Arial"/>
                <w:sz w:val="18"/>
                <w:szCs w:val="18"/>
                <w:color w:val="auto"/>
                <w:w w:val="89"/>
              </w:rPr>
              <w:t>(36,326)</w:t>
            </w:r>
          </w:p>
        </w:tc>
        <w:tc>
          <w:tcPr>
            <w:tcW w:w="500" w:type="dxa"/>
            <w:vAlign w:val="bottom"/>
          </w:tcPr>
          <w:p>
            <w:pPr>
              <w:spacing w:after="0"/>
              <w:rPr>
                <w:sz w:val="19"/>
                <w:szCs w:val="19"/>
                <w:color w:val="auto"/>
              </w:rPr>
            </w:pPr>
          </w:p>
        </w:tc>
        <w:tc>
          <w:tcPr>
            <w:tcW w:w="1000" w:type="dxa"/>
            <w:vAlign w:val="bottom"/>
          </w:tcPr>
          <w:p>
            <w:pPr>
              <w:jc w:val="right"/>
              <w:ind w:right="212"/>
              <w:spacing w:after="0"/>
              <w:rPr>
                <w:sz w:val="20"/>
                <w:szCs w:val="20"/>
                <w:color w:val="auto"/>
              </w:rPr>
            </w:pPr>
            <w:r>
              <w:rPr>
                <w:rFonts w:ascii="Arial" w:cs="Arial" w:eastAsia="Arial" w:hAnsi="Arial"/>
                <w:sz w:val="18"/>
                <w:szCs w:val="18"/>
                <w:color w:val="auto"/>
                <w:w w:val="88"/>
              </w:rPr>
              <w:t>(157,409)</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and results of the Company’s investments in affiliates (in thousands):</w:t>
      </w:r>
    </w:p>
    <w:p>
      <w:pPr>
        <w:spacing w:after="0" w:line="200" w:lineRule="exact"/>
        <w:rPr>
          <w:sz w:val="20"/>
          <w:szCs w:val="20"/>
          <w:color w:val="auto"/>
        </w:rPr>
      </w:pP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3640" w:type="dxa"/>
            <w:vAlign w:val="bottom"/>
          </w:tcPr>
          <w:p>
            <w:pPr>
              <w:jc w:val="right"/>
              <w:ind w:right="412"/>
              <w:spacing w:after="0"/>
              <w:rPr>
                <w:sz w:val="20"/>
                <w:szCs w:val="20"/>
                <w:color w:val="auto"/>
              </w:rPr>
            </w:pPr>
            <w:r>
              <w:rPr>
                <w:rFonts w:ascii="Arial" w:cs="Arial" w:eastAsia="Arial" w:hAnsi="Arial"/>
                <w:sz w:val="18"/>
                <w:szCs w:val="18"/>
                <w:b w:val="1"/>
                <w:bCs w:val="1"/>
                <w:color w:val="auto"/>
              </w:rPr>
              <w:t>2003</w:t>
            </w:r>
          </w:p>
        </w:tc>
        <w:tc>
          <w:tcPr>
            <w:tcW w:w="1400" w:type="dxa"/>
            <w:vAlign w:val="bottom"/>
          </w:tcPr>
          <w:p>
            <w:pPr>
              <w:jc w:val="right"/>
              <w:ind w:right="252"/>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080" w:type="dxa"/>
            <w:vAlign w:val="bottom"/>
            <w:tcBorders>
              <w:bottom w:val="single" w:sz="8" w:color="808080"/>
            </w:tcBorders>
          </w:tcPr>
          <w:p>
            <w:pPr>
              <w:spacing w:after="0"/>
              <w:rPr>
                <w:sz w:val="9"/>
                <w:szCs w:val="9"/>
                <w:color w:val="auto"/>
              </w:rPr>
            </w:pPr>
          </w:p>
        </w:tc>
        <w:tc>
          <w:tcPr>
            <w:tcW w:w="364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80" w:type="dxa"/>
            <w:vAlign w:val="bottom"/>
          </w:tcPr>
          <w:p>
            <w:pPr>
              <w:spacing w:after="0"/>
              <w:rPr>
                <w:sz w:val="8"/>
                <w:szCs w:val="8"/>
                <w:color w:val="auto"/>
              </w:rPr>
            </w:pPr>
          </w:p>
        </w:tc>
        <w:tc>
          <w:tcPr>
            <w:tcW w:w="36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EEEEEE"/>
          </w:tcPr>
          <w:p>
            <w:pPr>
              <w:spacing w:after="0"/>
              <w:rPr>
                <w:sz w:val="20"/>
                <w:szCs w:val="20"/>
                <w:color w:val="auto"/>
              </w:rPr>
            </w:pPr>
            <w:r>
              <w:rPr>
                <w:rFonts w:ascii="Arial" w:cs="Arial" w:eastAsia="Arial" w:hAnsi="Arial"/>
                <w:sz w:val="18"/>
                <w:szCs w:val="18"/>
                <w:color w:val="auto"/>
              </w:rPr>
              <w:t>Beginning investment</w:t>
            </w:r>
          </w:p>
        </w:tc>
        <w:tc>
          <w:tcPr>
            <w:tcW w:w="3640" w:type="dxa"/>
            <w:vAlign w:val="bottom"/>
            <w:shd w:val="clear" w:color="auto" w:fill="EEEEEE"/>
          </w:tcPr>
          <w:p>
            <w:pPr>
              <w:jc w:val="right"/>
              <w:ind w:right="412"/>
              <w:spacing w:after="0"/>
              <w:rPr>
                <w:sz w:val="20"/>
                <w:szCs w:val="20"/>
                <w:color w:val="auto"/>
              </w:rPr>
            </w:pPr>
            <w:r>
              <w:rPr>
                <w:rFonts w:ascii="Arial" w:cs="Arial" w:eastAsia="Arial" w:hAnsi="Arial"/>
                <w:sz w:val="18"/>
                <w:szCs w:val="18"/>
                <w:b w:val="1"/>
                <w:bCs w:val="1"/>
                <w:color w:val="auto"/>
              </w:rPr>
              <w:t>$ 70,703</w:t>
            </w:r>
          </w:p>
        </w:tc>
        <w:tc>
          <w:tcPr>
            <w:tcW w:w="140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$ 80,936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Additional investment</w:t>
            </w:r>
          </w:p>
        </w:tc>
        <w:tc>
          <w:tcPr>
            <w:tcW w:w="3640" w:type="dxa"/>
            <w:vAlign w:val="bottom"/>
          </w:tcPr>
          <w:p>
            <w:pPr>
              <w:jc w:val="right"/>
              <w:ind w:right="412"/>
              <w:spacing w:after="0"/>
              <w:rPr>
                <w:sz w:val="20"/>
                <w:szCs w:val="20"/>
                <w:color w:val="auto"/>
              </w:rPr>
            </w:pPr>
            <w:r>
              <w:rPr>
                <w:rFonts w:ascii="Arial" w:cs="Arial" w:eastAsia="Arial" w:hAnsi="Arial"/>
                <w:sz w:val="18"/>
                <w:szCs w:val="18"/>
                <w:b w:val="1"/>
                <w:bCs w:val="1"/>
                <w:color w:val="auto"/>
              </w:rPr>
              <w:t>5,976</w:t>
            </w:r>
          </w:p>
        </w:tc>
        <w:tc>
          <w:tcPr>
            <w:tcW w:w="1400" w:type="dxa"/>
            <w:vAlign w:val="bottom"/>
          </w:tcPr>
          <w:p>
            <w:pPr>
              <w:jc w:val="right"/>
              <w:ind w:right="252"/>
              <w:spacing w:after="0"/>
              <w:rPr>
                <w:sz w:val="20"/>
                <w:szCs w:val="20"/>
                <w:color w:val="auto"/>
              </w:rPr>
            </w:pPr>
            <w:r>
              <w:rPr>
                <w:rFonts w:ascii="Arial" w:cs="Arial" w:eastAsia="Arial" w:hAnsi="Arial"/>
                <w:sz w:val="18"/>
                <w:szCs w:val="18"/>
                <w:color w:val="auto"/>
              </w:rPr>
              <w:t>7,610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EEEEEE"/>
          </w:tcPr>
          <w:p>
            <w:pPr>
              <w:spacing w:after="0"/>
              <w:rPr>
                <w:sz w:val="20"/>
                <w:szCs w:val="20"/>
                <w:color w:val="auto"/>
              </w:rPr>
            </w:pPr>
            <w:r>
              <w:rPr>
                <w:rFonts w:ascii="Arial" w:cs="Arial" w:eastAsia="Arial" w:hAnsi="Arial"/>
                <w:sz w:val="18"/>
                <w:szCs w:val="18"/>
                <w:color w:val="auto"/>
              </w:rPr>
              <w:t>Equity in losses</w:t>
            </w:r>
          </w:p>
        </w:tc>
        <w:tc>
          <w:tcPr>
            <w:tcW w:w="3640" w:type="dxa"/>
            <w:vAlign w:val="bottom"/>
            <w:shd w:val="clear" w:color="auto" w:fill="EEEEEE"/>
          </w:tcPr>
          <w:p>
            <w:pPr>
              <w:jc w:val="right"/>
              <w:ind w:right="352"/>
              <w:spacing w:after="0"/>
              <w:rPr>
                <w:sz w:val="20"/>
                <w:szCs w:val="20"/>
                <w:color w:val="auto"/>
              </w:rPr>
            </w:pPr>
            <w:r>
              <w:rPr>
                <w:rFonts w:ascii="Arial" w:cs="Arial" w:eastAsia="Arial" w:hAnsi="Arial"/>
                <w:sz w:val="18"/>
                <w:szCs w:val="18"/>
                <w:b w:val="1"/>
                <w:bCs w:val="1"/>
                <w:color w:val="auto"/>
              </w:rPr>
              <w:t>(9,766)</w:t>
            </w:r>
          </w:p>
        </w:tc>
        <w:tc>
          <w:tcPr>
            <w:tcW w:w="140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rPr>
              <w:t>(19,308)</w:t>
            </w:r>
          </w:p>
        </w:tc>
        <w:tc>
          <w:tcPr>
            <w:tcW w:w="0" w:type="dxa"/>
            <w:vAlign w:val="bottom"/>
          </w:tcPr>
          <w:p>
            <w:pPr>
              <w:spacing w:after="0"/>
              <w:rPr>
                <w:sz w:val="1"/>
                <w:szCs w:val="1"/>
                <w:color w:val="auto"/>
              </w:rPr>
            </w:pPr>
          </w:p>
        </w:tc>
      </w:tr>
    </w:tbl>
    <w:p>
      <w:pPr>
        <w:sectPr>
          <w:pgSz w:w="11900" w:h="16897" w:orient="portrait"/>
          <w:cols w:equalWidth="0" w:num="1">
            <w:col w:w="11340"/>
          </w:cols>
          <w:pgMar w:left="240" w:top="935" w:right="319" w:bottom="0" w:gutter="0" w:footer="0" w:header="0"/>
        </w:sectPr>
      </w:pPr>
    </w:p>
    <w:bookmarkStart w:id="56" w:name="page57"/>
    <w:bookmarkEnd w:id="56"/>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6220" w:type="dxa"/>
            <w:vAlign w:val="bottom"/>
            <w:gridSpan w:val="2"/>
          </w:tcPr>
          <w:p>
            <w:pPr>
              <w:spacing w:after="0"/>
              <w:rPr>
                <w:sz w:val="20"/>
                <w:szCs w:val="20"/>
                <w:color w:val="auto"/>
              </w:rPr>
            </w:pPr>
            <w:r>
              <w:rPr>
                <w:rFonts w:ascii="Arial" w:cs="Arial" w:eastAsia="Arial" w:hAnsi="Arial"/>
                <w:sz w:val="18"/>
                <w:szCs w:val="18"/>
                <w:color w:val="auto"/>
              </w:rPr>
              <w:t>Dividends and distributions received</w:t>
            </w:r>
          </w:p>
        </w:tc>
        <w:tc>
          <w:tcPr>
            <w:tcW w:w="1520" w:type="dxa"/>
            <w:vAlign w:val="bottom"/>
          </w:tcPr>
          <w:p>
            <w:pPr>
              <w:jc w:val="right"/>
              <w:ind w:right="352"/>
              <w:spacing w:after="0"/>
              <w:rPr>
                <w:sz w:val="20"/>
                <w:szCs w:val="20"/>
                <w:color w:val="auto"/>
              </w:rPr>
            </w:pPr>
            <w:r>
              <w:rPr>
                <w:rFonts w:ascii="Arial" w:cs="Arial" w:eastAsia="Arial" w:hAnsi="Arial"/>
                <w:sz w:val="18"/>
                <w:szCs w:val="18"/>
                <w:b w:val="1"/>
                <w:bCs w:val="1"/>
                <w:color w:val="auto"/>
              </w:rPr>
              <w:t>(750)</w:t>
            </w: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00" w:type="dxa"/>
            <w:vAlign w:val="bottom"/>
            <w:shd w:val="clear" w:color="auto" w:fill="EEEEEE"/>
          </w:tcPr>
          <w:p>
            <w:pPr>
              <w:spacing w:after="0"/>
              <w:rPr>
                <w:sz w:val="20"/>
                <w:szCs w:val="20"/>
                <w:color w:val="auto"/>
              </w:rPr>
            </w:pPr>
            <w:r>
              <w:rPr>
                <w:rFonts w:ascii="Arial" w:cs="Arial" w:eastAsia="Arial" w:hAnsi="Arial"/>
                <w:sz w:val="18"/>
                <w:szCs w:val="18"/>
                <w:color w:val="auto"/>
              </w:rPr>
              <w:t>Foreign currency translation</w:t>
            </w:r>
          </w:p>
        </w:tc>
        <w:tc>
          <w:tcPr>
            <w:tcW w:w="1520" w:type="dxa"/>
            <w:vAlign w:val="bottom"/>
            <w:shd w:val="clear" w:color="auto" w:fill="EEEEEE"/>
          </w:tcPr>
          <w:p>
            <w:pPr>
              <w:jc w:val="right"/>
              <w:ind w:right="412"/>
              <w:spacing w:after="0"/>
              <w:rPr>
                <w:sz w:val="20"/>
                <w:szCs w:val="20"/>
                <w:color w:val="auto"/>
              </w:rPr>
            </w:pPr>
            <w:r>
              <w:rPr>
                <w:rFonts w:ascii="Arial" w:cs="Arial" w:eastAsia="Arial" w:hAnsi="Arial"/>
                <w:sz w:val="18"/>
                <w:szCs w:val="18"/>
                <w:b w:val="1"/>
                <w:bCs w:val="1"/>
                <w:color w:val="auto"/>
              </w:rPr>
              <w:t>9,205</w:t>
            </w:r>
          </w:p>
        </w:tc>
        <w:tc>
          <w:tcPr>
            <w:tcW w:w="140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2,175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Sale of interest</w:t>
            </w:r>
          </w:p>
        </w:tc>
        <w:tc>
          <w:tcPr>
            <w:tcW w:w="1520" w:type="dxa"/>
            <w:vAlign w:val="bottom"/>
          </w:tcPr>
          <w:p>
            <w:pPr>
              <w:jc w:val="right"/>
              <w:ind w:right="352"/>
              <w:spacing w:after="0"/>
              <w:rPr>
                <w:sz w:val="20"/>
                <w:szCs w:val="20"/>
                <w:color w:val="auto"/>
              </w:rPr>
            </w:pPr>
            <w:r>
              <w:rPr>
                <w:rFonts w:ascii="Arial" w:cs="Arial" w:eastAsia="Arial" w:hAnsi="Arial"/>
                <w:sz w:val="18"/>
                <w:szCs w:val="18"/>
                <w:b w:val="1"/>
                <w:bCs w:val="1"/>
                <w:color w:val="auto"/>
              </w:rPr>
              <w:t>(14,056)</w:t>
            </w:r>
          </w:p>
        </w:tc>
        <w:tc>
          <w:tcPr>
            <w:tcW w:w="140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200" w:type="dxa"/>
            <w:vAlign w:val="bottom"/>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EEEEEE"/>
          </w:tcPr>
          <w:p>
            <w:pPr>
              <w:spacing w:after="0"/>
              <w:rPr>
                <w:sz w:val="20"/>
                <w:szCs w:val="20"/>
                <w:color w:val="auto"/>
              </w:rPr>
            </w:pPr>
            <w:r>
              <w:rPr>
                <w:rFonts w:ascii="Arial" w:cs="Arial" w:eastAsia="Arial" w:hAnsi="Arial"/>
                <w:sz w:val="18"/>
                <w:szCs w:val="18"/>
                <w:color w:val="auto"/>
              </w:rPr>
              <w:t>Ending investment</w:t>
            </w:r>
          </w:p>
        </w:tc>
        <w:tc>
          <w:tcPr>
            <w:tcW w:w="1520" w:type="dxa"/>
            <w:vAlign w:val="bottom"/>
            <w:shd w:val="clear" w:color="auto" w:fill="EEEEEE"/>
          </w:tcPr>
          <w:p>
            <w:pPr>
              <w:jc w:val="right"/>
              <w:ind w:right="412"/>
              <w:spacing w:after="0"/>
              <w:rPr>
                <w:sz w:val="20"/>
                <w:szCs w:val="20"/>
                <w:color w:val="auto"/>
              </w:rPr>
            </w:pPr>
            <w:r>
              <w:rPr>
                <w:rFonts w:ascii="Arial" w:cs="Arial" w:eastAsia="Arial" w:hAnsi="Arial"/>
                <w:sz w:val="18"/>
                <w:szCs w:val="18"/>
                <w:b w:val="1"/>
                <w:bCs w:val="1"/>
                <w:color w:val="auto"/>
              </w:rPr>
              <w:t>$ 61,312</w:t>
            </w:r>
          </w:p>
        </w:tc>
        <w:tc>
          <w:tcPr>
            <w:tcW w:w="140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$ 70,703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00" w:type="dxa"/>
            <w:vAlign w:val="bottom"/>
          </w:tcPr>
          <w:p>
            <w:pPr>
              <w:spacing w:after="0"/>
              <w:rPr>
                <w:sz w:val="5"/>
                <w:szCs w:val="5"/>
                <w:color w:val="auto"/>
              </w:rPr>
            </w:pPr>
          </w:p>
        </w:tc>
        <w:tc>
          <w:tcPr>
            <w:tcW w:w="152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December 2001, BrassRing, Inc. was restructured and the Company’s interest in BrassRing, Inc. was converted into an interest in the newly-formed BrassRing LLC. At December 30, 2001, the Company held a 39.7 percent interest in the BrassRing LLC common equity and a $14.9 million Subordinated Convertible Promissory Note (“Note”) from BrassRing LLC. In February 2002, the Note was converted into Preferred Units, which are convertible at the Company’s option to BrassRing LLC common equity. Assuming the conversion of the Preferred Units, the Company’s common equity interest in BrassRing LLC would have been approximately 49.5 percent.</w:t>
      </w:r>
    </w:p>
    <w:p>
      <w:pPr>
        <w:spacing w:after="0" w:line="19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BrassRing accounted for $7.7 million of the 2003 equity in losses of affiliates, compared to $13.9 million in 2002 and $75.1 million in 2001. In 2001, BrassRing recorded a significant non-cash goodwill and other intangibles impairment charge primarily to reduce the carrying value of its career fair business. As a substantial portion of BrassRing’s losses arose from goodwill and intangible amortization expense in 2001, the $75.1 million of equity in affiliate losses recorded by the Company in 2001 did not require significant funding by the Company.</w:t>
      </w:r>
    </w:p>
    <w:p>
      <w:pPr>
        <w:spacing w:after="0" w:line="197"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On January 1, 2003, the Company sold its 50 percent interest in The International Herald Tribune newspaper for $65 million; the Company reported a $49.8 million pre-tax gain that is included in</w:t>
      </w:r>
    </w:p>
    <w:p>
      <w:pPr>
        <w:spacing w:after="0" w:line="200" w:lineRule="exact"/>
        <w:rPr>
          <w:sz w:val="20"/>
          <w:szCs w:val="20"/>
          <w:color w:val="auto"/>
        </w:rPr>
      </w:pP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“Other income (expense), net” in the Consolidated Statements of Income.</w:t>
      </w:r>
    </w:p>
    <w:p>
      <w:pPr>
        <w:spacing w:after="0" w:line="219" w:lineRule="exact"/>
        <w:rPr>
          <w:sz w:val="20"/>
          <w:szCs w:val="20"/>
          <w:color w:val="auto"/>
        </w:rPr>
      </w:pPr>
    </w:p>
    <w:p>
      <w:pPr>
        <w:jc w:val="both"/>
        <w:ind w:right="460"/>
        <w:spacing w:after="0" w:line="310" w:lineRule="auto"/>
        <w:rPr>
          <w:sz w:val="20"/>
          <w:szCs w:val="20"/>
          <w:color w:val="auto"/>
        </w:rPr>
      </w:pPr>
      <w:r>
        <w:rPr>
          <w:rFonts w:ascii="Arial" w:cs="Arial" w:eastAsia="Arial" w:hAnsi="Arial"/>
          <w:sz w:val="16"/>
          <w:szCs w:val="16"/>
          <w:b w:val="1"/>
          <w:bCs w:val="1"/>
          <w:color w:val="auto"/>
        </w:rPr>
        <w:t xml:space="preserve">Cost Method Investments. </w:t>
      </w:r>
      <w:r>
        <w:rPr>
          <w:rFonts w:ascii="Arial" w:cs="Arial" w:eastAsia="Arial" w:hAnsi="Arial"/>
          <w:sz w:val="16"/>
          <w:szCs w:val="16"/>
          <w:color w:val="auto"/>
        </w:rPr>
        <w:t>Most of the companies represented by the Company’s cost method investments have concentrations in Internet-related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activities. At December 28, 2003 and December 29, 2002, the carrying value of the Company’s cost method investments was $9.6 million and $9.5 million, respectively. Cost method investments are included in “Deferred Charges and Other Assets” in the Consolidated Balance Sheets.</w:t>
      </w:r>
    </w:p>
    <w:p>
      <w:pPr>
        <w:spacing w:after="0" w:line="15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During 2003, 2002 and 2001, the Company invested $0.8 million, $0.3 million and $11.7 million, respectively, in companies constituting cost method investments and recorded charges of $1.1 million, $19.2 million and $29.4 million, respectively, to write-down cost method investments to estimated fair value. The Company’s 2002 and 2001 write-downs relate to several investments. In 2002, three of the investments were written down by an aggregate of $15.6 million, primarily as a result of significant recurring losses in each of the underlying businesses, with the write-downs recorded based on the Company’s best estimate of the fair value of each these investments. Another of the Company’s investments was written down in 2002 by $2.8 million, based on proceeds received by the Company arising from the investee’s merger. In 2001, two investments were written down by an aggregate of $19.5 million, as a result of recurring losses in the underlying businesses, with the write-downs recorded based on the Company’s best estimate of the fair value of each of the investments. Another of the Company’s investments was written down by $2.4 million to its net realizable value as the company was liquidated. Charges recorded to write-down cost method investments are included in “Other income (expense), net” in the Consolidated Statements of Income.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INCOME TAXES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consists of the following (in thousands):</w:t>
      </w:r>
    </w:p>
    <w:p>
      <w:pPr>
        <w:spacing w:after="0" w:line="200" w:lineRule="exact"/>
        <w:rPr>
          <w:sz w:val="20"/>
          <w:szCs w:val="20"/>
          <w:color w:val="auto"/>
        </w:rPr>
      </w:pPr>
    </w:p>
    <w:p>
      <w:pPr>
        <w:spacing w:after="0" w:line="241"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00" w:type="dxa"/>
            <w:vAlign w:val="bottom"/>
          </w:tcPr>
          <w:p>
            <w:pPr>
              <w:jc w:val="right"/>
              <w:ind w:right="632"/>
              <w:spacing w:after="0"/>
              <w:rPr>
                <w:sz w:val="20"/>
                <w:szCs w:val="20"/>
                <w:color w:val="auto"/>
              </w:rPr>
            </w:pPr>
            <w:r>
              <w:rPr>
                <w:rFonts w:ascii="Arial" w:cs="Arial" w:eastAsia="Arial" w:hAnsi="Arial"/>
                <w:sz w:val="18"/>
                <w:szCs w:val="18"/>
                <w:color w:val="auto"/>
                <w:w w:val="93"/>
              </w:rPr>
              <w:t>Current</w:t>
            </w:r>
          </w:p>
        </w:tc>
        <w:tc>
          <w:tcPr>
            <w:tcW w:w="1960" w:type="dxa"/>
            <w:vAlign w:val="bottom"/>
          </w:tcPr>
          <w:p>
            <w:pPr>
              <w:jc w:val="right"/>
              <w:ind w:right="512"/>
              <w:spacing w:after="0"/>
              <w:rPr>
                <w:sz w:val="20"/>
                <w:szCs w:val="20"/>
                <w:color w:val="auto"/>
              </w:rPr>
            </w:pPr>
            <w:r>
              <w:rPr>
                <w:rFonts w:ascii="Arial" w:cs="Arial" w:eastAsia="Arial" w:hAnsi="Arial"/>
                <w:sz w:val="18"/>
                <w:szCs w:val="18"/>
                <w:color w:val="auto"/>
              </w:rPr>
              <w:t>Deferred</w:t>
            </w:r>
          </w:p>
        </w:tc>
        <w:tc>
          <w:tcPr>
            <w:tcW w:w="1460" w:type="dxa"/>
            <w:vAlign w:val="bottom"/>
          </w:tcPr>
          <w:p>
            <w:pPr>
              <w:jc w:val="right"/>
              <w:ind w:right="152"/>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EEEEEE"/>
          </w:tcPr>
          <w:p>
            <w:pPr>
              <w:jc w:val="right"/>
              <w:ind w:right="3312"/>
              <w:spacing w:after="0"/>
              <w:rPr>
                <w:sz w:val="20"/>
                <w:szCs w:val="20"/>
                <w:color w:val="auto"/>
              </w:rPr>
            </w:pPr>
            <w:r>
              <w:rPr>
                <w:rFonts w:ascii="Arial" w:cs="Arial" w:eastAsia="Arial" w:hAnsi="Arial"/>
                <w:sz w:val="18"/>
                <w:szCs w:val="18"/>
                <w:b w:val="1"/>
                <w:bCs w:val="1"/>
                <w:color w:val="auto"/>
                <w:w w:val="79"/>
              </w:rPr>
              <w:t>2003</w:t>
            </w:r>
          </w:p>
        </w:tc>
        <w:tc>
          <w:tcPr>
            <w:tcW w:w="66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96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200"/>
              <w:spacing w:after="0"/>
              <w:rPr>
                <w:sz w:val="20"/>
                <w:szCs w:val="20"/>
                <w:color w:val="auto"/>
              </w:rPr>
            </w:pPr>
            <w:r>
              <w:rPr>
                <w:rFonts w:ascii="Arial" w:cs="Arial" w:eastAsia="Arial" w:hAnsi="Arial"/>
                <w:sz w:val="18"/>
                <w:szCs w:val="18"/>
                <w:color w:val="auto"/>
              </w:rPr>
              <w:t>U.S. Federal</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632"/>
              <w:spacing w:after="0"/>
              <w:rPr>
                <w:sz w:val="20"/>
                <w:szCs w:val="20"/>
                <w:color w:val="auto"/>
              </w:rPr>
            </w:pPr>
            <w:r>
              <w:rPr>
                <w:rFonts w:ascii="Arial" w:cs="Arial" w:eastAsia="Arial" w:hAnsi="Arial"/>
                <w:sz w:val="18"/>
                <w:szCs w:val="18"/>
                <w:color w:val="auto"/>
              </w:rPr>
              <w:t>93,329</w:t>
            </w:r>
          </w:p>
        </w:tc>
        <w:tc>
          <w:tcPr>
            <w:tcW w:w="1960" w:type="dxa"/>
            <w:vAlign w:val="bottom"/>
          </w:tcPr>
          <w:p>
            <w:pPr>
              <w:jc w:val="right"/>
              <w:ind w:right="512"/>
              <w:spacing w:after="0"/>
              <w:rPr>
                <w:sz w:val="20"/>
                <w:szCs w:val="20"/>
                <w:color w:val="auto"/>
              </w:rPr>
            </w:pPr>
            <w:r>
              <w:rPr>
                <w:rFonts w:ascii="Arial" w:cs="Arial" w:eastAsia="Arial" w:hAnsi="Arial"/>
                <w:sz w:val="18"/>
                <w:szCs w:val="18"/>
                <w:color w:val="auto"/>
              </w:rPr>
              <w:t>$27,189</w:t>
            </w:r>
          </w:p>
        </w:tc>
        <w:tc>
          <w:tcPr>
            <w:tcW w:w="1460" w:type="dxa"/>
            <w:vAlign w:val="bottom"/>
          </w:tcPr>
          <w:p>
            <w:pPr>
              <w:jc w:val="right"/>
              <w:ind w:right="152"/>
              <w:spacing w:after="0"/>
              <w:rPr>
                <w:sz w:val="20"/>
                <w:szCs w:val="20"/>
                <w:color w:val="auto"/>
              </w:rPr>
            </w:pPr>
            <w:r>
              <w:rPr>
                <w:rFonts w:ascii="Arial" w:cs="Arial" w:eastAsia="Arial" w:hAnsi="Arial"/>
                <w:sz w:val="18"/>
                <w:szCs w:val="18"/>
                <w:color w:val="auto"/>
              </w:rPr>
              <w:t>$120,518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Foreign</w:t>
            </w:r>
          </w:p>
        </w:tc>
        <w:tc>
          <w:tcPr>
            <w:tcW w:w="660" w:type="dxa"/>
            <w:vAlign w:val="bottom"/>
            <w:shd w:val="clear" w:color="auto" w:fill="EEEEEE"/>
          </w:tcPr>
          <w:p>
            <w:pPr>
              <w:spacing w:after="0"/>
              <w:rPr>
                <w:sz w:val="18"/>
                <w:szCs w:val="18"/>
                <w:color w:val="auto"/>
              </w:rPr>
            </w:pPr>
          </w:p>
        </w:tc>
        <w:tc>
          <w:tcPr>
            <w:tcW w:w="1300" w:type="dxa"/>
            <w:vAlign w:val="bottom"/>
            <w:shd w:val="clear" w:color="auto" w:fill="EEEEEE"/>
          </w:tcPr>
          <w:p>
            <w:pPr>
              <w:jc w:val="right"/>
              <w:ind w:right="632"/>
              <w:spacing w:after="0"/>
              <w:rPr>
                <w:sz w:val="20"/>
                <w:szCs w:val="20"/>
                <w:color w:val="auto"/>
              </w:rPr>
            </w:pPr>
            <w:r>
              <w:rPr>
                <w:rFonts w:ascii="Arial" w:cs="Arial" w:eastAsia="Arial" w:hAnsi="Arial"/>
                <w:sz w:val="18"/>
                <w:szCs w:val="18"/>
                <w:color w:val="auto"/>
              </w:rPr>
              <w:t>4,129</w:t>
            </w:r>
          </w:p>
        </w:tc>
        <w:tc>
          <w:tcPr>
            <w:tcW w:w="1960" w:type="dxa"/>
            <w:vAlign w:val="bottom"/>
            <w:shd w:val="clear" w:color="auto" w:fill="EEEEEE"/>
          </w:tcPr>
          <w:p>
            <w:pPr>
              <w:jc w:val="right"/>
              <w:ind w:right="452"/>
              <w:spacing w:after="0"/>
              <w:rPr>
                <w:sz w:val="20"/>
                <w:szCs w:val="20"/>
                <w:color w:val="auto"/>
              </w:rPr>
            </w:pPr>
            <w:r>
              <w:rPr>
                <w:rFonts w:ascii="Arial" w:cs="Arial" w:eastAsia="Arial" w:hAnsi="Arial"/>
                <w:sz w:val="18"/>
                <w:szCs w:val="18"/>
                <w:color w:val="auto"/>
              </w:rPr>
              <w:t>(159)</w:t>
            </w:r>
          </w:p>
        </w:tc>
        <w:tc>
          <w:tcPr>
            <w:tcW w:w="1460" w:type="dxa"/>
            <w:vAlign w:val="bottom"/>
            <w:shd w:val="clear" w:color="auto" w:fill="EEEEEE"/>
          </w:tcPr>
          <w:p>
            <w:pPr>
              <w:jc w:val="right"/>
              <w:ind w:right="152"/>
              <w:spacing w:after="0"/>
              <w:rPr>
                <w:sz w:val="20"/>
                <w:szCs w:val="20"/>
                <w:color w:val="auto"/>
              </w:rPr>
            </w:pPr>
            <w:r>
              <w:rPr>
                <w:rFonts w:ascii="Arial" w:cs="Arial" w:eastAsia="Arial" w:hAnsi="Arial"/>
                <w:sz w:val="18"/>
                <w:szCs w:val="18"/>
                <w:color w:val="auto"/>
              </w:rPr>
              <w:t>3,970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40" w:type="dxa"/>
            <w:vAlign w:val="bottom"/>
          </w:tcPr>
          <w:p>
            <w:pPr>
              <w:ind w:left="200"/>
              <w:spacing w:after="0"/>
              <w:rPr>
                <w:sz w:val="20"/>
                <w:szCs w:val="20"/>
                <w:color w:val="auto"/>
              </w:rPr>
            </w:pPr>
            <w:r>
              <w:rPr>
                <w:rFonts w:ascii="Arial" w:cs="Arial" w:eastAsia="Arial" w:hAnsi="Arial"/>
                <w:sz w:val="18"/>
                <w:szCs w:val="18"/>
                <w:color w:val="auto"/>
              </w:rPr>
              <w:t>State and local</w:t>
            </w:r>
          </w:p>
        </w:tc>
        <w:tc>
          <w:tcPr>
            <w:tcW w:w="660" w:type="dxa"/>
            <w:vAlign w:val="bottom"/>
          </w:tcPr>
          <w:p>
            <w:pPr>
              <w:spacing w:after="0"/>
              <w:rPr>
                <w:sz w:val="19"/>
                <w:szCs w:val="19"/>
                <w:color w:val="auto"/>
              </w:rPr>
            </w:pPr>
          </w:p>
        </w:tc>
        <w:tc>
          <w:tcPr>
            <w:tcW w:w="1300" w:type="dxa"/>
            <w:vAlign w:val="bottom"/>
          </w:tcPr>
          <w:p>
            <w:pPr>
              <w:jc w:val="right"/>
              <w:ind w:right="632"/>
              <w:spacing w:after="0"/>
              <w:rPr>
                <w:sz w:val="20"/>
                <w:szCs w:val="20"/>
                <w:color w:val="auto"/>
              </w:rPr>
            </w:pPr>
            <w:r>
              <w:rPr>
                <w:rFonts w:ascii="Arial" w:cs="Arial" w:eastAsia="Arial" w:hAnsi="Arial"/>
                <w:sz w:val="18"/>
                <w:szCs w:val="18"/>
                <w:color w:val="auto"/>
              </w:rPr>
              <w:t>13,338</w:t>
            </w:r>
          </w:p>
        </w:tc>
        <w:tc>
          <w:tcPr>
            <w:tcW w:w="1960" w:type="dxa"/>
            <w:vAlign w:val="bottom"/>
          </w:tcPr>
          <w:p>
            <w:pPr>
              <w:jc w:val="right"/>
              <w:ind w:right="512"/>
              <w:spacing w:after="0"/>
              <w:rPr>
                <w:sz w:val="20"/>
                <w:szCs w:val="20"/>
                <w:color w:val="auto"/>
              </w:rPr>
            </w:pPr>
            <w:r>
              <w:rPr>
                <w:rFonts w:ascii="Arial" w:cs="Arial" w:eastAsia="Arial" w:hAnsi="Arial"/>
                <w:sz w:val="18"/>
                <w:szCs w:val="18"/>
                <w:color w:val="auto"/>
              </w:rPr>
              <w:t>3,674</w:t>
            </w:r>
          </w:p>
        </w:tc>
        <w:tc>
          <w:tcPr>
            <w:tcW w:w="1460" w:type="dxa"/>
            <w:vAlign w:val="bottom"/>
          </w:tcPr>
          <w:p>
            <w:pPr>
              <w:jc w:val="right"/>
              <w:ind w:right="152"/>
              <w:spacing w:after="0"/>
              <w:rPr>
                <w:sz w:val="20"/>
                <w:szCs w:val="20"/>
                <w:color w:val="auto"/>
              </w:rPr>
            </w:pPr>
            <w:r>
              <w:rPr>
                <w:rFonts w:ascii="Arial" w:cs="Arial" w:eastAsia="Arial" w:hAnsi="Arial"/>
                <w:sz w:val="18"/>
                <w:szCs w:val="18"/>
                <w:color w:val="auto"/>
              </w:rPr>
              <w:t>17,012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196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EEEEEE"/>
          </w:tcPr>
          <w:p>
            <w:pPr>
              <w:spacing w:after="0"/>
              <w:rPr>
                <w:sz w:val="18"/>
                <w:szCs w:val="18"/>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EEEEEE"/>
          </w:tcPr>
          <w:p>
            <w:pPr>
              <w:jc w:val="right"/>
              <w:ind w:right="632"/>
              <w:spacing w:after="0"/>
              <w:rPr>
                <w:sz w:val="20"/>
                <w:szCs w:val="20"/>
                <w:color w:val="auto"/>
              </w:rPr>
            </w:pPr>
            <w:r>
              <w:rPr>
                <w:rFonts w:ascii="Arial" w:cs="Arial" w:eastAsia="Arial" w:hAnsi="Arial"/>
                <w:sz w:val="18"/>
                <w:szCs w:val="18"/>
                <w:color w:val="auto"/>
                <w:w w:val="86"/>
              </w:rPr>
              <w:t>110,796</w:t>
            </w:r>
          </w:p>
        </w:tc>
        <w:tc>
          <w:tcPr>
            <w:tcW w:w="1960" w:type="dxa"/>
            <w:vAlign w:val="bottom"/>
            <w:shd w:val="clear" w:color="auto" w:fill="EEEEEE"/>
          </w:tcPr>
          <w:p>
            <w:pPr>
              <w:jc w:val="right"/>
              <w:ind w:right="512"/>
              <w:spacing w:after="0"/>
              <w:rPr>
                <w:sz w:val="20"/>
                <w:szCs w:val="20"/>
                <w:color w:val="auto"/>
              </w:rPr>
            </w:pPr>
            <w:r>
              <w:rPr>
                <w:rFonts w:ascii="Arial" w:cs="Arial" w:eastAsia="Arial" w:hAnsi="Arial"/>
                <w:sz w:val="18"/>
                <w:szCs w:val="18"/>
                <w:color w:val="auto"/>
              </w:rPr>
              <w:t>$30,704</w:t>
            </w:r>
          </w:p>
        </w:tc>
        <w:tc>
          <w:tcPr>
            <w:tcW w:w="1460" w:type="dxa"/>
            <w:vAlign w:val="bottom"/>
            <w:shd w:val="clear" w:color="auto" w:fill="EEEEEE"/>
          </w:tcPr>
          <w:p>
            <w:pPr>
              <w:jc w:val="right"/>
              <w:ind w:right="152"/>
              <w:spacing w:after="0"/>
              <w:rPr>
                <w:sz w:val="20"/>
                <w:szCs w:val="20"/>
                <w:color w:val="auto"/>
              </w:rPr>
            </w:pPr>
            <w:r>
              <w:rPr>
                <w:rFonts w:ascii="Arial" w:cs="Arial" w:eastAsia="Arial" w:hAnsi="Arial"/>
                <w:sz w:val="18"/>
                <w:szCs w:val="18"/>
                <w:color w:val="auto"/>
              </w:rPr>
              <w:t>$141,500</w:t>
            </w:r>
          </w:p>
        </w:tc>
        <w:tc>
          <w:tcPr>
            <w:tcW w:w="0" w:type="dxa"/>
            <w:vAlign w:val="bottom"/>
          </w:tcPr>
          <w:p>
            <w:pPr>
              <w:spacing w:after="0"/>
              <w:rPr>
                <w:sz w:val="1"/>
                <w:szCs w:val="1"/>
                <w:color w:val="auto"/>
              </w:rPr>
            </w:pPr>
          </w:p>
        </w:tc>
      </w:tr>
      <w:tr>
        <w:trPr>
          <w:trHeight w:val="105"/>
        </w:trPr>
        <w:tc>
          <w:tcPr>
            <w:tcW w:w="3760" w:type="dxa"/>
            <w:vAlign w:val="bottom"/>
            <w:gridSpan w:val="2"/>
            <w:vMerge w:val="restart"/>
          </w:tcPr>
          <w:p>
            <w:pPr>
              <w:jc w:val="right"/>
              <w:ind w:right="3312"/>
              <w:spacing w:after="0"/>
              <w:rPr>
                <w:sz w:val="20"/>
                <w:szCs w:val="20"/>
                <w:color w:val="auto"/>
              </w:rPr>
            </w:pPr>
            <w:r>
              <w:rPr>
                <w:rFonts w:ascii="Arial" w:cs="Arial" w:eastAsia="Arial" w:hAnsi="Arial"/>
                <w:sz w:val="18"/>
                <w:szCs w:val="18"/>
                <w:b w:val="1"/>
                <w:bCs w:val="1"/>
                <w:color w:val="auto"/>
                <w:w w:val="84"/>
              </w:rPr>
              <w:t>2002</w:t>
            </w:r>
          </w:p>
        </w:tc>
        <w:tc>
          <w:tcPr>
            <w:tcW w:w="6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760" w:type="dxa"/>
            <w:vAlign w:val="bottom"/>
            <w:gridSpan w:val="2"/>
            <w:vMerge w:val="continue"/>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196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376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U.S. Federal</w:t>
            </w: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EEEEEE"/>
          </w:tcPr>
          <w:p>
            <w:pPr>
              <w:jc w:val="right"/>
              <w:ind w:right="632"/>
              <w:spacing w:after="0"/>
              <w:rPr>
                <w:sz w:val="20"/>
                <w:szCs w:val="20"/>
                <w:color w:val="auto"/>
              </w:rPr>
            </w:pPr>
            <w:r>
              <w:rPr>
                <w:rFonts w:ascii="Arial" w:cs="Arial" w:eastAsia="Arial" w:hAnsi="Arial"/>
                <w:sz w:val="18"/>
                <w:szCs w:val="18"/>
                <w:color w:val="auto"/>
              </w:rPr>
              <w:t>75,654</w:t>
            </w:r>
          </w:p>
        </w:tc>
        <w:tc>
          <w:tcPr>
            <w:tcW w:w="1960" w:type="dxa"/>
            <w:vAlign w:val="bottom"/>
            <w:shd w:val="clear" w:color="auto" w:fill="EEEEEE"/>
          </w:tcPr>
          <w:p>
            <w:pPr>
              <w:jc w:val="right"/>
              <w:ind w:right="512"/>
              <w:spacing w:after="0"/>
              <w:rPr>
                <w:sz w:val="20"/>
                <w:szCs w:val="20"/>
                <w:color w:val="auto"/>
              </w:rPr>
            </w:pPr>
            <w:r>
              <w:rPr>
                <w:rFonts w:ascii="Arial" w:cs="Arial" w:eastAsia="Arial" w:hAnsi="Arial"/>
                <w:sz w:val="18"/>
                <w:szCs w:val="18"/>
                <w:color w:val="auto"/>
              </w:rPr>
              <w:t>$38,934</w:t>
            </w:r>
          </w:p>
        </w:tc>
        <w:tc>
          <w:tcPr>
            <w:tcW w:w="1460" w:type="dxa"/>
            <w:vAlign w:val="bottom"/>
            <w:shd w:val="clear" w:color="auto" w:fill="EEEEEE"/>
          </w:tcPr>
          <w:p>
            <w:pPr>
              <w:jc w:val="right"/>
              <w:ind w:right="152"/>
              <w:spacing w:after="0"/>
              <w:rPr>
                <w:sz w:val="20"/>
                <w:szCs w:val="20"/>
                <w:color w:val="auto"/>
              </w:rPr>
            </w:pPr>
            <w:r>
              <w:rPr>
                <w:rFonts w:ascii="Arial" w:cs="Arial" w:eastAsia="Arial" w:hAnsi="Arial"/>
                <w:sz w:val="18"/>
                <w:szCs w:val="18"/>
                <w:color w:val="auto"/>
              </w:rPr>
              <w:t>$114,588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200"/>
              <w:spacing w:after="0"/>
              <w:rPr>
                <w:sz w:val="20"/>
                <w:szCs w:val="20"/>
                <w:color w:val="auto"/>
              </w:rPr>
            </w:pPr>
            <w:r>
              <w:rPr>
                <w:rFonts w:ascii="Arial" w:cs="Arial" w:eastAsia="Arial" w:hAnsi="Arial"/>
                <w:sz w:val="18"/>
                <w:szCs w:val="18"/>
                <w:color w:val="auto"/>
              </w:rPr>
              <w:t>Foreign</w:t>
            </w:r>
          </w:p>
        </w:tc>
        <w:tc>
          <w:tcPr>
            <w:tcW w:w="660" w:type="dxa"/>
            <w:vAlign w:val="bottom"/>
          </w:tcPr>
          <w:p>
            <w:pPr>
              <w:spacing w:after="0"/>
              <w:rPr>
                <w:sz w:val="18"/>
                <w:szCs w:val="18"/>
                <w:color w:val="auto"/>
              </w:rPr>
            </w:pPr>
          </w:p>
        </w:tc>
        <w:tc>
          <w:tcPr>
            <w:tcW w:w="1300" w:type="dxa"/>
            <w:vAlign w:val="bottom"/>
          </w:tcPr>
          <w:p>
            <w:pPr>
              <w:jc w:val="right"/>
              <w:ind w:right="632"/>
              <w:spacing w:after="0"/>
              <w:rPr>
                <w:sz w:val="20"/>
                <w:szCs w:val="20"/>
                <w:color w:val="auto"/>
              </w:rPr>
            </w:pPr>
            <w:r>
              <w:rPr>
                <w:rFonts w:ascii="Arial" w:cs="Arial" w:eastAsia="Arial" w:hAnsi="Arial"/>
                <w:sz w:val="18"/>
                <w:szCs w:val="18"/>
                <w:color w:val="auto"/>
              </w:rPr>
              <w:t>1,634</w:t>
            </w:r>
          </w:p>
        </w:tc>
        <w:tc>
          <w:tcPr>
            <w:tcW w:w="1960" w:type="dxa"/>
            <w:vAlign w:val="bottom"/>
          </w:tcPr>
          <w:p>
            <w:pPr>
              <w:jc w:val="right"/>
              <w:ind w:right="452"/>
              <w:spacing w:after="0"/>
              <w:rPr>
                <w:sz w:val="20"/>
                <w:szCs w:val="20"/>
                <w:color w:val="auto"/>
              </w:rPr>
            </w:pPr>
            <w:r>
              <w:rPr>
                <w:rFonts w:ascii="Arial" w:cs="Arial" w:eastAsia="Arial" w:hAnsi="Arial"/>
                <w:sz w:val="18"/>
                <w:szCs w:val="18"/>
                <w:color w:val="auto"/>
              </w:rPr>
              <w:t>(499)</w:t>
            </w:r>
          </w:p>
        </w:tc>
        <w:tc>
          <w:tcPr>
            <w:tcW w:w="1460" w:type="dxa"/>
            <w:vAlign w:val="bottom"/>
          </w:tcPr>
          <w:p>
            <w:pPr>
              <w:jc w:val="right"/>
              <w:ind w:right="152"/>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State and local</w:t>
            </w:r>
          </w:p>
        </w:tc>
        <w:tc>
          <w:tcPr>
            <w:tcW w:w="660" w:type="dxa"/>
            <w:vAlign w:val="bottom"/>
            <w:shd w:val="clear" w:color="auto" w:fill="EEEEEE"/>
          </w:tcPr>
          <w:p>
            <w:pPr>
              <w:spacing w:after="0"/>
              <w:rPr>
                <w:sz w:val="18"/>
                <w:szCs w:val="18"/>
                <w:color w:val="auto"/>
              </w:rPr>
            </w:pPr>
          </w:p>
        </w:tc>
        <w:tc>
          <w:tcPr>
            <w:tcW w:w="1300" w:type="dxa"/>
            <w:vAlign w:val="bottom"/>
            <w:shd w:val="clear" w:color="auto" w:fill="EEEEEE"/>
          </w:tcPr>
          <w:p>
            <w:pPr>
              <w:jc w:val="right"/>
              <w:ind w:right="632"/>
              <w:spacing w:after="0"/>
              <w:rPr>
                <w:sz w:val="20"/>
                <w:szCs w:val="20"/>
                <w:color w:val="auto"/>
              </w:rPr>
            </w:pPr>
            <w:r>
              <w:rPr>
                <w:rFonts w:ascii="Arial" w:cs="Arial" w:eastAsia="Arial" w:hAnsi="Arial"/>
                <w:sz w:val="18"/>
                <w:szCs w:val="18"/>
                <w:color w:val="auto"/>
              </w:rPr>
              <w:t>9,897</w:t>
            </w:r>
          </w:p>
        </w:tc>
        <w:tc>
          <w:tcPr>
            <w:tcW w:w="1960" w:type="dxa"/>
            <w:vAlign w:val="bottom"/>
            <w:shd w:val="clear" w:color="auto" w:fill="EEEEEE"/>
          </w:tcPr>
          <w:p>
            <w:pPr>
              <w:jc w:val="right"/>
              <w:ind w:right="512"/>
              <w:spacing w:after="0"/>
              <w:rPr>
                <w:sz w:val="20"/>
                <w:szCs w:val="20"/>
                <w:color w:val="auto"/>
              </w:rPr>
            </w:pPr>
            <w:r>
              <w:rPr>
                <w:rFonts w:ascii="Arial" w:cs="Arial" w:eastAsia="Arial" w:hAnsi="Arial"/>
                <w:sz w:val="18"/>
                <w:szCs w:val="18"/>
                <w:color w:val="auto"/>
              </w:rPr>
              <w:t>11,680</w:t>
            </w:r>
          </w:p>
        </w:tc>
        <w:tc>
          <w:tcPr>
            <w:tcW w:w="1460" w:type="dxa"/>
            <w:vAlign w:val="bottom"/>
            <w:shd w:val="clear" w:color="auto" w:fill="EEEEEE"/>
          </w:tcPr>
          <w:p>
            <w:pPr>
              <w:jc w:val="right"/>
              <w:ind w:right="152"/>
              <w:spacing w:after="0"/>
              <w:rPr>
                <w:sz w:val="20"/>
                <w:szCs w:val="20"/>
                <w:color w:val="auto"/>
              </w:rPr>
            </w:pPr>
            <w:r>
              <w:rPr>
                <w:rFonts w:ascii="Arial" w:cs="Arial" w:eastAsia="Arial" w:hAnsi="Arial"/>
                <w:sz w:val="18"/>
                <w:szCs w:val="18"/>
                <w:color w:val="auto"/>
              </w:rPr>
              <w:t>21,577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632"/>
              <w:spacing w:after="0"/>
              <w:rPr>
                <w:sz w:val="20"/>
                <w:szCs w:val="20"/>
                <w:color w:val="auto"/>
              </w:rPr>
            </w:pPr>
            <w:r>
              <w:rPr>
                <w:rFonts w:ascii="Arial" w:cs="Arial" w:eastAsia="Arial" w:hAnsi="Arial"/>
                <w:sz w:val="18"/>
                <w:szCs w:val="18"/>
                <w:color w:val="auto"/>
              </w:rPr>
              <w:t>87,185</w:t>
            </w:r>
          </w:p>
        </w:tc>
        <w:tc>
          <w:tcPr>
            <w:tcW w:w="1960" w:type="dxa"/>
            <w:vAlign w:val="bottom"/>
          </w:tcPr>
          <w:p>
            <w:pPr>
              <w:jc w:val="right"/>
              <w:ind w:right="512"/>
              <w:spacing w:after="0"/>
              <w:rPr>
                <w:sz w:val="20"/>
                <w:szCs w:val="20"/>
                <w:color w:val="auto"/>
              </w:rPr>
            </w:pPr>
            <w:r>
              <w:rPr>
                <w:rFonts w:ascii="Arial" w:cs="Arial" w:eastAsia="Arial" w:hAnsi="Arial"/>
                <w:sz w:val="18"/>
                <w:szCs w:val="18"/>
                <w:color w:val="auto"/>
              </w:rPr>
              <w:t>$50,115</w:t>
            </w:r>
          </w:p>
        </w:tc>
        <w:tc>
          <w:tcPr>
            <w:tcW w:w="1460" w:type="dxa"/>
            <w:vAlign w:val="bottom"/>
          </w:tcPr>
          <w:p>
            <w:pPr>
              <w:jc w:val="right"/>
              <w:ind w:right="152"/>
              <w:spacing w:after="0"/>
              <w:rPr>
                <w:sz w:val="20"/>
                <w:szCs w:val="20"/>
                <w:color w:val="auto"/>
              </w:rPr>
            </w:pPr>
            <w:r>
              <w:rPr>
                <w:rFonts w:ascii="Arial" w:cs="Arial" w:eastAsia="Arial" w:hAnsi="Arial"/>
                <w:sz w:val="18"/>
                <w:szCs w:val="18"/>
                <w:color w:val="auto"/>
              </w:rPr>
              <w:t>$137,300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74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196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EEEEEE"/>
          </w:tcPr>
          <w:p>
            <w:pPr>
              <w:jc w:val="right"/>
              <w:ind w:right="3312"/>
              <w:spacing w:after="0"/>
              <w:rPr>
                <w:sz w:val="20"/>
                <w:szCs w:val="20"/>
                <w:color w:val="auto"/>
              </w:rPr>
            </w:pPr>
            <w:r>
              <w:rPr>
                <w:rFonts w:ascii="Arial" w:cs="Arial" w:eastAsia="Arial" w:hAnsi="Arial"/>
                <w:sz w:val="18"/>
                <w:szCs w:val="18"/>
                <w:b w:val="1"/>
                <w:bCs w:val="1"/>
                <w:color w:val="auto"/>
                <w:w w:val="79"/>
              </w:rPr>
              <w:t>2001</w:t>
            </w:r>
          </w:p>
        </w:tc>
        <w:tc>
          <w:tcPr>
            <w:tcW w:w="66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96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200"/>
              <w:spacing w:after="0"/>
              <w:rPr>
                <w:sz w:val="20"/>
                <w:szCs w:val="20"/>
                <w:color w:val="auto"/>
              </w:rPr>
            </w:pPr>
            <w:r>
              <w:rPr>
                <w:rFonts w:ascii="Arial" w:cs="Arial" w:eastAsia="Arial" w:hAnsi="Arial"/>
                <w:sz w:val="18"/>
                <w:szCs w:val="18"/>
                <w:color w:val="auto"/>
              </w:rPr>
              <w:t>U.S. Federal</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632"/>
              <w:spacing w:after="0"/>
              <w:rPr>
                <w:sz w:val="20"/>
                <w:szCs w:val="20"/>
                <w:color w:val="auto"/>
              </w:rPr>
            </w:pPr>
            <w:r>
              <w:rPr>
                <w:rFonts w:ascii="Arial" w:cs="Arial" w:eastAsia="Arial" w:hAnsi="Arial"/>
                <w:sz w:val="18"/>
                <w:szCs w:val="18"/>
                <w:color w:val="auto"/>
              </w:rPr>
              <w:t>48,253</w:t>
            </w:r>
          </w:p>
        </w:tc>
        <w:tc>
          <w:tcPr>
            <w:tcW w:w="1960" w:type="dxa"/>
            <w:vAlign w:val="bottom"/>
          </w:tcPr>
          <w:p>
            <w:pPr>
              <w:jc w:val="right"/>
              <w:ind w:right="512"/>
              <w:spacing w:after="0"/>
              <w:rPr>
                <w:sz w:val="20"/>
                <w:szCs w:val="20"/>
                <w:color w:val="auto"/>
              </w:rPr>
            </w:pPr>
            <w:r>
              <w:rPr>
                <w:rFonts w:ascii="Arial" w:cs="Arial" w:eastAsia="Arial" w:hAnsi="Arial"/>
                <w:sz w:val="18"/>
                <w:szCs w:val="18"/>
                <w:color w:val="auto"/>
              </w:rPr>
              <w:t>$86,384</w:t>
            </w:r>
          </w:p>
        </w:tc>
        <w:tc>
          <w:tcPr>
            <w:tcW w:w="1460" w:type="dxa"/>
            <w:vAlign w:val="bottom"/>
          </w:tcPr>
          <w:p>
            <w:pPr>
              <w:jc w:val="right"/>
              <w:ind w:right="152"/>
              <w:spacing w:after="0"/>
              <w:rPr>
                <w:sz w:val="20"/>
                <w:szCs w:val="20"/>
                <w:color w:val="auto"/>
              </w:rPr>
            </w:pPr>
            <w:r>
              <w:rPr>
                <w:rFonts w:ascii="Arial" w:cs="Arial" w:eastAsia="Arial" w:hAnsi="Arial"/>
                <w:sz w:val="18"/>
                <w:szCs w:val="18"/>
                <w:color w:val="auto"/>
              </w:rPr>
              <w:t>$134,637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Foreign</w:t>
            </w:r>
          </w:p>
        </w:tc>
        <w:tc>
          <w:tcPr>
            <w:tcW w:w="660" w:type="dxa"/>
            <w:vAlign w:val="bottom"/>
            <w:shd w:val="clear" w:color="auto" w:fill="EEEEEE"/>
          </w:tcPr>
          <w:p>
            <w:pPr>
              <w:spacing w:after="0"/>
              <w:rPr>
                <w:sz w:val="18"/>
                <w:szCs w:val="18"/>
                <w:color w:val="auto"/>
              </w:rPr>
            </w:pPr>
          </w:p>
        </w:tc>
        <w:tc>
          <w:tcPr>
            <w:tcW w:w="1300" w:type="dxa"/>
            <w:vAlign w:val="bottom"/>
            <w:shd w:val="clear" w:color="auto" w:fill="EEEEEE"/>
          </w:tcPr>
          <w:p>
            <w:pPr>
              <w:jc w:val="right"/>
              <w:ind w:right="632"/>
              <w:spacing w:after="0"/>
              <w:rPr>
                <w:sz w:val="20"/>
                <w:szCs w:val="20"/>
                <w:color w:val="auto"/>
              </w:rPr>
            </w:pPr>
            <w:r>
              <w:rPr>
                <w:rFonts w:ascii="Arial" w:cs="Arial" w:eastAsia="Arial" w:hAnsi="Arial"/>
                <w:sz w:val="18"/>
                <w:szCs w:val="18"/>
                <w:color w:val="auto"/>
              </w:rPr>
              <w:t>1,270</w:t>
            </w:r>
          </w:p>
        </w:tc>
        <w:tc>
          <w:tcPr>
            <w:tcW w:w="1960" w:type="dxa"/>
            <w:vAlign w:val="bottom"/>
            <w:shd w:val="clear" w:color="auto" w:fill="EEEEEE"/>
          </w:tcPr>
          <w:p>
            <w:pPr>
              <w:jc w:val="right"/>
              <w:ind w:right="512"/>
              <w:spacing w:after="0"/>
              <w:rPr>
                <w:sz w:val="20"/>
                <w:szCs w:val="20"/>
                <w:color w:val="auto"/>
              </w:rPr>
            </w:pPr>
            <w:r>
              <w:rPr>
                <w:rFonts w:ascii="Arial" w:cs="Arial" w:eastAsia="Arial" w:hAnsi="Arial"/>
                <w:sz w:val="18"/>
                <w:szCs w:val="18"/>
                <w:color w:val="auto"/>
              </w:rPr>
              <w:t>714</w:t>
            </w:r>
          </w:p>
        </w:tc>
        <w:tc>
          <w:tcPr>
            <w:tcW w:w="1460" w:type="dxa"/>
            <w:vAlign w:val="bottom"/>
            <w:shd w:val="clear" w:color="auto" w:fill="EEEEEE"/>
          </w:tcPr>
          <w:p>
            <w:pPr>
              <w:jc w:val="right"/>
              <w:ind w:right="152"/>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40" w:type="dxa"/>
            <w:vAlign w:val="bottom"/>
          </w:tcPr>
          <w:p>
            <w:pPr>
              <w:ind w:left="200"/>
              <w:spacing w:after="0"/>
              <w:rPr>
                <w:sz w:val="20"/>
                <w:szCs w:val="20"/>
                <w:color w:val="auto"/>
              </w:rPr>
            </w:pPr>
            <w:r>
              <w:rPr>
                <w:rFonts w:ascii="Arial" w:cs="Arial" w:eastAsia="Arial" w:hAnsi="Arial"/>
                <w:sz w:val="18"/>
                <w:szCs w:val="18"/>
                <w:color w:val="auto"/>
              </w:rPr>
              <w:t>State and local</w:t>
            </w:r>
          </w:p>
        </w:tc>
        <w:tc>
          <w:tcPr>
            <w:tcW w:w="660" w:type="dxa"/>
            <w:vAlign w:val="bottom"/>
          </w:tcPr>
          <w:p>
            <w:pPr>
              <w:spacing w:after="0"/>
              <w:rPr>
                <w:sz w:val="19"/>
                <w:szCs w:val="19"/>
                <w:color w:val="auto"/>
              </w:rPr>
            </w:pPr>
          </w:p>
        </w:tc>
        <w:tc>
          <w:tcPr>
            <w:tcW w:w="1300" w:type="dxa"/>
            <w:vAlign w:val="bottom"/>
          </w:tcPr>
          <w:p>
            <w:pPr>
              <w:jc w:val="right"/>
              <w:ind w:right="632"/>
              <w:spacing w:after="0"/>
              <w:rPr>
                <w:sz w:val="20"/>
                <w:szCs w:val="20"/>
                <w:color w:val="auto"/>
              </w:rPr>
            </w:pPr>
            <w:r>
              <w:rPr>
                <w:rFonts w:ascii="Arial" w:cs="Arial" w:eastAsia="Arial" w:hAnsi="Arial"/>
                <w:sz w:val="18"/>
                <w:szCs w:val="18"/>
                <w:color w:val="auto"/>
              </w:rPr>
              <w:t>11,075</w:t>
            </w:r>
          </w:p>
        </w:tc>
        <w:tc>
          <w:tcPr>
            <w:tcW w:w="1960" w:type="dxa"/>
            <w:vAlign w:val="bottom"/>
          </w:tcPr>
          <w:p>
            <w:pPr>
              <w:jc w:val="right"/>
              <w:ind w:right="512"/>
              <w:spacing w:after="0"/>
              <w:rPr>
                <w:sz w:val="20"/>
                <w:szCs w:val="20"/>
                <w:color w:val="auto"/>
              </w:rPr>
            </w:pPr>
            <w:r>
              <w:rPr>
                <w:rFonts w:ascii="Arial" w:cs="Arial" w:eastAsia="Arial" w:hAnsi="Arial"/>
                <w:sz w:val="18"/>
                <w:szCs w:val="18"/>
                <w:color w:val="auto"/>
              </w:rPr>
              <w:t>10,204</w:t>
            </w:r>
          </w:p>
        </w:tc>
        <w:tc>
          <w:tcPr>
            <w:tcW w:w="1460" w:type="dxa"/>
            <w:vAlign w:val="bottom"/>
          </w:tcPr>
          <w:p>
            <w:pPr>
              <w:jc w:val="right"/>
              <w:ind w:right="152"/>
              <w:spacing w:after="0"/>
              <w:rPr>
                <w:sz w:val="20"/>
                <w:szCs w:val="20"/>
                <w:color w:val="auto"/>
              </w:rPr>
            </w:pPr>
            <w:r>
              <w:rPr>
                <w:rFonts w:ascii="Arial" w:cs="Arial" w:eastAsia="Arial" w:hAnsi="Arial"/>
                <w:sz w:val="18"/>
                <w:szCs w:val="18"/>
                <w:color w:val="auto"/>
              </w:rPr>
              <w:t>21,279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196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EEEEEE"/>
          </w:tcPr>
          <w:p>
            <w:pPr>
              <w:spacing w:after="0"/>
              <w:rPr>
                <w:sz w:val="18"/>
                <w:szCs w:val="18"/>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EEEEEE"/>
          </w:tcPr>
          <w:p>
            <w:pPr>
              <w:jc w:val="right"/>
              <w:ind w:right="632"/>
              <w:spacing w:after="0"/>
              <w:rPr>
                <w:sz w:val="20"/>
                <w:szCs w:val="20"/>
                <w:color w:val="auto"/>
              </w:rPr>
            </w:pPr>
            <w:r>
              <w:rPr>
                <w:rFonts w:ascii="Arial" w:cs="Arial" w:eastAsia="Arial" w:hAnsi="Arial"/>
                <w:sz w:val="18"/>
                <w:szCs w:val="18"/>
                <w:color w:val="auto"/>
              </w:rPr>
              <w:t>60,598</w:t>
            </w:r>
          </w:p>
        </w:tc>
        <w:tc>
          <w:tcPr>
            <w:tcW w:w="1960" w:type="dxa"/>
            <w:vAlign w:val="bottom"/>
            <w:shd w:val="clear" w:color="auto" w:fill="EEEEEE"/>
          </w:tcPr>
          <w:p>
            <w:pPr>
              <w:jc w:val="right"/>
              <w:ind w:right="512"/>
              <w:spacing w:after="0"/>
              <w:rPr>
                <w:sz w:val="20"/>
                <w:szCs w:val="20"/>
                <w:color w:val="auto"/>
              </w:rPr>
            </w:pPr>
            <w:r>
              <w:rPr>
                <w:rFonts w:ascii="Arial" w:cs="Arial" w:eastAsia="Arial" w:hAnsi="Arial"/>
                <w:sz w:val="18"/>
                <w:szCs w:val="18"/>
                <w:color w:val="auto"/>
              </w:rPr>
              <w:t>$97,302</w:t>
            </w:r>
          </w:p>
        </w:tc>
        <w:tc>
          <w:tcPr>
            <w:tcW w:w="1460" w:type="dxa"/>
            <w:vAlign w:val="bottom"/>
            <w:shd w:val="clear" w:color="auto" w:fill="EEEEEE"/>
          </w:tcPr>
          <w:p>
            <w:pPr>
              <w:jc w:val="right"/>
              <w:ind w:right="152"/>
              <w:spacing w:after="0"/>
              <w:rPr>
                <w:sz w:val="20"/>
                <w:szCs w:val="20"/>
                <w:color w:val="auto"/>
              </w:rPr>
            </w:pPr>
            <w:r>
              <w:rPr>
                <w:rFonts w:ascii="Arial" w:cs="Arial" w:eastAsia="Arial" w:hAnsi="Arial"/>
                <w:sz w:val="18"/>
                <w:szCs w:val="18"/>
                <w:color w:val="auto"/>
              </w:rPr>
              <w:t>$157,900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74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196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addition to the income tax provision presented above, in 2002, the Company recorded a federal and state income tax benefit of $6.9 million on the impairment loss recorded as a cumulative effect of change in accounting principle in connection with the adoption of SFAS 142.</w:t>
      </w:r>
    </w:p>
    <w:p>
      <w:pPr>
        <w:spacing w:after="0" w:line="18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provision for income taxes exceeds the amount of income tax determined by applying the U.S. Federal statutory rate of 35 percent to income before taxes as a result of the following (in thousands):</w:t>
      </w:r>
    </w:p>
    <w:p>
      <w:pPr>
        <w:spacing w:after="0" w:line="396" w:lineRule="exact"/>
        <w:rPr>
          <w:sz w:val="20"/>
          <w:szCs w:val="20"/>
          <w:color w:val="auto"/>
        </w:rPr>
      </w:pPr>
    </w:p>
    <w:tbl>
      <w:tblPr>
        <w:tblLayout w:type="fixed"/>
        <w:tblInd w:w="230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460" w:type="dxa"/>
            <w:vAlign w:val="bottom"/>
          </w:tcPr>
          <w:p>
            <w:pPr>
              <w:jc w:val="right"/>
              <w:ind w:right="392"/>
              <w:spacing w:after="0"/>
              <w:rPr>
                <w:sz w:val="20"/>
                <w:szCs w:val="20"/>
                <w:color w:val="auto"/>
              </w:rPr>
            </w:pPr>
            <w:r>
              <w:rPr>
                <w:rFonts w:ascii="Arial" w:cs="Arial" w:eastAsia="Arial" w:hAnsi="Arial"/>
                <w:sz w:val="18"/>
                <w:szCs w:val="18"/>
                <w:b w:val="1"/>
                <w:bCs w:val="1"/>
                <w:color w:val="auto"/>
              </w:rPr>
              <w:t>2003</w:t>
            </w:r>
          </w:p>
        </w:tc>
        <w:tc>
          <w:tcPr>
            <w:tcW w:w="1480" w:type="dxa"/>
            <w:vAlign w:val="bottom"/>
          </w:tcPr>
          <w:p>
            <w:pPr>
              <w:jc w:val="right"/>
              <w:ind w:right="312"/>
              <w:spacing w:after="0"/>
              <w:rPr>
                <w:sz w:val="20"/>
                <w:szCs w:val="20"/>
                <w:color w:val="auto"/>
              </w:rPr>
            </w:pPr>
            <w:r>
              <w:rPr>
                <w:rFonts w:ascii="Arial" w:cs="Arial" w:eastAsia="Arial" w:hAnsi="Arial"/>
                <w:sz w:val="18"/>
                <w:szCs w:val="18"/>
                <w:color w:val="auto"/>
              </w:rPr>
              <w:t>2002</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6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EEEEEE"/>
          </w:tcPr>
          <w:p>
            <w:pPr>
              <w:spacing w:after="0"/>
              <w:rPr>
                <w:sz w:val="20"/>
                <w:szCs w:val="20"/>
                <w:color w:val="auto"/>
              </w:rPr>
            </w:pPr>
            <w:r>
              <w:rPr>
                <w:rFonts w:ascii="Arial" w:cs="Arial" w:eastAsia="Arial" w:hAnsi="Arial"/>
                <w:sz w:val="18"/>
                <w:szCs w:val="18"/>
                <w:color w:val="auto"/>
              </w:rPr>
              <w:t>U.S. Federal statutory taxes</w:t>
            </w:r>
          </w:p>
        </w:tc>
        <w:tc>
          <w:tcPr>
            <w:tcW w:w="1460" w:type="dxa"/>
            <w:vAlign w:val="bottom"/>
            <w:shd w:val="clear" w:color="auto" w:fill="EEEEEE"/>
          </w:tcPr>
          <w:p>
            <w:pPr>
              <w:jc w:val="right"/>
              <w:ind w:right="392"/>
              <w:spacing w:after="0"/>
              <w:rPr>
                <w:sz w:val="20"/>
                <w:szCs w:val="20"/>
                <w:color w:val="auto"/>
              </w:rPr>
            </w:pPr>
            <w:r>
              <w:rPr>
                <w:rFonts w:ascii="Arial" w:cs="Arial" w:eastAsia="Arial" w:hAnsi="Arial"/>
                <w:sz w:val="18"/>
                <w:szCs w:val="18"/>
                <w:b w:val="1"/>
                <w:bCs w:val="1"/>
                <w:color w:val="auto"/>
              </w:rPr>
              <w:t>$133,906</w:t>
            </w:r>
          </w:p>
        </w:tc>
        <w:tc>
          <w:tcPr>
            <w:tcW w:w="148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$123,784</w:t>
            </w:r>
          </w:p>
        </w:tc>
        <w:tc>
          <w:tcPr>
            <w:tcW w:w="1260" w:type="dxa"/>
            <w:vAlign w:val="bottom"/>
            <w:shd w:val="clear" w:color="auto" w:fill="EEEEEE"/>
          </w:tcPr>
          <w:p>
            <w:pPr>
              <w:jc w:val="right"/>
              <w:ind w:right="172"/>
              <w:spacing w:after="0"/>
              <w:rPr>
                <w:sz w:val="20"/>
                <w:szCs w:val="20"/>
                <w:color w:val="auto"/>
              </w:rPr>
            </w:pPr>
            <w:r>
              <w:rPr>
                <w:rFonts w:ascii="Arial" w:cs="Arial" w:eastAsia="Arial" w:hAnsi="Arial"/>
                <w:sz w:val="18"/>
                <w:szCs w:val="18"/>
                <w:color w:val="auto"/>
              </w:rPr>
              <w:t>$135,639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w w:val="99"/>
              </w:rPr>
              <w:t>State and local taxes, net of U.S.</w:t>
            </w:r>
          </w:p>
        </w:tc>
        <w:tc>
          <w:tcPr>
            <w:tcW w:w="1460" w:type="dxa"/>
            <w:vAlign w:val="bottom"/>
            <w:vMerge w:val="restart"/>
          </w:tcPr>
          <w:p>
            <w:pPr>
              <w:jc w:val="right"/>
              <w:ind w:right="392"/>
              <w:spacing w:after="0"/>
              <w:rPr>
                <w:sz w:val="20"/>
                <w:szCs w:val="20"/>
                <w:color w:val="auto"/>
              </w:rPr>
            </w:pPr>
            <w:r>
              <w:rPr>
                <w:rFonts w:ascii="Arial" w:cs="Arial" w:eastAsia="Arial" w:hAnsi="Arial"/>
                <w:sz w:val="18"/>
                <w:szCs w:val="18"/>
                <w:b w:val="1"/>
                <w:bCs w:val="1"/>
                <w:color w:val="auto"/>
              </w:rPr>
              <w:t>11,058</w:t>
            </w:r>
          </w:p>
        </w:tc>
        <w:tc>
          <w:tcPr>
            <w:tcW w:w="1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20" w:type="dxa"/>
            <w:vAlign w:val="bottom"/>
          </w:tcPr>
          <w:p>
            <w:pPr>
              <w:ind w:left="100"/>
              <w:spacing w:after="0"/>
              <w:rPr>
                <w:sz w:val="20"/>
                <w:szCs w:val="20"/>
                <w:color w:val="auto"/>
              </w:rPr>
            </w:pPr>
            <w:r>
              <w:rPr>
                <w:rFonts w:ascii="Arial" w:cs="Arial" w:eastAsia="Arial" w:hAnsi="Arial"/>
                <w:sz w:val="18"/>
                <w:szCs w:val="18"/>
                <w:color w:val="auto"/>
              </w:rPr>
              <w:t>Federal income tax benefit</w:t>
            </w:r>
          </w:p>
        </w:tc>
        <w:tc>
          <w:tcPr>
            <w:tcW w:w="1460" w:type="dxa"/>
            <w:vAlign w:val="bottom"/>
            <w:vMerge w:val="continue"/>
          </w:tcPr>
          <w:p>
            <w:pPr>
              <w:spacing w:after="0"/>
              <w:rPr>
                <w:sz w:val="19"/>
                <w:szCs w:val="19"/>
                <w:color w:val="auto"/>
              </w:rPr>
            </w:pPr>
          </w:p>
        </w:tc>
        <w:tc>
          <w:tcPr>
            <w:tcW w:w="1480" w:type="dxa"/>
            <w:vAlign w:val="bottom"/>
          </w:tcPr>
          <w:p>
            <w:pPr>
              <w:jc w:val="right"/>
              <w:ind w:right="312"/>
              <w:spacing w:after="0"/>
              <w:rPr>
                <w:sz w:val="20"/>
                <w:szCs w:val="20"/>
                <w:color w:val="auto"/>
              </w:rPr>
            </w:pPr>
            <w:r>
              <w:rPr>
                <w:rFonts w:ascii="Arial" w:cs="Arial" w:eastAsia="Arial" w:hAnsi="Arial"/>
                <w:sz w:val="18"/>
                <w:szCs w:val="18"/>
                <w:color w:val="auto"/>
              </w:rPr>
              <w:t>14,025</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13,832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goodwill not</w:t>
            </w:r>
          </w:p>
        </w:tc>
        <w:tc>
          <w:tcPr>
            <w:tcW w:w="146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EEEEEE"/>
          </w:tcPr>
          <w:p>
            <w:pPr>
              <w:ind w:left="100"/>
              <w:spacing w:after="0"/>
              <w:rPr>
                <w:sz w:val="20"/>
                <w:szCs w:val="20"/>
                <w:color w:val="auto"/>
              </w:rPr>
            </w:pPr>
            <w:r>
              <w:rPr>
                <w:rFonts w:ascii="Arial" w:cs="Arial" w:eastAsia="Arial" w:hAnsi="Arial"/>
                <w:sz w:val="18"/>
                <w:szCs w:val="18"/>
                <w:color w:val="auto"/>
              </w:rPr>
              <w:t>deductible for income tax</w:t>
            </w:r>
          </w:p>
        </w:tc>
        <w:tc>
          <w:tcPr>
            <w:tcW w:w="1460" w:type="dxa"/>
            <w:vAlign w:val="bottom"/>
            <w:vMerge w:val="restart"/>
            <w:shd w:val="clear" w:color="auto" w:fill="EEEEEE"/>
          </w:tcPr>
          <w:p>
            <w:pPr>
              <w:jc w:val="right"/>
              <w:ind w:right="392"/>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20" w:type="dxa"/>
            <w:vAlign w:val="bottom"/>
            <w:shd w:val="clear" w:color="auto" w:fill="EEEEEE"/>
          </w:tcPr>
          <w:p>
            <w:pPr>
              <w:ind w:left="100"/>
              <w:spacing w:after="0"/>
              <w:rPr>
                <w:sz w:val="20"/>
                <w:szCs w:val="20"/>
                <w:color w:val="auto"/>
              </w:rPr>
            </w:pPr>
            <w:r>
              <w:rPr>
                <w:rFonts w:ascii="Arial" w:cs="Arial" w:eastAsia="Arial" w:hAnsi="Arial"/>
                <w:sz w:val="18"/>
                <w:szCs w:val="18"/>
                <w:color w:val="auto"/>
              </w:rPr>
              <w:t>purposes</w:t>
            </w:r>
          </w:p>
        </w:tc>
        <w:tc>
          <w:tcPr>
            <w:tcW w:w="1460" w:type="dxa"/>
            <w:vAlign w:val="bottom"/>
            <w:vMerge w:val="continue"/>
            <w:shd w:val="clear" w:color="auto" w:fill="EEEEEE"/>
          </w:tcPr>
          <w:p>
            <w:pPr>
              <w:spacing w:after="0"/>
              <w:rPr>
                <w:sz w:val="19"/>
                <w:szCs w:val="19"/>
                <w:color w:val="auto"/>
              </w:rPr>
            </w:pPr>
          </w:p>
        </w:tc>
        <w:tc>
          <w:tcPr>
            <w:tcW w:w="148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w:t>
            </w:r>
          </w:p>
        </w:tc>
        <w:tc>
          <w:tcPr>
            <w:tcW w:w="1260" w:type="dxa"/>
            <w:vAlign w:val="bottom"/>
            <w:shd w:val="clear" w:color="auto" w:fill="EEEEEE"/>
          </w:tcPr>
          <w:p>
            <w:pPr>
              <w:jc w:val="right"/>
              <w:ind w:right="172"/>
              <w:spacing w:after="0"/>
              <w:rPr>
                <w:sz w:val="20"/>
                <w:szCs w:val="20"/>
                <w:color w:val="auto"/>
              </w:rPr>
            </w:pPr>
            <w:r>
              <w:rPr>
                <w:rFonts w:ascii="Arial" w:cs="Arial" w:eastAsia="Arial" w:hAnsi="Arial"/>
                <w:sz w:val="18"/>
                <w:szCs w:val="18"/>
                <w:color w:val="auto"/>
              </w:rPr>
              <w:t>6,988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Sale of affiliate with higher tax</w:t>
            </w:r>
          </w:p>
        </w:tc>
        <w:tc>
          <w:tcPr>
            <w:tcW w:w="1460" w:type="dxa"/>
            <w:vAlign w:val="bottom"/>
            <w:vMerge w:val="restart"/>
          </w:tcPr>
          <w:p>
            <w:pPr>
              <w:jc w:val="right"/>
              <w:ind w:right="332"/>
              <w:spacing w:after="0"/>
              <w:rPr>
                <w:sz w:val="20"/>
                <w:szCs w:val="20"/>
                <w:color w:val="auto"/>
              </w:rPr>
            </w:pPr>
            <w:r>
              <w:rPr>
                <w:rFonts w:ascii="Arial" w:cs="Arial" w:eastAsia="Arial" w:hAnsi="Arial"/>
                <w:sz w:val="18"/>
                <w:szCs w:val="18"/>
                <w:b w:val="1"/>
                <w:bCs w:val="1"/>
                <w:color w:val="auto"/>
              </w:rPr>
              <w:t>(2,188)</w:t>
            </w:r>
          </w:p>
        </w:tc>
        <w:tc>
          <w:tcPr>
            <w:tcW w:w="1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20" w:type="dxa"/>
            <w:vAlign w:val="bottom"/>
          </w:tcPr>
          <w:p>
            <w:pPr>
              <w:ind w:left="100"/>
              <w:spacing w:after="0"/>
              <w:rPr>
                <w:sz w:val="20"/>
                <w:szCs w:val="20"/>
                <w:color w:val="auto"/>
              </w:rPr>
            </w:pPr>
            <w:r>
              <w:rPr>
                <w:rFonts w:ascii="Arial" w:cs="Arial" w:eastAsia="Arial" w:hAnsi="Arial"/>
                <w:sz w:val="18"/>
                <w:szCs w:val="18"/>
                <w:color w:val="auto"/>
              </w:rPr>
              <w:t>basis</w:t>
            </w:r>
          </w:p>
        </w:tc>
        <w:tc>
          <w:tcPr>
            <w:tcW w:w="1460" w:type="dxa"/>
            <w:vAlign w:val="bottom"/>
            <w:vMerge w:val="continue"/>
          </w:tcPr>
          <w:p>
            <w:pPr>
              <w:spacing w:after="0"/>
              <w:rPr>
                <w:sz w:val="19"/>
                <w:szCs w:val="19"/>
                <w:color w:val="auto"/>
              </w:rPr>
            </w:pPr>
          </w:p>
        </w:tc>
        <w:tc>
          <w:tcPr>
            <w:tcW w:w="148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20" w:type="dxa"/>
            <w:vAlign w:val="bottom"/>
            <w:shd w:val="clear" w:color="auto" w:fill="EEEEEE"/>
          </w:tcPr>
          <w:p>
            <w:pPr>
              <w:spacing w:after="0"/>
              <w:rPr>
                <w:sz w:val="20"/>
                <w:szCs w:val="20"/>
                <w:color w:val="auto"/>
              </w:rPr>
            </w:pPr>
            <w:r>
              <w:rPr>
                <w:rFonts w:ascii="Arial" w:cs="Arial" w:eastAsia="Arial" w:hAnsi="Arial"/>
                <w:sz w:val="18"/>
                <w:szCs w:val="18"/>
                <w:color w:val="auto"/>
              </w:rPr>
              <w:t>Other, net</w:t>
            </w:r>
          </w:p>
        </w:tc>
        <w:tc>
          <w:tcPr>
            <w:tcW w:w="1460" w:type="dxa"/>
            <w:vAlign w:val="bottom"/>
            <w:shd w:val="clear" w:color="auto" w:fill="EEEEEE"/>
          </w:tcPr>
          <w:p>
            <w:pPr>
              <w:jc w:val="right"/>
              <w:ind w:right="332"/>
              <w:spacing w:after="0"/>
              <w:rPr>
                <w:sz w:val="20"/>
                <w:szCs w:val="20"/>
                <w:color w:val="auto"/>
              </w:rPr>
            </w:pPr>
            <w:r>
              <w:rPr>
                <w:rFonts w:ascii="Arial" w:cs="Arial" w:eastAsia="Arial" w:hAnsi="Arial"/>
                <w:sz w:val="18"/>
                <w:szCs w:val="18"/>
                <w:b w:val="1"/>
                <w:bCs w:val="1"/>
                <w:color w:val="auto"/>
              </w:rPr>
              <w:t>(1,276)</w:t>
            </w:r>
          </w:p>
        </w:tc>
        <w:tc>
          <w:tcPr>
            <w:tcW w:w="148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(509)</w:t>
            </w:r>
          </w:p>
        </w:tc>
        <w:tc>
          <w:tcPr>
            <w:tcW w:w="1260" w:type="dxa"/>
            <w:vAlign w:val="bottom"/>
            <w:shd w:val="clear" w:color="auto" w:fill="EEEEEE"/>
          </w:tcPr>
          <w:p>
            <w:pPr>
              <w:jc w:val="right"/>
              <w:ind w:right="172"/>
              <w:spacing w:after="0"/>
              <w:rPr>
                <w:sz w:val="20"/>
                <w:szCs w:val="20"/>
                <w:color w:val="auto"/>
              </w:rPr>
            </w:pPr>
            <w:r>
              <w:rPr>
                <w:rFonts w:ascii="Arial" w:cs="Arial" w:eastAsia="Arial" w:hAnsi="Arial"/>
                <w:sz w:val="18"/>
                <w:szCs w:val="18"/>
                <w:color w:val="auto"/>
              </w:rPr>
              <w:t>1,441</w:t>
            </w:r>
          </w:p>
        </w:tc>
        <w:tc>
          <w:tcPr>
            <w:tcW w:w="0" w:type="dxa"/>
            <w:vAlign w:val="bottom"/>
          </w:tcPr>
          <w:p>
            <w:pPr>
              <w:spacing w:after="0"/>
              <w:rPr>
                <w:sz w:val="1"/>
                <w:szCs w:val="1"/>
                <w:color w:val="auto"/>
              </w:rPr>
            </w:pPr>
          </w:p>
        </w:tc>
      </w:tr>
      <w:tr>
        <w:trPr>
          <w:trHeight w:val="108"/>
        </w:trPr>
        <w:tc>
          <w:tcPr>
            <w:tcW w:w="2640" w:type="dxa"/>
            <w:vAlign w:val="bottom"/>
            <w:gridSpan w:val="2"/>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64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460" w:type="dxa"/>
            <w:vAlign w:val="bottom"/>
          </w:tcPr>
          <w:p>
            <w:pPr>
              <w:jc w:val="right"/>
              <w:ind w:right="392"/>
              <w:spacing w:after="0"/>
              <w:rPr>
                <w:sz w:val="20"/>
                <w:szCs w:val="20"/>
                <w:color w:val="auto"/>
              </w:rPr>
            </w:pPr>
            <w:r>
              <w:rPr>
                <w:rFonts w:ascii="Arial" w:cs="Arial" w:eastAsia="Arial" w:hAnsi="Arial"/>
                <w:sz w:val="18"/>
                <w:szCs w:val="18"/>
                <w:b w:val="1"/>
                <w:bCs w:val="1"/>
                <w:color w:val="auto"/>
              </w:rPr>
              <w:t>$141,500</w:t>
            </w:r>
          </w:p>
        </w:tc>
        <w:tc>
          <w:tcPr>
            <w:tcW w:w="1480" w:type="dxa"/>
            <w:vAlign w:val="bottom"/>
          </w:tcPr>
          <w:p>
            <w:pPr>
              <w:jc w:val="right"/>
              <w:ind w:right="312"/>
              <w:spacing w:after="0"/>
              <w:rPr>
                <w:sz w:val="20"/>
                <w:szCs w:val="20"/>
                <w:color w:val="auto"/>
              </w:rPr>
            </w:pPr>
            <w:r>
              <w:rPr>
                <w:rFonts w:ascii="Arial" w:cs="Arial" w:eastAsia="Arial" w:hAnsi="Arial"/>
                <w:sz w:val="18"/>
                <w:szCs w:val="18"/>
                <w:color w:val="auto"/>
              </w:rPr>
              <w:t>$137,300</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$157,900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taxes at December 28, 2003 and December 29, 2002 consist of the following (in thousands):</w:t>
      </w:r>
    </w:p>
    <w:p>
      <w:pPr>
        <w:spacing w:after="0" w:line="200" w:lineRule="exact"/>
        <w:rPr>
          <w:sz w:val="20"/>
          <w:szCs w:val="20"/>
          <w:color w:val="auto"/>
        </w:rPr>
      </w:pPr>
    </w:p>
    <w:p>
      <w:pPr>
        <w:spacing w:after="0" w:line="235" w:lineRule="exact"/>
        <w:rPr>
          <w:sz w:val="20"/>
          <w:szCs w:val="20"/>
          <w:color w:val="auto"/>
        </w:rPr>
      </w:pPr>
    </w:p>
    <w:p>
      <w:pPr>
        <w:ind w:left="7600"/>
        <w:spacing w:after="0"/>
        <w:tabs>
          <w:tab w:leader="none" w:pos="8680" w:val="left"/>
        </w:tabs>
        <w:rPr>
          <w:sz w:val="20"/>
          <w:szCs w:val="20"/>
          <w:color w:val="auto"/>
        </w:rPr>
      </w:pPr>
      <w:r>
        <w:rPr>
          <w:rFonts w:ascii="Arial" w:cs="Arial" w:eastAsia="Arial" w:hAnsi="Arial"/>
          <w:sz w:val="18"/>
          <w:szCs w:val="18"/>
          <w:b w:val="1"/>
          <w:bCs w:val="1"/>
          <w:color w:val="auto"/>
        </w:rPr>
        <w:t>2003</w:t>
      </w:r>
      <w:r>
        <w:rPr>
          <w:sz w:val="20"/>
          <w:szCs w:val="20"/>
          <w:color w:val="auto"/>
        </w:rPr>
        <w:tab/>
      </w:r>
      <w:r>
        <w:rPr>
          <w:rFonts w:ascii="Arial" w:cs="Arial" w:eastAsia="Arial" w:hAnsi="Arial"/>
          <w:sz w:val="18"/>
          <w:szCs w:val="18"/>
          <w:color w:val="auto"/>
        </w:rPr>
        <w:t>2002</w:t>
      </w:r>
    </w:p>
    <w:p>
      <w:pPr>
        <w:spacing w:after="0" w:line="20" w:lineRule="exact"/>
        <w:rPr>
          <w:sz w:val="20"/>
          <w:szCs w:val="20"/>
          <w:color w:val="auto"/>
        </w:rPr>
      </w:pPr>
    </w:p>
    <w:p>
      <w:pPr>
        <w:sectPr>
          <w:pgSz w:w="11900" w:h="16838" w:orient="portrait"/>
          <w:cols w:equalWidth="0" w:num="1">
            <w:col w:w="11420"/>
          </w:cols>
          <w:pgMar w:left="240" w:top="942" w:right="239" w:bottom="0" w:gutter="0" w:footer="0" w:header="0"/>
        </w:sectPr>
      </w:pPr>
    </w:p>
    <w:bookmarkStart w:id="58" w:name="page59"/>
    <w:bookmarkEnd w:id="58"/>
    <w:p>
      <w:pPr>
        <w:spacing w:after="0" w:line="6"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Accrued postretirement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-125730</wp:posOffset>
            </wp:positionV>
            <wp:extent cx="4347845"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ind w:left="2300"/>
        <w:spacing w:after="0"/>
        <w:rPr>
          <w:sz w:val="20"/>
          <w:szCs w:val="20"/>
          <w:color w:val="auto"/>
        </w:rPr>
      </w:pPr>
      <w:r>
        <w:rPr>
          <w:rFonts w:ascii="Arial" w:cs="Arial" w:eastAsia="Arial" w:hAnsi="Arial"/>
          <w:sz w:val="18"/>
          <w:szCs w:val="18"/>
          <w:color w:val="auto"/>
        </w:rPr>
        <w:t>Other benefit obligations</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-129540</wp:posOffset>
            </wp:positionV>
            <wp:extent cx="4347845"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ind w:left="2300"/>
        <w:spacing w:after="0"/>
        <w:rPr>
          <w:sz w:val="20"/>
          <w:szCs w:val="20"/>
          <w:color w:val="auto"/>
        </w:rPr>
      </w:pPr>
      <w:r>
        <w:rPr>
          <w:rFonts w:ascii="Arial" w:cs="Arial" w:eastAsia="Arial" w:hAnsi="Arial"/>
          <w:sz w:val="18"/>
          <w:szCs w:val="18"/>
          <w:color w:val="auto"/>
        </w:rPr>
        <w:t>State income tax loss carryforwards</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Affiliate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-129540</wp:posOffset>
            </wp:positionV>
            <wp:extent cx="4347845"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ind w:left="2300"/>
        <w:spacing w:after="0"/>
        <w:rPr>
          <w:sz w:val="20"/>
          <w:szCs w:val="20"/>
          <w:color w:val="auto"/>
        </w:rPr>
      </w:pPr>
      <w:r>
        <w:rPr>
          <w:rFonts w:ascii="Arial" w:cs="Arial" w:eastAsia="Arial" w:hAnsi="Arial"/>
          <w:sz w:val="18"/>
          <w:szCs w:val="18"/>
          <w:color w:val="auto"/>
        </w:rPr>
        <w:t>Other</w:t>
      </w:r>
    </w:p>
    <w:p>
      <w:pPr>
        <w:spacing w:after="0" w:line="232"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Deferred tax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-125730</wp:posOffset>
            </wp:positionV>
            <wp:extent cx="4347845"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spacing w:after="0" w:line="21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Property, plant and equipment</w:t>
      </w:r>
    </w:p>
    <w:p>
      <w:pPr>
        <w:spacing w:after="0" w:line="15"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Prepaid pension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-129540</wp:posOffset>
            </wp:positionV>
            <wp:extent cx="4347845"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ind w:left="2300"/>
        <w:spacing w:after="0"/>
        <w:rPr>
          <w:sz w:val="20"/>
          <w:szCs w:val="20"/>
          <w:color w:val="auto"/>
        </w:rPr>
      </w:pPr>
      <w:r>
        <w:rPr>
          <w:rFonts w:ascii="Arial" w:cs="Arial" w:eastAsia="Arial" w:hAnsi="Arial"/>
          <w:sz w:val="18"/>
          <w:szCs w:val="18"/>
          <w:color w:val="auto"/>
        </w:rPr>
        <w:t>Affiliate operations</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5"/>
          <w:szCs w:val="15"/>
          <w:color w:val="auto"/>
        </w:rPr>
        <w:t>Unrealized gain on available-for-sale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-107315</wp:posOffset>
            </wp:positionV>
            <wp:extent cx="4347845"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spacing w:after="0" w:line="24"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Goodwill and other intangibles</w:t>
      </w:r>
    </w:p>
    <w:p>
      <w:pPr>
        <w:spacing w:after="0" w:line="232"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Deferred tax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-125730</wp:posOffset>
            </wp:positionV>
            <wp:extent cx="4347845"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spacing w:after="0" w:line="21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Deferred income taxes</w:t>
      </w:r>
    </w:p>
    <w:p>
      <w:pPr>
        <w:spacing w:after="0" w:line="20" w:lineRule="exact"/>
        <w:rPr>
          <w:sz w:val="20"/>
          <w:szCs w:val="20"/>
          <w:color w:val="auto"/>
        </w:rPr>
      </w:pPr>
      <w:r>
        <w:rPr>
          <w:sz w:val="20"/>
          <w:szCs w:val="20"/>
          <w:color w:val="auto"/>
        </w:rPr>
        <w:br w:type="column"/>
      </w:r>
    </w:p>
    <w:p>
      <w:pPr>
        <w:ind w:left="422" w:hanging="422"/>
        <w:spacing w:after="0"/>
        <w:tabs>
          <w:tab w:leader="none" w:pos="42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60,536  </w:t>
      </w:r>
      <w:r>
        <w:rPr>
          <w:rFonts w:ascii="Arial" w:cs="Arial" w:eastAsia="Arial" w:hAnsi="Arial"/>
          <w:sz w:val="18"/>
          <w:szCs w:val="18"/>
          <w:color w:val="auto"/>
        </w:rPr>
        <w:t>$</w:t>
      </w:r>
      <w:r>
        <w:rPr>
          <w:rFonts w:ascii="Arial" w:cs="Arial" w:eastAsia="Arial" w:hAnsi="Arial"/>
          <w:sz w:val="15"/>
          <w:szCs w:val="15"/>
          <w:color w:val="auto"/>
        </w:rPr>
        <w:t>58,874</w:t>
      </w:r>
    </w:p>
    <w:p>
      <w:pPr>
        <w:spacing w:after="0" w:line="21" w:lineRule="exact"/>
        <w:rPr>
          <w:rFonts w:ascii="Arial" w:cs="Arial" w:eastAsia="Arial" w:hAnsi="Arial"/>
          <w:sz w:val="18"/>
          <w:szCs w:val="18"/>
          <w:b w:val="1"/>
          <w:bCs w:val="1"/>
          <w:color w:val="auto"/>
        </w:rPr>
      </w:pPr>
    </w:p>
    <w:p>
      <w:pPr>
        <w:ind w:left="34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102,791</w:t>
      </w:r>
      <w:r>
        <w:rPr>
          <w:rFonts w:ascii="Arial" w:cs="Arial" w:eastAsia="Arial" w:hAnsi="Arial"/>
          <w:sz w:val="15"/>
          <w:szCs w:val="15"/>
          <w:color w:val="auto"/>
        </w:rPr>
        <w:t>94,280</w:t>
      </w:r>
    </w:p>
    <w:p>
      <w:pPr>
        <w:spacing w:after="0" w:line="9" w:lineRule="exact"/>
        <w:rPr>
          <w:rFonts w:ascii="Arial" w:cs="Arial" w:eastAsia="Arial" w:hAnsi="Arial"/>
          <w:sz w:val="18"/>
          <w:szCs w:val="18"/>
          <w:b w:val="1"/>
          <w:bCs w:val="1"/>
          <w:color w:val="auto"/>
        </w:rPr>
      </w:pPr>
    </w:p>
    <w:p>
      <w:pPr>
        <w:ind w:left="42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17,650</w:t>
      </w:r>
      <w:r>
        <w:rPr>
          <w:rFonts w:ascii="Arial" w:cs="Arial" w:eastAsia="Arial" w:hAnsi="Arial"/>
          <w:sz w:val="15"/>
          <w:szCs w:val="15"/>
          <w:color w:val="auto"/>
        </w:rPr>
        <w:t>16,252</w:t>
      </w:r>
    </w:p>
    <w:p>
      <w:pPr>
        <w:spacing w:after="0" w:line="9" w:lineRule="exact"/>
        <w:rPr>
          <w:rFonts w:ascii="Arial" w:cs="Arial" w:eastAsia="Arial" w:hAnsi="Arial"/>
          <w:sz w:val="18"/>
          <w:szCs w:val="18"/>
          <w:b w:val="1"/>
          <w:bCs w:val="1"/>
          <w:color w:val="auto"/>
        </w:rPr>
      </w:pPr>
    </w:p>
    <w:p>
      <w:pPr>
        <w:ind w:left="42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12,068</w:t>
      </w:r>
      <w:r>
        <w:rPr>
          <w:rFonts w:ascii="Arial" w:cs="Arial" w:eastAsia="Arial" w:hAnsi="Arial"/>
          <w:sz w:val="15"/>
          <w:szCs w:val="15"/>
          <w:color w:val="auto"/>
        </w:rPr>
        <w:t>13,693</w:t>
      </w:r>
    </w:p>
    <w:p>
      <w:pPr>
        <w:spacing w:after="0" w:line="9" w:lineRule="exact"/>
        <w:rPr>
          <w:rFonts w:ascii="Arial" w:cs="Arial" w:eastAsia="Arial" w:hAnsi="Arial"/>
          <w:sz w:val="18"/>
          <w:szCs w:val="18"/>
          <w:b w:val="1"/>
          <w:bCs w:val="1"/>
          <w:color w:val="auto"/>
        </w:rPr>
      </w:pPr>
    </w:p>
    <w:p>
      <w:pPr>
        <w:ind w:left="52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4,334</w:t>
      </w:r>
      <w:r>
        <w:rPr>
          <w:rFonts w:ascii="Arial" w:cs="Arial" w:eastAsia="Arial" w:hAnsi="Arial"/>
          <w:sz w:val="18"/>
          <w:szCs w:val="18"/>
          <w:color w:val="auto"/>
        </w:rPr>
        <w:t>—</w:t>
      </w:r>
    </w:p>
    <w:p>
      <w:pPr>
        <w:spacing w:after="0" w:line="9" w:lineRule="exact"/>
        <w:rPr>
          <w:rFonts w:ascii="Arial" w:cs="Arial" w:eastAsia="Arial" w:hAnsi="Arial"/>
          <w:sz w:val="18"/>
          <w:szCs w:val="18"/>
          <w:b w:val="1"/>
          <w:bCs w:val="1"/>
          <w:color w:val="auto"/>
        </w:rPr>
      </w:pPr>
    </w:p>
    <w:p>
      <w:pPr>
        <w:ind w:left="42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25,480</w:t>
      </w:r>
      <w:r>
        <w:rPr>
          <w:rFonts w:ascii="Arial" w:cs="Arial" w:eastAsia="Arial" w:hAnsi="Arial"/>
          <w:sz w:val="15"/>
          <w:szCs w:val="15"/>
          <w:color w:val="auto"/>
        </w:rPr>
        <w:t>22,140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75565</wp:posOffset>
            </wp:positionV>
            <wp:extent cx="13550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206" w:lineRule="exact"/>
        <w:rPr>
          <w:sz w:val="20"/>
          <w:szCs w:val="20"/>
          <w:color w:val="auto"/>
        </w:rPr>
      </w:pPr>
    </w:p>
    <w:p>
      <w:pPr>
        <w:jc w:val="both"/>
        <w:ind w:left="342"/>
        <w:spacing w:after="0"/>
        <w:tabs>
          <w:tab w:leader="none" w:pos="1422" w:val="left"/>
        </w:tabs>
        <w:rPr>
          <w:sz w:val="20"/>
          <w:szCs w:val="20"/>
          <w:color w:val="auto"/>
        </w:rPr>
      </w:pPr>
      <w:r>
        <w:rPr>
          <w:rFonts w:ascii="Arial" w:cs="Arial" w:eastAsia="Arial" w:hAnsi="Arial"/>
          <w:sz w:val="18"/>
          <w:szCs w:val="18"/>
          <w:b w:val="1"/>
          <w:bCs w:val="1"/>
          <w:color w:val="auto"/>
        </w:rPr>
        <w:t>222,859</w:t>
      </w:r>
      <w:r>
        <w:rPr>
          <w:sz w:val="20"/>
          <w:szCs w:val="20"/>
          <w:color w:val="auto"/>
        </w:rPr>
        <w:tab/>
      </w:r>
      <w:r>
        <w:rPr>
          <w:rFonts w:ascii="Arial" w:cs="Arial" w:eastAsia="Arial" w:hAnsi="Arial"/>
          <w:sz w:val="18"/>
          <w:szCs w:val="18"/>
          <w:color w:val="auto"/>
        </w:rPr>
        <w:t>205,239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83820</wp:posOffset>
            </wp:positionV>
            <wp:extent cx="13550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219" w:lineRule="exact"/>
        <w:rPr>
          <w:sz w:val="20"/>
          <w:szCs w:val="20"/>
          <w:color w:val="auto"/>
        </w:rPr>
      </w:pPr>
    </w:p>
    <w:p>
      <w:pPr>
        <w:jc w:val="both"/>
        <w:ind w:left="342"/>
        <w:spacing w:after="0"/>
        <w:tabs>
          <w:tab w:leader="none" w:pos="1422" w:val="left"/>
        </w:tabs>
        <w:rPr>
          <w:sz w:val="20"/>
          <w:szCs w:val="20"/>
          <w:color w:val="auto"/>
        </w:rPr>
      </w:pPr>
      <w:r>
        <w:rPr>
          <w:rFonts w:ascii="Arial" w:cs="Arial" w:eastAsia="Arial" w:hAnsi="Arial"/>
          <w:sz w:val="18"/>
          <w:szCs w:val="18"/>
          <w:b w:val="1"/>
          <w:bCs w:val="1"/>
          <w:color w:val="auto"/>
        </w:rPr>
        <w:t>153,615</w:t>
      </w:r>
      <w:r>
        <w:rPr>
          <w:sz w:val="20"/>
          <w:szCs w:val="20"/>
          <w:color w:val="auto"/>
        </w:rPr>
        <w:tab/>
      </w:r>
      <w:r>
        <w:rPr>
          <w:rFonts w:ascii="Arial" w:cs="Arial" w:eastAsia="Arial" w:hAnsi="Arial"/>
          <w:sz w:val="18"/>
          <w:szCs w:val="18"/>
          <w:color w:val="auto"/>
        </w:rPr>
        <w:t>135,520</w:t>
      </w:r>
    </w:p>
    <w:p>
      <w:pPr>
        <w:spacing w:after="0" w:line="21" w:lineRule="exact"/>
        <w:rPr>
          <w:sz w:val="20"/>
          <w:szCs w:val="20"/>
          <w:color w:val="auto"/>
        </w:rPr>
      </w:pPr>
    </w:p>
    <w:p>
      <w:pPr>
        <w:jc w:val="both"/>
        <w:ind w:left="342"/>
        <w:spacing w:after="0"/>
        <w:tabs>
          <w:tab w:leader="none" w:pos="1422" w:val="left"/>
        </w:tabs>
        <w:rPr>
          <w:sz w:val="20"/>
          <w:szCs w:val="20"/>
          <w:color w:val="auto"/>
        </w:rPr>
      </w:pPr>
      <w:r>
        <w:rPr>
          <w:rFonts w:ascii="Arial" w:cs="Arial" w:eastAsia="Arial" w:hAnsi="Arial"/>
          <w:sz w:val="18"/>
          <w:szCs w:val="18"/>
          <w:b w:val="1"/>
          <w:bCs w:val="1"/>
          <w:color w:val="auto"/>
        </w:rPr>
        <w:t>207,312</w:t>
      </w:r>
      <w:r>
        <w:rPr>
          <w:sz w:val="20"/>
          <w:szCs w:val="20"/>
          <w:color w:val="auto"/>
        </w:rPr>
        <w:tab/>
      </w:r>
      <w:r>
        <w:rPr>
          <w:rFonts w:ascii="Arial" w:cs="Arial" w:eastAsia="Arial" w:hAnsi="Arial"/>
          <w:sz w:val="18"/>
          <w:szCs w:val="18"/>
          <w:color w:val="auto"/>
        </w:rPr>
        <w:t>200,315</w:t>
      </w:r>
    </w:p>
    <w:p>
      <w:pPr>
        <w:spacing w:after="0" w:line="9" w:lineRule="exact"/>
        <w:rPr>
          <w:sz w:val="20"/>
          <w:szCs w:val="20"/>
          <w:color w:val="auto"/>
        </w:rPr>
      </w:pPr>
    </w:p>
    <w:p>
      <w:pPr>
        <w:ind w:left="742"/>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5"/>
          <w:szCs w:val="15"/>
          <w:color w:val="auto"/>
        </w:rPr>
        <w:t>180</w:t>
      </w:r>
    </w:p>
    <w:p>
      <w:pPr>
        <w:spacing w:after="0" w:line="9" w:lineRule="exact"/>
        <w:rPr>
          <w:sz w:val="20"/>
          <w:szCs w:val="20"/>
          <w:color w:val="auto"/>
        </w:rPr>
      </w:pPr>
    </w:p>
    <w:p>
      <w:pPr>
        <w:ind w:left="442"/>
        <w:spacing w:after="0"/>
        <w:rPr>
          <w:sz w:val="20"/>
          <w:szCs w:val="20"/>
          <w:color w:val="auto"/>
        </w:rPr>
      </w:pPr>
      <w:r>
        <w:rPr>
          <w:rFonts w:ascii="Arial" w:cs="Arial" w:eastAsia="Arial" w:hAnsi="Arial"/>
          <w:sz w:val="18"/>
          <w:szCs w:val="18"/>
          <w:b w:val="1"/>
          <w:bCs w:val="1"/>
          <w:color w:val="auto"/>
        </w:rPr>
        <w:t>23,811</w:t>
      </w:r>
      <w:r>
        <w:rPr>
          <w:rFonts w:ascii="Arial" w:cs="Arial" w:eastAsia="Arial" w:hAnsi="Arial"/>
          <w:sz w:val="15"/>
          <w:szCs w:val="15"/>
          <w:color w:val="auto"/>
        </w:rPr>
        <w:t>11,463</w:t>
      </w:r>
    </w:p>
    <w:p>
      <w:pPr>
        <w:spacing w:after="0" w:line="9" w:lineRule="exact"/>
        <w:rPr>
          <w:sz w:val="20"/>
          <w:szCs w:val="20"/>
          <w:color w:val="auto"/>
        </w:rPr>
      </w:pPr>
    </w:p>
    <w:p>
      <w:pPr>
        <w:jc w:val="both"/>
        <w:ind w:left="342"/>
        <w:spacing w:after="0"/>
        <w:tabs>
          <w:tab w:leader="none" w:pos="1442" w:val="left"/>
        </w:tabs>
        <w:rPr>
          <w:sz w:val="20"/>
          <w:szCs w:val="20"/>
          <w:color w:val="auto"/>
        </w:rPr>
      </w:pPr>
      <w:r>
        <w:rPr>
          <w:rFonts w:ascii="Arial" w:cs="Arial" w:eastAsia="Arial" w:hAnsi="Arial"/>
          <w:sz w:val="18"/>
          <w:szCs w:val="18"/>
          <w:b w:val="1"/>
          <w:bCs w:val="1"/>
          <w:color w:val="auto"/>
        </w:rPr>
        <w:t>141,945</w:t>
      </w:r>
      <w:r>
        <w:rPr>
          <w:sz w:val="20"/>
          <w:szCs w:val="20"/>
          <w:color w:val="auto"/>
        </w:rPr>
        <w:tab/>
      </w:r>
      <w:r>
        <w:rPr>
          <w:rFonts w:ascii="Arial" w:cs="Arial" w:eastAsia="Arial" w:hAnsi="Arial"/>
          <w:sz w:val="18"/>
          <w:szCs w:val="18"/>
          <w:color w:val="auto"/>
        </w:rPr>
        <w:t>118,914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75565</wp:posOffset>
            </wp:positionV>
            <wp:extent cx="13550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206" w:lineRule="exact"/>
        <w:rPr>
          <w:sz w:val="20"/>
          <w:szCs w:val="20"/>
          <w:color w:val="auto"/>
        </w:rPr>
      </w:pPr>
    </w:p>
    <w:p>
      <w:pPr>
        <w:jc w:val="both"/>
        <w:ind w:left="342"/>
        <w:spacing w:after="0"/>
        <w:tabs>
          <w:tab w:leader="none" w:pos="1422" w:val="left"/>
        </w:tabs>
        <w:rPr>
          <w:sz w:val="20"/>
          <w:szCs w:val="20"/>
          <w:color w:val="auto"/>
        </w:rPr>
      </w:pPr>
      <w:r>
        <w:rPr>
          <w:rFonts w:ascii="Arial" w:cs="Arial" w:eastAsia="Arial" w:hAnsi="Arial"/>
          <w:sz w:val="18"/>
          <w:szCs w:val="18"/>
          <w:b w:val="1"/>
          <w:bCs w:val="1"/>
          <w:color w:val="auto"/>
        </w:rPr>
        <w:t>526,683</w:t>
      </w:r>
      <w:r>
        <w:rPr>
          <w:sz w:val="20"/>
          <w:szCs w:val="20"/>
          <w:color w:val="auto"/>
        </w:rPr>
        <w:tab/>
      </w:r>
      <w:r>
        <w:rPr>
          <w:rFonts w:ascii="Arial" w:cs="Arial" w:eastAsia="Arial" w:hAnsi="Arial"/>
          <w:sz w:val="18"/>
          <w:szCs w:val="18"/>
          <w:color w:val="auto"/>
        </w:rPr>
        <w:t>466,392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83820</wp:posOffset>
            </wp:positionV>
            <wp:extent cx="13550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219" w:lineRule="exact"/>
        <w:rPr>
          <w:sz w:val="20"/>
          <w:szCs w:val="20"/>
          <w:color w:val="auto"/>
        </w:rPr>
      </w:pPr>
    </w:p>
    <w:p>
      <w:pPr>
        <w:ind w:left="2"/>
        <w:spacing w:after="0"/>
        <w:tabs>
          <w:tab w:leader="none" w:pos="322" w:val="left"/>
          <w:tab w:leader="none" w:pos="1082" w:val="left"/>
          <w:tab w:leader="none" w:pos="1422" w:val="left"/>
        </w:tabs>
        <w:rPr>
          <w:sz w:val="20"/>
          <w:szCs w:val="20"/>
          <w:color w:val="auto"/>
        </w:rPr>
      </w:pPr>
      <w:r>
        <w:rPr>
          <w:rFonts w:ascii="Arial" w:cs="Arial" w:eastAsia="Arial" w:hAnsi="Arial"/>
          <w:sz w:val="18"/>
          <w:szCs w:val="18"/>
          <w:b w:val="1"/>
          <w:bCs w:val="1"/>
          <w:color w:val="auto"/>
        </w:rPr>
        <w:t>$</w:t>
        <w:tab/>
        <w:t>303,824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261,153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81280</wp:posOffset>
            </wp:positionV>
            <wp:extent cx="135890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58900" cy="38735"/>
                    </a:xfrm>
                    <a:prstGeom prst="rect">
                      <a:avLst/>
                    </a:prstGeom>
                    <a:noFill/>
                  </pic:spPr>
                </pic:pic>
              </a:graphicData>
            </a:graphic>
          </wp:anchor>
        </w:drawing>
      </w:r>
    </w:p>
    <w:p>
      <w:pPr>
        <w:spacing w:after="0" w:line="205" w:lineRule="exact"/>
        <w:rPr>
          <w:sz w:val="20"/>
          <w:szCs w:val="20"/>
          <w:color w:val="auto"/>
        </w:rPr>
      </w:pPr>
    </w:p>
    <w:p>
      <w:pPr>
        <w:sectPr>
          <w:pgSz w:w="11900" w:h="16838" w:orient="portrait"/>
          <w:cols w:equalWidth="0" w:num="2">
            <w:col w:w="6318" w:space="720"/>
            <w:col w:w="4002"/>
          </w:cols>
          <w:pgMar w:left="240" w:top="233" w:right="619" w:bottom="1440" w:gutter="0" w:footer="0" w:header="0"/>
        </w:sectPr>
      </w:pPr>
    </w:p>
    <w:p>
      <w:pPr>
        <w:spacing w:after="0" w:line="29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has approximately $240 million in state income tax loss carryforwards. If unutilized, state income tax loss carryforwards will start to expire in 2008. Approximately $15 million, $2 million and $8 million of state income tax loss carryforwards will expire in 2008, 2009 and 2010, respectively, and $215 million of state income tax loss carryforwards will expire between 2011 and 2023.</w:t>
      </w:r>
    </w:p>
    <w:p>
      <w:pPr>
        <w:spacing w:after="0" w:line="200" w:lineRule="exact"/>
        <w:rPr>
          <w:sz w:val="20"/>
          <w:szCs w:val="20"/>
          <w:color w:val="auto"/>
        </w:rPr>
      </w:pPr>
    </w:p>
    <w:p>
      <w:pPr>
        <w:spacing w:after="0" w:line="23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240" w:top="233" w:right="619" w:bottom="1440" w:gutter="0" w:footer="0" w:header="0"/>
          <w:type w:val="continuous"/>
        </w:sectPr>
      </w:pPr>
    </w:p>
    <w:bookmarkStart w:id="59" w:name="page60"/>
    <w:bookmarkEnd w:id="59"/>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DEBT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consists of the following (in millions):</w:t>
      </w:r>
    </w:p>
    <w:p>
      <w:pPr>
        <w:spacing w:after="0" w:line="200" w:lineRule="exact"/>
        <w:rPr>
          <w:sz w:val="20"/>
          <w:szCs w:val="20"/>
          <w:color w:val="auto"/>
        </w:rPr>
      </w:pP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2000" w:type="dxa"/>
            <w:vAlign w:val="bottom"/>
          </w:tcPr>
          <w:p>
            <w:pPr>
              <w:jc w:val="right"/>
              <w:ind w:right="552"/>
              <w:spacing w:after="0"/>
              <w:rPr>
                <w:sz w:val="20"/>
                <w:szCs w:val="20"/>
                <w:color w:val="auto"/>
              </w:rPr>
            </w:pPr>
            <w:r>
              <w:rPr>
                <w:rFonts w:ascii="Arial" w:cs="Arial" w:eastAsia="Arial" w:hAnsi="Arial"/>
                <w:sz w:val="18"/>
                <w:szCs w:val="18"/>
                <w:b w:val="1"/>
                <w:bCs w:val="1"/>
                <w:color w:val="auto"/>
              </w:rPr>
              <w:t>December 28,</w:t>
            </w:r>
          </w:p>
        </w:tc>
        <w:tc>
          <w:tcPr>
            <w:tcW w:w="2240" w:type="dxa"/>
            <w:vAlign w:val="bottom"/>
          </w:tcPr>
          <w:p>
            <w:pPr>
              <w:jc w:val="right"/>
              <w:ind w:right="572"/>
              <w:spacing w:after="0"/>
              <w:rPr>
                <w:sz w:val="20"/>
                <w:szCs w:val="20"/>
                <w:color w:val="auto"/>
              </w:rPr>
            </w:pPr>
            <w:r>
              <w:rPr>
                <w:rFonts w:ascii="Arial" w:cs="Arial" w:eastAsia="Arial" w:hAnsi="Arial"/>
                <w:sz w:val="18"/>
                <w:szCs w:val="18"/>
                <w:color w:val="auto"/>
              </w:rPr>
              <w:t>December 29,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2000" w:type="dxa"/>
            <w:vAlign w:val="bottom"/>
          </w:tcPr>
          <w:p>
            <w:pPr>
              <w:jc w:val="right"/>
              <w:ind w:right="732"/>
              <w:spacing w:after="0"/>
              <w:rPr>
                <w:sz w:val="20"/>
                <w:szCs w:val="20"/>
                <w:color w:val="auto"/>
              </w:rPr>
            </w:pPr>
            <w:r>
              <w:rPr>
                <w:rFonts w:ascii="Arial" w:cs="Arial" w:eastAsia="Arial" w:hAnsi="Arial"/>
                <w:sz w:val="18"/>
                <w:szCs w:val="18"/>
                <w:b w:val="1"/>
                <w:bCs w:val="1"/>
                <w:color w:val="auto"/>
              </w:rPr>
              <w:t>2003</w:t>
            </w:r>
          </w:p>
        </w:tc>
        <w:tc>
          <w:tcPr>
            <w:tcW w:w="2240" w:type="dxa"/>
            <w:vAlign w:val="bottom"/>
          </w:tcPr>
          <w:p>
            <w:pPr>
              <w:jc w:val="right"/>
              <w:ind w:right="732"/>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02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2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8"/>
                <w:szCs w:val="18"/>
                <w:color w:val="auto"/>
              </w:rPr>
              <w:t>Commercial paper borrowings</w:t>
            </w:r>
          </w:p>
        </w:tc>
        <w:tc>
          <w:tcPr>
            <w:tcW w:w="2000" w:type="dxa"/>
            <w:vAlign w:val="bottom"/>
            <w:shd w:val="clear" w:color="auto" w:fill="EEEEEE"/>
          </w:tcPr>
          <w:p>
            <w:pPr>
              <w:jc w:val="right"/>
              <w:ind w:right="552"/>
              <w:spacing w:after="0"/>
              <w:rPr>
                <w:sz w:val="20"/>
                <w:szCs w:val="20"/>
                <w:color w:val="auto"/>
              </w:rPr>
            </w:pPr>
            <w:r>
              <w:rPr>
                <w:rFonts w:ascii="Arial" w:cs="Arial" w:eastAsia="Arial" w:hAnsi="Arial"/>
                <w:sz w:val="18"/>
                <w:szCs w:val="18"/>
                <w:b w:val="1"/>
                <w:bCs w:val="1"/>
                <w:color w:val="auto"/>
              </w:rPr>
              <w:t>$ 188.3</w:t>
            </w:r>
          </w:p>
        </w:tc>
        <w:tc>
          <w:tcPr>
            <w:tcW w:w="2240" w:type="dxa"/>
            <w:vAlign w:val="bottom"/>
            <w:shd w:val="clear" w:color="auto" w:fill="EEEEEE"/>
          </w:tcPr>
          <w:p>
            <w:pPr>
              <w:jc w:val="right"/>
              <w:ind w:right="572"/>
              <w:spacing w:after="0"/>
              <w:rPr>
                <w:sz w:val="20"/>
                <w:szCs w:val="20"/>
                <w:color w:val="auto"/>
              </w:rPr>
            </w:pPr>
            <w:r>
              <w:rPr>
                <w:rFonts w:ascii="Arial" w:cs="Arial" w:eastAsia="Arial" w:hAnsi="Arial"/>
                <w:sz w:val="18"/>
                <w:szCs w:val="18"/>
                <w:color w:val="auto"/>
              </w:rPr>
              <w:t>$ 259.3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5.5 percent unsecured notes due February 15, 2009</w:t>
            </w:r>
          </w:p>
        </w:tc>
        <w:tc>
          <w:tcPr>
            <w:tcW w:w="2000" w:type="dxa"/>
            <w:vAlign w:val="bottom"/>
          </w:tcPr>
          <w:p>
            <w:pPr>
              <w:jc w:val="right"/>
              <w:ind w:right="552"/>
              <w:spacing w:after="0"/>
              <w:rPr>
                <w:sz w:val="20"/>
                <w:szCs w:val="20"/>
                <w:color w:val="auto"/>
              </w:rPr>
            </w:pPr>
            <w:r>
              <w:rPr>
                <w:rFonts w:ascii="Arial" w:cs="Arial" w:eastAsia="Arial" w:hAnsi="Arial"/>
                <w:sz w:val="18"/>
                <w:szCs w:val="18"/>
                <w:b w:val="1"/>
                <w:bCs w:val="1"/>
                <w:color w:val="auto"/>
              </w:rPr>
              <w:t>398.7</w:t>
            </w:r>
          </w:p>
        </w:tc>
        <w:tc>
          <w:tcPr>
            <w:tcW w:w="2240" w:type="dxa"/>
            <w:vAlign w:val="bottom"/>
          </w:tcPr>
          <w:p>
            <w:pPr>
              <w:jc w:val="right"/>
              <w:ind w:right="572"/>
              <w:spacing w:after="0"/>
              <w:rPr>
                <w:sz w:val="20"/>
                <w:szCs w:val="20"/>
                <w:color w:val="auto"/>
              </w:rPr>
            </w:pPr>
            <w:r>
              <w:rPr>
                <w:rFonts w:ascii="Arial" w:cs="Arial" w:eastAsia="Arial" w:hAnsi="Arial"/>
                <w:sz w:val="18"/>
                <w:szCs w:val="18"/>
                <w:color w:val="auto"/>
              </w:rPr>
              <w:t>398.4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8"/>
                <w:szCs w:val="18"/>
                <w:color w:val="auto"/>
              </w:rPr>
              <w:t>4.0 percent notes due 2004–</w:t>
            </w:r>
          </w:p>
        </w:tc>
        <w:tc>
          <w:tcPr>
            <w:tcW w:w="2000" w:type="dxa"/>
            <w:vAlign w:val="bottom"/>
            <w:vMerge w:val="restart"/>
            <w:shd w:val="clear" w:color="auto" w:fill="EEEEEE"/>
          </w:tcPr>
          <w:p>
            <w:pPr>
              <w:jc w:val="right"/>
              <w:ind w:right="552"/>
              <w:spacing w:after="0"/>
              <w:rPr>
                <w:sz w:val="20"/>
                <w:szCs w:val="20"/>
                <w:color w:val="auto"/>
              </w:rPr>
            </w:pPr>
            <w:r>
              <w:rPr>
                <w:rFonts w:ascii="Arial" w:cs="Arial" w:eastAsia="Arial" w:hAnsi="Arial"/>
                <w:sz w:val="18"/>
                <w:szCs w:val="18"/>
                <w:b w:val="1"/>
                <w:bCs w:val="1"/>
                <w:color w:val="auto"/>
              </w:rPr>
              <w:t>29.7</w:t>
            </w:r>
          </w:p>
        </w:tc>
        <w:tc>
          <w:tcPr>
            <w:tcW w:w="2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2006 (£16.7 million)</w:t>
            </w:r>
          </w:p>
        </w:tc>
        <w:tc>
          <w:tcPr>
            <w:tcW w:w="2000" w:type="dxa"/>
            <w:vAlign w:val="bottom"/>
            <w:vMerge w:val="continue"/>
            <w:shd w:val="clear" w:color="auto" w:fill="EEEEEE"/>
          </w:tcPr>
          <w:p>
            <w:pPr>
              <w:spacing w:after="0"/>
              <w:rPr>
                <w:sz w:val="19"/>
                <w:szCs w:val="19"/>
                <w:color w:val="auto"/>
              </w:rPr>
            </w:pPr>
          </w:p>
        </w:tc>
        <w:tc>
          <w:tcPr>
            <w:tcW w:w="2240" w:type="dxa"/>
            <w:vAlign w:val="bottom"/>
            <w:shd w:val="clear" w:color="auto" w:fill="EEEEEE"/>
          </w:tcPr>
          <w:p>
            <w:pPr>
              <w:jc w:val="right"/>
              <w:ind w:right="5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Other indebtedness</w:t>
            </w:r>
          </w:p>
        </w:tc>
        <w:tc>
          <w:tcPr>
            <w:tcW w:w="2000" w:type="dxa"/>
            <w:vAlign w:val="bottom"/>
          </w:tcPr>
          <w:p>
            <w:pPr>
              <w:jc w:val="right"/>
              <w:ind w:right="552"/>
              <w:spacing w:after="0"/>
              <w:rPr>
                <w:sz w:val="20"/>
                <w:szCs w:val="20"/>
                <w:color w:val="auto"/>
              </w:rPr>
            </w:pPr>
            <w:r>
              <w:rPr>
                <w:rFonts w:ascii="Arial" w:cs="Arial" w:eastAsia="Arial" w:hAnsi="Arial"/>
                <w:sz w:val="18"/>
                <w:szCs w:val="18"/>
                <w:b w:val="1"/>
                <w:bCs w:val="1"/>
                <w:color w:val="auto"/>
              </w:rPr>
              <w:t>14.4</w:t>
            </w:r>
          </w:p>
        </w:tc>
        <w:tc>
          <w:tcPr>
            <w:tcW w:w="2240" w:type="dxa"/>
            <w:vAlign w:val="bottom"/>
          </w:tcPr>
          <w:p>
            <w:pPr>
              <w:jc w:val="right"/>
              <w:ind w:right="572"/>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2000" w:type="dxa"/>
            <w:vAlign w:val="bottom"/>
            <w:tcBorders>
              <w:bottom w:val="single" w:sz="8" w:color="808080"/>
            </w:tcBorders>
          </w:tcPr>
          <w:p>
            <w:pPr>
              <w:spacing w:after="0"/>
              <w:rPr>
                <w:sz w:val="8"/>
                <w:szCs w:val="8"/>
                <w:color w:val="auto"/>
              </w:rPr>
            </w:pPr>
          </w:p>
        </w:tc>
        <w:tc>
          <w:tcPr>
            <w:tcW w:w="2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8"/>
                <w:szCs w:val="18"/>
                <w:color w:val="auto"/>
              </w:rPr>
              <w:t>Total</w:t>
            </w:r>
          </w:p>
        </w:tc>
        <w:tc>
          <w:tcPr>
            <w:tcW w:w="2000" w:type="dxa"/>
            <w:vAlign w:val="bottom"/>
            <w:shd w:val="clear" w:color="auto" w:fill="EEEEEE"/>
          </w:tcPr>
          <w:p>
            <w:pPr>
              <w:jc w:val="right"/>
              <w:ind w:right="552"/>
              <w:spacing w:after="0"/>
              <w:rPr>
                <w:sz w:val="20"/>
                <w:szCs w:val="20"/>
                <w:color w:val="auto"/>
              </w:rPr>
            </w:pPr>
            <w:r>
              <w:rPr>
                <w:rFonts w:ascii="Arial" w:cs="Arial" w:eastAsia="Arial" w:hAnsi="Arial"/>
                <w:sz w:val="18"/>
                <w:szCs w:val="18"/>
                <w:b w:val="1"/>
                <w:bCs w:val="1"/>
                <w:color w:val="auto"/>
              </w:rPr>
              <w:t>631.1</w:t>
            </w:r>
          </w:p>
        </w:tc>
        <w:tc>
          <w:tcPr>
            <w:tcW w:w="2240" w:type="dxa"/>
            <w:vAlign w:val="bottom"/>
            <w:shd w:val="clear" w:color="auto" w:fill="EEEEEE"/>
          </w:tcPr>
          <w:p>
            <w:pPr>
              <w:jc w:val="right"/>
              <w:ind w:right="572"/>
              <w:spacing w:after="0"/>
              <w:rPr>
                <w:sz w:val="20"/>
                <w:szCs w:val="20"/>
                <w:color w:val="auto"/>
              </w:rPr>
            </w:pPr>
            <w:r>
              <w:rPr>
                <w:rFonts w:ascii="Arial" w:cs="Arial" w:eastAsia="Arial" w:hAnsi="Arial"/>
                <w:sz w:val="18"/>
                <w:szCs w:val="18"/>
                <w:color w:val="auto"/>
              </w:rPr>
              <w:t>664.8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Less current portion</w:t>
            </w:r>
          </w:p>
        </w:tc>
        <w:tc>
          <w:tcPr>
            <w:tcW w:w="2000" w:type="dxa"/>
            <w:vAlign w:val="bottom"/>
          </w:tcPr>
          <w:p>
            <w:pPr>
              <w:jc w:val="right"/>
              <w:ind w:right="492"/>
              <w:spacing w:after="0"/>
              <w:rPr>
                <w:sz w:val="20"/>
                <w:szCs w:val="20"/>
                <w:color w:val="auto"/>
              </w:rPr>
            </w:pPr>
            <w:r>
              <w:rPr>
                <w:rFonts w:ascii="Arial" w:cs="Arial" w:eastAsia="Arial" w:hAnsi="Arial"/>
                <w:sz w:val="18"/>
                <w:szCs w:val="18"/>
                <w:b w:val="1"/>
                <w:bCs w:val="1"/>
                <w:color w:val="auto"/>
              </w:rPr>
              <w:t>(208.6)</w:t>
            </w:r>
          </w:p>
        </w:tc>
        <w:tc>
          <w:tcPr>
            <w:tcW w:w="2240" w:type="dxa"/>
            <w:vAlign w:val="bottom"/>
          </w:tcPr>
          <w:p>
            <w:pPr>
              <w:jc w:val="right"/>
              <w:ind w:right="512"/>
              <w:spacing w:after="0"/>
              <w:rPr>
                <w:sz w:val="20"/>
                <w:szCs w:val="20"/>
                <w:color w:val="auto"/>
              </w:rPr>
            </w:pPr>
            <w:r>
              <w:rPr>
                <w:rFonts w:ascii="Arial" w:cs="Arial" w:eastAsia="Arial" w:hAnsi="Arial"/>
                <w:sz w:val="18"/>
                <w:szCs w:val="18"/>
                <w:color w:val="auto"/>
              </w:rPr>
              <w:t>(259.3)</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2000" w:type="dxa"/>
            <w:vAlign w:val="bottom"/>
            <w:tcBorders>
              <w:bottom w:val="single" w:sz="8" w:color="808080"/>
            </w:tcBorders>
          </w:tcPr>
          <w:p>
            <w:pPr>
              <w:spacing w:after="0"/>
              <w:rPr>
                <w:sz w:val="8"/>
                <w:szCs w:val="8"/>
                <w:color w:val="auto"/>
              </w:rPr>
            </w:pPr>
          </w:p>
        </w:tc>
        <w:tc>
          <w:tcPr>
            <w:tcW w:w="2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8"/>
                <w:szCs w:val="18"/>
                <w:color w:val="auto"/>
              </w:rPr>
              <w:t>Total long-term debt</w:t>
            </w:r>
          </w:p>
        </w:tc>
        <w:tc>
          <w:tcPr>
            <w:tcW w:w="2000" w:type="dxa"/>
            <w:vAlign w:val="bottom"/>
            <w:shd w:val="clear" w:color="auto" w:fill="EEEEEE"/>
          </w:tcPr>
          <w:p>
            <w:pPr>
              <w:jc w:val="right"/>
              <w:ind w:right="552"/>
              <w:spacing w:after="0"/>
              <w:rPr>
                <w:sz w:val="20"/>
                <w:szCs w:val="20"/>
                <w:color w:val="auto"/>
              </w:rPr>
            </w:pPr>
            <w:r>
              <w:rPr>
                <w:rFonts w:ascii="Arial" w:cs="Arial" w:eastAsia="Arial" w:hAnsi="Arial"/>
                <w:sz w:val="18"/>
                <w:szCs w:val="18"/>
                <w:b w:val="1"/>
                <w:bCs w:val="1"/>
                <w:color w:val="auto"/>
              </w:rPr>
              <w:t>$ 422.5</w:t>
            </w:r>
          </w:p>
        </w:tc>
        <w:tc>
          <w:tcPr>
            <w:tcW w:w="2240" w:type="dxa"/>
            <w:vAlign w:val="bottom"/>
            <w:shd w:val="clear" w:color="auto" w:fill="EEEEEE"/>
          </w:tcPr>
          <w:p>
            <w:pPr>
              <w:jc w:val="right"/>
              <w:ind w:right="572"/>
              <w:spacing w:after="0"/>
              <w:rPr>
                <w:sz w:val="20"/>
                <w:szCs w:val="20"/>
                <w:color w:val="auto"/>
              </w:rPr>
            </w:pPr>
            <w:r>
              <w:rPr>
                <w:rFonts w:ascii="Arial" w:cs="Arial" w:eastAsia="Arial" w:hAnsi="Arial"/>
                <w:sz w:val="18"/>
                <w:szCs w:val="18"/>
                <w:color w:val="auto"/>
              </w:rPr>
              <w:t>$ 405.5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20" w:type="dxa"/>
            <w:vAlign w:val="bottom"/>
          </w:tcPr>
          <w:p>
            <w:pPr>
              <w:spacing w:after="0"/>
              <w:rPr>
                <w:sz w:val="5"/>
                <w:szCs w:val="5"/>
                <w:color w:val="auto"/>
              </w:rPr>
            </w:pPr>
          </w:p>
        </w:tc>
        <w:tc>
          <w:tcPr>
            <w:tcW w:w="2000" w:type="dxa"/>
            <w:vAlign w:val="bottom"/>
            <w:shd w:val="clear" w:color="auto" w:fill="808080"/>
          </w:tcPr>
          <w:p>
            <w:pPr>
              <w:spacing w:after="0"/>
              <w:rPr>
                <w:sz w:val="5"/>
                <w:szCs w:val="5"/>
                <w:color w:val="auto"/>
              </w:rPr>
            </w:pPr>
          </w:p>
        </w:tc>
        <w:tc>
          <w:tcPr>
            <w:tcW w:w="22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notes of £16.7 million were issued to current FTC employees who were former FTC shareholders in connection with the acquisition. The noteholders, at their discretion, may elect to receive 25 percent of their outstanding balance in January 2004. In August 2004, 50 percent of the original outstanding balance (less any amounts paid in January 2004) is due for payment. The remaining balance outstanding is due for payment in August 2006.</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Interest on the 5.5 percent unsecured notes is payable semi-annually on February 15 and August 15.</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At December 28, 2003 and December 29, 2002, the average interest rate on the Company’s outstanding commercial paper borrowings was 1.1 percent and 1.6 percent, respectively. During the third quarter of 2003, the Company replaced its $350 million 364-day revolving credit facility with a new $250 million revolving credit facility, which expires in August 2004. In 2002, the Company replaced its revolving credit facility agreements with a new five-year $350 million revolving credit facility, which expires in August 2007. These revolving credit facility agreements support the issuance of the Company’s short-term commercial paper.</w:t>
      </w:r>
    </w:p>
    <w:p>
      <w:pPr>
        <w:spacing w:after="0" w:line="167"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Under the terms of the five-year $350 million revolving credit facility, interest on borrowings is at floating rates, and depending on the Company’s long-term debt rating, the Company is required to pay an annual fee of 0.07 percent to 0.15 percent on the unused portion of the facility, and 0.25 percent to 0.75 percent on the used portion of the facility. Under the terms of the $250 million 364-day revolving credit facility, interest on borrowings is at floating rates, and based on the Company’s long-term debt rating, the Company is required to pay an annual fee of 0.05 percent to 0.125 percent on the unused portion of the facility, and</w:t>
      </w:r>
    </w:p>
    <w:p>
      <w:pPr>
        <w:spacing w:after="0" w:line="3"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0.25 percent to 0.75 percent on the used portion of the facility. Also under the terms of the $250 million 364-day revolving credit facility, the Company has the right to extend the term of any borrowings for up to one year from the credit facility’s maturity date for an additional fee of 0.125 percent. Both revolving credit facilities contain certain covenants, including a financial covenant that the Company maintain at least $1 billion of consolidated shareholders’ equity.</w:t>
      </w:r>
    </w:p>
    <w:p>
      <w:pPr>
        <w:spacing w:after="0" w:line="16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During 2003 and 2002, the Company had average borrowings outstanding of approximately $605.7 million and $793.7 million, respectively, at average annual interest rates of approximately 4.2 percent and 3.7 percent, respectively. The Company incurred net interest costs on its borrowings of $26.9 million and $33.5 million during 2003 and 2002, respectively. No interest expense was capitalized in 2003 or 2002.</w:t>
      </w:r>
    </w:p>
    <w:p>
      <w:pPr>
        <w:spacing w:after="0" w:line="194" w:lineRule="exact"/>
        <w:rPr>
          <w:sz w:val="20"/>
          <w:szCs w:val="20"/>
          <w:color w:val="auto"/>
        </w:rPr>
      </w:pPr>
    </w:p>
    <w:p>
      <w:pPr>
        <w:ind w:right="1000"/>
        <w:spacing w:after="0" w:line="332" w:lineRule="auto"/>
        <w:rPr>
          <w:sz w:val="20"/>
          <w:szCs w:val="20"/>
          <w:color w:val="auto"/>
        </w:rPr>
      </w:pPr>
      <w:r>
        <w:rPr>
          <w:rFonts w:ascii="Arial" w:cs="Arial" w:eastAsia="Arial" w:hAnsi="Arial"/>
          <w:sz w:val="16"/>
          <w:szCs w:val="16"/>
          <w:color w:val="auto"/>
        </w:rPr>
        <w:t>At December 28, 2003 and December 29, 2002, the fair value of the Company’s 5.5 percent unsecured notes, based on quoted market prices, totaled $434.6 million and $426.6 million, respectively, compared with the carrying amount of $398.7 million and $398.4 million, respectively.</w:t>
      </w:r>
    </w:p>
    <w:p>
      <w:pPr>
        <w:spacing w:after="0" w:line="13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carrying value of the Company’s commercial paper borrowings and other unsecured debt at December 28, 2003 and December 29, 2002 approximates fair value.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REDEEMABLE PREFERRED STOCK</w:t>
      </w:r>
    </w:p>
    <w:p>
      <w:pPr>
        <w:spacing w:after="0" w:line="23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acquisition of a cable television system in 1996, the Company issued 11,947 shares of its Series A Preferred Stock. On February 23, 2000, the Company issued an additional 1,275 shares related to this transaction. From 1998 to 2003, 682 shares of Series A Preferred Stock were redeemed at the request of Series A Preferred Stockholders.</w:t>
      </w:r>
    </w:p>
    <w:p>
      <w:pPr>
        <w:spacing w:after="0" w:line="19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Series A Preferred Stock has a par value of $1.00 per share and a liquidation preference of $1,000 per share; it is redeemable by the Company at any time on or after October 1, 2015 at a redemption price of $1,000 per share. In addition, the holders of such stock have a right to require the Company to purchase their shares at the redemption price during an annual 60-day election period; the first such period began on February 23, 2001. Dividends on the Series A Preferred Stock are payable four times a year at the annual rate of $80.00 per share and in preference to any dividends on the Company’s common stock. The Series A Preferred Stock is not convertible into any other security of the Company, and the holders thereof have no voting rights except with respect to any proposed changes in the preferences and special rights of such stock.</w:t>
      </w:r>
    </w:p>
    <w:p>
      <w:pPr>
        <w:spacing w:after="0" w:line="200" w:lineRule="exact"/>
        <w:rPr>
          <w:sz w:val="20"/>
          <w:szCs w:val="20"/>
          <w:color w:val="auto"/>
        </w:rPr>
      </w:pPr>
    </w:p>
    <w:p>
      <w:pPr>
        <w:spacing w:after="0" w:line="21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G.</w:t>
      </w:r>
      <w:r>
        <w:rPr>
          <w:sz w:val="20"/>
          <w:szCs w:val="20"/>
          <w:color w:val="auto"/>
        </w:rPr>
        <w:tab/>
      </w:r>
      <w:r>
        <w:rPr>
          <w:rFonts w:ascii="Arial" w:cs="Arial" w:eastAsia="Arial" w:hAnsi="Arial"/>
          <w:sz w:val="16"/>
          <w:szCs w:val="16"/>
          <w:b w:val="1"/>
          <w:bCs w:val="1"/>
          <w:color w:val="auto"/>
        </w:rPr>
        <w:t>CAPITAL STOCK, STOCK AWARDS AND STOCK OPTIONS</w:t>
      </w: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Capital Stock. </w:t>
      </w:r>
      <w:r>
        <w:rPr>
          <w:rFonts w:ascii="Arial" w:cs="Arial" w:eastAsia="Arial" w:hAnsi="Arial"/>
          <w:sz w:val="18"/>
          <w:szCs w:val="18"/>
          <w:color w:val="auto"/>
        </w:rPr>
        <w:t>Each share of Class A common stock and Class B common stock participates equally in dividends. The Class B stock has limited voting rights and</w:t>
      </w:r>
      <w:r>
        <w:rPr>
          <w:rFonts w:ascii="Arial" w:cs="Arial" w:eastAsia="Arial" w:hAnsi="Arial"/>
          <w:sz w:val="18"/>
          <w:szCs w:val="18"/>
          <w:b w:val="1"/>
          <w:bCs w:val="1"/>
          <w:color w:val="auto"/>
        </w:rPr>
        <w:t xml:space="preserve"> </w:t>
      </w:r>
      <w:r>
        <w:rPr>
          <w:rFonts w:ascii="Arial" w:cs="Arial" w:eastAsia="Arial" w:hAnsi="Arial"/>
          <w:sz w:val="18"/>
          <w:szCs w:val="18"/>
          <w:color w:val="auto"/>
        </w:rPr>
        <w:t>as a class has the right to elect 30 percent of the Board of Directors; the Class A stock has unlimited voting rights, including the right to elect a majority of the Board of Directors.</w:t>
      </w:r>
    </w:p>
    <w:p>
      <w:pPr>
        <w:spacing w:after="0" w:line="19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During 2003, 2002 and 2001, the Company purchased a total of 910 shares, 1,229 shares and 714 shares, respectively, of its Class B common stock at a cost of approximately $0.7 million, $0.8 million and $0.4 million. At December 28, 2003, the Company has authorization from the Board of Directors to purchase up to 542,800 shares of Class B common stock.</w:t>
      </w:r>
    </w:p>
    <w:p>
      <w:pPr>
        <w:sectPr>
          <w:pgSz w:w="11900" w:h="16843" w:orient="portrait"/>
          <w:cols w:equalWidth="0" w:num="1">
            <w:col w:w="11420"/>
          </w:cols>
          <w:pgMar w:left="240" w:top="935" w:right="239" w:bottom="0" w:gutter="0" w:footer="0" w:header="0"/>
        </w:sectPr>
      </w:pPr>
    </w:p>
    <w:bookmarkStart w:id="60" w:name="page61"/>
    <w:bookmarkEnd w:id="60"/>
    <w:p>
      <w:pPr>
        <w:spacing w:after="0" w:line="275" w:lineRule="auto"/>
        <w:rPr>
          <w:sz w:val="20"/>
          <w:szCs w:val="20"/>
          <w:color w:val="auto"/>
        </w:rPr>
      </w:pPr>
      <w:r>
        <w:rPr>
          <w:rFonts w:ascii="Arial" w:cs="Arial" w:eastAsia="Arial" w:hAnsi="Arial"/>
          <w:sz w:val="18"/>
          <w:szCs w:val="18"/>
          <w:b w:val="1"/>
          <w:bCs w:val="1"/>
          <w:color w:val="auto"/>
        </w:rPr>
        <w:t xml:space="preserve">Stock Awards. </w:t>
      </w:r>
      <w:r>
        <w:rPr>
          <w:rFonts w:ascii="Arial" w:cs="Arial" w:eastAsia="Arial" w:hAnsi="Arial"/>
          <w:sz w:val="18"/>
          <w:szCs w:val="18"/>
          <w:color w:val="auto"/>
        </w:rPr>
        <w:t>In 1982, the Company adopted a long-term incentive compensation plan, which, among other provisions, authorizes the awarding of Class B</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to key employees. Stock awards made under this incentive compensation plan are</w:t>
      </w:r>
    </w:p>
    <w:p>
      <w:pPr>
        <w:spacing w:after="0" w:line="200" w:lineRule="exact"/>
        <w:rPr>
          <w:sz w:val="20"/>
          <w:szCs w:val="20"/>
          <w:color w:val="auto"/>
        </w:rPr>
      </w:pPr>
    </w:p>
    <w:p>
      <w:pPr>
        <w:spacing w:after="0" w:line="22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25" w:right="639" w:bottom="1440" w:gutter="0" w:footer="0" w:header="0"/>
        </w:sectPr>
      </w:pPr>
    </w:p>
    <w:bookmarkStart w:id="61" w:name="page62"/>
    <w:bookmarkEnd w:id="61"/>
    <w:p>
      <w:pPr>
        <w:ind w:right="80"/>
        <w:spacing w:after="0" w:line="255" w:lineRule="auto"/>
        <w:rPr>
          <w:sz w:val="20"/>
          <w:szCs w:val="20"/>
          <w:color w:val="auto"/>
        </w:rPr>
      </w:pPr>
      <w:r>
        <w:rPr>
          <w:rFonts w:ascii="Arial" w:cs="Arial" w:eastAsia="Arial" w:hAnsi="Arial"/>
          <w:sz w:val="18"/>
          <w:szCs w:val="18"/>
          <w:color w:val="auto"/>
        </w:rPr>
        <w:t>subject to the general restriction that stock awarded to a participant will be forfeited and revert to Company ownership if the participant’s employment terminates before the end of a specified period of service to the Company. At December 28, 2003, there were 54,520 shares reserved for issuance under the incentive compensation plan. Of this number, 29,845 shares were subject to awards outstanding, and 24,675 shares were available for future awards. Activity related to stock awards under the long-term incentive compensation plan for the years ended December 28, 2003, December 29, 2002 and December 30, 2001, was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900" w:type="dxa"/>
            <w:vAlign w:val="bottom"/>
          </w:tcPr>
          <w:p>
            <w:pPr>
              <w:jc w:val="right"/>
              <w:ind w:right="92"/>
              <w:spacing w:after="0"/>
              <w:rPr>
                <w:sz w:val="20"/>
                <w:szCs w:val="20"/>
                <w:color w:val="auto"/>
              </w:rPr>
            </w:pPr>
            <w:r>
              <w:rPr>
                <w:rFonts w:ascii="Arial" w:cs="Arial" w:eastAsia="Arial" w:hAnsi="Arial"/>
                <w:sz w:val="18"/>
                <w:szCs w:val="18"/>
                <w:b w:val="1"/>
                <w:bCs w:val="1"/>
                <w:color w:val="auto"/>
              </w:rPr>
              <w:t>2003</w:t>
            </w: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60" w:type="dxa"/>
            <w:vAlign w:val="bottom"/>
          </w:tcPr>
          <w:p>
            <w:pPr>
              <w:jc w:val="right"/>
              <w:ind w:right="1072"/>
              <w:spacing w:after="0"/>
              <w:rPr>
                <w:sz w:val="20"/>
                <w:szCs w:val="20"/>
                <w:color w:val="auto"/>
              </w:rPr>
            </w:pPr>
            <w:r>
              <w:rPr>
                <w:rFonts w:ascii="Arial" w:cs="Arial" w:eastAsia="Arial" w:hAnsi="Arial"/>
                <w:sz w:val="18"/>
                <w:szCs w:val="18"/>
                <w:color w:val="auto"/>
              </w:rPr>
              <w:t>2002</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720" w:type="dxa"/>
            <w:vAlign w:val="bottom"/>
          </w:tcPr>
          <w:p>
            <w:pPr>
              <w:jc w:val="right"/>
              <w:ind w:right="1152"/>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900" w:type="dxa"/>
            <w:vAlign w:val="bottom"/>
          </w:tcPr>
          <w:p>
            <w:pPr>
              <w:jc w:val="center"/>
              <w:ind w:right="332"/>
              <w:spacing w:after="0"/>
              <w:rPr>
                <w:sz w:val="20"/>
                <w:szCs w:val="20"/>
                <w:color w:val="auto"/>
              </w:rPr>
            </w:pPr>
            <w:r>
              <w:rPr>
                <w:rFonts w:ascii="Arial" w:cs="Arial" w:eastAsia="Arial" w:hAnsi="Arial"/>
                <w:sz w:val="18"/>
                <w:szCs w:val="18"/>
                <w:b w:val="1"/>
                <w:bCs w:val="1"/>
                <w:color w:val="auto"/>
                <w:w w:val="94"/>
              </w:rPr>
              <w:t>Number</w:t>
            </w:r>
          </w:p>
        </w:tc>
        <w:tc>
          <w:tcPr>
            <w:tcW w:w="1180" w:type="dxa"/>
            <w:vAlign w:val="bottom"/>
          </w:tcPr>
          <w:p>
            <w:pPr>
              <w:jc w:val="center"/>
              <w:ind w:right="92"/>
              <w:spacing w:after="0"/>
              <w:rPr>
                <w:sz w:val="20"/>
                <w:szCs w:val="20"/>
                <w:color w:val="auto"/>
              </w:rPr>
            </w:pPr>
            <w:r>
              <w:rPr>
                <w:rFonts w:ascii="Arial" w:cs="Arial" w:eastAsia="Arial" w:hAnsi="Arial"/>
                <w:sz w:val="18"/>
                <w:szCs w:val="18"/>
                <w:b w:val="1"/>
                <w:bCs w:val="1"/>
                <w:color w:val="auto"/>
                <w:w w:val="84"/>
              </w:rPr>
              <w:t>Average</w:t>
            </w:r>
          </w:p>
        </w:tc>
        <w:tc>
          <w:tcPr>
            <w:tcW w:w="240" w:type="dxa"/>
            <w:vAlign w:val="bottom"/>
          </w:tcPr>
          <w:p>
            <w:pPr>
              <w:spacing w:after="0"/>
              <w:rPr>
                <w:sz w:val="24"/>
                <w:szCs w:val="24"/>
                <w:color w:val="auto"/>
              </w:rPr>
            </w:pPr>
          </w:p>
        </w:tc>
        <w:tc>
          <w:tcPr>
            <w:tcW w:w="1020" w:type="dxa"/>
            <w:vAlign w:val="bottom"/>
          </w:tcPr>
          <w:p>
            <w:pPr>
              <w:jc w:val="center"/>
              <w:ind w:left="72"/>
              <w:spacing w:after="0"/>
              <w:rPr>
                <w:sz w:val="20"/>
                <w:szCs w:val="20"/>
                <w:color w:val="auto"/>
              </w:rPr>
            </w:pPr>
            <w:r>
              <w:rPr>
                <w:rFonts w:ascii="Arial" w:cs="Arial" w:eastAsia="Arial" w:hAnsi="Arial"/>
                <w:sz w:val="18"/>
                <w:szCs w:val="18"/>
                <w:color w:val="auto"/>
                <w:w w:val="90"/>
              </w:rPr>
              <w:t>Number</w:t>
            </w:r>
          </w:p>
        </w:tc>
        <w:tc>
          <w:tcPr>
            <w:tcW w:w="1660" w:type="dxa"/>
            <w:vAlign w:val="bottom"/>
          </w:tcPr>
          <w:p>
            <w:pPr>
              <w:jc w:val="center"/>
              <w:ind w:left="312"/>
              <w:spacing w:after="0"/>
              <w:rPr>
                <w:sz w:val="20"/>
                <w:szCs w:val="20"/>
                <w:color w:val="auto"/>
              </w:rPr>
            </w:pPr>
            <w:r>
              <w:rPr>
                <w:rFonts w:ascii="Arial" w:cs="Arial" w:eastAsia="Arial" w:hAnsi="Arial"/>
                <w:sz w:val="18"/>
                <w:szCs w:val="18"/>
                <w:color w:val="auto"/>
                <w:w w:val="86"/>
              </w:rPr>
              <w:t>Average</w:t>
            </w:r>
          </w:p>
        </w:tc>
        <w:tc>
          <w:tcPr>
            <w:tcW w:w="260" w:type="dxa"/>
            <w:vAlign w:val="bottom"/>
          </w:tcPr>
          <w:p>
            <w:pPr>
              <w:spacing w:after="0"/>
              <w:rPr>
                <w:sz w:val="24"/>
                <w:szCs w:val="24"/>
                <w:color w:val="auto"/>
              </w:rPr>
            </w:pPr>
          </w:p>
        </w:tc>
        <w:tc>
          <w:tcPr>
            <w:tcW w:w="1100" w:type="dxa"/>
            <w:vAlign w:val="bottom"/>
          </w:tcPr>
          <w:p>
            <w:pPr>
              <w:jc w:val="center"/>
              <w:ind w:left="32"/>
              <w:spacing w:after="0"/>
              <w:rPr>
                <w:sz w:val="20"/>
                <w:szCs w:val="20"/>
                <w:color w:val="auto"/>
              </w:rPr>
            </w:pPr>
            <w:r>
              <w:rPr>
                <w:rFonts w:ascii="Arial" w:cs="Arial" w:eastAsia="Arial" w:hAnsi="Arial"/>
                <w:sz w:val="18"/>
                <w:szCs w:val="18"/>
                <w:color w:val="auto"/>
                <w:w w:val="90"/>
              </w:rPr>
              <w:t>Number</w:t>
            </w:r>
          </w:p>
        </w:tc>
        <w:tc>
          <w:tcPr>
            <w:tcW w:w="1720" w:type="dxa"/>
            <w:vAlign w:val="bottom"/>
          </w:tcPr>
          <w:p>
            <w:pPr>
              <w:jc w:val="center"/>
              <w:ind w:left="292"/>
              <w:spacing w:after="0"/>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900" w:type="dxa"/>
            <w:vAlign w:val="bottom"/>
          </w:tcPr>
          <w:p>
            <w:pPr>
              <w:jc w:val="center"/>
              <w:ind w:right="332"/>
              <w:spacing w:after="0"/>
              <w:rPr>
                <w:sz w:val="20"/>
                <w:szCs w:val="20"/>
                <w:color w:val="auto"/>
              </w:rPr>
            </w:pPr>
            <w:r>
              <w:rPr>
                <w:rFonts w:ascii="Arial" w:cs="Arial" w:eastAsia="Arial" w:hAnsi="Arial"/>
                <w:sz w:val="18"/>
                <w:szCs w:val="18"/>
                <w:b w:val="1"/>
                <w:bCs w:val="1"/>
                <w:color w:val="auto"/>
                <w:w w:val="93"/>
              </w:rPr>
              <w:t>of</w:t>
            </w:r>
          </w:p>
        </w:tc>
        <w:tc>
          <w:tcPr>
            <w:tcW w:w="1180" w:type="dxa"/>
            <w:vAlign w:val="bottom"/>
          </w:tcPr>
          <w:p>
            <w:pPr>
              <w:jc w:val="center"/>
              <w:ind w:right="92"/>
              <w:spacing w:after="0"/>
              <w:rPr>
                <w:sz w:val="20"/>
                <w:szCs w:val="20"/>
                <w:color w:val="auto"/>
              </w:rPr>
            </w:pPr>
            <w:r>
              <w:rPr>
                <w:rFonts w:ascii="Arial" w:cs="Arial" w:eastAsia="Arial" w:hAnsi="Arial"/>
                <w:sz w:val="18"/>
                <w:szCs w:val="18"/>
                <w:b w:val="1"/>
                <w:bCs w:val="1"/>
                <w:color w:val="auto"/>
                <w:w w:val="94"/>
              </w:rPr>
              <w:t>Award</w:t>
            </w:r>
          </w:p>
        </w:tc>
        <w:tc>
          <w:tcPr>
            <w:tcW w:w="240" w:type="dxa"/>
            <w:vAlign w:val="bottom"/>
          </w:tcPr>
          <w:p>
            <w:pPr>
              <w:spacing w:after="0"/>
              <w:rPr>
                <w:sz w:val="18"/>
                <w:szCs w:val="18"/>
                <w:color w:val="auto"/>
              </w:rPr>
            </w:pPr>
          </w:p>
        </w:tc>
        <w:tc>
          <w:tcPr>
            <w:tcW w:w="1020" w:type="dxa"/>
            <w:vAlign w:val="bottom"/>
          </w:tcPr>
          <w:p>
            <w:pPr>
              <w:jc w:val="center"/>
              <w:ind w:left="72"/>
              <w:spacing w:after="0"/>
              <w:rPr>
                <w:sz w:val="20"/>
                <w:szCs w:val="20"/>
                <w:color w:val="auto"/>
              </w:rPr>
            </w:pPr>
            <w:r>
              <w:rPr>
                <w:rFonts w:ascii="Arial" w:cs="Arial" w:eastAsia="Arial" w:hAnsi="Arial"/>
                <w:sz w:val="18"/>
                <w:szCs w:val="18"/>
                <w:color w:val="auto"/>
                <w:w w:val="92"/>
              </w:rPr>
              <w:t>of</w:t>
            </w:r>
          </w:p>
        </w:tc>
        <w:tc>
          <w:tcPr>
            <w:tcW w:w="1660" w:type="dxa"/>
            <w:vAlign w:val="bottom"/>
          </w:tcPr>
          <w:p>
            <w:pPr>
              <w:jc w:val="center"/>
              <w:ind w:left="312"/>
              <w:spacing w:after="0"/>
              <w:rPr>
                <w:sz w:val="20"/>
                <w:szCs w:val="20"/>
                <w:color w:val="auto"/>
              </w:rPr>
            </w:pPr>
            <w:r>
              <w:rPr>
                <w:rFonts w:ascii="Arial" w:cs="Arial" w:eastAsia="Arial" w:hAnsi="Arial"/>
                <w:sz w:val="18"/>
                <w:szCs w:val="18"/>
                <w:color w:val="auto"/>
                <w:w w:val="90"/>
              </w:rPr>
              <w:t>Award</w:t>
            </w:r>
          </w:p>
        </w:tc>
        <w:tc>
          <w:tcPr>
            <w:tcW w:w="260" w:type="dxa"/>
            <w:vAlign w:val="bottom"/>
          </w:tcPr>
          <w:p>
            <w:pPr>
              <w:spacing w:after="0"/>
              <w:rPr>
                <w:sz w:val="18"/>
                <w:szCs w:val="18"/>
                <w:color w:val="auto"/>
              </w:rPr>
            </w:pPr>
          </w:p>
        </w:tc>
        <w:tc>
          <w:tcPr>
            <w:tcW w:w="1100" w:type="dxa"/>
            <w:vAlign w:val="bottom"/>
          </w:tcPr>
          <w:p>
            <w:pPr>
              <w:jc w:val="center"/>
              <w:ind w:left="32"/>
              <w:spacing w:after="0"/>
              <w:rPr>
                <w:sz w:val="20"/>
                <w:szCs w:val="20"/>
                <w:color w:val="auto"/>
              </w:rPr>
            </w:pPr>
            <w:r>
              <w:rPr>
                <w:rFonts w:ascii="Arial" w:cs="Arial" w:eastAsia="Arial" w:hAnsi="Arial"/>
                <w:sz w:val="18"/>
                <w:szCs w:val="18"/>
                <w:color w:val="auto"/>
                <w:w w:val="92"/>
              </w:rPr>
              <w:t>of</w:t>
            </w:r>
          </w:p>
        </w:tc>
        <w:tc>
          <w:tcPr>
            <w:tcW w:w="1720" w:type="dxa"/>
            <w:vAlign w:val="bottom"/>
          </w:tcPr>
          <w:p>
            <w:pPr>
              <w:jc w:val="center"/>
              <w:ind w:left="292"/>
              <w:spacing w:after="0"/>
              <w:rPr>
                <w:sz w:val="20"/>
                <w:szCs w:val="20"/>
                <w:color w:val="auto"/>
              </w:rPr>
            </w:pPr>
            <w:r>
              <w:rPr>
                <w:rFonts w:ascii="Arial" w:cs="Arial" w:eastAsia="Arial" w:hAnsi="Arial"/>
                <w:sz w:val="18"/>
                <w:szCs w:val="18"/>
                <w:color w:val="auto"/>
                <w:w w:val="90"/>
              </w:rPr>
              <w:t>Award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900" w:type="dxa"/>
            <w:vAlign w:val="bottom"/>
          </w:tcPr>
          <w:p>
            <w:pPr>
              <w:jc w:val="center"/>
              <w:ind w:right="332"/>
              <w:spacing w:after="0"/>
              <w:rPr>
                <w:sz w:val="20"/>
                <w:szCs w:val="20"/>
                <w:color w:val="auto"/>
              </w:rPr>
            </w:pPr>
            <w:r>
              <w:rPr>
                <w:rFonts w:ascii="Arial" w:cs="Arial" w:eastAsia="Arial" w:hAnsi="Arial"/>
                <w:sz w:val="18"/>
                <w:szCs w:val="18"/>
                <w:b w:val="1"/>
                <w:bCs w:val="1"/>
                <w:color w:val="auto"/>
                <w:w w:val="86"/>
              </w:rPr>
              <w:t>Shares</w:t>
            </w:r>
          </w:p>
        </w:tc>
        <w:tc>
          <w:tcPr>
            <w:tcW w:w="1180" w:type="dxa"/>
            <w:vAlign w:val="bottom"/>
          </w:tcPr>
          <w:p>
            <w:pPr>
              <w:jc w:val="center"/>
              <w:ind w:right="92"/>
              <w:spacing w:after="0"/>
              <w:rPr>
                <w:sz w:val="20"/>
                <w:szCs w:val="20"/>
                <w:color w:val="auto"/>
              </w:rPr>
            </w:pPr>
            <w:r>
              <w:rPr>
                <w:rFonts w:ascii="Arial" w:cs="Arial" w:eastAsia="Arial" w:hAnsi="Arial"/>
                <w:sz w:val="18"/>
                <w:szCs w:val="18"/>
                <w:b w:val="1"/>
                <w:bCs w:val="1"/>
                <w:color w:val="auto"/>
                <w:w w:val="90"/>
              </w:rPr>
              <w:t>Price</w:t>
            </w:r>
          </w:p>
        </w:tc>
        <w:tc>
          <w:tcPr>
            <w:tcW w:w="240" w:type="dxa"/>
            <w:vAlign w:val="bottom"/>
          </w:tcPr>
          <w:p>
            <w:pPr>
              <w:spacing w:after="0"/>
              <w:rPr>
                <w:sz w:val="19"/>
                <w:szCs w:val="19"/>
                <w:color w:val="auto"/>
              </w:rPr>
            </w:pPr>
          </w:p>
        </w:tc>
        <w:tc>
          <w:tcPr>
            <w:tcW w:w="1020" w:type="dxa"/>
            <w:vAlign w:val="bottom"/>
          </w:tcPr>
          <w:p>
            <w:pPr>
              <w:jc w:val="center"/>
              <w:ind w:left="72"/>
              <w:spacing w:after="0"/>
              <w:rPr>
                <w:sz w:val="20"/>
                <w:szCs w:val="20"/>
                <w:color w:val="auto"/>
              </w:rPr>
            </w:pPr>
            <w:r>
              <w:rPr>
                <w:rFonts w:ascii="Arial" w:cs="Arial" w:eastAsia="Arial" w:hAnsi="Arial"/>
                <w:sz w:val="18"/>
                <w:szCs w:val="18"/>
                <w:color w:val="auto"/>
                <w:w w:val="80"/>
              </w:rPr>
              <w:t>Shares</w:t>
            </w:r>
          </w:p>
        </w:tc>
        <w:tc>
          <w:tcPr>
            <w:tcW w:w="1660" w:type="dxa"/>
            <w:vAlign w:val="bottom"/>
          </w:tcPr>
          <w:p>
            <w:pPr>
              <w:jc w:val="center"/>
              <w:ind w:left="332"/>
              <w:spacing w:after="0"/>
              <w:rPr>
                <w:sz w:val="20"/>
                <w:szCs w:val="20"/>
                <w:color w:val="auto"/>
              </w:rPr>
            </w:pPr>
            <w:r>
              <w:rPr>
                <w:rFonts w:ascii="Arial" w:cs="Arial" w:eastAsia="Arial" w:hAnsi="Arial"/>
                <w:sz w:val="18"/>
                <w:szCs w:val="18"/>
                <w:color w:val="auto"/>
                <w:w w:val="87"/>
              </w:rPr>
              <w:t>Price</w:t>
            </w:r>
          </w:p>
        </w:tc>
        <w:tc>
          <w:tcPr>
            <w:tcW w:w="260" w:type="dxa"/>
            <w:vAlign w:val="bottom"/>
          </w:tcPr>
          <w:p>
            <w:pPr>
              <w:spacing w:after="0"/>
              <w:rPr>
                <w:sz w:val="19"/>
                <w:szCs w:val="19"/>
                <w:color w:val="auto"/>
              </w:rPr>
            </w:pPr>
          </w:p>
        </w:tc>
        <w:tc>
          <w:tcPr>
            <w:tcW w:w="1100" w:type="dxa"/>
            <w:vAlign w:val="bottom"/>
          </w:tcPr>
          <w:p>
            <w:pPr>
              <w:jc w:val="center"/>
              <w:ind w:left="32"/>
              <w:spacing w:after="0"/>
              <w:rPr>
                <w:sz w:val="20"/>
                <w:szCs w:val="20"/>
                <w:color w:val="auto"/>
              </w:rPr>
            </w:pPr>
            <w:r>
              <w:rPr>
                <w:rFonts w:ascii="Arial" w:cs="Arial" w:eastAsia="Arial" w:hAnsi="Arial"/>
                <w:sz w:val="18"/>
                <w:szCs w:val="18"/>
                <w:color w:val="auto"/>
                <w:w w:val="80"/>
              </w:rPr>
              <w:t>Shares</w:t>
            </w:r>
          </w:p>
        </w:tc>
        <w:tc>
          <w:tcPr>
            <w:tcW w:w="1720" w:type="dxa"/>
            <w:vAlign w:val="bottom"/>
          </w:tcPr>
          <w:p>
            <w:pPr>
              <w:jc w:val="center"/>
              <w:ind w:left="312"/>
              <w:spacing w:after="0"/>
              <w:rPr>
                <w:sz w:val="20"/>
                <w:szCs w:val="20"/>
                <w:color w:val="auto"/>
              </w:rPr>
            </w:pPr>
            <w:r>
              <w:rPr>
                <w:rFonts w:ascii="Arial" w:cs="Arial" w:eastAsia="Arial" w:hAnsi="Arial"/>
                <w:sz w:val="18"/>
                <w:szCs w:val="18"/>
                <w:color w:val="auto"/>
                <w:w w:val="87"/>
              </w:rPr>
              <w:t>Price</w:t>
            </w:r>
          </w:p>
        </w:tc>
        <w:tc>
          <w:tcPr>
            <w:tcW w:w="0" w:type="dxa"/>
            <w:vAlign w:val="bottom"/>
          </w:tcPr>
          <w:p>
            <w:pPr>
              <w:spacing w:after="0"/>
              <w:rPr>
                <w:sz w:val="1"/>
                <w:szCs w:val="1"/>
                <w:color w:val="auto"/>
              </w:rPr>
            </w:pPr>
          </w:p>
        </w:tc>
      </w:tr>
      <w:tr>
        <w:trPr>
          <w:trHeight w:val="110"/>
        </w:trPr>
        <w:tc>
          <w:tcPr>
            <w:tcW w:w="2340" w:type="dxa"/>
            <w:vAlign w:val="bottom"/>
            <w:gridSpan w:val="2"/>
          </w:tcPr>
          <w:p>
            <w:pPr>
              <w:spacing w:after="0"/>
              <w:rPr>
                <w:sz w:val="9"/>
                <w:szCs w:val="9"/>
                <w:color w:val="auto"/>
              </w:rPr>
            </w:pPr>
          </w:p>
        </w:tc>
        <w:tc>
          <w:tcPr>
            <w:tcW w:w="19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60" w:type="dxa"/>
            <w:vAlign w:val="bottom"/>
            <w:gridSpan w:val="2"/>
          </w:tcPr>
          <w:p>
            <w:pPr>
              <w:spacing w:after="0"/>
              <w:rPr>
                <w:sz w:val="9"/>
                <w:szCs w:val="9"/>
                <w:color w:val="auto"/>
              </w:rPr>
            </w:pPr>
          </w:p>
        </w:tc>
        <w:tc>
          <w:tcPr>
            <w:tcW w:w="1660" w:type="dxa"/>
            <w:vAlign w:val="bottom"/>
          </w:tcPr>
          <w:p>
            <w:pPr>
              <w:spacing w:after="0"/>
              <w:rPr>
                <w:sz w:val="9"/>
                <w:szCs w:val="9"/>
                <w:color w:val="auto"/>
              </w:rPr>
            </w:pPr>
          </w:p>
        </w:tc>
        <w:tc>
          <w:tcPr>
            <w:tcW w:w="1360" w:type="dxa"/>
            <w:vAlign w:val="bottom"/>
            <w:gridSpan w:val="2"/>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20" w:type="dxa"/>
            <w:vAlign w:val="bottom"/>
            <w:tcBorders>
              <w:top w:val="single" w:sz="8" w:color="808080"/>
            </w:tcBorders>
          </w:tcPr>
          <w:p>
            <w:pPr>
              <w:spacing w:after="0"/>
              <w:rPr>
                <w:sz w:val="8"/>
                <w:szCs w:val="8"/>
                <w:color w:val="auto"/>
              </w:rPr>
            </w:pPr>
          </w:p>
        </w:tc>
        <w:tc>
          <w:tcPr>
            <w:tcW w:w="1900" w:type="dxa"/>
            <w:vAlign w:val="bottom"/>
            <w:tcBorders>
              <w:top w:val="single" w:sz="8" w:color="808080"/>
            </w:tcBorders>
          </w:tcPr>
          <w:p>
            <w:pPr>
              <w:spacing w:after="0"/>
              <w:rPr>
                <w:sz w:val="8"/>
                <w:szCs w:val="8"/>
                <w:color w:val="auto"/>
              </w:rPr>
            </w:pPr>
          </w:p>
        </w:tc>
        <w:tc>
          <w:tcPr>
            <w:tcW w:w="1180" w:type="dxa"/>
            <w:vAlign w:val="bottom"/>
            <w:tcBorders>
              <w:top w:val="single" w:sz="8" w:color="808080"/>
            </w:tcBorders>
          </w:tcPr>
          <w:p>
            <w:pPr>
              <w:spacing w:after="0"/>
              <w:rPr>
                <w:sz w:val="8"/>
                <w:szCs w:val="8"/>
                <w:color w:val="auto"/>
              </w:rPr>
            </w:pPr>
          </w:p>
        </w:tc>
        <w:tc>
          <w:tcPr>
            <w:tcW w:w="1260" w:type="dxa"/>
            <w:vAlign w:val="bottom"/>
            <w:tcBorders>
              <w:top w:val="single" w:sz="8" w:color="808080"/>
            </w:tcBorders>
            <w:gridSpan w:val="2"/>
          </w:tcPr>
          <w:p>
            <w:pPr>
              <w:spacing w:after="0"/>
              <w:rPr>
                <w:sz w:val="8"/>
                <w:szCs w:val="8"/>
                <w:color w:val="auto"/>
              </w:rPr>
            </w:pPr>
          </w:p>
        </w:tc>
        <w:tc>
          <w:tcPr>
            <w:tcW w:w="1660" w:type="dxa"/>
            <w:vAlign w:val="bottom"/>
            <w:tcBorders>
              <w:top w:val="single" w:sz="8" w:color="808080"/>
            </w:tcBorders>
          </w:tcPr>
          <w:p>
            <w:pPr>
              <w:spacing w:after="0"/>
              <w:rPr>
                <w:sz w:val="8"/>
                <w:szCs w:val="8"/>
                <w:color w:val="auto"/>
              </w:rPr>
            </w:pPr>
          </w:p>
        </w:tc>
        <w:tc>
          <w:tcPr>
            <w:tcW w:w="1360" w:type="dxa"/>
            <w:vAlign w:val="bottom"/>
            <w:tcBorders>
              <w:top w:val="single" w:sz="8" w:color="808080"/>
            </w:tcBorders>
            <w:gridSpan w:val="2"/>
          </w:tcPr>
          <w:p>
            <w:pPr>
              <w:spacing w:after="0"/>
              <w:rPr>
                <w:sz w:val="8"/>
                <w:szCs w:val="8"/>
                <w:color w:val="auto"/>
              </w:rPr>
            </w:pPr>
          </w:p>
        </w:tc>
        <w:tc>
          <w:tcPr>
            <w:tcW w:w="1720" w:type="dxa"/>
            <w:vAlign w:val="bottom"/>
            <w:tcBorders>
              <w:top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EEEEEE"/>
          </w:tcPr>
          <w:p>
            <w:pPr>
              <w:spacing w:after="0"/>
              <w:rPr>
                <w:sz w:val="20"/>
                <w:szCs w:val="20"/>
                <w:color w:val="auto"/>
              </w:rPr>
            </w:pPr>
            <w:r>
              <w:rPr>
                <w:rFonts w:ascii="Arial" w:cs="Arial" w:eastAsia="Arial" w:hAnsi="Arial"/>
                <w:sz w:val="18"/>
                <w:szCs w:val="18"/>
                <w:color w:val="auto"/>
              </w:rPr>
              <w:t>Beginning of year</w:t>
            </w:r>
          </w:p>
        </w:tc>
        <w:tc>
          <w:tcPr>
            <w:tcW w:w="1900" w:type="dxa"/>
            <w:vAlign w:val="bottom"/>
            <w:shd w:val="clear" w:color="auto" w:fill="EEEEEE"/>
          </w:tcPr>
          <w:p>
            <w:pPr>
              <w:jc w:val="right"/>
              <w:ind w:right="752"/>
              <w:spacing w:after="0"/>
              <w:rPr>
                <w:sz w:val="20"/>
                <w:szCs w:val="20"/>
                <w:color w:val="auto"/>
              </w:rPr>
            </w:pPr>
            <w:r>
              <w:rPr>
                <w:rFonts w:ascii="Arial" w:cs="Arial" w:eastAsia="Arial" w:hAnsi="Arial"/>
                <w:sz w:val="18"/>
                <w:szCs w:val="18"/>
                <w:b w:val="1"/>
                <w:bCs w:val="1"/>
                <w:color w:val="auto"/>
              </w:rPr>
              <w:t>27,625</w:t>
            </w:r>
          </w:p>
        </w:tc>
        <w:tc>
          <w:tcPr>
            <w:tcW w:w="1180" w:type="dxa"/>
            <w:vAlign w:val="bottom"/>
            <w:shd w:val="clear" w:color="auto" w:fill="EEEEEE"/>
          </w:tcPr>
          <w:p>
            <w:pPr>
              <w:jc w:val="right"/>
              <w:ind w:right="252"/>
              <w:spacing w:after="0"/>
              <w:rPr>
                <w:sz w:val="20"/>
                <w:szCs w:val="20"/>
                <w:color w:val="auto"/>
              </w:rPr>
            </w:pPr>
            <w:r>
              <w:rPr>
                <w:rFonts w:ascii="Arial" w:cs="Arial" w:eastAsia="Arial" w:hAnsi="Arial"/>
                <w:sz w:val="18"/>
                <w:szCs w:val="18"/>
                <w:b w:val="1"/>
                <w:bCs w:val="1"/>
                <w:color w:val="auto"/>
              </w:rPr>
              <w:t>$536.74</w:t>
            </w:r>
          </w:p>
        </w:tc>
        <w:tc>
          <w:tcPr>
            <w:tcW w:w="1260" w:type="dxa"/>
            <w:vAlign w:val="bottom"/>
            <w:gridSpan w:val="2"/>
            <w:shd w:val="clear" w:color="auto" w:fill="EEEEEE"/>
          </w:tcPr>
          <w:p>
            <w:pPr>
              <w:jc w:val="right"/>
              <w:ind w:right="92"/>
              <w:spacing w:after="0"/>
              <w:rPr>
                <w:sz w:val="20"/>
                <w:szCs w:val="20"/>
                <w:color w:val="auto"/>
              </w:rPr>
            </w:pPr>
            <w:r>
              <w:rPr>
                <w:rFonts w:ascii="Arial" w:cs="Arial" w:eastAsia="Arial" w:hAnsi="Arial"/>
                <w:sz w:val="18"/>
                <w:szCs w:val="18"/>
                <w:color w:val="auto"/>
              </w:rPr>
              <w:t>29,895</w:t>
            </w:r>
          </w:p>
        </w:tc>
        <w:tc>
          <w:tcPr>
            <w:tcW w:w="166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$539.25</w:t>
            </w:r>
          </w:p>
        </w:tc>
        <w:tc>
          <w:tcPr>
            <w:tcW w:w="136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30,165</w:t>
            </w:r>
          </w:p>
        </w:tc>
        <w:tc>
          <w:tcPr>
            <w:tcW w:w="172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$413.28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240"/>
              <w:spacing w:after="0"/>
              <w:rPr>
                <w:sz w:val="20"/>
                <w:szCs w:val="20"/>
                <w:color w:val="auto"/>
              </w:rPr>
            </w:pPr>
            <w:r>
              <w:rPr>
                <w:rFonts w:ascii="Arial" w:cs="Arial" w:eastAsia="Arial" w:hAnsi="Arial"/>
                <w:sz w:val="18"/>
                <w:szCs w:val="18"/>
                <w:color w:val="auto"/>
              </w:rPr>
              <w:t>Awarded</w:t>
            </w:r>
          </w:p>
        </w:tc>
        <w:tc>
          <w:tcPr>
            <w:tcW w:w="1900" w:type="dxa"/>
            <w:vAlign w:val="bottom"/>
          </w:tcPr>
          <w:p>
            <w:pPr>
              <w:jc w:val="right"/>
              <w:ind w:right="752"/>
              <w:spacing w:after="0"/>
              <w:rPr>
                <w:sz w:val="20"/>
                <w:szCs w:val="20"/>
                <w:color w:val="auto"/>
              </w:rPr>
            </w:pPr>
            <w:r>
              <w:rPr>
                <w:rFonts w:ascii="Arial" w:cs="Arial" w:eastAsia="Arial" w:hAnsi="Arial"/>
                <w:sz w:val="18"/>
                <w:szCs w:val="18"/>
                <w:b w:val="1"/>
                <w:bCs w:val="1"/>
                <w:color w:val="auto"/>
              </w:rPr>
              <w:t>15,990</w:t>
            </w:r>
          </w:p>
        </w:tc>
        <w:tc>
          <w:tcPr>
            <w:tcW w:w="1180" w:type="dxa"/>
            <w:vAlign w:val="bottom"/>
          </w:tcPr>
          <w:p>
            <w:pPr>
              <w:jc w:val="right"/>
              <w:ind w:right="252"/>
              <w:spacing w:after="0"/>
              <w:rPr>
                <w:sz w:val="20"/>
                <w:szCs w:val="20"/>
                <w:color w:val="auto"/>
              </w:rPr>
            </w:pPr>
            <w:r>
              <w:rPr>
                <w:rFonts w:ascii="Arial" w:cs="Arial" w:eastAsia="Arial" w:hAnsi="Arial"/>
                <w:sz w:val="18"/>
                <w:szCs w:val="18"/>
                <w:b w:val="1"/>
                <w:bCs w:val="1"/>
                <w:color w:val="auto"/>
              </w:rPr>
              <w:t>734.01</w:t>
            </w:r>
          </w:p>
        </w:tc>
        <w:tc>
          <w:tcPr>
            <w:tcW w:w="1260" w:type="dxa"/>
            <w:vAlign w:val="bottom"/>
            <w:gridSpan w:val="2"/>
          </w:tcPr>
          <w:p>
            <w:pPr>
              <w:jc w:val="right"/>
              <w:ind w:right="92"/>
              <w:spacing w:after="0"/>
              <w:rPr>
                <w:sz w:val="20"/>
                <w:szCs w:val="20"/>
                <w:color w:val="auto"/>
              </w:rPr>
            </w:pPr>
            <w:r>
              <w:rPr>
                <w:rFonts w:ascii="Arial" w:cs="Arial" w:eastAsia="Arial" w:hAnsi="Arial"/>
                <w:sz w:val="18"/>
                <w:szCs w:val="18"/>
                <w:color w:val="auto"/>
              </w:rPr>
              <w:t>215</w:t>
            </w:r>
          </w:p>
        </w:tc>
        <w:tc>
          <w:tcPr>
            <w:tcW w:w="1660" w:type="dxa"/>
            <w:vAlign w:val="bottom"/>
          </w:tcPr>
          <w:p>
            <w:pPr>
              <w:jc w:val="right"/>
              <w:ind w:right="252"/>
              <w:spacing w:after="0"/>
              <w:rPr>
                <w:sz w:val="20"/>
                <w:szCs w:val="20"/>
                <w:color w:val="auto"/>
              </w:rPr>
            </w:pPr>
            <w:r>
              <w:rPr>
                <w:rFonts w:ascii="Arial" w:cs="Arial" w:eastAsia="Arial" w:hAnsi="Arial"/>
                <w:sz w:val="18"/>
                <w:szCs w:val="18"/>
                <w:color w:val="auto"/>
              </w:rPr>
              <w:t>563.36</w:t>
            </w:r>
          </w:p>
        </w:tc>
        <w:tc>
          <w:tcPr>
            <w:tcW w:w="1360" w:type="dxa"/>
            <w:vAlign w:val="bottom"/>
            <w:gridSpan w:val="2"/>
          </w:tcPr>
          <w:p>
            <w:pPr>
              <w:jc w:val="right"/>
              <w:ind w:right="132"/>
              <w:spacing w:after="0"/>
              <w:rPr>
                <w:sz w:val="20"/>
                <w:szCs w:val="20"/>
                <w:color w:val="auto"/>
              </w:rPr>
            </w:pPr>
            <w:r>
              <w:rPr>
                <w:rFonts w:ascii="Arial" w:cs="Arial" w:eastAsia="Arial" w:hAnsi="Arial"/>
                <w:sz w:val="18"/>
                <w:szCs w:val="18"/>
                <w:color w:val="auto"/>
              </w:rPr>
              <w:t>16,865</w:t>
            </w:r>
          </w:p>
        </w:tc>
        <w:tc>
          <w:tcPr>
            <w:tcW w:w="1720" w:type="dxa"/>
            <w:vAlign w:val="bottom"/>
          </w:tcPr>
          <w:p>
            <w:pPr>
              <w:jc w:val="right"/>
              <w:ind w:right="252"/>
              <w:spacing w:after="0"/>
              <w:rPr>
                <w:sz w:val="20"/>
                <w:szCs w:val="20"/>
                <w:color w:val="auto"/>
              </w:rPr>
            </w:pPr>
            <w:r>
              <w:rPr>
                <w:rFonts w:ascii="Arial" w:cs="Arial" w:eastAsia="Arial" w:hAnsi="Arial"/>
                <w:sz w:val="18"/>
                <w:szCs w:val="18"/>
                <w:color w:val="auto"/>
              </w:rPr>
              <w:t>608.96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Vested</w:t>
            </w:r>
          </w:p>
        </w:tc>
        <w:tc>
          <w:tcPr>
            <w:tcW w:w="1900" w:type="dxa"/>
            <w:vAlign w:val="bottom"/>
            <w:shd w:val="clear" w:color="auto" w:fill="EEEEEE"/>
          </w:tcPr>
          <w:p>
            <w:pPr>
              <w:jc w:val="right"/>
              <w:ind w:right="692"/>
              <w:spacing w:after="0"/>
              <w:rPr>
                <w:sz w:val="20"/>
                <w:szCs w:val="20"/>
                <w:color w:val="auto"/>
              </w:rPr>
            </w:pPr>
            <w:r>
              <w:rPr>
                <w:rFonts w:ascii="Arial" w:cs="Arial" w:eastAsia="Arial" w:hAnsi="Arial"/>
                <w:sz w:val="18"/>
                <w:szCs w:val="18"/>
                <w:b w:val="1"/>
                <w:bCs w:val="1"/>
                <w:color w:val="auto"/>
              </w:rPr>
              <w:t>(12,752)</w:t>
            </w:r>
          </w:p>
        </w:tc>
        <w:tc>
          <w:tcPr>
            <w:tcW w:w="1180" w:type="dxa"/>
            <w:vAlign w:val="bottom"/>
            <w:shd w:val="clear" w:color="auto" w:fill="EEEEEE"/>
          </w:tcPr>
          <w:p>
            <w:pPr>
              <w:jc w:val="right"/>
              <w:ind w:right="252"/>
              <w:spacing w:after="0"/>
              <w:rPr>
                <w:sz w:val="20"/>
                <w:szCs w:val="20"/>
                <w:color w:val="auto"/>
              </w:rPr>
            </w:pPr>
            <w:r>
              <w:rPr>
                <w:rFonts w:ascii="Arial" w:cs="Arial" w:eastAsia="Arial" w:hAnsi="Arial"/>
                <w:sz w:val="18"/>
                <w:szCs w:val="18"/>
                <w:b w:val="1"/>
                <w:bCs w:val="1"/>
                <w:color w:val="auto"/>
              </w:rPr>
              <w:t>523.60</w:t>
            </w:r>
          </w:p>
        </w:tc>
        <w:tc>
          <w:tcPr>
            <w:tcW w:w="1260" w:type="dxa"/>
            <w:vAlign w:val="bottom"/>
            <w:gridSpan w:val="2"/>
            <w:shd w:val="clear" w:color="auto" w:fill="EEEEEE"/>
          </w:tcPr>
          <w:p>
            <w:pPr>
              <w:jc w:val="right"/>
              <w:ind w:right="52"/>
              <w:spacing w:after="0"/>
              <w:rPr>
                <w:sz w:val="20"/>
                <w:szCs w:val="20"/>
                <w:color w:val="auto"/>
              </w:rPr>
            </w:pPr>
            <w:r>
              <w:rPr>
                <w:rFonts w:ascii="Arial" w:cs="Arial" w:eastAsia="Arial" w:hAnsi="Arial"/>
                <w:sz w:val="18"/>
                <w:szCs w:val="18"/>
                <w:color w:val="auto"/>
              </w:rPr>
              <w:t>(601)</w:t>
            </w:r>
          </w:p>
        </w:tc>
        <w:tc>
          <w:tcPr>
            <w:tcW w:w="166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540.61</w:t>
            </w:r>
          </w:p>
        </w:tc>
        <w:tc>
          <w:tcPr>
            <w:tcW w:w="1360" w:type="dxa"/>
            <w:vAlign w:val="bottom"/>
            <w:gridSpan w:val="2"/>
            <w:shd w:val="clear" w:color="auto" w:fill="EEEEEE"/>
          </w:tcPr>
          <w:p>
            <w:pPr>
              <w:jc w:val="right"/>
              <w:ind w:right="72"/>
              <w:spacing w:after="0"/>
              <w:rPr>
                <w:sz w:val="20"/>
                <w:szCs w:val="20"/>
                <w:color w:val="auto"/>
              </w:rPr>
            </w:pPr>
            <w:r>
              <w:rPr>
                <w:rFonts w:ascii="Arial" w:cs="Arial" w:eastAsia="Arial" w:hAnsi="Arial"/>
                <w:sz w:val="18"/>
                <w:szCs w:val="18"/>
                <w:color w:val="auto"/>
              </w:rPr>
              <w:t>(15,200)</w:t>
            </w:r>
          </w:p>
        </w:tc>
        <w:tc>
          <w:tcPr>
            <w:tcW w:w="172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364.13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32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900" w:type="dxa"/>
            <w:vAlign w:val="bottom"/>
          </w:tcPr>
          <w:p>
            <w:pPr>
              <w:jc w:val="right"/>
              <w:ind w:right="692"/>
              <w:spacing w:after="0"/>
              <w:rPr>
                <w:sz w:val="20"/>
                <w:szCs w:val="20"/>
                <w:color w:val="auto"/>
              </w:rPr>
            </w:pPr>
            <w:r>
              <w:rPr>
                <w:rFonts w:ascii="Arial" w:cs="Arial" w:eastAsia="Arial" w:hAnsi="Arial"/>
                <w:sz w:val="18"/>
                <w:szCs w:val="18"/>
                <w:b w:val="1"/>
                <w:bCs w:val="1"/>
                <w:color w:val="auto"/>
              </w:rPr>
              <w:t>(1,018)</w:t>
            </w:r>
          </w:p>
        </w:tc>
        <w:tc>
          <w:tcPr>
            <w:tcW w:w="1180" w:type="dxa"/>
            <w:vAlign w:val="bottom"/>
          </w:tcPr>
          <w:p>
            <w:pPr>
              <w:jc w:val="right"/>
              <w:ind w:right="252"/>
              <w:spacing w:after="0"/>
              <w:rPr>
                <w:sz w:val="20"/>
                <w:szCs w:val="20"/>
                <w:color w:val="auto"/>
              </w:rPr>
            </w:pPr>
            <w:r>
              <w:rPr>
                <w:rFonts w:ascii="Arial" w:cs="Arial" w:eastAsia="Arial" w:hAnsi="Arial"/>
                <w:sz w:val="18"/>
                <w:szCs w:val="18"/>
                <w:b w:val="1"/>
                <w:bCs w:val="1"/>
                <w:color w:val="auto"/>
              </w:rPr>
              <w:t>658.44</w:t>
            </w:r>
          </w:p>
        </w:tc>
        <w:tc>
          <w:tcPr>
            <w:tcW w:w="1260" w:type="dxa"/>
            <w:vAlign w:val="bottom"/>
            <w:gridSpan w:val="2"/>
          </w:tcPr>
          <w:p>
            <w:pPr>
              <w:jc w:val="right"/>
              <w:ind w:right="52"/>
              <w:spacing w:after="0"/>
              <w:rPr>
                <w:sz w:val="20"/>
                <w:szCs w:val="20"/>
                <w:color w:val="auto"/>
              </w:rPr>
            </w:pPr>
            <w:r>
              <w:rPr>
                <w:rFonts w:ascii="Arial" w:cs="Arial" w:eastAsia="Arial" w:hAnsi="Arial"/>
                <w:sz w:val="18"/>
                <w:szCs w:val="18"/>
                <w:color w:val="auto"/>
              </w:rPr>
              <w:t>(1,884)</w:t>
            </w:r>
          </w:p>
        </w:tc>
        <w:tc>
          <w:tcPr>
            <w:tcW w:w="1660" w:type="dxa"/>
            <w:vAlign w:val="bottom"/>
          </w:tcPr>
          <w:p>
            <w:pPr>
              <w:jc w:val="right"/>
              <w:ind w:right="252"/>
              <w:spacing w:after="0"/>
              <w:rPr>
                <w:sz w:val="20"/>
                <w:szCs w:val="20"/>
                <w:color w:val="auto"/>
              </w:rPr>
            </w:pPr>
            <w:r>
              <w:rPr>
                <w:rFonts w:ascii="Arial" w:cs="Arial" w:eastAsia="Arial" w:hAnsi="Arial"/>
                <w:sz w:val="18"/>
                <w:szCs w:val="18"/>
                <w:color w:val="auto"/>
              </w:rPr>
              <w:t>578.37</w:t>
            </w:r>
          </w:p>
        </w:tc>
        <w:tc>
          <w:tcPr>
            <w:tcW w:w="1360" w:type="dxa"/>
            <w:vAlign w:val="bottom"/>
            <w:gridSpan w:val="2"/>
          </w:tcPr>
          <w:p>
            <w:pPr>
              <w:jc w:val="right"/>
              <w:ind w:right="72"/>
              <w:spacing w:after="0"/>
              <w:rPr>
                <w:sz w:val="20"/>
                <w:szCs w:val="20"/>
                <w:color w:val="auto"/>
              </w:rPr>
            </w:pPr>
            <w:r>
              <w:rPr>
                <w:rFonts w:ascii="Arial" w:cs="Arial" w:eastAsia="Arial" w:hAnsi="Arial"/>
                <w:sz w:val="18"/>
                <w:szCs w:val="18"/>
                <w:color w:val="auto"/>
              </w:rPr>
              <w:t>(1,935)</w:t>
            </w:r>
          </w:p>
        </w:tc>
        <w:tc>
          <w:tcPr>
            <w:tcW w:w="1720" w:type="dxa"/>
            <w:vAlign w:val="bottom"/>
          </w:tcPr>
          <w:p>
            <w:pPr>
              <w:jc w:val="right"/>
              <w:ind w:right="252"/>
              <w:spacing w:after="0"/>
              <w:rPr>
                <w:sz w:val="20"/>
                <w:szCs w:val="20"/>
                <w:color w:val="auto"/>
              </w:rPr>
            </w:pPr>
            <w:r>
              <w:rPr>
                <w:rFonts w:ascii="Arial" w:cs="Arial" w:eastAsia="Arial" w:hAnsi="Arial"/>
                <w:sz w:val="18"/>
                <w:szCs w:val="18"/>
                <w:color w:val="auto"/>
              </w:rPr>
              <w:t>555.02</w:t>
            </w:r>
          </w:p>
        </w:tc>
        <w:tc>
          <w:tcPr>
            <w:tcW w:w="0" w:type="dxa"/>
            <w:vAlign w:val="bottom"/>
          </w:tcPr>
          <w:p>
            <w:pPr>
              <w:spacing w:after="0"/>
              <w:rPr>
                <w:sz w:val="1"/>
                <w:szCs w:val="1"/>
                <w:color w:val="auto"/>
              </w:rPr>
            </w:pPr>
          </w:p>
        </w:tc>
      </w:tr>
      <w:tr>
        <w:trPr>
          <w:trHeight w:val="96"/>
        </w:trPr>
        <w:tc>
          <w:tcPr>
            <w:tcW w:w="2340" w:type="dxa"/>
            <w:vAlign w:val="bottom"/>
            <w:gridSpan w:val="2"/>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gridSpan w:val="2"/>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gridSpan w:val="2"/>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60" w:type="dxa"/>
            <w:vAlign w:val="bottom"/>
            <w:gridSpan w:val="2"/>
          </w:tcPr>
          <w:p>
            <w:pPr>
              <w:spacing w:after="0"/>
              <w:rPr>
                <w:sz w:val="8"/>
                <w:szCs w:val="8"/>
                <w:color w:val="auto"/>
              </w:rPr>
            </w:pPr>
          </w:p>
        </w:tc>
        <w:tc>
          <w:tcPr>
            <w:tcW w:w="1660" w:type="dxa"/>
            <w:vAlign w:val="bottom"/>
          </w:tcPr>
          <w:p>
            <w:pPr>
              <w:spacing w:after="0"/>
              <w:rPr>
                <w:sz w:val="8"/>
                <w:szCs w:val="8"/>
                <w:color w:val="auto"/>
              </w:rPr>
            </w:pPr>
          </w:p>
        </w:tc>
        <w:tc>
          <w:tcPr>
            <w:tcW w:w="1360" w:type="dxa"/>
            <w:vAlign w:val="bottom"/>
            <w:gridSpan w:val="2"/>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EEEEEE"/>
          </w:tcPr>
          <w:p>
            <w:pPr>
              <w:spacing w:after="0"/>
              <w:rPr>
                <w:sz w:val="20"/>
                <w:szCs w:val="20"/>
                <w:color w:val="auto"/>
              </w:rPr>
            </w:pPr>
            <w:r>
              <w:rPr>
                <w:rFonts w:ascii="Arial" w:cs="Arial" w:eastAsia="Arial" w:hAnsi="Arial"/>
                <w:sz w:val="18"/>
                <w:szCs w:val="18"/>
                <w:color w:val="auto"/>
              </w:rPr>
              <w:t>End of year</w:t>
            </w:r>
          </w:p>
        </w:tc>
        <w:tc>
          <w:tcPr>
            <w:tcW w:w="1900" w:type="dxa"/>
            <w:vAlign w:val="bottom"/>
            <w:shd w:val="clear" w:color="auto" w:fill="EEEEEE"/>
          </w:tcPr>
          <w:p>
            <w:pPr>
              <w:jc w:val="right"/>
              <w:ind w:right="752"/>
              <w:spacing w:after="0"/>
              <w:rPr>
                <w:sz w:val="20"/>
                <w:szCs w:val="20"/>
                <w:color w:val="auto"/>
              </w:rPr>
            </w:pPr>
            <w:r>
              <w:rPr>
                <w:rFonts w:ascii="Arial" w:cs="Arial" w:eastAsia="Arial" w:hAnsi="Arial"/>
                <w:sz w:val="18"/>
                <w:szCs w:val="18"/>
                <w:b w:val="1"/>
                <w:bCs w:val="1"/>
                <w:color w:val="auto"/>
              </w:rPr>
              <w:t>29,845</w:t>
            </w:r>
          </w:p>
        </w:tc>
        <w:tc>
          <w:tcPr>
            <w:tcW w:w="1180" w:type="dxa"/>
            <w:vAlign w:val="bottom"/>
            <w:shd w:val="clear" w:color="auto" w:fill="EEEEEE"/>
          </w:tcPr>
          <w:p>
            <w:pPr>
              <w:jc w:val="right"/>
              <w:ind w:right="252"/>
              <w:spacing w:after="0"/>
              <w:rPr>
                <w:sz w:val="20"/>
                <w:szCs w:val="20"/>
                <w:color w:val="auto"/>
              </w:rPr>
            </w:pPr>
            <w:r>
              <w:rPr>
                <w:rFonts w:ascii="Arial" w:cs="Arial" w:eastAsia="Arial" w:hAnsi="Arial"/>
                <w:sz w:val="18"/>
                <w:szCs w:val="18"/>
                <w:b w:val="1"/>
                <w:bCs w:val="1"/>
                <w:color w:val="auto"/>
              </w:rPr>
              <w:t>$643.89</w:t>
            </w:r>
          </w:p>
        </w:tc>
        <w:tc>
          <w:tcPr>
            <w:tcW w:w="1260" w:type="dxa"/>
            <w:vAlign w:val="bottom"/>
            <w:gridSpan w:val="2"/>
            <w:shd w:val="clear" w:color="auto" w:fill="EEEEEE"/>
          </w:tcPr>
          <w:p>
            <w:pPr>
              <w:jc w:val="right"/>
              <w:ind w:right="92"/>
              <w:spacing w:after="0"/>
              <w:rPr>
                <w:sz w:val="20"/>
                <w:szCs w:val="20"/>
                <w:color w:val="auto"/>
              </w:rPr>
            </w:pPr>
            <w:r>
              <w:rPr>
                <w:rFonts w:ascii="Arial" w:cs="Arial" w:eastAsia="Arial" w:hAnsi="Arial"/>
                <w:sz w:val="18"/>
                <w:szCs w:val="18"/>
                <w:color w:val="auto"/>
              </w:rPr>
              <w:t>27,625</w:t>
            </w:r>
          </w:p>
        </w:tc>
        <w:tc>
          <w:tcPr>
            <w:tcW w:w="166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$536.74</w:t>
            </w:r>
          </w:p>
        </w:tc>
        <w:tc>
          <w:tcPr>
            <w:tcW w:w="136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29,895</w:t>
            </w:r>
          </w:p>
        </w:tc>
        <w:tc>
          <w:tcPr>
            <w:tcW w:w="172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$539.25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20" w:type="dxa"/>
            <w:vAlign w:val="bottom"/>
          </w:tcPr>
          <w:p>
            <w:pPr>
              <w:spacing w:after="0"/>
              <w:rPr>
                <w:sz w:val="5"/>
                <w:szCs w:val="5"/>
                <w:color w:val="auto"/>
              </w:rPr>
            </w:pPr>
          </w:p>
        </w:tc>
        <w:tc>
          <w:tcPr>
            <w:tcW w:w="190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66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7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addition to stock awards granted under the long-term incentive compensation plan, the Company also made stock awards of 1,050 shares in 2003, 2,150 shares in 2002 and 3,300 shares in 2001.</w:t>
      </w:r>
    </w:p>
    <w:p>
      <w:pPr>
        <w:spacing w:after="0" w:line="186" w:lineRule="exact"/>
        <w:rPr>
          <w:sz w:val="20"/>
          <w:szCs w:val="20"/>
          <w:color w:val="auto"/>
        </w:rPr>
      </w:pPr>
    </w:p>
    <w:p>
      <w:pPr>
        <w:ind w:right="80"/>
        <w:spacing w:after="0" w:line="335" w:lineRule="auto"/>
        <w:rPr>
          <w:sz w:val="20"/>
          <w:szCs w:val="20"/>
          <w:color w:val="auto"/>
        </w:rPr>
      </w:pPr>
      <w:r>
        <w:rPr>
          <w:rFonts w:ascii="Arial" w:cs="Arial" w:eastAsia="Arial" w:hAnsi="Arial"/>
          <w:sz w:val="15"/>
          <w:szCs w:val="15"/>
          <w:color w:val="auto"/>
        </w:rPr>
        <w:t>For the share awards outstanding at December 28, 2003, the aforementioned restriction will lapse in 2004 for 2,732 shares, in 2005 for 16,929 shares, in 2006 for 1,588 shares, and in 2007 for 16,460 shares. Stock-based compensation costs resulting from stock awards reduced net income by $3.9 million ($0.41 per share, basic and diluted), $3.5 million ($0.37 per share, basic and diluted), and $2.6 million ($0.27 per share, basic and diluted) in 2003, 2002 and 2001, respectively.</w:t>
      </w:r>
    </w:p>
    <w:p>
      <w:pPr>
        <w:spacing w:after="0" w:line="136"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The Company’s employee stock option plan reserves 1,900,000 shares of the Company’s Class B common stock for options to be granted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The purchase price of the shares covered by an option cannot be less than the fair value on the granting date. At December 28, 2003, there were 454,350 shares reserved for issuance under the stock option plan, of which 152,475 shares were subject to options outstanding, and 301,875 shares were available for future grants.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Changes in options outstanding for the years ended December 28, 2003, December 29, 2002 and December 30, 2001, were as follows: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880" w:type="dxa"/>
            <w:vAlign w:val="bottom"/>
          </w:tcPr>
          <w:p>
            <w:pPr>
              <w:jc w:val="right"/>
              <w:ind w:right="112"/>
              <w:spacing w:after="0"/>
              <w:rPr>
                <w:sz w:val="20"/>
                <w:szCs w:val="20"/>
                <w:color w:val="auto"/>
              </w:rPr>
            </w:pPr>
            <w:r>
              <w:rPr>
                <w:rFonts w:ascii="Arial" w:cs="Arial" w:eastAsia="Arial" w:hAnsi="Arial"/>
                <w:sz w:val="18"/>
                <w:szCs w:val="18"/>
                <w:b w:val="1"/>
                <w:bCs w:val="1"/>
                <w:color w:val="auto"/>
              </w:rPr>
              <w:t>2003</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40" w:type="dxa"/>
            <w:vAlign w:val="bottom"/>
          </w:tcPr>
          <w:p>
            <w:pPr>
              <w:jc w:val="right"/>
              <w:ind w:right="1192"/>
              <w:spacing w:after="0"/>
              <w:rPr>
                <w:sz w:val="20"/>
                <w:szCs w:val="20"/>
                <w:color w:val="auto"/>
              </w:rPr>
            </w:pPr>
            <w:r>
              <w:rPr>
                <w:rFonts w:ascii="Arial" w:cs="Arial" w:eastAsia="Arial" w:hAnsi="Arial"/>
                <w:sz w:val="18"/>
                <w:szCs w:val="18"/>
                <w:color w:val="auto"/>
              </w:rPr>
              <w:t>2002</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760" w:type="dxa"/>
            <w:vAlign w:val="bottom"/>
          </w:tcPr>
          <w:p>
            <w:pPr>
              <w:jc w:val="right"/>
              <w:ind w:right="1192"/>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880" w:type="dxa"/>
            <w:vAlign w:val="bottom"/>
          </w:tcPr>
          <w:p>
            <w:pPr>
              <w:jc w:val="center"/>
              <w:ind w:right="292"/>
              <w:spacing w:after="0"/>
              <w:rPr>
                <w:sz w:val="20"/>
                <w:szCs w:val="20"/>
                <w:color w:val="auto"/>
              </w:rPr>
            </w:pPr>
            <w:r>
              <w:rPr>
                <w:rFonts w:ascii="Arial" w:cs="Arial" w:eastAsia="Arial" w:hAnsi="Arial"/>
                <w:sz w:val="18"/>
                <w:szCs w:val="18"/>
                <w:b w:val="1"/>
                <w:bCs w:val="1"/>
                <w:color w:val="auto"/>
                <w:w w:val="91"/>
              </w:rPr>
              <w:t>Number</w:t>
            </w:r>
          </w:p>
        </w:tc>
        <w:tc>
          <w:tcPr>
            <w:tcW w:w="1140" w:type="dxa"/>
            <w:vAlign w:val="bottom"/>
          </w:tcPr>
          <w:p>
            <w:pPr>
              <w:jc w:val="center"/>
              <w:ind w:right="72"/>
              <w:spacing w:after="0"/>
              <w:rPr>
                <w:sz w:val="20"/>
                <w:szCs w:val="20"/>
                <w:color w:val="auto"/>
              </w:rPr>
            </w:pPr>
            <w:r>
              <w:rPr>
                <w:rFonts w:ascii="Arial" w:cs="Arial" w:eastAsia="Arial" w:hAnsi="Arial"/>
                <w:sz w:val="18"/>
                <w:szCs w:val="18"/>
                <w:b w:val="1"/>
                <w:bCs w:val="1"/>
                <w:color w:val="auto"/>
                <w:w w:val="87"/>
              </w:rPr>
              <w:t>Average</w:t>
            </w:r>
          </w:p>
        </w:tc>
        <w:tc>
          <w:tcPr>
            <w:tcW w:w="260" w:type="dxa"/>
            <w:vAlign w:val="bottom"/>
          </w:tcPr>
          <w:p>
            <w:pPr>
              <w:spacing w:after="0"/>
              <w:rPr>
                <w:sz w:val="24"/>
                <w:szCs w:val="24"/>
                <w:color w:val="auto"/>
              </w:rPr>
            </w:pPr>
          </w:p>
        </w:tc>
        <w:tc>
          <w:tcPr>
            <w:tcW w:w="1160" w:type="dxa"/>
            <w:vAlign w:val="bottom"/>
          </w:tcPr>
          <w:p>
            <w:pPr>
              <w:jc w:val="center"/>
              <w:ind w:left="172"/>
              <w:spacing w:after="0"/>
              <w:rPr>
                <w:sz w:val="20"/>
                <w:szCs w:val="20"/>
                <w:color w:val="auto"/>
              </w:rPr>
            </w:pPr>
            <w:r>
              <w:rPr>
                <w:rFonts w:ascii="Arial" w:cs="Arial" w:eastAsia="Arial" w:hAnsi="Arial"/>
                <w:sz w:val="18"/>
                <w:szCs w:val="18"/>
                <w:color w:val="auto"/>
                <w:w w:val="90"/>
              </w:rPr>
              <w:t>Number</w:t>
            </w:r>
          </w:p>
        </w:tc>
        <w:tc>
          <w:tcPr>
            <w:tcW w:w="1740" w:type="dxa"/>
            <w:vAlign w:val="bottom"/>
          </w:tcPr>
          <w:p>
            <w:pPr>
              <w:jc w:val="center"/>
              <w:ind w:left="392"/>
              <w:spacing w:after="0"/>
              <w:rPr>
                <w:sz w:val="20"/>
                <w:szCs w:val="20"/>
                <w:color w:val="auto"/>
              </w:rPr>
            </w:pPr>
            <w:r>
              <w:rPr>
                <w:rFonts w:ascii="Arial" w:cs="Arial" w:eastAsia="Arial" w:hAnsi="Arial"/>
                <w:sz w:val="18"/>
                <w:szCs w:val="18"/>
                <w:color w:val="auto"/>
                <w:w w:val="86"/>
              </w:rPr>
              <w:t>Average</w:t>
            </w:r>
          </w:p>
        </w:tc>
        <w:tc>
          <w:tcPr>
            <w:tcW w:w="240" w:type="dxa"/>
            <w:vAlign w:val="bottom"/>
          </w:tcPr>
          <w:p>
            <w:pPr>
              <w:spacing w:after="0"/>
              <w:rPr>
                <w:sz w:val="24"/>
                <w:szCs w:val="24"/>
                <w:color w:val="auto"/>
              </w:rPr>
            </w:pPr>
          </w:p>
        </w:tc>
        <w:tc>
          <w:tcPr>
            <w:tcW w:w="1180" w:type="dxa"/>
            <w:vAlign w:val="bottom"/>
          </w:tcPr>
          <w:p>
            <w:pPr>
              <w:jc w:val="center"/>
              <w:ind w:left="92"/>
              <w:spacing w:after="0"/>
              <w:rPr>
                <w:sz w:val="20"/>
                <w:szCs w:val="20"/>
                <w:color w:val="auto"/>
              </w:rPr>
            </w:pPr>
            <w:r>
              <w:rPr>
                <w:rFonts w:ascii="Arial" w:cs="Arial" w:eastAsia="Arial" w:hAnsi="Arial"/>
                <w:sz w:val="18"/>
                <w:szCs w:val="18"/>
                <w:color w:val="auto"/>
                <w:w w:val="87"/>
              </w:rPr>
              <w:t>Number</w:t>
            </w:r>
          </w:p>
        </w:tc>
        <w:tc>
          <w:tcPr>
            <w:tcW w:w="1760" w:type="dxa"/>
            <w:vAlign w:val="bottom"/>
          </w:tcPr>
          <w:p>
            <w:pPr>
              <w:jc w:val="center"/>
              <w:ind w:left="332"/>
              <w:spacing w:after="0"/>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80" w:type="dxa"/>
            <w:vAlign w:val="bottom"/>
          </w:tcPr>
          <w:p>
            <w:pPr>
              <w:jc w:val="center"/>
              <w:ind w:right="332"/>
              <w:spacing w:after="0"/>
              <w:rPr>
                <w:sz w:val="20"/>
                <w:szCs w:val="20"/>
                <w:color w:val="auto"/>
              </w:rPr>
            </w:pPr>
            <w:r>
              <w:rPr>
                <w:rFonts w:ascii="Arial" w:cs="Arial" w:eastAsia="Arial" w:hAnsi="Arial"/>
                <w:sz w:val="18"/>
                <w:szCs w:val="18"/>
                <w:b w:val="1"/>
                <w:bCs w:val="1"/>
                <w:color w:val="auto"/>
                <w:w w:val="82"/>
              </w:rPr>
              <w:t>of</w:t>
            </w:r>
          </w:p>
        </w:tc>
        <w:tc>
          <w:tcPr>
            <w:tcW w:w="1140" w:type="dxa"/>
            <w:vAlign w:val="bottom"/>
          </w:tcPr>
          <w:p>
            <w:pPr>
              <w:jc w:val="center"/>
              <w:ind w:right="72"/>
              <w:spacing w:after="0"/>
              <w:rPr>
                <w:sz w:val="20"/>
                <w:szCs w:val="20"/>
                <w:color w:val="auto"/>
              </w:rPr>
            </w:pPr>
            <w:r>
              <w:rPr>
                <w:rFonts w:ascii="Arial" w:cs="Arial" w:eastAsia="Arial" w:hAnsi="Arial"/>
                <w:sz w:val="18"/>
                <w:szCs w:val="18"/>
                <w:b w:val="1"/>
                <w:bCs w:val="1"/>
                <w:color w:val="auto"/>
                <w:w w:val="93"/>
              </w:rPr>
              <w:t>Option</w:t>
            </w:r>
          </w:p>
        </w:tc>
        <w:tc>
          <w:tcPr>
            <w:tcW w:w="260" w:type="dxa"/>
            <w:vAlign w:val="bottom"/>
          </w:tcPr>
          <w:p>
            <w:pPr>
              <w:spacing w:after="0"/>
              <w:rPr>
                <w:sz w:val="18"/>
                <w:szCs w:val="18"/>
                <w:color w:val="auto"/>
              </w:rPr>
            </w:pPr>
          </w:p>
        </w:tc>
        <w:tc>
          <w:tcPr>
            <w:tcW w:w="1160" w:type="dxa"/>
            <w:vAlign w:val="bottom"/>
          </w:tcPr>
          <w:p>
            <w:pPr>
              <w:jc w:val="center"/>
              <w:ind w:left="172"/>
              <w:spacing w:after="0"/>
              <w:rPr>
                <w:sz w:val="20"/>
                <w:szCs w:val="20"/>
                <w:color w:val="auto"/>
              </w:rPr>
            </w:pPr>
            <w:r>
              <w:rPr>
                <w:rFonts w:ascii="Arial" w:cs="Arial" w:eastAsia="Arial" w:hAnsi="Arial"/>
                <w:sz w:val="18"/>
                <w:szCs w:val="18"/>
                <w:color w:val="auto"/>
                <w:w w:val="92"/>
              </w:rPr>
              <w:t>of</w:t>
            </w:r>
          </w:p>
        </w:tc>
        <w:tc>
          <w:tcPr>
            <w:tcW w:w="1740" w:type="dxa"/>
            <w:vAlign w:val="bottom"/>
          </w:tcPr>
          <w:p>
            <w:pPr>
              <w:jc w:val="center"/>
              <w:ind w:left="412"/>
              <w:spacing w:after="0"/>
              <w:rPr>
                <w:sz w:val="20"/>
                <w:szCs w:val="20"/>
                <w:color w:val="auto"/>
              </w:rPr>
            </w:pPr>
            <w:r>
              <w:rPr>
                <w:rFonts w:ascii="Arial" w:cs="Arial" w:eastAsia="Arial" w:hAnsi="Arial"/>
                <w:sz w:val="18"/>
                <w:szCs w:val="18"/>
                <w:color w:val="auto"/>
                <w:w w:val="90"/>
              </w:rPr>
              <w:t>Option</w:t>
            </w:r>
          </w:p>
        </w:tc>
        <w:tc>
          <w:tcPr>
            <w:tcW w:w="240" w:type="dxa"/>
            <w:vAlign w:val="bottom"/>
          </w:tcPr>
          <w:p>
            <w:pPr>
              <w:spacing w:after="0"/>
              <w:rPr>
                <w:sz w:val="18"/>
                <w:szCs w:val="18"/>
                <w:color w:val="auto"/>
              </w:rPr>
            </w:pPr>
          </w:p>
        </w:tc>
        <w:tc>
          <w:tcPr>
            <w:tcW w:w="1180" w:type="dxa"/>
            <w:vAlign w:val="bottom"/>
          </w:tcPr>
          <w:p>
            <w:pPr>
              <w:jc w:val="center"/>
              <w:ind w:left="92"/>
              <w:spacing w:after="0"/>
              <w:rPr>
                <w:sz w:val="20"/>
                <w:szCs w:val="20"/>
                <w:color w:val="auto"/>
              </w:rPr>
            </w:pPr>
            <w:r>
              <w:rPr>
                <w:rFonts w:ascii="Arial" w:cs="Arial" w:eastAsia="Arial" w:hAnsi="Arial"/>
                <w:sz w:val="18"/>
                <w:szCs w:val="18"/>
                <w:color w:val="auto"/>
              </w:rPr>
              <w:t>of</w:t>
            </w:r>
          </w:p>
        </w:tc>
        <w:tc>
          <w:tcPr>
            <w:tcW w:w="1760" w:type="dxa"/>
            <w:vAlign w:val="bottom"/>
          </w:tcPr>
          <w:p>
            <w:pPr>
              <w:jc w:val="center"/>
              <w:ind w:left="332"/>
              <w:spacing w:after="0"/>
              <w:rPr>
                <w:sz w:val="20"/>
                <w:szCs w:val="20"/>
                <w:color w:val="auto"/>
              </w:rPr>
            </w:pPr>
            <w:r>
              <w:rPr>
                <w:rFonts w:ascii="Arial" w:cs="Arial" w:eastAsia="Arial" w:hAnsi="Arial"/>
                <w:sz w:val="18"/>
                <w:szCs w:val="18"/>
                <w:color w:val="auto"/>
                <w:w w:val="94"/>
              </w:rPr>
              <w:t>Option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880" w:type="dxa"/>
            <w:vAlign w:val="bottom"/>
          </w:tcPr>
          <w:p>
            <w:pPr>
              <w:jc w:val="center"/>
              <w:ind w:right="332"/>
              <w:spacing w:after="0"/>
              <w:rPr>
                <w:sz w:val="20"/>
                <w:szCs w:val="20"/>
                <w:color w:val="auto"/>
              </w:rPr>
            </w:pPr>
            <w:r>
              <w:rPr>
                <w:rFonts w:ascii="Arial" w:cs="Arial" w:eastAsia="Arial" w:hAnsi="Arial"/>
                <w:sz w:val="18"/>
                <w:szCs w:val="18"/>
                <w:b w:val="1"/>
                <w:bCs w:val="1"/>
                <w:color w:val="auto"/>
                <w:w w:val="83"/>
              </w:rPr>
              <w:t>Shares</w:t>
            </w:r>
          </w:p>
        </w:tc>
        <w:tc>
          <w:tcPr>
            <w:tcW w:w="1140" w:type="dxa"/>
            <w:vAlign w:val="bottom"/>
          </w:tcPr>
          <w:p>
            <w:pPr>
              <w:jc w:val="center"/>
              <w:ind w:right="72"/>
              <w:spacing w:after="0"/>
              <w:rPr>
                <w:sz w:val="20"/>
                <w:szCs w:val="20"/>
                <w:color w:val="auto"/>
              </w:rPr>
            </w:pPr>
            <w:r>
              <w:rPr>
                <w:rFonts w:ascii="Arial" w:cs="Arial" w:eastAsia="Arial" w:hAnsi="Arial"/>
                <w:sz w:val="18"/>
                <w:szCs w:val="18"/>
                <w:b w:val="1"/>
                <w:bCs w:val="1"/>
                <w:color w:val="auto"/>
                <w:w w:val="86"/>
              </w:rPr>
              <w:t>Price</w:t>
            </w:r>
          </w:p>
        </w:tc>
        <w:tc>
          <w:tcPr>
            <w:tcW w:w="260" w:type="dxa"/>
            <w:vAlign w:val="bottom"/>
          </w:tcPr>
          <w:p>
            <w:pPr>
              <w:spacing w:after="0"/>
              <w:rPr>
                <w:sz w:val="19"/>
                <w:szCs w:val="19"/>
                <w:color w:val="auto"/>
              </w:rPr>
            </w:pPr>
          </w:p>
        </w:tc>
        <w:tc>
          <w:tcPr>
            <w:tcW w:w="1160" w:type="dxa"/>
            <w:vAlign w:val="bottom"/>
          </w:tcPr>
          <w:p>
            <w:pPr>
              <w:jc w:val="center"/>
              <w:ind w:left="172"/>
              <w:spacing w:after="0"/>
              <w:rPr>
                <w:sz w:val="20"/>
                <w:szCs w:val="20"/>
                <w:color w:val="auto"/>
              </w:rPr>
            </w:pPr>
            <w:r>
              <w:rPr>
                <w:rFonts w:ascii="Arial" w:cs="Arial" w:eastAsia="Arial" w:hAnsi="Arial"/>
                <w:sz w:val="18"/>
                <w:szCs w:val="18"/>
                <w:color w:val="auto"/>
                <w:w w:val="80"/>
              </w:rPr>
              <w:t>Shares</w:t>
            </w:r>
          </w:p>
        </w:tc>
        <w:tc>
          <w:tcPr>
            <w:tcW w:w="1740" w:type="dxa"/>
            <w:vAlign w:val="bottom"/>
          </w:tcPr>
          <w:p>
            <w:pPr>
              <w:jc w:val="center"/>
              <w:ind w:left="412"/>
              <w:spacing w:after="0"/>
              <w:rPr>
                <w:sz w:val="20"/>
                <w:szCs w:val="20"/>
                <w:color w:val="auto"/>
              </w:rPr>
            </w:pPr>
            <w:r>
              <w:rPr>
                <w:rFonts w:ascii="Arial" w:cs="Arial" w:eastAsia="Arial" w:hAnsi="Arial"/>
                <w:sz w:val="18"/>
                <w:szCs w:val="18"/>
                <w:color w:val="auto"/>
                <w:w w:val="87"/>
              </w:rPr>
              <w:t>Price</w:t>
            </w:r>
          </w:p>
        </w:tc>
        <w:tc>
          <w:tcPr>
            <w:tcW w:w="240" w:type="dxa"/>
            <w:vAlign w:val="bottom"/>
          </w:tcPr>
          <w:p>
            <w:pPr>
              <w:spacing w:after="0"/>
              <w:rPr>
                <w:sz w:val="19"/>
                <w:szCs w:val="19"/>
                <w:color w:val="auto"/>
              </w:rPr>
            </w:pPr>
          </w:p>
        </w:tc>
        <w:tc>
          <w:tcPr>
            <w:tcW w:w="1180" w:type="dxa"/>
            <w:vAlign w:val="bottom"/>
          </w:tcPr>
          <w:p>
            <w:pPr>
              <w:jc w:val="center"/>
              <w:ind w:left="92"/>
              <w:spacing w:after="0"/>
              <w:rPr>
                <w:sz w:val="20"/>
                <w:szCs w:val="20"/>
                <w:color w:val="auto"/>
              </w:rPr>
            </w:pPr>
            <w:r>
              <w:rPr>
                <w:rFonts w:ascii="Arial" w:cs="Arial" w:eastAsia="Arial" w:hAnsi="Arial"/>
                <w:sz w:val="18"/>
                <w:szCs w:val="18"/>
                <w:color w:val="auto"/>
                <w:w w:val="84"/>
              </w:rPr>
              <w:t>Shares</w:t>
            </w:r>
          </w:p>
        </w:tc>
        <w:tc>
          <w:tcPr>
            <w:tcW w:w="1760" w:type="dxa"/>
            <w:vAlign w:val="bottom"/>
          </w:tcPr>
          <w:p>
            <w:pPr>
              <w:jc w:val="center"/>
              <w:ind w:left="352"/>
              <w:spacing w:after="0"/>
              <w:rPr>
                <w:sz w:val="20"/>
                <w:szCs w:val="20"/>
                <w:color w:val="auto"/>
              </w:rPr>
            </w:pPr>
            <w:r>
              <w:rPr>
                <w:rFonts w:ascii="Arial" w:cs="Arial" w:eastAsia="Arial" w:hAnsi="Arial"/>
                <w:sz w:val="18"/>
                <w:szCs w:val="18"/>
                <w:color w:val="auto"/>
                <w:w w:val="87"/>
              </w:rPr>
              <w:t>Price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04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shd w:val="clear" w:color="auto" w:fill="EEEEEE"/>
          </w:tcPr>
          <w:p>
            <w:pPr>
              <w:spacing w:after="0"/>
              <w:rPr>
                <w:sz w:val="20"/>
                <w:szCs w:val="20"/>
                <w:color w:val="auto"/>
              </w:rPr>
            </w:pPr>
            <w:r>
              <w:rPr>
                <w:rFonts w:ascii="Arial" w:cs="Arial" w:eastAsia="Arial" w:hAnsi="Arial"/>
                <w:sz w:val="18"/>
                <w:szCs w:val="18"/>
                <w:color w:val="auto"/>
              </w:rPr>
              <w:t>Beginning of year</w:t>
            </w:r>
          </w:p>
        </w:tc>
        <w:tc>
          <w:tcPr>
            <w:tcW w:w="1880" w:type="dxa"/>
            <w:vAlign w:val="bottom"/>
            <w:shd w:val="clear" w:color="auto" w:fill="EEEEEE"/>
          </w:tcPr>
          <w:p>
            <w:pPr>
              <w:jc w:val="right"/>
              <w:ind w:right="732"/>
              <w:spacing w:after="0"/>
              <w:rPr>
                <w:sz w:val="20"/>
                <w:szCs w:val="20"/>
                <w:color w:val="auto"/>
              </w:rPr>
            </w:pPr>
            <w:r>
              <w:rPr>
                <w:rFonts w:ascii="Arial" w:cs="Arial" w:eastAsia="Arial" w:hAnsi="Arial"/>
                <w:sz w:val="18"/>
                <w:szCs w:val="18"/>
                <w:b w:val="1"/>
                <w:bCs w:val="1"/>
                <w:color w:val="auto"/>
              </w:rPr>
              <w:t>163,900</w:t>
            </w:r>
          </w:p>
        </w:tc>
        <w:tc>
          <w:tcPr>
            <w:tcW w:w="1140" w:type="dxa"/>
            <w:vAlign w:val="bottom"/>
            <w:shd w:val="clear" w:color="auto" w:fill="EEEEEE"/>
          </w:tcPr>
          <w:p>
            <w:pPr>
              <w:jc w:val="right"/>
              <w:ind w:right="232"/>
              <w:spacing w:after="0"/>
              <w:rPr>
                <w:sz w:val="20"/>
                <w:szCs w:val="20"/>
                <w:color w:val="auto"/>
              </w:rPr>
            </w:pPr>
            <w:r>
              <w:rPr>
                <w:rFonts w:ascii="Arial" w:cs="Arial" w:eastAsia="Arial" w:hAnsi="Arial"/>
                <w:sz w:val="18"/>
                <w:szCs w:val="18"/>
                <w:b w:val="1"/>
                <w:bCs w:val="1"/>
                <w:color w:val="auto"/>
              </w:rPr>
              <w:t>$515.74</w:t>
            </w:r>
          </w:p>
        </w:tc>
        <w:tc>
          <w:tcPr>
            <w:tcW w:w="1420" w:type="dxa"/>
            <w:vAlign w:val="bottom"/>
            <w:gridSpan w:val="2"/>
            <w:shd w:val="clear" w:color="auto" w:fill="EEEEEE"/>
          </w:tcPr>
          <w:p>
            <w:pPr>
              <w:jc w:val="right"/>
              <w:ind w:right="92"/>
              <w:spacing w:after="0"/>
              <w:rPr>
                <w:sz w:val="20"/>
                <w:szCs w:val="20"/>
                <w:color w:val="auto"/>
              </w:rPr>
            </w:pPr>
            <w:r>
              <w:rPr>
                <w:rFonts w:ascii="Arial" w:cs="Arial" w:eastAsia="Arial" w:hAnsi="Arial"/>
                <w:sz w:val="18"/>
                <w:szCs w:val="18"/>
                <w:color w:val="auto"/>
              </w:rPr>
              <w:t>170,575</w:t>
            </w:r>
          </w:p>
        </w:tc>
        <w:tc>
          <w:tcPr>
            <w:tcW w:w="174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$490.86</w:t>
            </w:r>
          </w:p>
        </w:tc>
        <w:tc>
          <w:tcPr>
            <w:tcW w:w="1420" w:type="dxa"/>
            <w:vAlign w:val="bottom"/>
            <w:gridSpan w:val="2"/>
            <w:shd w:val="clear" w:color="auto" w:fill="EEEEEE"/>
          </w:tcPr>
          <w:p>
            <w:pPr>
              <w:jc w:val="right"/>
              <w:ind w:right="92"/>
              <w:spacing w:after="0"/>
              <w:rPr>
                <w:sz w:val="20"/>
                <w:szCs w:val="20"/>
                <w:color w:val="auto"/>
              </w:rPr>
            </w:pPr>
            <w:r>
              <w:rPr>
                <w:rFonts w:ascii="Arial" w:cs="Arial" w:eastAsia="Arial" w:hAnsi="Arial"/>
                <w:sz w:val="18"/>
                <w:szCs w:val="18"/>
                <w:color w:val="auto"/>
              </w:rPr>
              <w:t>166,450</w:t>
            </w:r>
          </w:p>
        </w:tc>
        <w:tc>
          <w:tcPr>
            <w:tcW w:w="176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$465.55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ind w:left="240"/>
              <w:spacing w:after="0"/>
              <w:rPr>
                <w:sz w:val="20"/>
                <w:szCs w:val="20"/>
                <w:color w:val="auto"/>
              </w:rPr>
            </w:pPr>
            <w:r>
              <w:rPr>
                <w:rFonts w:ascii="Arial" w:cs="Arial" w:eastAsia="Arial" w:hAnsi="Arial"/>
                <w:sz w:val="18"/>
                <w:szCs w:val="18"/>
                <w:color w:val="auto"/>
              </w:rPr>
              <w:t>Granted</w:t>
            </w:r>
          </w:p>
        </w:tc>
        <w:tc>
          <w:tcPr>
            <w:tcW w:w="1880" w:type="dxa"/>
            <w:vAlign w:val="bottom"/>
          </w:tcPr>
          <w:p>
            <w:pPr>
              <w:jc w:val="right"/>
              <w:ind w:right="732"/>
              <w:spacing w:after="0"/>
              <w:rPr>
                <w:sz w:val="20"/>
                <w:szCs w:val="20"/>
                <w:color w:val="auto"/>
              </w:rPr>
            </w:pPr>
            <w:r>
              <w:rPr>
                <w:rFonts w:ascii="Arial" w:cs="Arial" w:eastAsia="Arial" w:hAnsi="Arial"/>
                <w:sz w:val="18"/>
                <w:szCs w:val="18"/>
                <w:b w:val="1"/>
                <w:bCs w:val="1"/>
                <w:color w:val="auto"/>
              </w:rPr>
              <w:t>5,000</w:t>
            </w:r>
          </w:p>
        </w:tc>
        <w:tc>
          <w:tcPr>
            <w:tcW w:w="1140" w:type="dxa"/>
            <w:vAlign w:val="bottom"/>
          </w:tcPr>
          <w:p>
            <w:pPr>
              <w:jc w:val="right"/>
              <w:ind w:right="232"/>
              <w:spacing w:after="0"/>
              <w:rPr>
                <w:sz w:val="20"/>
                <w:szCs w:val="20"/>
                <w:color w:val="auto"/>
              </w:rPr>
            </w:pPr>
            <w:r>
              <w:rPr>
                <w:rFonts w:ascii="Arial" w:cs="Arial" w:eastAsia="Arial" w:hAnsi="Arial"/>
                <w:sz w:val="18"/>
                <w:szCs w:val="18"/>
                <w:b w:val="1"/>
                <w:bCs w:val="1"/>
                <w:color w:val="auto"/>
              </w:rPr>
              <w:t>803.70</w:t>
            </w:r>
          </w:p>
        </w:tc>
        <w:tc>
          <w:tcPr>
            <w:tcW w:w="1420" w:type="dxa"/>
            <w:vAlign w:val="bottom"/>
            <w:gridSpan w:val="2"/>
          </w:tcPr>
          <w:p>
            <w:pPr>
              <w:jc w:val="right"/>
              <w:ind w:right="92"/>
              <w:spacing w:after="0"/>
              <w:rPr>
                <w:sz w:val="20"/>
                <w:szCs w:val="20"/>
                <w:color w:val="auto"/>
              </w:rPr>
            </w:pPr>
            <w:r>
              <w:rPr>
                <w:rFonts w:ascii="Arial" w:cs="Arial" w:eastAsia="Arial" w:hAnsi="Arial"/>
                <w:sz w:val="18"/>
                <w:szCs w:val="18"/>
                <w:color w:val="auto"/>
              </w:rPr>
              <w:t>11,500</w:t>
            </w:r>
          </w:p>
        </w:tc>
        <w:tc>
          <w:tcPr>
            <w:tcW w:w="1740" w:type="dxa"/>
            <w:vAlign w:val="bottom"/>
          </w:tcPr>
          <w:p>
            <w:pPr>
              <w:jc w:val="right"/>
              <w:ind w:right="252"/>
              <w:spacing w:after="0"/>
              <w:rPr>
                <w:sz w:val="20"/>
                <w:szCs w:val="20"/>
                <w:color w:val="auto"/>
              </w:rPr>
            </w:pPr>
            <w:r>
              <w:rPr>
                <w:rFonts w:ascii="Arial" w:cs="Arial" w:eastAsia="Arial" w:hAnsi="Arial"/>
                <w:sz w:val="18"/>
                <w:szCs w:val="18"/>
                <w:color w:val="auto"/>
              </w:rPr>
              <w:t>729.00</w:t>
            </w:r>
          </w:p>
        </w:tc>
        <w:tc>
          <w:tcPr>
            <w:tcW w:w="1420" w:type="dxa"/>
            <w:vAlign w:val="bottom"/>
            <w:gridSpan w:val="2"/>
          </w:tcPr>
          <w:p>
            <w:pPr>
              <w:jc w:val="right"/>
              <w:ind w:right="92"/>
              <w:spacing w:after="0"/>
              <w:rPr>
                <w:sz w:val="20"/>
                <w:szCs w:val="20"/>
                <w:color w:val="auto"/>
              </w:rPr>
            </w:pPr>
            <w:r>
              <w:rPr>
                <w:rFonts w:ascii="Arial" w:cs="Arial" w:eastAsia="Arial" w:hAnsi="Arial"/>
                <w:sz w:val="18"/>
                <w:szCs w:val="18"/>
                <w:color w:val="auto"/>
              </w:rPr>
              <w:t>24,000</w:t>
            </w:r>
          </w:p>
        </w:tc>
        <w:tc>
          <w:tcPr>
            <w:tcW w:w="1760" w:type="dxa"/>
            <w:vAlign w:val="bottom"/>
          </w:tcPr>
          <w:p>
            <w:pPr>
              <w:jc w:val="right"/>
              <w:ind w:right="252"/>
              <w:spacing w:after="0"/>
              <w:rPr>
                <w:sz w:val="20"/>
                <w:szCs w:val="20"/>
                <w:color w:val="auto"/>
              </w:rPr>
            </w:pPr>
            <w:r>
              <w:rPr>
                <w:rFonts w:ascii="Arial" w:cs="Arial" w:eastAsia="Arial" w:hAnsi="Arial"/>
                <w:sz w:val="18"/>
                <w:szCs w:val="18"/>
                <w:color w:val="auto"/>
              </w:rPr>
              <w:t>522.75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Exercised</w:t>
            </w:r>
          </w:p>
        </w:tc>
        <w:tc>
          <w:tcPr>
            <w:tcW w:w="1880" w:type="dxa"/>
            <w:vAlign w:val="bottom"/>
            <w:shd w:val="clear" w:color="auto" w:fill="EEEEEE"/>
          </w:tcPr>
          <w:p>
            <w:pPr>
              <w:jc w:val="right"/>
              <w:ind w:right="672"/>
              <w:spacing w:after="0"/>
              <w:rPr>
                <w:sz w:val="20"/>
                <w:szCs w:val="20"/>
                <w:color w:val="auto"/>
              </w:rPr>
            </w:pPr>
            <w:r>
              <w:rPr>
                <w:rFonts w:ascii="Arial" w:cs="Arial" w:eastAsia="Arial" w:hAnsi="Arial"/>
                <w:sz w:val="18"/>
                <w:szCs w:val="18"/>
                <w:b w:val="1"/>
                <w:bCs w:val="1"/>
                <w:color w:val="auto"/>
              </w:rPr>
              <w:t>(15,675)</w:t>
            </w:r>
          </w:p>
        </w:tc>
        <w:tc>
          <w:tcPr>
            <w:tcW w:w="1140" w:type="dxa"/>
            <w:vAlign w:val="bottom"/>
            <w:shd w:val="clear" w:color="auto" w:fill="EEEEEE"/>
          </w:tcPr>
          <w:p>
            <w:pPr>
              <w:jc w:val="right"/>
              <w:ind w:right="232"/>
              <w:spacing w:after="0"/>
              <w:rPr>
                <w:sz w:val="20"/>
                <w:szCs w:val="20"/>
                <w:color w:val="auto"/>
              </w:rPr>
            </w:pPr>
            <w:r>
              <w:rPr>
                <w:rFonts w:ascii="Arial" w:cs="Arial" w:eastAsia="Arial" w:hAnsi="Arial"/>
                <w:sz w:val="18"/>
                <w:szCs w:val="18"/>
                <w:b w:val="1"/>
                <w:bCs w:val="1"/>
                <w:color w:val="auto"/>
              </w:rPr>
              <w:t>450.87</w:t>
            </w:r>
          </w:p>
        </w:tc>
        <w:tc>
          <w:tcPr>
            <w:tcW w:w="1420" w:type="dxa"/>
            <w:vAlign w:val="bottom"/>
            <w:gridSpan w:val="2"/>
            <w:shd w:val="clear" w:color="auto" w:fill="EEEEEE"/>
          </w:tcPr>
          <w:p>
            <w:pPr>
              <w:jc w:val="right"/>
              <w:ind w:right="32"/>
              <w:spacing w:after="0"/>
              <w:rPr>
                <w:sz w:val="20"/>
                <w:szCs w:val="20"/>
                <w:color w:val="auto"/>
              </w:rPr>
            </w:pPr>
            <w:r>
              <w:rPr>
                <w:rFonts w:ascii="Arial" w:cs="Arial" w:eastAsia="Arial" w:hAnsi="Arial"/>
                <w:sz w:val="18"/>
                <w:szCs w:val="18"/>
                <w:color w:val="auto"/>
              </w:rPr>
              <w:t>(16,675)</w:t>
            </w:r>
          </w:p>
        </w:tc>
        <w:tc>
          <w:tcPr>
            <w:tcW w:w="174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404.14</w:t>
            </w:r>
          </w:p>
        </w:tc>
        <w:tc>
          <w:tcPr>
            <w:tcW w:w="1420" w:type="dxa"/>
            <w:vAlign w:val="bottom"/>
            <w:gridSpan w:val="2"/>
            <w:shd w:val="clear" w:color="auto" w:fill="EEEEEE"/>
          </w:tcPr>
          <w:p>
            <w:pPr>
              <w:jc w:val="right"/>
              <w:ind w:right="32"/>
              <w:spacing w:after="0"/>
              <w:rPr>
                <w:sz w:val="20"/>
                <w:szCs w:val="20"/>
                <w:color w:val="auto"/>
              </w:rPr>
            </w:pPr>
            <w:r>
              <w:rPr>
                <w:rFonts w:ascii="Arial" w:cs="Arial" w:eastAsia="Arial" w:hAnsi="Arial"/>
                <w:sz w:val="18"/>
                <w:szCs w:val="18"/>
                <w:color w:val="auto"/>
              </w:rPr>
              <w:t>(16,875)</w:t>
            </w:r>
          </w:p>
        </w:tc>
        <w:tc>
          <w:tcPr>
            <w:tcW w:w="176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276.79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04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880" w:type="dxa"/>
            <w:vAlign w:val="bottom"/>
          </w:tcPr>
          <w:p>
            <w:pPr>
              <w:jc w:val="right"/>
              <w:ind w:right="672"/>
              <w:spacing w:after="0"/>
              <w:rPr>
                <w:sz w:val="20"/>
                <w:szCs w:val="20"/>
                <w:color w:val="auto"/>
              </w:rPr>
            </w:pPr>
            <w:r>
              <w:rPr>
                <w:rFonts w:ascii="Arial" w:cs="Arial" w:eastAsia="Arial" w:hAnsi="Arial"/>
                <w:sz w:val="18"/>
                <w:szCs w:val="18"/>
                <w:b w:val="1"/>
                <w:bCs w:val="1"/>
                <w:color w:val="auto"/>
              </w:rPr>
              <w:t>(750)</w:t>
            </w:r>
          </w:p>
        </w:tc>
        <w:tc>
          <w:tcPr>
            <w:tcW w:w="1140" w:type="dxa"/>
            <w:vAlign w:val="bottom"/>
          </w:tcPr>
          <w:p>
            <w:pPr>
              <w:jc w:val="right"/>
              <w:ind w:right="232"/>
              <w:spacing w:after="0"/>
              <w:rPr>
                <w:sz w:val="20"/>
                <w:szCs w:val="20"/>
                <w:color w:val="auto"/>
              </w:rPr>
            </w:pPr>
            <w:r>
              <w:rPr>
                <w:rFonts w:ascii="Arial" w:cs="Arial" w:eastAsia="Arial" w:hAnsi="Arial"/>
                <w:sz w:val="18"/>
                <w:szCs w:val="18"/>
                <w:b w:val="1"/>
                <w:bCs w:val="1"/>
                <w:color w:val="auto"/>
              </w:rPr>
              <w:t>729.00</w:t>
            </w:r>
          </w:p>
        </w:tc>
        <w:tc>
          <w:tcPr>
            <w:tcW w:w="1420" w:type="dxa"/>
            <w:vAlign w:val="bottom"/>
            <w:gridSpan w:val="2"/>
          </w:tcPr>
          <w:p>
            <w:pPr>
              <w:jc w:val="right"/>
              <w:ind w:right="32"/>
              <w:spacing w:after="0"/>
              <w:rPr>
                <w:sz w:val="20"/>
                <w:szCs w:val="20"/>
                <w:color w:val="auto"/>
              </w:rPr>
            </w:pPr>
            <w:r>
              <w:rPr>
                <w:rFonts w:ascii="Arial" w:cs="Arial" w:eastAsia="Arial" w:hAnsi="Arial"/>
                <w:sz w:val="18"/>
                <w:szCs w:val="18"/>
                <w:color w:val="auto"/>
              </w:rPr>
              <w:t>(1,500)</w:t>
            </w:r>
          </w:p>
        </w:tc>
        <w:tc>
          <w:tcPr>
            <w:tcW w:w="1740" w:type="dxa"/>
            <w:vAlign w:val="bottom"/>
          </w:tcPr>
          <w:p>
            <w:pPr>
              <w:jc w:val="right"/>
              <w:ind w:right="252"/>
              <w:spacing w:after="0"/>
              <w:rPr>
                <w:sz w:val="20"/>
                <w:szCs w:val="20"/>
                <w:color w:val="auto"/>
              </w:rPr>
            </w:pPr>
            <w:r>
              <w:rPr>
                <w:rFonts w:ascii="Arial" w:cs="Arial" w:eastAsia="Arial" w:hAnsi="Arial"/>
                <w:sz w:val="18"/>
                <w:szCs w:val="18"/>
                <w:color w:val="auto"/>
              </w:rPr>
              <w:t>561.77</w:t>
            </w:r>
          </w:p>
        </w:tc>
        <w:tc>
          <w:tcPr>
            <w:tcW w:w="1420" w:type="dxa"/>
            <w:vAlign w:val="bottom"/>
            <w:gridSpan w:val="2"/>
          </w:tcPr>
          <w:p>
            <w:pPr>
              <w:jc w:val="right"/>
              <w:ind w:right="32"/>
              <w:spacing w:after="0"/>
              <w:rPr>
                <w:sz w:val="20"/>
                <w:szCs w:val="20"/>
                <w:color w:val="auto"/>
              </w:rPr>
            </w:pPr>
            <w:r>
              <w:rPr>
                <w:rFonts w:ascii="Arial" w:cs="Arial" w:eastAsia="Arial" w:hAnsi="Arial"/>
                <w:sz w:val="18"/>
                <w:szCs w:val="18"/>
                <w:color w:val="auto"/>
              </w:rPr>
              <w:t>(3,000)</w:t>
            </w:r>
          </w:p>
        </w:tc>
        <w:tc>
          <w:tcPr>
            <w:tcW w:w="1760" w:type="dxa"/>
            <w:vAlign w:val="bottom"/>
          </w:tcPr>
          <w:p>
            <w:pPr>
              <w:jc w:val="right"/>
              <w:ind w:right="252"/>
              <w:spacing w:after="0"/>
              <w:rPr>
                <w:sz w:val="20"/>
                <w:szCs w:val="20"/>
                <w:color w:val="auto"/>
              </w:rPr>
            </w:pPr>
            <w:r>
              <w:rPr>
                <w:rFonts w:ascii="Arial" w:cs="Arial" w:eastAsia="Arial" w:hAnsi="Arial"/>
                <w:sz w:val="18"/>
                <w:szCs w:val="18"/>
                <w:color w:val="auto"/>
              </w:rPr>
              <w:t>546.04</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88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7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1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20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shd w:val="clear" w:color="auto" w:fill="EEEEEE"/>
          </w:tcPr>
          <w:p>
            <w:pPr>
              <w:spacing w:after="0"/>
              <w:rPr>
                <w:sz w:val="20"/>
                <w:szCs w:val="20"/>
                <w:color w:val="auto"/>
              </w:rPr>
            </w:pPr>
            <w:r>
              <w:rPr>
                <w:rFonts w:ascii="Arial" w:cs="Arial" w:eastAsia="Arial" w:hAnsi="Arial"/>
                <w:sz w:val="18"/>
                <w:szCs w:val="18"/>
                <w:color w:val="auto"/>
              </w:rPr>
              <w:t>End of year</w:t>
            </w:r>
          </w:p>
        </w:tc>
        <w:tc>
          <w:tcPr>
            <w:tcW w:w="1880" w:type="dxa"/>
            <w:vAlign w:val="bottom"/>
            <w:shd w:val="clear" w:color="auto" w:fill="EEEEEE"/>
          </w:tcPr>
          <w:p>
            <w:pPr>
              <w:jc w:val="right"/>
              <w:ind w:right="732"/>
              <w:spacing w:after="0"/>
              <w:rPr>
                <w:sz w:val="20"/>
                <w:szCs w:val="20"/>
                <w:color w:val="auto"/>
              </w:rPr>
            </w:pPr>
            <w:r>
              <w:rPr>
                <w:rFonts w:ascii="Arial" w:cs="Arial" w:eastAsia="Arial" w:hAnsi="Arial"/>
                <w:sz w:val="18"/>
                <w:szCs w:val="18"/>
                <w:b w:val="1"/>
                <w:bCs w:val="1"/>
                <w:color w:val="auto"/>
              </w:rPr>
              <w:t>152,475</w:t>
            </w:r>
          </w:p>
        </w:tc>
        <w:tc>
          <w:tcPr>
            <w:tcW w:w="1140" w:type="dxa"/>
            <w:vAlign w:val="bottom"/>
            <w:shd w:val="clear" w:color="auto" w:fill="EEEEEE"/>
          </w:tcPr>
          <w:p>
            <w:pPr>
              <w:jc w:val="right"/>
              <w:ind w:right="232"/>
              <w:spacing w:after="0"/>
              <w:rPr>
                <w:sz w:val="20"/>
                <w:szCs w:val="20"/>
                <w:color w:val="auto"/>
              </w:rPr>
            </w:pPr>
            <w:r>
              <w:rPr>
                <w:rFonts w:ascii="Arial" w:cs="Arial" w:eastAsia="Arial" w:hAnsi="Arial"/>
                <w:sz w:val="18"/>
                <w:szCs w:val="18"/>
                <w:b w:val="1"/>
                <w:bCs w:val="1"/>
                <w:color w:val="auto"/>
              </w:rPr>
              <w:t>$530.81</w:t>
            </w:r>
          </w:p>
        </w:tc>
        <w:tc>
          <w:tcPr>
            <w:tcW w:w="1420" w:type="dxa"/>
            <w:vAlign w:val="bottom"/>
            <w:gridSpan w:val="2"/>
            <w:shd w:val="clear" w:color="auto" w:fill="EEEEEE"/>
          </w:tcPr>
          <w:p>
            <w:pPr>
              <w:jc w:val="right"/>
              <w:ind w:right="92"/>
              <w:spacing w:after="0"/>
              <w:rPr>
                <w:sz w:val="20"/>
                <w:szCs w:val="20"/>
                <w:color w:val="auto"/>
              </w:rPr>
            </w:pPr>
            <w:r>
              <w:rPr>
                <w:rFonts w:ascii="Arial" w:cs="Arial" w:eastAsia="Arial" w:hAnsi="Arial"/>
                <w:sz w:val="18"/>
                <w:szCs w:val="18"/>
                <w:color w:val="auto"/>
              </w:rPr>
              <w:t>163,900</w:t>
            </w:r>
          </w:p>
        </w:tc>
        <w:tc>
          <w:tcPr>
            <w:tcW w:w="174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$515.74</w:t>
            </w:r>
          </w:p>
        </w:tc>
        <w:tc>
          <w:tcPr>
            <w:tcW w:w="1420" w:type="dxa"/>
            <w:vAlign w:val="bottom"/>
            <w:gridSpan w:val="2"/>
            <w:shd w:val="clear" w:color="auto" w:fill="EEEEEE"/>
          </w:tcPr>
          <w:p>
            <w:pPr>
              <w:jc w:val="right"/>
              <w:ind w:right="92"/>
              <w:spacing w:after="0"/>
              <w:rPr>
                <w:sz w:val="20"/>
                <w:szCs w:val="20"/>
                <w:color w:val="auto"/>
              </w:rPr>
            </w:pPr>
            <w:r>
              <w:rPr>
                <w:rFonts w:ascii="Arial" w:cs="Arial" w:eastAsia="Arial" w:hAnsi="Arial"/>
                <w:sz w:val="18"/>
                <w:szCs w:val="18"/>
                <w:color w:val="auto"/>
              </w:rPr>
              <w:t>170,575</w:t>
            </w:r>
          </w:p>
        </w:tc>
        <w:tc>
          <w:tcPr>
            <w:tcW w:w="176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$490.86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88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74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7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both"/>
        <w:ind w:right="520"/>
        <w:spacing w:after="0" w:line="259" w:lineRule="auto"/>
        <w:rPr>
          <w:sz w:val="20"/>
          <w:szCs w:val="20"/>
          <w:color w:val="auto"/>
        </w:rPr>
      </w:pPr>
      <w:r>
        <w:rPr>
          <w:rFonts w:ascii="Arial" w:cs="Arial" w:eastAsia="Arial" w:hAnsi="Arial"/>
          <w:sz w:val="18"/>
          <w:szCs w:val="18"/>
          <w:color w:val="auto"/>
        </w:rPr>
        <w:t>Of the shares covered by options outstanding at the end of 2003, 111,100 are now exercisable, 26,688 will become exercisable in 2004, 9,562 will become exercisable in 2005, 3,875 will become exercisable in 2006, and 1,250 will become exercisable in 2007. Information related to stock options outstanding at December 28, 2003 is as follows: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6"/>
              </w:rPr>
              <w:t>Weighted</w:t>
            </w:r>
          </w:p>
        </w:tc>
        <w:tc>
          <w:tcPr>
            <w:tcW w:w="16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24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6"/>
              </w:rPr>
              <w:t>Average</w:t>
            </w:r>
          </w:p>
        </w:tc>
        <w:tc>
          <w:tcPr>
            <w:tcW w:w="1660" w:type="dxa"/>
            <w:vAlign w:val="bottom"/>
          </w:tcPr>
          <w:p>
            <w:pPr>
              <w:jc w:val="center"/>
              <w:spacing w:after="0"/>
              <w:rPr>
                <w:sz w:val="20"/>
                <w:szCs w:val="20"/>
                <w:color w:val="auto"/>
              </w:rPr>
            </w:pPr>
            <w:r>
              <w:rPr>
                <w:rFonts w:ascii="Arial" w:cs="Arial" w:eastAsia="Arial" w:hAnsi="Arial"/>
                <w:sz w:val="18"/>
                <w:szCs w:val="18"/>
                <w:color w:val="auto"/>
                <w:w w:val="86"/>
              </w:rPr>
              <w:t>Weighted</w:t>
            </w:r>
          </w:p>
        </w:tc>
        <w:tc>
          <w:tcPr>
            <w:tcW w:w="1880" w:type="dxa"/>
            <w:vAlign w:val="bottom"/>
          </w:tcPr>
          <w:p>
            <w:pPr>
              <w:spacing w:after="0"/>
              <w:rPr>
                <w:sz w:val="18"/>
                <w:szCs w:val="18"/>
                <w:color w:val="auto"/>
              </w:rPr>
            </w:pPr>
          </w:p>
        </w:tc>
        <w:tc>
          <w:tcPr>
            <w:tcW w:w="1580" w:type="dxa"/>
            <w:vAlign w:val="bottom"/>
          </w:tcPr>
          <w:p>
            <w:pPr>
              <w:jc w:val="center"/>
              <w:ind w:left="72"/>
              <w:spacing w:after="0"/>
              <w:rPr>
                <w:sz w:val="20"/>
                <w:szCs w:val="20"/>
                <w:color w:val="auto"/>
              </w:rPr>
            </w:pPr>
            <w:r>
              <w:rPr>
                <w:rFonts w:ascii="Arial" w:cs="Arial" w:eastAsia="Arial" w:hAnsi="Arial"/>
                <w:sz w:val="18"/>
                <w:szCs w:val="18"/>
                <w:color w:val="auto"/>
                <w:w w:val="86"/>
              </w:rPr>
              <w:t>Weighted</w:t>
            </w:r>
          </w:p>
        </w:tc>
      </w:tr>
      <w:tr>
        <w:trPr>
          <w:trHeight w:val="216"/>
        </w:trPr>
        <w:tc>
          <w:tcPr>
            <w:tcW w:w="2460" w:type="dxa"/>
            <w:vAlign w:val="bottom"/>
          </w:tcPr>
          <w:p>
            <w:pPr>
              <w:spacing w:after="0"/>
              <w:rPr>
                <w:sz w:val="18"/>
                <w:szCs w:val="18"/>
                <w:color w:val="auto"/>
              </w:rPr>
            </w:pPr>
          </w:p>
        </w:tc>
        <w:tc>
          <w:tcPr>
            <w:tcW w:w="2060" w:type="dxa"/>
            <w:vAlign w:val="bottom"/>
          </w:tcPr>
          <w:p>
            <w:pPr>
              <w:jc w:val="center"/>
              <w:ind w:left="92"/>
              <w:spacing w:after="0"/>
              <w:rPr>
                <w:sz w:val="20"/>
                <w:szCs w:val="20"/>
                <w:color w:val="auto"/>
              </w:rPr>
            </w:pPr>
            <w:r>
              <w:rPr>
                <w:rFonts w:ascii="Arial" w:cs="Arial" w:eastAsia="Arial" w:hAnsi="Arial"/>
                <w:sz w:val="18"/>
                <w:szCs w:val="18"/>
                <w:color w:val="auto"/>
                <w:w w:val="87"/>
              </w:rPr>
              <w:t>Number</w:t>
            </w:r>
          </w:p>
        </w:tc>
        <w:tc>
          <w:tcPr>
            <w:tcW w:w="1780" w:type="dxa"/>
            <w:vAlign w:val="bottom"/>
          </w:tcPr>
          <w:p>
            <w:pPr>
              <w:jc w:val="center"/>
              <w:spacing w:after="0"/>
              <w:rPr>
                <w:sz w:val="20"/>
                <w:szCs w:val="20"/>
                <w:color w:val="auto"/>
              </w:rPr>
            </w:pPr>
            <w:r>
              <w:rPr>
                <w:rFonts w:ascii="Arial" w:cs="Arial" w:eastAsia="Arial" w:hAnsi="Arial"/>
                <w:sz w:val="18"/>
                <w:szCs w:val="18"/>
                <w:color w:val="auto"/>
                <w:w w:val="90"/>
              </w:rPr>
              <w:t>Remaining</w:t>
            </w:r>
          </w:p>
        </w:tc>
        <w:tc>
          <w:tcPr>
            <w:tcW w:w="1660" w:type="dxa"/>
            <w:vAlign w:val="bottom"/>
          </w:tcPr>
          <w:p>
            <w:pPr>
              <w:jc w:val="center"/>
              <w:spacing w:after="0"/>
              <w:rPr>
                <w:sz w:val="20"/>
                <w:szCs w:val="20"/>
                <w:color w:val="auto"/>
              </w:rPr>
            </w:pPr>
            <w:r>
              <w:rPr>
                <w:rFonts w:ascii="Arial" w:cs="Arial" w:eastAsia="Arial" w:hAnsi="Arial"/>
                <w:sz w:val="18"/>
                <w:szCs w:val="18"/>
                <w:color w:val="auto"/>
                <w:w w:val="86"/>
              </w:rPr>
              <w:t>Average</w:t>
            </w:r>
          </w:p>
        </w:tc>
        <w:tc>
          <w:tcPr>
            <w:tcW w:w="1880" w:type="dxa"/>
            <w:vAlign w:val="bottom"/>
          </w:tcPr>
          <w:p>
            <w:pPr>
              <w:jc w:val="center"/>
              <w:spacing w:after="0"/>
              <w:rPr>
                <w:sz w:val="20"/>
                <w:szCs w:val="20"/>
                <w:color w:val="auto"/>
              </w:rPr>
            </w:pPr>
            <w:r>
              <w:rPr>
                <w:rFonts w:ascii="Arial" w:cs="Arial" w:eastAsia="Arial" w:hAnsi="Arial"/>
                <w:sz w:val="18"/>
                <w:szCs w:val="18"/>
                <w:color w:val="auto"/>
                <w:w w:val="87"/>
              </w:rPr>
              <w:t>Number</w:t>
            </w:r>
          </w:p>
        </w:tc>
        <w:tc>
          <w:tcPr>
            <w:tcW w:w="1580" w:type="dxa"/>
            <w:vAlign w:val="bottom"/>
          </w:tcPr>
          <w:p>
            <w:pPr>
              <w:jc w:val="center"/>
              <w:ind w:left="72"/>
              <w:spacing w:after="0"/>
              <w:rPr>
                <w:sz w:val="20"/>
                <w:szCs w:val="20"/>
                <w:color w:val="auto"/>
              </w:rPr>
            </w:pPr>
            <w:r>
              <w:rPr>
                <w:rFonts w:ascii="Arial" w:cs="Arial" w:eastAsia="Arial" w:hAnsi="Arial"/>
                <w:sz w:val="18"/>
                <w:szCs w:val="18"/>
                <w:color w:val="auto"/>
                <w:w w:val="86"/>
              </w:rPr>
              <w:t>Average</w:t>
            </w:r>
          </w:p>
        </w:tc>
      </w:tr>
      <w:tr>
        <w:trPr>
          <w:trHeight w:val="216"/>
        </w:trPr>
        <w:tc>
          <w:tcPr>
            <w:tcW w:w="2460" w:type="dxa"/>
            <w:vAlign w:val="bottom"/>
          </w:tcPr>
          <w:p>
            <w:pPr>
              <w:jc w:val="right"/>
              <w:ind w:right="812"/>
              <w:spacing w:after="0"/>
              <w:rPr>
                <w:sz w:val="20"/>
                <w:szCs w:val="20"/>
                <w:color w:val="auto"/>
              </w:rPr>
            </w:pPr>
            <w:r>
              <w:rPr>
                <w:rFonts w:ascii="Arial" w:cs="Arial" w:eastAsia="Arial" w:hAnsi="Arial"/>
                <w:sz w:val="18"/>
                <w:szCs w:val="18"/>
                <w:color w:val="auto"/>
              </w:rPr>
              <w:t>Range of</w:t>
            </w:r>
          </w:p>
        </w:tc>
        <w:tc>
          <w:tcPr>
            <w:tcW w:w="2060" w:type="dxa"/>
            <w:vAlign w:val="bottom"/>
          </w:tcPr>
          <w:p>
            <w:pPr>
              <w:jc w:val="center"/>
              <w:ind w:left="92"/>
              <w:spacing w:after="0"/>
              <w:rPr>
                <w:sz w:val="20"/>
                <w:szCs w:val="20"/>
                <w:color w:val="auto"/>
              </w:rPr>
            </w:pPr>
            <w:r>
              <w:rPr>
                <w:rFonts w:ascii="Arial" w:cs="Arial" w:eastAsia="Arial" w:hAnsi="Arial"/>
                <w:sz w:val="18"/>
                <w:szCs w:val="18"/>
                <w:color w:val="auto"/>
                <w:w w:val="86"/>
              </w:rPr>
              <w:t>Outstanding</w:t>
            </w: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Contractual</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Exercise</w:t>
            </w: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Exercisable</w:t>
            </w:r>
          </w:p>
        </w:tc>
        <w:tc>
          <w:tcPr>
            <w:tcW w:w="1580" w:type="dxa"/>
            <w:vAlign w:val="bottom"/>
          </w:tcPr>
          <w:p>
            <w:pPr>
              <w:jc w:val="center"/>
              <w:ind w:left="52"/>
              <w:spacing w:after="0"/>
              <w:rPr>
                <w:sz w:val="20"/>
                <w:szCs w:val="20"/>
                <w:color w:val="auto"/>
              </w:rPr>
            </w:pPr>
            <w:r>
              <w:rPr>
                <w:rFonts w:ascii="Arial" w:cs="Arial" w:eastAsia="Arial" w:hAnsi="Arial"/>
                <w:sz w:val="18"/>
                <w:szCs w:val="18"/>
                <w:color w:val="auto"/>
                <w:w w:val="86"/>
              </w:rPr>
              <w:t>Exercise</w:t>
            </w:r>
          </w:p>
        </w:tc>
      </w:tr>
      <w:tr>
        <w:trPr>
          <w:trHeight w:val="222"/>
        </w:trPr>
        <w:tc>
          <w:tcPr>
            <w:tcW w:w="2460" w:type="dxa"/>
            <w:vAlign w:val="bottom"/>
          </w:tcPr>
          <w:p>
            <w:pPr>
              <w:jc w:val="right"/>
              <w:ind w:right="592"/>
              <w:spacing w:after="0"/>
              <w:rPr>
                <w:sz w:val="20"/>
                <w:szCs w:val="20"/>
                <w:color w:val="auto"/>
              </w:rPr>
            </w:pPr>
            <w:r>
              <w:rPr>
                <w:rFonts w:ascii="Arial" w:cs="Arial" w:eastAsia="Arial" w:hAnsi="Arial"/>
                <w:sz w:val="18"/>
                <w:szCs w:val="18"/>
                <w:color w:val="auto"/>
              </w:rPr>
              <w:t>Exercise Prices</w:t>
            </w:r>
          </w:p>
        </w:tc>
        <w:tc>
          <w:tcPr>
            <w:tcW w:w="2060" w:type="dxa"/>
            <w:vAlign w:val="bottom"/>
          </w:tcPr>
          <w:p>
            <w:pPr>
              <w:jc w:val="center"/>
              <w:ind w:left="92"/>
              <w:spacing w:after="0"/>
              <w:rPr>
                <w:sz w:val="20"/>
                <w:szCs w:val="20"/>
                <w:color w:val="auto"/>
              </w:rPr>
            </w:pPr>
            <w:r>
              <w:rPr>
                <w:rFonts w:ascii="Arial" w:cs="Arial" w:eastAsia="Arial" w:hAnsi="Arial"/>
                <w:sz w:val="18"/>
                <w:szCs w:val="18"/>
                <w:color w:val="auto"/>
                <w:w w:val="88"/>
              </w:rPr>
              <w:t>at 12/28/03</w:t>
            </w:r>
          </w:p>
        </w:tc>
        <w:tc>
          <w:tcPr>
            <w:tcW w:w="1780" w:type="dxa"/>
            <w:vAlign w:val="bottom"/>
          </w:tcPr>
          <w:p>
            <w:pPr>
              <w:jc w:val="center"/>
              <w:spacing w:after="0"/>
              <w:rPr>
                <w:sz w:val="20"/>
                <w:szCs w:val="20"/>
                <w:color w:val="auto"/>
              </w:rPr>
            </w:pPr>
            <w:r>
              <w:rPr>
                <w:rFonts w:ascii="Arial" w:cs="Arial" w:eastAsia="Arial" w:hAnsi="Arial"/>
                <w:sz w:val="18"/>
                <w:szCs w:val="18"/>
                <w:color w:val="auto"/>
                <w:w w:val="93"/>
              </w:rPr>
              <w:t>Life (yrs.)</w:t>
            </w:r>
          </w:p>
        </w:tc>
        <w:tc>
          <w:tcPr>
            <w:tcW w:w="1660" w:type="dxa"/>
            <w:vAlign w:val="bottom"/>
          </w:tcPr>
          <w:p>
            <w:pPr>
              <w:jc w:val="center"/>
              <w:spacing w:after="0"/>
              <w:rPr>
                <w:sz w:val="20"/>
                <w:szCs w:val="20"/>
                <w:color w:val="auto"/>
              </w:rPr>
            </w:pPr>
            <w:r>
              <w:rPr>
                <w:rFonts w:ascii="Arial" w:cs="Arial" w:eastAsia="Arial" w:hAnsi="Arial"/>
                <w:sz w:val="18"/>
                <w:szCs w:val="18"/>
                <w:color w:val="auto"/>
                <w:w w:val="87"/>
              </w:rPr>
              <w:t>Price</w:t>
            </w: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at 12/28/03</w:t>
            </w:r>
          </w:p>
        </w:tc>
        <w:tc>
          <w:tcPr>
            <w:tcW w:w="1580" w:type="dxa"/>
            <w:vAlign w:val="bottom"/>
          </w:tcPr>
          <w:p>
            <w:pPr>
              <w:jc w:val="center"/>
              <w:ind w:left="52"/>
              <w:spacing w:after="0"/>
              <w:rPr>
                <w:sz w:val="20"/>
                <w:szCs w:val="20"/>
                <w:color w:val="auto"/>
              </w:rPr>
            </w:pPr>
            <w:r>
              <w:rPr>
                <w:rFonts w:ascii="Arial" w:cs="Arial" w:eastAsia="Arial" w:hAnsi="Arial"/>
                <w:sz w:val="18"/>
                <w:szCs w:val="18"/>
                <w:color w:val="auto"/>
                <w:w w:val="87"/>
              </w:rPr>
              <w:t>Price</w:t>
            </w:r>
          </w:p>
        </w:tc>
      </w:tr>
      <w:tr>
        <w:trPr>
          <w:trHeight w:val="110"/>
        </w:trPr>
        <w:tc>
          <w:tcPr>
            <w:tcW w:w="2460" w:type="dxa"/>
            <w:vAlign w:val="bottom"/>
            <w:tcBorders>
              <w:bottom w:val="single" w:sz="8" w:color="808080"/>
            </w:tcBorders>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r>
      <w:tr>
        <w:trPr>
          <w:trHeight w:val="102"/>
        </w:trPr>
        <w:tc>
          <w:tcPr>
            <w:tcW w:w="246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580" w:type="dxa"/>
            <w:vAlign w:val="bottom"/>
          </w:tcPr>
          <w:p>
            <w:pPr>
              <w:spacing w:after="0"/>
              <w:rPr>
                <w:sz w:val="8"/>
                <w:szCs w:val="8"/>
                <w:color w:val="auto"/>
              </w:rPr>
            </w:pPr>
          </w:p>
        </w:tc>
      </w:tr>
      <w:tr>
        <w:trPr>
          <w:trHeight w:val="216"/>
        </w:trPr>
        <w:tc>
          <w:tcPr>
            <w:tcW w:w="2460" w:type="dxa"/>
            <w:vAlign w:val="bottom"/>
            <w:shd w:val="clear" w:color="auto" w:fill="EEEEEE"/>
          </w:tcPr>
          <w:p>
            <w:pPr>
              <w:jc w:val="right"/>
              <w:ind w:right="792"/>
              <w:spacing w:after="0"/>
              <w:rPr>
                <w:sz w:val="20"/>
                <w:szCs w:val="20"/>
                <w:color w:val="auto"/>
              </w:rPr>
            </w:pPr>
            <w:r>
              <w:rPr>
                <w:rFonts w:ascii="Arial" w:cs="Arial" w:eastAsia="Arial" w:hAnsi="Arial"/>
                <w:sz w:val="18"/>
                <w:szCs w:val="18"/>
                <w:color w:val="auto"/>
              </w:rPr>
              <w:t>$222–299</w:t>
            </w:r>
          </w:p>
        </w:tc>
        <w:tc>
          <w:tcPr>
            <w:tcW w:w="2060" w:type="dxa"/>
            <w:vAlign w:val="bottom"/>
            <w:shd w:val="clear" w:color="auto" w:fill="EEEEEE"/>
          </w:tcPr>
          <w:p>
            <w:pPr>
              <w:jc w:val="right"/>
              <w:ind w:right="512"/>
              <w:spacing w:after="0"/>
              <w:rPr>
                <w:sz w:val="20"/>
                <w:szCs w:val="20"/>
                <w:color w:val="auto"/>
              </w:rPr>
            </w:pPr>
            <w:r>
              <w:rPr>
                <w:rFonts w:ascii="Arial" w:cs="Arial" w:eastAsia="Arial" w:hAnsi="Arial"/>
                <w:sz w:val="18"/>
                <w:szCs w:val="18"/>
                <w:color w:val="auto"/>
              </w:rPr>
              <w:t>6,500</w:t>
            </w:r>
          </w:p>
        </w:tc>
        <w:tc>
          <w:tcPr>
            <w:tcW w:w="1780" w:type="dxa"/>
            <w:vAlign w:val="bottom"/>
            <w:shd w:val="clear" w:color="auto" w:fill="EEEEEE"/>
          </w:tcPr>
          <w:p>
            <w:pPr>
              <w:jc w:val="right"/>
              <w:ind w:right="592"/>
              <w:spacing w:after="0"/>
              <w:rPr>
                <w:sz w:val="20"/>
                <w:szCs w:val="20"/>
                <w:color w:val="auto"/>
              </w:rPr>
            </w:pPr>
            <w:r>
              <w:rPr>
                <w:rFonts w:ascii="Arial" w:cs="Arial" w:eastAsia="Arial" w:hAnsi="Arial"/>
                <w:sz w:val="18"/>
                <w:szCs w:val="18"/>
                <w:color w:val="auto"/>
              </w:rPr>
              <w:t>1.4</w:t>
            </w:r>
          </w:p>
        </w:tc>
        <w:tc>
          <w:tcPr>
            <w:tcW w:w="1660" w:type="dxa"/>
            <w:vAlign w:val="bottom"/>
            <w:shd w:val="clear" w:color="auto" w:fill="EEEEEE"/>
          </w:tcPr>
          <w:p>
            <w:pPr>
              <w:jc w:val="right"/>
              <w:ind w:right="512"/>
              <w:spacing w:after="0"/>
              <w:rPr>
                <w:sz w:val="20"/>
                <w:szCs w:val="20"/>
                <w:color w:val="auto"/>
              </w:rPr>
            </w:pPr>
            <w:r>
              <w:rPr>
                <w:rFonts w:ascii="Arial" w:cs="Arial" w:eastAsia="Arial" w:hAnsi="Arial"/>
                <w:sz w:val="18"/>
                <w:szCs w:val="18"/>
                <w:color w:val="auto"/>
              </w:rPr>
              <w:t>$263.83</w:t>
            </w:r>
          </w:p>
        </w:tc>
        <w:tc>
          <w:tcPr>
            <w:tcW w:w="188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6,500</w:t>
            </w:r>
          </w:p>
        </w:tc>
        <w:tc>
          <w:tcPr>
            <w:tcW w:w="1580" w:type="dxa"/>
            <w:vAlign w:val="bottom"/>
            <w:shd w:val="clear" w:color="auto" w:fill="EEEEEE"/>
          </w:tcPr>
          <w:p>
            <w:pPr>
              <w:jc w:val="right"/>
              <w:ind w:right="392"/>
              <w:spacing w:after="0"/>
              <w:rPr>
                <w:sz w:val="20"/>
                <w:szCs w:val="20"/>
                <w:color w:val="auto"/>
              </w:rPr>
            </w:pPr>
            <w:r>
              <w:rPr>
                <w:rFonts w:ascii="Arial" w:cs="Arial" w:eastAsia="Arial" w:hAnsi="Arial"/>
                <w:sz w:val="18"/>
                <w:szCs w:val="18"/>
                <w:color w:val="auto"/>
              </w:rPr>
              <w:t>$263.83</w:t>
            </w:r>
          </w:p>
        </w:tc>
      </w:tr>
      <w:tr>
        <w:trPr>
          <w:trHeight w:val="216"/>
        </w:trPr>
        <w:tc>
          <w:tcPr>
            <w:tcW w:w="2460" w:type="dxa"/>
            <w:vAlign w:val="bottom"/>
          </w:tcPr>
          <w:p>
            <w:pPr>
              <w:jc w:val="right"/>
              <w:ind w:right="792"/>
              <w:spacing w:after="0"/>
              <w:rPr>
                <w:sz w:val="20"/>
                <w:szCs w:val="20"/>
                <w:color w:val="auto"/>
              </w:rPr>
            </w:pPr>
            <w:r>
              <w:rPr>
                <w:rFonts w:ascii="Arial" w:cs="Arial" w:eastAsia="Arial" w:hAnsi="Arial"/>
                <w:sz w:val="18"/>
                <w:szCs w:val="18"/>
                <w:color w:val="auto"/>
              </w:rPr>
              <w:t>344</w:t>
            </w:r>
          </w:p>
        </w:tc>
        <w:tc>
          <w:tcPr>
            <w:tcW w:w="2060" w:type="dxa"/>
            <w:vAlign w:val="bottom"/>
          </w:tcPr>
          <w:p>
            <w:pPr>
              <w:jc w:val="right"/>
              <w:ind w:right="512"/>
              <w:spacing w:after="0"/>
              <w:rPr>
                <w:sz w:val="20"/>
                <w:szCs w:val="20"/>
                <w:color w:val="auto"/>
              </w:rPr>
            </w:pPr>
            <w:r>
              <w:rPr>
                <w:rFonts w:ascii="Arial" w:cs="Arial" w:eastAsia="Arial" w:hAnsi="Arial"/>
                <w:sz w:val="18"/>
                <w:szCs w:val="18"/>
                <w:color w:val="auto"/>
              </w:rPr>
              <w:t>7,600</w:t>
            </w:r>
          </w:p>
        </w:tc>
        <w:tc>
          <w:tcPr>
            <w:tcW w:w="1780" w:type="dxa"/>
            <w:vAlign w:val="bottom"/>
          </w:tcPr>
          <w:p>
            <w:pPr>
              <w:jc w:val="right"/>
              <w:ind w:right="592"/>
              <w:spacing w:after="0"/>
              <w:rPr>
                <w:sz w:val="20"/>
                <w:szCs w:val="20"/>
                <w:color w:val="auto"/>
              </w:rPr>
            </w:pPr>
            <w:r>
              <w:rPr>
                <w:rFonts w:ascii="Arial" w:cs="Arial" w:eastAsia="Arial" w:hAnsi="Arial"/>
                <w:sz w:val="18"/>
                <w:szCs w:val="18"/>
                <w:color w:val="auto"/>
              </w:rPr>
              <w:t>3.0</w:t>
            </w:r>
          </w:p>
        </w:tc>
        <w:tc>
          <w:tcPr>
            <w:tcW w:w="1660" w:type="dxa"/>
            <w:vAlign w:val="bottom"/>
          </w:tcPr>
          <w:p>
            <w:pPr>
              <w:jc w:val="right"/>
              <w:ind w:right="512"/>
              <w:spacing w:after="0"/>
              <w:rPr>
                <w:sz w:val="20"/>
                <w:szCs w:val="20"/>
                <w:color w:val="auto"/>
              </w:rPr>
            </w:pPr>
            <w:r>
              <w:rPr>
                <w:rFonts w:ascii="Arial" w:cs="Arial" w:eastAsia="Arial" w:hAnsi="Arial"/>
                <w:sz w:val="18"/>
                <w:szCs w:val="18"/>
                <w:color w:val="auto"/>
              </w:rPr>
              <w:t>343.94</w:t>
            </w:r>
          </w:p>
        </w:tc>
        <w:tc>
          <w:tcPr>
            <w:tcW w:w="1880" w:type="dxa"/>
            <w:vAlign w:val="bottom"/>
          </w:tcPr>
          <w:p>
            <w:pPr>
              <w:jc w:val="right"/>
              <w:ind w:right="552"/>
              <w:spacing w:after="0"/>
              <w:rPr>
                <w:sz w:val="20"/>
                <w:szCs w:val="20"/>
                <w:color w:val="auto"/>
              </w:rPr>
            </w:pPr>
            <w:r>
              <w:rPr>
                <w:rFonts w:ascii="Arial" w:cs="Arial" w:eastAsia="Arial" w:hAnsi="Arial"/>
                <w:sz w:val="18"/>
                <w:szCs w:val="18"/>
                <w:color w:val="auto"/>
              </w:rPr>
              <w:t>7,600</w:t>
            </w:r>
          </w:p>
        </w:tc>
        <w:tc>
          <w:tcPr>
            <w:tcW w:w="1580" w:type="dxa"/>
            <w:vAlign w:val="bottom"/>
          </w:tcPr>
          <w:p>
            <w:pPr>
              <w:jc w:val="right"/>
              <w:ind w:right="392"/>
              <w:spacing w:after="0"/>
              <w:rPr>
                <w:sz w:val="20"/>
                <w:szCs w:val="20"/>
                <w:color w:val="auto"/>
              </w:rPr>
            </w:pPr>
            <w:r>
              <w:rPr>
                <w:rFonts w:ascii="Arial" w:cs="Arial" w:eastAsia="Arial" w:hAnsi="Arial"/>
                <w:sz w:val="18"/>
                <w:szCs w:val="18"/>
                <w:color w:val="auto"/>
              </w:rPr>
              <w:t>343.94</w:t>
            </w:r>
          </w:p>
        </w:tc>
      </w:tr>
      <w:tr>
        <w:trPr>
          <w:trHeight w:val="216"/>
        </w:trPr>
        <w:tc>
          <w:tcPr>
            <w:tcW w:w="2460" w:type="dxa"/>
            <w:vAlign w:val="bottom"/>
            <w:shd w:val="clear" w:color="auto" w:fill="EEEEEE"/>
          </w:tcPr>
          <w:p>
            <w:pPr>
              <w:jc w:val="right"/>
              <w:ind w:right="792"/>
              <w:spacing w:after="0"/>
              <w:rPr>
                <w:sz w:val="20"/>
                <w:szCs w:val="20"/>
                <w:color w:val="auto"/>
              </w:rPr>
            </w:pPr>
            <w:r>
              <w:rPr>
                <w:rFonts w:ascii="Arial" w:cs="Arial" w:eastAsia="Arial" w:hAnsi="Arial"/>
                <w:sz w:val="18"/>
                <w:szCs w:val="18"/>
                <w:color w:val="auto"/>
              </w:rPr>
              <w:t>472–484</w:t>
            </w:r>
          </w:p>
        </w:tc>
        <w:tc>
          <w:tcPr>
            <w:tcW w:w="2060" w:type="dxa"/>
            <w:vAlign w:val="bottom"/>
            <w:shd w:val="clear" w:color="auto" w:fill="EEEEEE"/>
          </w:tcPr>
          <w:p>
            <w:pPr>
              <w:jc w:val="right"/>
              <w:ind w:right="512"/>
              <w:spacing w:after="0"/>
              <w:rPr>
                <w:sz w:val="20"/>
                <w:szCs w:val="20"/>
                <w:color w:val="auto"/>
              </w:rPr>
            </w:pPr>
            <w:r>
              <w:rPr>
                <w:rFonts w:ascii="Arial" w:cs="Arial" w:eastAsia="Arial" w:hAnsi="Arial"/>
                <w:sz w:val="18"/>
                <w:szCs w:val="18"/>
                <w:color w:val="auto"/>
              </w:rPr>
              <w:t>20,000</w:t>
            </w:r>
          </w:p>
        </w:tc>
        <w:tc>
          <w:tcPr>
            <w:tcW w:w="1780" w:type="dxa"/>
            <w:vAlign w:val="bottom"/>
            <w:shd w:val="clear" w:color="auto" w:fill="EEEEEE"/>
          </w:tcPr>
          <w:p>
            <w:pPr>
              <w:jc w:val="right"/>
              <w:ind w:right="592"/>
              <w:spacing w:after="0"/>
              <w:rPr>
                <w:sz w:val="20"/>
                <w:szCs w:val="20"/>
                <w:color w:val="auto"/>
              </w:rPr>
            </w:pPr>
            <w:r>
              <w:rPr>
                <w:rFonts w:ascii="Arial" w:cs="Arial" w:eastAsia="Arial" w:hAnsi="Arial"/>
                <w:sz w:val="18"/>
                <w:szCs w:val="18"/>
                <w:color w:val="auto"/>
              </w:rPr>
              <w:t>4.8</w:t>
            </w:r>
          </w:p>
        </w:tc>
        <w:tc>
          <w:tcPr>
            <w:tcW w:w="1660" w:type="dxa"/>
            <w:vAlign w:val="bottom"/>
            <w:shd w:val="clear" w:color="auto" w:fill="EEEEEE"/>
          </w:tcPr>
          <w:p>
            <w:pPr>
              <w:jc w:val="right"/>
              <w:ind w:right="512"/>
              <w:spacing w:after="0"/>
              <w:rPr>
                <w:sz w:val="20"/>
                <w:szCs w:val="20"/>
                <w:color w:val="auto"/>
              </w:rPr>
            </w:pPr>
            <w:r>
              <w:rPr>
                <w:rFonts w:ascii="Arial" w:cs="Arial" w:eastAsia="Arial" w:hAnsi="Arial"/>
                <w:sz w:val="18"/>
                <w:szCs w:val="18"/>
                <w:color w:val="auto"/>
              </w:rPr>
              <w:t>474.47</w:t>
            </w:r>
          </w:p>
        </w:tc>
        <w:tc>
          <w:tcPr>
            <w:tcW w:w="188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18,594</w:t>
            </w:r>
          </w:p>
        </w:tc>
        <w:tc>
          <w:tcPr>
            <w:tcW w:w="1580" w:type="dxa"/>
            <w:vAlign w:val="bottom"/>
            <w:shd w:val="clear" w:color="auto" w:fill="EEEEEE"/>
          </w:tcPr>
          <w:p>
            <w:pPr>
              <w:jc w:val="right"/>
              <w:ind w:right="392"/>
              <w:spacing w:after="0"/>
              <w:rPr>
                <w:sz w:val="20"/>
                <w:szCs w:val="20"/>
                <w:color w:val="auto"/>
              </w:rPr>
            </w:pPr>
            <w:r>
              <w:rPr>
                <w:rFonts w:ascii="Arial" w:cs="Arial" w:eastAsia="Arial" w:hAnsi="Arial"/>
                <w:sz w:val="18"/>
                <w:szCs w:val="18"/>
                <w:color w:val="auto"/>
              </w:rPr>
              <w:t>473.99</w:t>
            </w:r>
          </w:p>
        </w:tc>
      </w:tr>
      <w:tr>
        <w:trPr>
          <w:trHeight w:val="216"/>
        </w:trPr>
        <w:tc>
          <w:tcPr>
            <w:tcW w:w="2460" w:type="dxa"/>
            <w:vAlign w:val="bottom"/>
          </w:tcPr>
          <w:p>
            <w:pPr>
              <w:jc w:val="right"/>
              <w:ind w:right="792"/>
              <w:spacing w:after="0"/>
              <w:rPr>
                <w:sz w:val="20"/>
                <w:szCs w:val="20"/>
                <w:color w:val="auto"/>
              </w:rPr>
            </w:pPr>
            <w:r>
              <w:rPr>
                <w:rFonts w:ascii="Arial" w:cs="Arial" w:eastAsia="Arial" w:hAnsi="Arial"/>
                <w:sz w:val="18"/>
                <w:szCs w:val="18"/>
                <w:color w:val="auto"/>
              </w:rPr>
              <w:t>500–596</w:t>
            </w:r>
          </w:p>
        </w:tc>
        <w:tc>
          <w:tcPr>
            <w:tcW w:w="2060" w:type="dxa"/>
            <w:vAlign w:val="bottom"/>
          </w:tcPr>
          <w:p>
            <w:pPr>
              <w:jc w:val="right"/>
              <w:ind w:right="512"/>
              <w:spacing w:after="0"/>
              <w:rPr>
                <w:sz w:val="20"/>
                <w:szCs w:val="20"/>
                <w:color w:val="auto"/>
              </w:rPr>
            </w:pPr>
            <w:r>
              <w:rPr>
                <w:rFonts w:ascii="Arial" w:cs="Arial" w:eastAsia="Arial" w:hAnsi="Arial"/>
                <w:sz w:val="18"/>
                <w:szCs w:val="18"/>
                <w:color w:val="auto"/>
              </w:rPr>
              <w:t>102,875</w:t>
            </w:r>
          </w:p>
        </w:tc>
        <w:tc>
          <w:tcPr>
            <w:tcW w:w="1780" w:type="dxa"/>
            <w:vAlign w:val="bottom"/>
          </w:tcPr>
          <w:p>
            <w:pPr>
              <w:jc w:val="right"/>
              <w:ind w:right="592"/>
              <w:spacing w:after="0"/>
              <w:rPr>
                <w:sz w:val="20"/>
                <w:szCs w:val="20"/>
                <w:color w:val="auto"/>
              </w:rPr>
            </w:pPr>
            <w:r>
              <w:rPr>
                <w:rFonts w:ascii="Arial" w:cs="Arial" w:eastAsia="Arial" w:hAnsi="Arial"/>
                <w:sz w:val="18"/>
                <w:szCs w:val="18"/>
                <w:color w:val="auto"/>
              </w:rPr>
              <w:t>6.9</w:t>
            </w:r>
          </w:p>
        </w:tc>
        <w:tc>
          <w:tcPr>
            <w:tcW w:w="1660" w:type="dxa"/>
            <w:vAlign w:val="bottom"/>
          </w:tcPr>
          <w:p>
            <w:pPr>
              <w:jc w:val="right"/>
              <w:ind w:right="512"/>
              <w:spacing w:after="0"/>
              <w:rPr>
                <w:sz w:val="20"/>
                <w:szCs w:val="20"/>
                <w:color w:val="auto"/>
              </w:rPr>
            </w:pPr>
            <w:r>
              <w:rPr>
                <w:rFonts w:ascii="Arial" w:cs="Arial" w:eastAsia="Arial" w:hAnsi="Arial"/>
                <w:sz w:val="18"/>
                <w:szCs w:val="18"/>
                <w:color w:val="auto"/>
              </w:rPr>
              <w:t>538.94</w:t>
            </w:r>
          </w:p>
        </w:tc>
        <w:tc>
          <w:tcPr>
            <w:tcW w:w="1880" w:type="dxa"/>
            <w:vAlign w:val="bottom"/>
          </w:tcPr>
          <w:p>
            <w:pPr>
              <w:jc w:val="right"/>
              <w:ind w:right="552"/>
              <w:spacing w:after="0"/>
              <w:rPr>
                <w:sz w:val="20"/>
                <w:szCs w:val="20"/>
                <w:color w:val="auto"/>
              </w:rPr>
            </w:pPr>
            <w:r>
              <w:rPr>
                <w:rFonts w:ascii="Arial" w:cs="Arial" w:eastAsia="Arial" w:hAnsi="Arial"/>
                <w:sz w:val="18"/>
                <w:szCs w:val="18"/>
                <w:color w:val="auto"/>
              </w:rPr>
              <w:t>75,781</w:t>
            </w:r>
          </w:p>
        </w:tc>
        <w:tc>
          <w:tcPr>
            <w:tcW w:w="1580" w:type="dxa"/>
            <w:vAlign w:val="bottom"/>
          </w:tcPr>
          <w:p>
            <w:pPr>
              <w:jc w:val="right"/>
              <w:ind w:right="392"/>
              <w:spacing w:after="0"/>
              <w:rPr>
                <w:sz w:val="20"/>
                <w:szCs w:val="20"/>
                <w:color w:val="auto"/>
              </w:rPr>
            </w:pPr>
            <w:r>
              <w:rPr>
                <w:rFonts w:ascii="Arial" w:cs="Arial" w:eastAsia="Arial" w:hAnsi="Arial"/>
                <w:sz w:val="18"/>
                <w:szCs w:val="18"/>
                <w:color w:val="auto"/>
              </w:rPr>
              <w:t>535.11</w:t>
            </w:r>
          </w:p>
        </w:tc>
      </w:tr>
      <w:tr>
        <w:trPr>
          <w:trHeight w:val="216"/>
        </w:trPr>
        <w:tc>
          <w:tcPr>
            <w:tcW w:w="2460" w:type="dxa"/>
            <w:vAlign w:val="bottom"/>
            <w:shd w:val="clear" w:color="auto" w:fill="EEEEEE"/>
          </w:tcPr>
          <w:p>
            <w:pPr>
              <w:jc w:val="right"/>
              <w:ind w:right="792"/>
              <w:spacing w:after="0"/>
              <w:rPr>
                <w:sz w:val="20"/>
                <w:szCs w:val="20"/>
                <w:color w:val="auto"/>
              </w:rPr>
            </w:pPr>
            <w:r>
              <w:rPr>
                <w:rFonts w:ascii="Arial" w:cs="Arial" w:eastAsia="Arial" w:hAnsi="Arial"/>
                <w:sz w:val="18"/>
                <w:szCs w:val="18"/>
                <w:color w:val="auto"/>
              </w:rPr>
              <w:t>693</w:t>
            </w:r>
          </w:p>
        </w:tc>
        <w:tc>
          <w:tcPr>
            <w:tcW w:w="2060" w:type="dxa"/>
            <w:vAlign w:val="bottom"/>
            <w:shd w:val="clear" w:color="auto" w:fill="EEEEEE"/>
          </w:tcPr>
          <w:p>
            <w:pPr>
              <w:jc w:val="right"/>
              <w:ind w:right="512"/>
              <w:spacing w:after="0"/>
              <w:rPr>
                <w:sz w:val="20"/>
                <w:szCs w:val="20"/>
                <w:color w:val="auto"/>
              </w:rPr>
            </w:pPr>
            <w:r>
              <w:rPr>
                <w:rFonts w:ascii="Arial" w:cs="Arial" w:eastAsia="Arial" w:hAnsi="Arial"/>
                <w:sz w:val="18"/>
                <w:szCs w:val="18"/>
                <w:color w:val="auto"/>
              </w:rPr>
              <w:t>500</w:t>
            </w:r>
          </w:p>
        </w:tc>
        <w:tc>
          <w:tcPr>
            <w:tcW w:w="1780" w:type="dxa"/>
            <w:vAlign w:val="bottom"/>
            <w:shd w:val="clear" w:color="auto" w:fill="EEEEEE"/>
          </w:tcPr>
          <w:p>
            <w:pPr>
              <w:jc w:val="right"/>
              <w:ind w:right="592"/>
              <w:spacing w:after="0"/>
              <w:rPr>
                <w:sz w:val="20"/>
                <w:szCs w:val="20"/>
                <w:color w:val="auto"/>
              </w:rPr>
            </w:pPr>
            <w:r>
              <w:rPr>
                <w:rFonts w:ascii="Arial" w:cs="Arial" w:eastAsia="Arial" w:hAnsi="Arial"/>
                <w:sz w:val="18"/>
                <w:szCs w:val="18"/>
                <w:color w:val="auto"/>
              </w:rPr>
              <w:t>9.5</w:t>
            </w:r>
          </w:p>
        </w:tc>
        <w:tc>
          <w:tcPr>
            <w:tcW w:w="1660" w:type="dxa"/>
            <w:vAlign w:val="bottom"/>
            <w:shd w:val="clear" w:color="auto" w:fill="EEEEEE"/>
          </w:tcPr>
          <w:p>
            <w:pPr>
              <w:jc w:val="right"/>
              <w:ind w:right="512"/>
              <w:spacing w:after="0"/>
              <w:rPr>
                <w:sz w:val="20"/>
                <w:szCs w:val="20"/>
                <w:color w:val="auto"/>
              </w:rPr>
            </w:pPr>
            <w:r>
              <w:rPr>
                <w:rFonts w:ascii="Arial" w:cs="Arial" w:eastAsia="Arial" w:hAnsi="Arial"/>
                <w:sz w:val="18"/>
                <w:szCs w:val="18"/>
                <w:color w:val="auto"/>
              </w:rPr>
              <w:t>692.51</w:t>
            </w:r>
          </w:p>
        </w:tc>
        <w:tc>
          <w:tcPr>
            <w:tcW w:w="188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w:t>
            </w:r>
          </w:p>
        </w:tc>
        <w:tc>
          <w:tcPr>
            <w:tcW w:w="1580" w:type="dxa"/>
            <w:vAlign w:val="bottom"/>
            <w:shd w:val="clear" w:color="auto" w:fill="EEEEEE"/>
          </w:tcPr>
          <w:p>
            <w:pPr>
              <w:jc w:val="right"/>
              <w:ind w:right="392"/>
              <w:spacing w:after="0"/>
              <w:rPr>
                <w:sz w:val="20"/>
                <w:szCs w:val="20"/>
                <w:color w:val="auto"/>
              </w:rPr>
            </w:pPr>
            <w:r>
              <w:rPr>
                <w:rFonts w:ascii="Arial" w:cs="Arial" w:eastAsia="Arial" w:hAnsi="Arial"/>
                <w:sz w:val="18"/>
                <w:szCs w:val="18"/>
                <w:color w:val="auto"/>
              </w:rPr>
              <w:t>—</w:t>
            </w:r>
          </w:p>
        </w:tc>
      </w:tr>
      <w:tr>
        <w:trPr>
          <w:trHeight w:val="216"/>
        </w:trPr>
        <w:tc>
          <w:tcPr>
            <w:tcW w:w="2460" w:type="dxa"/>
            <w:vAlign w:val="bottom"/>
          </w:tcPr>
          <w:p>
            <w:pPr>
              <w:jc w:val="right"/>
              <w:ind w:right="792"/>
              <w:spacing w:after="0"/>
              <w:rPr>
                <w:sz w:val="20"/>
                <w:szCs w:val="20"/>
                <w:color w:val="auto"/>
              </w:rPr>
            </w:pPr>
            <w:r>
              <w:rPr>
                <w:rFonts w:ascii="Arial" w:cs="Arial" w:eastAsia="Arial" w:hAnsi="Arial"/>
                <w:sz w:val="18"/>
                <w:szCs w:val="18"/>
                <w:color w:val="auto"/>
              </w:rPr>
              <w:t>729</w:t>
            </w:r>
          </w:p>
        </w:tc>
        <w:tc>
          <w:tcPr>
            <w:tcW w:w="2060" w:type="dxa"/>
            <w:vAlign w:val="bottom"/>
          </w:tcPr>
          <w:p>
            <w:pPr>
              <w:jc w:val="right"/>
              <w:ind w:right="512"/>
              <w:spacing w:after="0"/>
              <w:rPr>
                <w:sz w:val="20"/>
                <w:szCs w:val="20"/>
                <w:color w:val="auto"/>
              </w:rPr>
            </w:pPr>
            <w:r>
              <w:rPr>
                <w:rFonts w:ascii="Arial" w:cs="Arial" w:eastAsia="Arial" w:hAnsi="Arial"/>
                <w:sz w:val="18"/>
                <w:szCs w:val="18"/>
                <w:color w:val="auto"/>
              </w:rPr>
              <w:t>10,500</w:t>
            </w:r>
          </w:p>
        </w:tc>
        <w:tc>
          <w:tcPr>
            <w:tcW w:w="1780" w:type="dxa"/>
            <w:vAlign w:val="bottom"/>
          </w:tcPr>
          <w:p>
            <w:pPr>
              <w:jc w:val="right"/>
              <w:ind w:right="592"/>
              <w:spacing w:after="0"/>
              <w:rPr>
                <w:sz w:val="20"/>
                <w:szCs w:val="20"/>
                <w:color w:val="auto"/>
              </w:rPr>
            </w:pPr>
            <w:r>
              <w:rPr>
                <w:rFonts w:ascii="Arial" w:cs="Arial" w:eastAsia="Arial" w:hAnsi="Arial"/>
                <w:sz w:val="18"/>
                <w:szCs w:val="18"/>
                <w:color w:val="auto"/>
              </w:rPr>
              <w:t>9.0</w:t>
            </w:r>
          </w:p>
        </w:tc>
        <w:tc>
          <w:tcPr>
            <w:tcW w:w="1660" w:type="dxa"/>
            <w:vAlign w:val="bottom"/>
          </w:tcPr>
          <w:p>
            <w:pPr>
              <w:jc w:val="right"/>
              <w:ind w:right="512"/>
              <w:spacing w:after="0"/>
              <w:rPr>
                <w:sz w:val="20"/>
                <w:szCs w:val="20"/>
                <w:color w:val="auto"/>
              </w:rPr>
            </w:pPr>
            <w:r>
              <w:rPr>
                <w:rFonts w:ascii="Arial" w:cs="Arial" w:eastAsia="Arial" w:hAnsi="Arial"/>
                <w:sz w:val="18"/>
                <w:szCs w:val="18"/>
                <w:color w:val="auto"/>
              </w:rPr>
              <w:t>729.00</w:t>
            </w:r>
          </w:p>
        </w:tc>
        <w:tc>
          <w:tcPr>
            <w:tcW w:w="1880" w:type="dxa"/>
            <w:vAlign w:val="bottom"/>
          </w:tcPr>
          <w:p>
            <w:pPr>
              <w:jc w:val="right"/>
              <w:ind w:right="552"/>
              <w:spacing w:after="0"/>
              <w:rPr>
                <w:sz w:val="20"/>
                <w:szCs w:val="20"/>
                <w:color w:val="auto"/>
              </w:rPr>
            </w:pPr>
            <w:r>
              <w:rPr>
                <w:rFonts w:ascii="Arial" w:cs="Arial" w:eastAsia="Arial" w:hAnsi="Arial"/>
                <w:sz w:val="18"/>
                <w:szCs w:val="18"/>
                <w:color w:val="auto"/>
              </w:rPr>
              <w:t>2,625</w:t>
            </w:r>
          </w:p>
        </w:tc>
        <w:tc>
          <w:tcPr>
            <w:tcW w:w="1580" w:type="dxa"/>
            <w:vAlign w:val="bottom"/>
          </w:tcPr>
          <w:p>
            <w:pPr>
              <w:jc w:val="right"/>
              <w:ind w:right="392"/>
              <w:spacing w:after="0"/>
              <w:rPr>
                <w:sz w:val="20"/>
                <w:szCs w:val="20"/>
                <w:color w:val="auto"/>
              </w:rPr>
            </w:pPr>
            <w:r>
              <w:rPr>
                <w:rFonts w:ascii="Arial" w:cs="Arial" w:eastAsia="Arial" w:hAnsi="Arial"/>
                <w:sz w:val="18"/>
                <w:szCs w:val="18"/>
                <w:color w:val="auto"/>
              </w:rPr>
              <w:t>729.00</w:t>
            </w:r>
          </w:p>
        </w:tc>
      </w:tr>
      <w:tr>
        <w:trPr>
          <w:trHeight w:val="216"/>
        </w:trPr>
        <w:tc>
          <w:tcPr>
            <w:tcW w:w="2460" w:type="dxa"/>
            <w:vAlign w:val="bottom"/>
            <w:shd w:val="clear" w:color="auto" w:fill="EEEEEE"/>
          </w:tcPr>
          <w:p>
            <w:pPr>
              <w:jc w:val="right"/>
              <w:ind w:right="792"/>
              <w:spacing w:after="0"/>
              <w:rPr>
                <w:sz w:val="20"/>
                <w:szCs w:val="20"/>
                <w:color w:val="auto"/>
              </w:rPr>
            </w:pPr>
            <w:r>
              <w:rPr>
                <w:rFonts w:ascii="Arial" w:cs="Arial" w:eastAsia="Arial" w:hAnsi="Arial"/>
                <w:sz w:val="18"/>
                <w:szCs w:val="18"/>
                <w:color w:val="auto"/>
              </w:rPr>
              <w:t>816</w:t>
            </w:r>
          </w:p>
        </w:tc>
        <w:tc>
          <w:tcPr>
            <w:tcW w:w="2060" w:type="dxa"/>
            <w:vAlign w:val="bottom"/>
            <w:shd w:val="clear" w:color="auto" w:fill="EEEEEE"/>
          </w:tcPr>
          <w:p>
            <w:pPr>
              <w:jc w:val="right"/>
              <w:ind w:right="512"/>
              <w:spacing w:after="0"/>
              <w:rPr>
                <w:sz w:val="20"/>
                <w:szCs w:val="20"/>
                <w:color w:val="auto"/>
              </w:rPr>
            </w:pPr>
            <w:r>
              <w:rPr>
                <w:rFonts w:ascii="Arial" w:cs="Arial" w:eastAsia="Arial" w:hAnsi="Arial"/>
                <w:sz w:val="18"/>
                <w:szCs w:val="18"/>
                <w:color w:val="auto"/>
              </w:rPr>
              <w:t>4,500</w:t>
            </w:r>
          </w:p>
        </w:tc>
        <w:tc>
          <w:tcPr>
            <w:tcW w:w="1780" w:type="dxa"/>
            <w:vAlign w:val="bottom"/>
            <w:shd w:val="clear" w:color="auto" w:fill="EEEEEE"/>
          </w:tcPr>
          <w:p>
            <w:pPr>
              <w:jc w:val="right"/>
              <w:ind w:right="592"/>
              <w:spacing w:after="0"/>
              <w:rPr>
                <w:sz w:val="20"/>
                <w:szCs w:val="20"/>
                <w:color w:val="auto"/>
              </w:rPr>
            </w:pPr>
            <w:r>
              <w:rPr>
                <w:rFonts w:ascii="Arial" w:cs="Arial" w:eastAsia="Arial" w:hAnsi="Arial"/>
                <w:sz w:val="18"/>
                <w:szCs w:val="18"/>
                <w:color w:val="auto"/>
              </w:rPr>
              <w:t>10.0</w:t>
            </w:r>
          </w:p>
        </w:tc>
        <w:tc>
          <w:tcPr>
            <w:tcW w:w="1660" w:type="dxa"/>
            <w:vAlign w:val="bottom"/>
            <w:shd w:val="clear" w:color="auto" w:fill="EEEEEE"/>
          </w:tcPr>
          <w:p>
            <w:pPr>
              <w:jc w:val="right"/>
              <w:ind w:right="512"/>
              <w:spacing w:after="0"/>
              <w:rPr>
                <w:sz w:val="20"/>
                <w:szCs w:val="20"/>
                <w:color w:val="auto"/>
              </w:rPr>
            </w:pPr>
            <w:r>
              <w:rPr>
                <w:rFonts w:ascii="Arial" w:cs="Arial" w:eastAsia="Arial" w:hAnsi="Arial"/>
                <w:sz w:val="18"/>
                <w:szCs w:val="18"/>
                <w:color w:val="auto"/>
              </w:rPr>
              <w:t>816.05</w:t>
            </w:r>
          </w:p>
        </w:tc>
        <w:tc>
          <w:tcPr>
            <w:tcW w:w="188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w:t>
            </w:r>
          </w:p>
        </w:tc>
        <w:tc>
          <w:tcPr>
            <w:tcW w:w="1580" w:type="dxa"/>
            <w:vAlign w:val="bottom"/>
            <w:shd w:val="clear" w:color="auto" w:fill="EEEEEE"/>
          </w:tcPr>
          <w:p>
            <w:pPr>
              <w:jc w:val="right"/>
              <w:ind w:right="392"/>
              <w:spacing w:after="0"/>
              <w:rPr>
                <w:sz w:val="20"/>
                <w:szCs w:val="20"/>
                <w:color w:val="auto"/>
              </w:rPr>
            </w:pPr>
            <w:r>
              <w:rPr>
                <w:rFonts w:ascii="Arial" w:cs="Arial" w:eastAsia="Arial" w:hAnsi="Arial"/>
                <w:sz w:val="18"/>
                <w:szCs w:val="18"/>
                <w:color w:val="auto"/>
              </w:rPr>
              <w:t>—</w:t>
            </w:r>
          </w:p>
        </w:tc>
      </w:tr>
    </w:tbl>
    <w:p>
      <w:pPr>
        <w:spacing w:after="0" w:line="208"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color w:val="auto"/>
        </w:rPr>
        <w:t>All options were granted at an exercise price equal to or greater than the fair market value of the Company’s common stock at the date of grant. The weighted average fair value for options granted during 2003, 2002 and 2001 was $229.81, $197.89 and $107.78, respectively. The fair value of options at date of grant was</w:t>
      </w:r>
    </w:p>
    <w:p>
      <w:pPr>
        <w:sectPr>
          <w:pgSz w:w="11900" w:h="16838" w:orient="portrait"/>
          <w:cols w:equalWidth="0" w:num="1">
            <w:col w:w="11420"/>
          </w:cols>
          <w:pgMar w:left="240" w:top="942" w:right="239" w:bottom="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22"/>
        </w:trPr>
        <w:tc>
          <w:tcPr>
            <w:tcW w:w="6460" w:type="dxa"/>
            <w:vAlign w:val="bottom"/>
            <w:gridSpan w:val="2"/>
          </w:tcPr>
          <w:p>
            <w:pPr>
              <w:spacing w:after="0"/>
              <w:rPr>
                <w:sz w:val="20"/>
                <w:szCs w:val="20"/>
                <w:color w:val="auto"/>
              </w:rPr>
            </w:pPr>
            <w:r>
              <w:rPr>
                <w:rFonts w:ascii="Arial" w:cs="Arial" w:eastAsia="Arial" w:hAnsi="Arial"/>
                <w:sz w:val="18"/>
                <w:szCs w:val="18"/>
                <w:color w:val="auto"/>
              </w:rPr>
              <w:t>estimated using the Black-Scholes method utilizing the following assumptions:</w:t>
            </w:r>
          </w:p>
        </w:tc>
        <w:tc>
          <w:tcPr>
            <w:tcW w:w="19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58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900" w:type="dxa"/>
            <w:vAlign w:val="bottom"/>
          </w:tcPr>
          <w:p>
            <w:pPr>
              <w:jc w:val="right"/>
              <w:ind w:right="532"/>
              <w:spacing w:after="0"/>
              <w:rPr>
                <w:sz w:val="20"/>
                <w:szCs w:val="20"/>
                <w:color w:val="auto"/>
              </w:rPr>
            </w:pPr>
            <w:r>
              <w:rPr>
                <w:rFonts w:ascii="Arial" w:cs="Arial" w:eastAsia="Arial" w:hAnsi="Arial"/>
                <w:sz w:val="18"/>
                <w:szCs w:val="18"/>
                <w:b w:val="1"/>
                <w:bCs w:val="1"/>
                <w:color w:val="auto"/>
              </w:rPr>
              <w:t>2003</w:t>
            </w:r>
          </w:p>
        </w:tc>
        <w:tc>
          <w:tcPr>
            <w:tcW w:w="1400" w:type="dxa"/>
            <w:vAlign w:val="bottom"/>
          </w:tcPr>
          <w:p>
            <w:pPr>
              <w:jc w:val="right"/>
              <w:ind w:right="472"/>
              <w:spacing w:after="0"/>
              <w:rPr>
                <w:sz w:val="20"/>
                <w:szCs w:val="20"/>
                <w:color w:val="auto"/>
              </w:rPr>
            </w:pPr>
            <w:r>
              <w:rPr>
                <w:rFonts w:ascii="Arial" w:cs="Arial" w:eastAsia="Arial" w:hAnsi="Arial"/>
                <w:sz w:val="18"/>
                <w:szCs w:val="18"/>
                <w:color w:val="auto"/>
              </w:rPr>
              <w:t>2002</w:t>
            </w:r>
          </w:p>
        </w:tc>
        <w:tc>
          <w:tcPr>
            <w:tcW w:w="1100" w:type="dxa"/>
            <w:vAlign w:val="bottom"/>
          </w:tcPr>
          <w:p>
            <w:pPr>
              <w:jc w:val="right"/>
              <w:ind w:right="212"/>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110"/>
        </w:trPr>
        <w:tc>
          <w:tcPr>
            <w:tcW w:w="580" w:type="dxa"/>
            <w:vAlign w:val="bottom"/>
          </w:tcPr>
          <w:p>
            <w:pPr>
              <w:spacing w:after="0"/>
              <w:rPr>
                <w:sz w:val="9"/>
                <w:szCs w:val="9"/>
                <w:color w:val="auto"/>
              </w:rPr>
            </w:pPr>
          </w:p>
        </w:tc>
        <w:tc>
          <w:tcPr>
            <w:tcW w:w="5880" w:type="dxa"/>
            <w:vAlign w:val="bottom"/>
            <w:tcBorders>
              <w:bottom w:val="single" w:sz="8" w:color="808080"/>
            </w:tcBorders>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880" w:type="dxa"/>
            <w:vAlign w:val="bottom"/>
            <w:shd w:val="clear" w:color="auto" w:fill="EEEEEE"/>
          </w:tcPr>
          <w:p>
            <w:pPr>
              <w:spacing w:after="0"/>
              <w:rPr>
                <w:sz w:val="20"/>
                <w:szCs w:val="20"/>
                <w:color w:val="auto"/>
              </w:rPr>
            </w:pPr>
            <w:r>
              <w:rPr>
                <w:rFonts w:ascii="Arial" w:cs="Arial" w:eastAsia="Arial" w:hAnsi="Arial"/>
                <w:sz w:val="18"/>
                <w:szCs w:val="18"/>
                <w:color w:val="auto"/>
              </w:rPr>
              <w:t>Expected life (years)</w:t>
            </w:r>
          </w:p>
        </w:tc>
        <w:tc>
          <w:tcPr>
            <w:tcW w:w="1900" w:type="dxa"/>
            <w:vAlign w:val="bottom"/>
            <w:shd w:val="clear" w:color="auto" w:fill="EEEEEE"/>
          </w:tcPr>
          <w:p>
            <w:pPr>
              <w:jc w:val="right"/>
              <w:ind w:right="532"/>
              <w:spacing w:after="0"/>
              <w:rPr>
                <w:sz w:val="20"/>
                <w:szCs w:val="20"/>
                <w:color w:val="auto"/>
              </w:rPr>
            </w:pPr>
            <w:r>
              <w:rPr>
                <w:rFonts w:ascii="Arial" w:cs="Arial" w:eastAsia="Arial" w:hAnsi="Arial"/>
                <w:sz w:val="18"/>
                <w:szCs w:val="18"/>
                <w:b w:val="1"/>
                <w:bCs w:val="1"/>
                <w:color w:val="auto"/>
              </w:rPr>
              <w:t>7</w:t>
            </w:r>
          </w:p>
        </w:tc>
        <w:tc>
          <w:tcPr>
            <w:tcW w:w="1400" w:type="dxa"/>
            <w:vAlign w:val="bottom"/>
            <w:shd w:val="clear" w:color="auto" w:fill="EEEEEE"/>
          </w:tcPr>
          <w:p>
            <w:pPr>
              <w:jc w:val="right"/>
              <w:ind w:right="472"/>
              <w:spacing w:after="0"/>
              <w:rPr>
                <w:sz w:val="20"/>
                <w:szCs w:val="20"/>
                <w:color w:val="auto"/>
              </w:rPr>
            </w:pPr>
            <w:r>
              <w:rPr>
                <w:rFonts w:ascii="Arial" w:cs="Arial" w:eastAsia="Arial" w:hAnsi="Arial"/>
                <w:sz w:val="18"/>
                <w:szCs w:val="18"/>
                <w:color w:val="auto"/>
              </w:rPr>
              <w:t>7</w:t>
            </w:r>
          </w:p>
        </w:tc>
        <w:tc>
          <w:tcPr>
            <w:tcW w:w="1100" w:type="dxa"/>
            <w:vAlign w:val="bottom"/>
            <w:shd w:val="clear" w:color="auto" w:fill="EEEEEE"/>
          </w:tcPr>
          <w:p>
            <w:pPr>
              <w:jc w:val="right"/>
              <w:ind w:right="21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Interest rate</w:t>
            </w:r>
          </w:p>
        </w:tc>
        <w:tc>
          <w:tcPr>
            <w:tcW w:w="1900" w:type="dxa"/>
            <w:vAlign w:val="bottom"/>
          </w:tcPr>
          <w:p>
            <w:pPr>
              <w:jc w:val="right"/>
              <w:ind w:right="352"/>
              <w:spacing w:after="0"/>
              <w:rPr>
                <w:sz w:val="20"/>
                <w:szCs w:val="20"/>
                <w:color w:val="auto"/>
              </w:rPr>
            </w:pPr>
            <w:r>
              <w:rPr>
                <w:rFonts w:ascii="Arial" w:cs="Arial" w:eastAsia="Arial" w:hAnsi="Arial"/>
                <w:sz w:val="18"/>
                <w:szCs w:val="18"/>
                <w:b w:val="1"/>
                <w:bCs w:val="1"/>
                <w:color w:val="auto"/>
              </w:rPr>
              <w:t>4.38%</w:t>
            </w:r>
          </w:p>
        </w:tc>
        <w:tc>
          <w:tcPr>
            <w:tcW w:w="1400" w:type="dxa"/>
            <w:vAlign w:val="bottom"/>
          </w:tcPr>
          <w:p>
            <w:pPr>
              <w:jc w:val="right"/>
              <w:ind w:right="332"/>
              <w:spacing w:after="0"/>
              <w:rPr>
                <w:sz w:val="20"/>
                <w:szCs w:val="20"/>
                <w:color w:val="auto"/>
              </w:rPr>
            </w:pPr>
            <w:r>
              <w:rPr>
                <w:rFonts w:ascii="Arial" w:cs="Arial" w:eastAsia="Arial" w:hAnsi="Arial"/>
                <w:sz w:val="18"/>
                <w:szCs w:val="18"/>
                <w:color w:val="auto"/>
              </w:rPr>
              <w:t>3.69%</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80" w:type="dxa"/>
            <w:vAlign w:val="bottom"/>
            <w:shd w:val="clear" w:color="auto" w:fill="EEEEEE"/>
          </w:tcPr>
          <w:p>
            <w:pPr>
              <w:spacing w:after="0"/>
              <w:rPr>
                <w:sz w:val="20"/>
                <w:szCs w:val="20"/>
                <w:color w:val="auto"/>
              </w:rPr>
            </w:pPr>
            <w:r>
              <w:rPr>
                <w:rFonts w:ascii="Arial" w:cs="Arial" w:eastAsia="Arial" w:hAnsi="Arial"/>
                <w:sz w:val="18"/>
                <w:szCs w:val="18"/>
                <w:color w:val="auto"/>
              </w:rPr>
              <w:t>Volatility</w:t>
            </w:r>
          </w:p>
        </w:tc>
        <w:tc>
          <w:tcPr>
            <w:tcW w:w="1900" w:type="dxa"/>
            <w:vAlign w:val="bottom"/>
            <w:shd w:val="clear" w:color="auto" w:fill="EEEEEE"/>
          </w:tcPr>
          <w:p>
            <w:pPr>
              <w:jc w:val="right"/>
              <w:ind w:right="352"/>
              <w:spacing w:after="0"/>
              <w:rPr>
                <w:sz w:val="20"/>
                <w:szCs w:val="20"/>
                <w:color w:val="auto"/>
              </w:rPr>
            </w:pPr>
            <w:r>
              <w:rPr>
                <w:rFonts w:ascii="Arial" w:cs="Arial" w:eastAsia="Arial" w:hAnsi="Arial"/>
                <w:sz w:val="18"/>
                <w:szCs w:val="18"/>
                <w:b w:val="1"/>
                <w:bCs w:val="1"/>
                <w:color w:val="auto"/>
              </w:rPr>
              <w:t>20.43%</w:t>
            </w:r>
          </w:p>
        </w:tc>
        <w:tc>
          <w:tcPr>
            <w:tcW w:w="1400" w:type="dxa"/>
            <w:vAlign w:val="bottom"/>
            <w:shd w:val="clear" w:color="auto" w:fill="EEEEEE"/>
          </w:tcPr>
          <w:p>
            <w:pPr>
              <w:jc w:val="right"/>
              <w:ind w:right="332"/>
              <w:spacing w:after="0"/>
              <w:rPr>
                <w:sz w:val="20"/>
                <w:szCs w:val="20"/>
                <w:color w:val="auto"/>
              </w:rPr>
            </w:pPr>
            <w:r>
              <w:rPr>
                <w:rFonts w:ascii="Arial" w:cs="Arial" w:eastAsia="Arial" w:hAnsi="Arial"/>
                <w:sz w:val="18"/>
                <w:szCs w:val="18"/>
                <w:color w:val="auto"/>
              </w:rPr>
              <w:t>21.74%</w:t>
            </w:r>
          </w:p>
        </w:tc>
        <w:tc>
          <w:tcPr>
            <w:tcW w:w="1100" w:type="dxa"/>
            <w:vAlign w:val="bottom"/>
            <w:shd w:val="clear" w:color="auto" w:fill="EEEEEE"/>
          </w:tcPr>
          <w:p>
            <w:pPr>
              <w:jc w:val="right"/>
              <w:ind w:right="72"/>
              <w:spacing w:after="0"/>
              <w:rPr>
                <w:sz w:val="20"/>
                <w:szCs w:val="20"/>
                <w:color w:val="auto"/>
              </w:rPr>
            </w:pPr>
            <w:r>
              <w:rPr>
                <w:rFonts w:ascii="Arial" w:cs="Arial" w:eastAsia="Arial" w:hAnsi="Arial"/>
                <w:sz w:val="18"/>
                <w:szCs w:val="18"/>
                <w:color w:val="auto"/>
              </w:rPr>
              <w:t>19.46%</w:t>
            </w: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Dividend yield</w:t>
            </w:r>
          </w:p>
        </w:tc>
        <w:tc>
          <w:tcPr>
            <w:tcW w:w="1900" w:type="dxa"/>
            <w:vAlign w:val="bottom"/>
          </w:tcPr>
          <w:p>
            <w:pPr>
              <w:jc w:val="right"/>
              <w:ind w:right="352"/>
              <w:spacing w:after="0"/>
              <w:rPr>
                <w:sz w:val="20"/>
                <w:szCs w:val="20"/>
                <w:color w:val="auto"/>
              </w:rPr>
            </w:pPr>
            <w:r>
              <w:rPr>
                <w:rFonts w:ascii="Arial" w:cs="Arial" w:eastAsia="Arial" w:hAnsi="Arial"/>
                <w:sz w:val="18"/>
                <w:szCs w:val="18"/>
                <w:b w:val="1"/>
                <w:bCs w:val="1"/>
                <w:color w:val="auto"/>
              </w:rPr>
              <w:t>0.71%</w:t>
            </w:r>
          </w:p>
        </w:tc>
        <w:tc>
          <w:tcPr>
            <w:tcW w:w="1400" w:type="dxa"/>
            <w:vAlign w:val="bottom"/>
          </w:tcPr>
          <w:p>
            <w:pPr>
              <w:jc w:val="right"/>
              <w:ind w:right="332"/>
              <w:spacing w:after="0"/>
              <w:rPr>
                <w:sz w:val="20"/>
                <w:szCs w:val="20"/>
                <w:color w:val="auto"/>
              </w:rPr>
            </w:pPr>
            <w:r>
              <w:rPr>
                <w:rFonts w:ascii="Arial" w:cs="Arial" w:eastAsia="Arial" w:hAnsi="Arial"/>
                <w:sz w:val="18"/>
                <w:szCs w:val="18"/>
                <w:color w:val="auto"/>
              </w:rPr>
              <w:t>0.77%</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Refer to Note A for additional disclosures surrounding stock option accounting.</w:t>
      </w:r>
    </w:p>
    <w:p>
      <w:pPr>
        <w:spacing w:after="0" w:line="225"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The Company also maintains a stock option plan at its Kaplan subsidiary that provides for the issuance of Kaplan stock options to certain members of Kaplan’s management. The Kaplan stock option plan was adopted in 1997 and initially reserved 15 percent, or 150,000 shares, of Kaplan’s common stock for options to be granted under the plan. Under the provisions of this plan, options are issued with an exercise price equal to the estimated fair value of Kaplan’s common stock, and options vest ratably over five years. Upon exercise, an option holder may either purchase vested shares at the exercise price or elect to receive cash equal to the difference between the exercise price and the then fair value. The fair value of Kaplan’s common stock is determined by the Company’s compensation committee of the Board of Directors. In September 2003, the committee set the fair value price of Kaplan common stock at $1,625 per share, which is determined after deducting intercompany debt from Kaplan’s enterprise value. Also in September 2003, the Company announced an offer totaling $138 million for approximately 55 percent of the stock options outstanding at Kaplan. The Company’s offer included a 10 percent premium over the current valuation price of Kaplan common stock of $1,625 per share; by the end of October 2003, 100 percent of the eligible stock options were tendered. The Company paid out</w:t>
      </w:r>
    </w:p>
    <w:p>
      <w:pPr>
        <w:spacing w:after="0" w:line="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$118.7 million in the fourth quarter of 2003 and the remainder of the payouts, related to 14,463 tendered stock options, will be made at the time of their scheduled vesting from 2004 to 2007 if the option holder is still employed at Kaplan. Additionally, stock compensation expense will</w:t>
      </w: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3" w:name="page64"/>
    <w:bookmarkEnd w:id="63"/>
    <w:p>
      <w:pPr>
        <w:ind w:right="160"/>
        <w:spacing w:after="0" w:line="256" w:lineRule="auto"/>
        <w:rPr>
          <w:sz w:val="20"/>
          <w:szCs w:val="20"/>
          <w:color w:val="auto"/>
        </w:rPr>
      </w:pPr>
      <w:r>
        <w:rPr>
          <w:rFonts w:ascii="Arial" w:cs="Arial" w:eastAsia="Arial" w:hAnsi="Arial"/>
          <w:sz w:val="18"/>
          <w:szCs w:val="18"/>
          <w:color w:val="auto"/>
        </w:rPr>
        <w:t>be recorded on these remaining exercised stock options over the remaining vesting periods of 2004 to 2007. A small number of key Kaplan executives will continue to hold the remaining 68,000 outstanding Kaplan stock options, with roughly half of these options expiring in 2007 and half expiring in 2011. The remaining 68,000 of outstanding Kaplan stock options represent 4.8 percent of Kaplan’s common stock at December 28, 2003. The Company does not expect to issue additional Kaplan stock options in the future.</w:t>
      </w:r>
    </w:p>
    <w:p>
      <w:pPr>
        <w:spacing w:after="0" w:line="19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2003, 2002 and 2001, the Company recorded expense of $119.1 million, $34.5 million and $25.3 million, respectively, related to this plan. In 2003 and 2002, payouts from option exercises totaled $119.6 million and $0.2 million, respectively. At December 28, 2003, the Company’s stock-based compensation accrual balance totaled $73.9 million.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Changes in Kaplan stock options outstanding for the years ended December 28, 2003, December 29, 2002 and December 30, 2001 were as follows: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60" w:type="dxa"/>
            <w:vAlign w:val="bottom"/>
          </w:tcPr>
          <w:p>
            <w:pPr>
              <w:jc w:val="right"/>
              <w:ind w:right="1192"/>
              <w:spacing w:after="0"/>
              <w:rPr>
                <w:sz w:val="20"/>
                <w:szCs w:val="20"/>
                <w:color w:val="auto"/>
              </w:rPr>
            </w:pPr>
            <w:r>
              <w:rPr>
                <w:rFonts w:ascii="Arial" w:cs="Arial" w:eastAsia="Arial" w:hAnsi="Arial"/>
                <w:sz w:val="18"/>
                <w:szCs w:val="18"/>
                <w:b w:val="1"/>
                <w:bCs w:val="1"/>
                <w:color w:val="auto"/>
              </w:rPr>
              <w:t>2003</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80" w:type="dxa"/>
            <w:vAlign w:val="bottom"/>
          </w:tcPr>
          <w:p>
            <w:pPr>
              <w:jc w:val="right"/>
              <w:ind w:right="1132"/>
              <w:spacing w:after="0"/>
              <w:rPr>
                <w:sz w:val="20"/>
                <w:szCs w:val="20"/>
                <w:color w:val="auto"/>
              </w:rPr>
            </w:pPr>
            <w:r>
              <w:rPr>
                <w:rFonts w:ascii="Arial" w:cs="Arial" w:eastAsia="Arial" w:hAnsi="Arial"/>
                <w:sz w:val="18"/>
                <w:szCs w:val="18"/>
                <w:color w:val="auto"/>
              </w:rPr>
              <w:t>2002</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40" w:type="dxa"/>
            <w:vAlign w:val="bottom"/>
          </w:tcPr>
          <w:p>
            <w:pPr>
              <w:jc w:val="right"/>
              <w:ind w:right="1192"/>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160" w:type="dxa"/>
            <w:vAlign w:val="bottom"/>
          </w:tcPr>
          <w:p>
            <w:pPr>
              <w:jc w:val="center"/>
              <w:ind w:left="52"/>
              <w:spacing w:after="0"/>
              <w:rPr>
                <w:sz w:val="20"/>
                <w:szCs w:val="20"/>
                <w:color w:val="auto"/>
              </w:rPr>
            </w:pPr>
            <w:r>
              <w:rPr>
                <w:rFonts w:ascii="Arial" w:cs="Arial" w:eastAsia="Arial" w:hAnsi="Arial"/>
                <w:sz w:val="18"/>
                <w:szCs w:val="18"/>
                <w:b w:val="1"/>
                <w:bCs w:val="1"/>
                <w:color w:val="auto"/>
                <w:w w:val="91"/>
              </w:rPr>
              <w:t>Number</w:t>
            </w:r>
          </w:p>
        </w:tc>
        <w:tc>
          <w:tcPr>
            <w:tcW w:w="1760" w:type="dxa"/>
            <w:vAlign w:val="bottom"/>
          </w:tcPr>
          <w:p>
            <w:pPr>
              <w:jc w:val="center"/>
              <w:ind w:left="312"/>
              <w:spacing w:after="0"/>
              <w:rPr>
                <w:sz w:val="20"/>
                <w:szCs w:val="20"/>
                <w:color w:val="auto"/>
              </w:rPr>
            </w:pPr>
            <w:r>
              <w:rPr>
                <w:rFonts w:ascii="Arial" w:cs="Arial" w:eastAsia="Arial" w:hAnsi="Arial"/>
                <w:sz w:val="18"/>
                <w:szCs w:val="18"/>
                <w:b w:val="1"/>
                <w:bCs w:val="1"/>
                <w:color w:val="auto"/>
                <w:w w:val="84"/>
              </w:rPr>
              <w:t>Average</w:t>
            </w:r>
          </w:p>
        </w:tc>
        <w:tc>
          <w:tcPr>
            <w:tcW w:w="260" w:type="dxa"/>
            <w:vAlign w:val="bottom"/>
          </w:tcPr>
          <w:p>
            <w:pPr>
              <w:spacing w:after="0"/>
              <w:rPr>
                <w:sz w:val="24"/>
                <w:szCs w:val="24"/>
                <w:color w:val="auto"/>
              </w:rPr>
            </w:pPr>
          </w:p>
        </w:tc>
        <w:tc>
          <w:tcPr>
            <w:tcW w:w="1120" w:type="dxa"/>
            <w:vAlign w:val="bottom"/>
          </w:tcPr>
          <w:p>
            <w:pPr>
              <w:jc w:val="center"/>
              <w:ind w:left="92"/>
              <w:spacing w:after="0"/>
              <w:rPr>
                <w:sz w:val="20"/>
                <w:szCs w:val="20"/>
                <w:color w:val="auto"/>
              </w:rPr>
            </w:pPr>
            <w:r>
              <w:rPr>
                <w:rFonts w:ascii="Arial" w:cs="Arial" w:eastAsia="Arial" w:hAnsi="Arial"/>
                <w:sz w:val="18"/>
                <w:szCs w:val="18"/>
                <w:color w:val="auto"/>
                <w:w w:val="90"/>
              </w:rPr>
              <w:t>Number</w:t>
            </w:r>
          </w:p>
        </w:tc>
        <w:tc>
          <w:tcPr>
            <w:tcW w:w="1680" w:type="dxa"/>
            <w:vAlign w:val="bottom"/>
          </w:tcPr>
          <w:p>
            <w:pPr>
              <w:jc w:val="center"/>
              <w:ind w:left="372"/>
              <w:spacing w:after="0"/>
              <w:rPr>
                <w:sz w:val="20"/>
                <w:szCs w:val="20"/>
                <w:color w:val="auto"/>
              </w:rPr>
            </w:pPr>
            <w:r>
              <w:rPr>
                <w:rFonts w:ascii="Arial" w:cs="Arial" w:eastAsia="Arial" w:hAnsi="Arial"/>
                <w:sz w:val="18"/>
                <w:szCs w:val="18"/>
                <w:color w:val="auto"/>
                <w:w w:val="86"/>
              </w:rPr>
              <w:t>Average</w:t>
            </w:r>
          </w:p>
        </w:tc>
        <w:tc>
          <w:tcPr>
            <w:tcW w:w="260" w:type="dxa"/>
            <w:vAlign w:val="bottom"/>
          </w:tcPr>
          <w:p>
            <w:pPr>
              <w:spacing w:after="0"/>
              <w:rPr>
                <w:sz w:val="24"/>
                <w:szCs w:val="24"/>
                <w:color w:val="auto"/>
              </w:rPr>
            </w:pPr>
          </w:p>
        </w:tc>
        <w:tc>
          <w:tcPr>
            <w:tcW w:w="1160" w:type="dxa"/>
            <w:vAlign w:val="bottom"/>
          </w:tcPr>
          <w:p>
            <w:pPr>
              <w:jc w:val="center"/>
              <w:ind w:left="72"/>
              <w:spacing w:after="0"/>
              <w:rPr>
                <w:sz w:val="20"/>
                <w:szCs w:val="20"/>
                <w:color w:val="auto"/>
              </w:rPr>
            </w:pPr>
            <w:r>
              <w:rPr>
                <w:rFonts w:ascii="Arial" w:cs="Arial" w:eastAsia="Arial" w:hAnsi="Arial"/>
                <w:sz w:val="18"/>
                <w:szCs w:val="18"/>
                <w:color w:val="auto"/>
                <w:w w:val="87"/>
              </w:rPr>
              <w:t>Number</w:t>
            </w:r>
          </w:p>
        </w:tc>
        <w:tc>
          <w:tcPr>
            <w:tcW w:w="1740" w:type="dxa"/>
            <w:vAlign w:val="bottom"/>
          </w:tcPr>
          <w:p>
            <w:pPr>
              <w:jc w:val="center"/>
              <w:ind w:left="312"/>
              <w:spacing w:after="0"/>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160" w:type="dxa"/>
            <w:vAlign w:val="bottom"/>
          </w:tcPr>
          <w:p>
            <w:pPr>
              <w:jc w:val="center"/>
              <w:ind w:left="52"/>
              <w:spacing w:after="0"/>
              <w:rPr>
                <w:sz w:val="20"/>
                <w:szCs w:val="20"/>
                <w:color w:val="auto"/>
              </w:rPr>
            </w:pPr>
            <w:r>
              <w:rPr>
                <w:rFonts w:ascii="Arial" w:cs="Arial" w:eastAsia="Arial" w:hAnsi="Arial"/>
                <w:sz w:val="18"/>
                <w:szCs w:val="18"/>
                <w:b w:val="1"/>
                <w:bCs w:val="1"/>
                <w:color w:val="auto"/>
                <w:w w:val="82"/>
              </w:rPr>
              <w:t>of</w:t>
            </w:r>
          </w:p>
        </w:tc>
        <w:tc>
          <w:tcPr>
            <w:tcW w:w="1760" w:type="dxa"/>
            <w:vAlign w:val="bottom"/>
          </w:tcPr>
          <w:p>
            <w:pPr>
              <w:jc w:val="center"/>
              <w:ind w:left="312"/>
              <w:spacing w:after="0"/>
              <w:rPr>
                <w:sz w:val="20"/>
                <w:szCs w:val="20"/>
                <w:color w:val="auto"/>
              </w:rPr>
            </w:pPr>
            <w:r>
              <w:rPr>
                <w:rFonts w:ascii="Arial" w:cs="Arial" w:eastAsia="Arial" w:hAnsi="Arial"/>
                <w:sz w:val="18"/>
                <w:szCs w:val="18"/>
                <w:b w:val="1"/>
                <w:bCs w:val="1"/>
                <w:color w:val="auto"/>
                <w:w w:val="89"/>
              </w:rPr>
              <w:t>Option</w:t>
            </w:r>
          </w:p>
        </w:tc>
        <w:tc>
          <w:tcPr>
            <w:tcW w:w="260" w:type="dxa"/>
            <w:vAlign w:val="bottom"/>
          </w:tcPr>
          <w:p>
            <w:pPr>
              <w:spacing w:after="0"/>
              <w:rPr>
                <w:sz w:val="18"/>
                <w:szCs w:val="18"/>
                <w:color w:val="auto"/>
              </w:rPr>
            </w:pPr>
          </w:p>
        </w:tc>
        <w:tc>
          <w:tcPr>
            <w:tcW w:w="1120" w:type="dxa"/>
            <w:vAlign w:val="bottom"/>
          </w:tcPr>
          <w:p>
            <w:pPr>
              <w:jc w:val="center"/>
              <w:ind w:left="92"/>
              <w:spacing w:after="0"/>
              <w:rPr>
                <w:sz w:val="20"/>
                <w:szCs w:val="20"/>
                <w:color w:val="auto"/>
              </w:rPr>
            </w:pPr>
            <w:r>
              <w:rPr>
                <w:rFonts w:ascii="Arial" w:cs="Arial" w:eastAsia="Arial" w:hAnsi="Arial"/>
                <w:sz w:val="18"/>
                <w:szCs w:val="18"/>
                <w:color w:val="auto"/>
                <w:w w:val="92"/>
              </w:rPr>
              <w:t>of</w:t>
            </w:r>
          </w:p>
        </w:tc>
        <w:tc>
          <w:tcPr>
            <w:tcW w:w="1680" w:type="dxa"/>
            <w:vAlign w:val="bottom"/>
          </w:tcPr>
          <w:p>
            <w:pPr>
              <w:jc w:val="center"/>
              <w:ind w:left="352"/>
              <w:spacing w:after="0"/>
              <w:rPr>
                <w:sz w:val="20"/>
                <w:szCs w:val="20"/>
                <w:color w:val="auto"/>
              </w:rPr>
            </w:pPr>
            <w:r>
              <w:rPr>
                <w:rFonts w:ascii="Arial" w:cs="Arial" w:eastAsia="Arial" w:hAnsi="Arial"/>
                <w:sz w:val="18"/>
                <w:szCs w:val="18"/>
                <w:color w:val="auto"/>
                <w:w w:val="90"/>
              </w:rPr>
              <w:t>Option</w:t>
            </w:r>
          </w:p>
        </w:tc>
        <w:tc>
          <w:tcPr>
            <w:tcW w:w="260" w:type="dxa"/>
            <w:vAlign w:val="bottom"/>
          </w:tcPr>
          <w:p>
            <w:pPr>
              <w:spacing w:after="0"/>
              <w:rPr>
                <w:sz w:val="18"/>
                <w:szCs w:val="18"/>
                <w:color w:val="auto"/>
              </w:rPr>
            </w:pPr>
          </w:p>
        </w:tc>
        <w:tc>
          <w:tcPr>
            <w:tcW w:w="1160" w:type="dxa"/>
            <w:vAlign w:val="bottom"/>
          </w:tcPr>
          <w:p>
            <w:pPr>
              <w:jc w:val="center"/>
              <w:ind w:left="72"/>
              <w:spacing w:after="0"/>
              <w:rPr>
                <w:sz w:val="20"/>
                <w:szCs w:val="20"/>
                <w:color w:val="auto"/>
              </w:rPr>
            </w:pPr>
            <w:r>
              <w:rPr>
                <w:rFonts w:ascii="Arial" w:cs="Arial" w:eastAsia="Arial" w:hAnsi="Arial"/>
                <w:sz w:val="18"/>
                <w:szCs w:val="18"/>
                <w:color w:val="auto"/>
              </w:rPr>
              <w:t>of</w:t>
            </w:r>
          </w:p>
        </w:tc>
        <w:tc>
          <w:tcPr>
            <w:tcW w:w="1740" w:type="dxa"/>
            <w:vAlign w:val="bottom"/>
          </w:tcPr>
          <w:p>
            <w:pPr>
              <w:jc w:val="center"/>
              <w:ind w:left="332"/>
              <w:spacing w:after="0"/>
              <w:rPr>
                <w:sz w:val="20"/>
                <w:szCs w:val="20"/>
                <w:color w:val="auto"/>
              </w:rPr>
            </w:pPr>
            <w:r>
              <w:rPr>
                <w:rFonts w:ascii="Arial" w:cs="Arial" w:eastAsia="Arial" w:hAnsi="Arial"/>
                <w:sz w:val="18"/>
                <w:szCs w:val="18"/>
                <w:color w:val="auto"/>
                <w:w w:val="90"/>
              </w:rPr>
              <w:t>Option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160" w:type="dxa"/>
            <w:vAlign w:val="bottom"/>
          </w:tcPr>
          <w:p>
            <w:pPr>
              <w:jc w:val="center"/>
              <w:ind w:left="52"/>
              <w:spacing w:after="0"/>
              <w:rPr>
                <w:sz w:val="20"/>
                <w:szCs w:val="20"/>
                <w:color w:val="auto"/>
              </w:rPr>
            </w:pPr>
            <w:r>
              <w:rPr>
                <w:rFonts w:ascii="Arial" w:cs="Arial" w:eastAsia="Arial" w:hAnsi="Arial"/>
                <w:sz w:val="18"/>
                <w:szCs w:val="18"/>
                <w:b w:val="1"/>
                <w:bCs w:val="1"/>
                <w:color w:val="auto"/>
                <w:w w:val="83"/>
              </w:rPr>
              <w:t>Shares</w:t>
            </w:r>
          </w:p>
        </w:tc>
        <w:tc>
          <w:tcPr>
            <w:tcW w:w="1760" w:type="dxa"/>
            <w:vAlign w:val="bottom"/>
          </w:tcPr>
          <w:p>
            <w:pPr>
              <w:jc w:val="center"/>
              <w:ind w:left="312"/>
              <w:spacing w:after="0"/>
              <w:rPr>
                <w:sz w:val="20"/>
                <w:szCs w:val="20"/>
                <w:color w:val="auto"/>
              </w:rPr>
            </w:pPr>
            <w:r>
              <w:rPr>
                <w:rFonts w:ascii="Arial" w:cs="Arial" w:eastAsia="Arial" w:hAnsi="Arial"/>
                <w:sz w:val="18"/>
                <w:szCs w:val="18"/>
                <w:b w:val="1"/>
                <w:bCs w:val="1"/>
                <w:color w:val="auto"/>
                <w:w w:val="90"/>
              </w:rPr>
              <w:t>Price</w:t>
            </w:r>
          </w:p>
        </w:tc>
        <w:tc>
          <w:tcPr>
            <w:tcW w:w="260" w:type="dxa"/>
            <w:vAlign w:val="bottom"/>
          </w:tcPr>
          <w:p>
            <w:pPr>
              <w:spacing w:after="0"/>
              <w:rPr>
                <w:sz w:val="19"/>
                <w:szCs w:val="19"/>
                <w:color w:val="auto"/>
              </w:rPr>
            </w:pPr>
          </w:p>
        </w:tc>
        <w:tc>
          <w:tcPr>
            <w:tcW w:w="1120" w:type="dxa"/>
            <w:vAlign w:val="bottom"/>
          </w:tcPr>
          <w:p>
            <w:pPr>
              <w:jc w:val="center"/>
              <w:ind w:left="92"/>
              <w:spacing w:after="0"/>
              <w:rPr>
                <w:sz w:val="20"/>
                <w:szCs w:val="20"/>
                <w:color w:val="auto"/>
              </w:rPr>
            </w:pPr>
            <w:r>
              <w:rPr>
                <w:rFonts w:ascii="Arial" w:cs="Arial" w:eastAsia="Arial" w:hAnsi="Arial"/>
                <w:sz w:val="18"/>
                <w:szCs w:val="18"/>
                <w:color w:val="auto"/>
                <w:w w:val="80"/>
              </w:rPr>
              <w:t>Shares</w:t>
            </w:r>
          </w:p>
        </w:tc>
        <w:tc>
          <w:tcPr>
            <w:tcW w:w="1680" w:type="dxa"/>
            <w:vAlign w:val="bottom"/>
          </w:tcPr>
          <w:p>
            <w:pPr>
              <w:jc w:val="center"/>
              <w:ind w:left="352"/>
              <w:spacing w:after="0"/>
              <w:rPr>
                <w:sz w:val="20"/>
                <w:szCs w:val="20"/>
                <w:color w:val="auto"/>
              </w:rPr>
            </w:pPr>
            <w:r>
              <w:rPr>
                <w:rFonts w:ascii="Arial" w:cs="Arial" w:eastAsia="Arial" w:hAnsi="Arial"/>
                <w:sz w:val="18"/>
                <w:szCs w:val="18"/>
                <w:color w:val="auto"/>
                <w:w w:val="87"/>
              </w:rPr>
              <w:t>Price</w:t>
            </w:r>
          </w:p>
        </w:tc>
        <w:tc>
          <w:tcPr>
            <w:tcW w:w="260" w:type="dxa"/>
            <w:vAlign w:val="bottom"/>
          </w:tcPr>
          <w:p>
            <w:pPr>
              <w:spacing w:after="0"/>
              <w:rPr>
                <w:sz w:val="19"/>
                <w:szCs w:val="19"/>
                <w:color w:val="auto"/>
              </w:rPr>
            </w:pPr>
          </w:p>
        </w:tc>
        <w:tc>
          <w:tcPr>
            <w:tcW w:w="1160" w:type="dxa"/>
            <w:vAlign w:val="bottom"/>
          </w:tcPr>
          <w:p>
            <w:pPr>
              <w:jc w:val="center"/>
              <w:ind w:left="72"/>
              <w:spacing w:after="0"/>
              <w:rPr>
                <w:sz w:val="20"/>
                <w:szCs w:val="20"/>
                <w:color w:val="auto"/>
              </w:rPr>
            </w:pPr>
            <w:r>
              <w:rPr>
                <w:rFonts w:ascii="Arial" w:cs="Arial" w:eastAsia="Arial" w:hAnsi="Arial"/>
                <w:sz w:val="18"/>
                <w:szCs w:val="18"/>
                <w:color w:val="auto"/>
                <w:w w:val="84"/>
              </w:rPr>
              <w:t>Shares</w:t>
            </w:r>
          </w:p>
        </w:tc>
        <w:tc>
          <w:tcPr>
            <w:tcW w:w="1740" w:type="dxa"/>
            <w:vAlign w:val="bottom"/>
          </w:tcPr>
          <w:p>
            <w:pPr>
              <w:jc w:val="center"/>
              <w:ind w:left="332"/>
              <w:spacing w:after="0"/>
              <w:rPr>
                <w:sz w:val="20"/>
                <w:szCs w:val="20"/>
                <w:color w:val="auto"/>
              </w:rPr>
            </w:pPr>
            <w:r>
              <w:rPr>
                <w:rFonts w:ascii="Arial" w:cs="Arial" w:eastAsia="Arial" w:hAnsi="Arial"/>
                <w:sz w:val="18"/>
                <w:szCs w:val="18"/>
                <w:color w:val="auto"/>
                <w:w w:val="87"/>
              </w:rPr>
              <w:t>Price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2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60" w:type="dxa"/>
            <w:vAlign w:val="bottom"/>
            <w:shd w:val="clear" w:color="auto" w:fill="EEEEEE"/>
          </w:tcPr>
          <w:p>
            <w:pPr>
              <w:spacing w:after="0"/>
              <w:rPr>
                <w:sz w:val="20"/>
                <w:szCs w:val="20"/>
                <w:color w:val="auto"/>
              </w:rPr>
            </w:pPr>
            <w:r>
              <w:rPr>
                <w:rFonts w:ascii="Arial" w:cs="Arial" w:eastAsia="Arial" w:hAnsi="Arial"/>
                <w:sz w:val="18"/>
                <w:szCs w:val="18"/>
                <w:color w:val="auto"/>
              </w:rPr>
              <w:t>Beginning of year</w:t>
            </w:r>
          </w:p>
        </w:tc>
        <w:tc>
          <w:tcPr>
            <w:tcW w:w="1160" w:type="dxa"/>
            <w:vAlign w:val="bottom"/>
            <w:shd w:val="clear" w:color="auto" w:fill="EEEEEE"/>
          </w:tcPr>
          <w:p>
            <w:pPr>
              <w:jc w:val="right"/>
              <w:ind w:right="92"/>
              <w:spacing w:after="0"/>
              <w:rPr>
                <w:sz w:val="20"/>
                <w:szCs w:val="20"/>
                <w:color w:val="auto"/>
              </w:rPr>
            </w:pPr>
            <w:r>
              <w:rPr>
                <w:rFonts w:ascii="Arial" w:cs="Arial" w:eastAsia="Arial" w:hAnsi="Arial"/>
                <w:sz w:val="18"/>
                <w:szCs w:val="18"/>
                <w:b w:val="1"/>
                <w:bCs w:val="1"/>
                <w:color w:val="auto"/>
              </w:rPr>
              <w:t>147,463</w:t>
            </w:r>
          </w:p>
        </w:tc>
        <w:tc>
          <w:tcPr>
            <w:tcW w:w="1760" w:type="dxa"/>
            <w:vAlign w:val="bottom"/>
            <w:shd w:val="clear" w:color="auto" w:fill="EEEEEE"/>
          </w:tcPr>
          <w:p>
            <w:pPr>
              <w:jc w:val="right"/>
              <w:ind w:right="232"/>
              <w:spacing w:after="0"/>
              <w:rPr>
                <w:sz w:val="20"/>
                <w:szCs w:val="20"/>
                <w:color w:val="auto"/>
              </w:rPr>
            </w:pPr>
            <w:r>
              <w:rPr>
                <w:rFonts w:ascii="Arial" w:cs="Arial" w:eastAsia="Arial" w:hAnsi="Arial"/>
                <w:sz w:val="18"/>
                <w:szCs w:val="18"/>
                <w:b w:val="1"/>
                <w:bCs w:val="1"/>
                <w:color w:val="auto"/>
              </w:rPr>
              <w:t>$311.24</w:t>
            </w:r>
          </w:p>
        </w:tc>
        <w:tc>
          <w:tcPr>
            <w:tcW w:w="1380" w:type="dxa"/>
            <w:vAlign w:val="bottom"/>
            <w:gridSpan w:val="2"/>
            <w:shd w:val="clear" w:color="auto" w:fill="EEEEEE"/>
          </w:tcPr>
          <w:p>
            <w:pPr>
              <w:jc w:val="right"/>
              <w:ind w:right="52"/>
              <w:spacing w:after="0"/>
              <w:rPr>
                <w:sz w:val="20"/>
                <w:szCs w:val="20"/>
                <w:color w:val="auto"/>
              </w:rPr>
            </w:pPr>
            <w:r>
              <w:rPr>
                <w:rFonts w:ascii="Arial" w:cs="Arial" w:eastAsia="Arial" w:hAnsi="Arial"/>
                <w:sz w:val="18"/>
                <w:szCs w:val="18"/>
                <w:color w:val="auto"/>
              </w:rPr>
              <w:t>142,578</w:t>
            </w:r>
          </w:p>
        </w:tc>
        <w:tc>
          <w:tcPr>
            <w:tcW w:w="168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rPr>
              <w:t>$296.69</w:t>
            </w:r>
          </w:p>
        </w:tc>
        <w:tc>
          <w:tcPr>
            <w:tcW w:w="1420" w:type="dxa"/>
            <w:vAlign w:val="bottom"/>
            <w:gridSpan w:val="2"/>
            <w:shd w:val="clear" w:color="auto" w:fill="EEEEEE"/>
          </w:tcPr>
          <w:p>
            <w:pPr>
              <w:jc w:val="right"/>
              <w:ind w:right="92"/>
              <w:spacing w:after="0"/>
              <w:rPr>
                <w:sz w:val="20"/>
                <w:szCs w:val="20"/>
                <w:color w:val="auto"/>
              </w:rPr>
            </w:pPr>
            <w:r>
              <w:rPr>
                <w:rFonts w:ascii="Arial" w:cs="Arial" w:eastAsia="Arial" w:hAnsi="Arial"/>
                <w:sz w:val="18"/>
                <w:szCs w:val="18"/>
                <w:color w:val="auto"/>
              </w:rPr>
              <w:t>131,880</w:t>
            </w:r>
          </w:p>
        </w:tc>
        <w:tc>
          <w:tcPr>
            <w:tcW w:w="174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rPr>
              <w:t>$246.14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ind w:left="22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ind w:right="92"/>
              <w:spacing w:after="0"/>
              <w:rPr>
                <w:sz w:val="20"/>
                <w:szCs w:val="20"/>
                <w:color w:val="auto"/>
              </w:rPr>
            </w:pPr>
            <w:r>
              <w:rPr>
                <w:rFonts w:ascii="Arial" w:cs="Arial" w:eastAsia="Arial" w:hAnsi="Arial"/>
                <w:sz w:val="18"/>
                <w:szCs w:val="18"/>
                <w:b w:val="1"/>
                <w:bCs w:val="1"/>
                <w:color w:val="auto"/>
              </w:rPr>
              <w:t>16,037</w:t>
            </w:r>
          </w:p>
        </w:tc>
        <w:tc>
          <w:tcPr>
            <w:tcW w:w="1760" w:type="dxa"/>
            <w:vAlign w:val="bottom"/>
          </w:tcPr>
          <w:p>
            <w:pPr>
              <w:jc w:val="right"/>
              <w:ind w:right="232"/>
              <w:spacing w:after="0"/>
              <w:rPr>
                <w:sz w:val="20"/>
                <w:szCs w:val="20"/>
                <w:color w:val="auto"/>
              </w:rPr>
            </w:pPr>
            <w:r>
              <w:rPr>
                <w:rFonts w:ascii="Arial" w:cs="Arial" w:eastAsia="Arial" w:hAnsi="Arial"/>
                <w:sz w:val="18"/>
                <w:szCs w:val="18"/>
                <w:b w:val="1"/>
                <w:bCs w:val="1"/>
                <w:color w:val="auto"/>
              </w:rPr>
              <w:t>1,546.23</w:t>
            </w:r>
          </w:p>
        </w:tc>
        <w:tc>
          <w:tcPr>
            <w:tcW w:w="1380" w:type="dxa"/>
            <w:vAlign w:val="bottom"/>
            <w:gridSpan w:val="2"/>
          </w:tcPr>
          <w:p>
            <w:pPr>
              <w:jc w:val="right"/>
              <w:ind w:right="52"/>
              <w:spacing w:after="0"/>
              <w:rPr>
                <w:sz w:val="20"/>
                <w:szCs w:val="20"/>
                <w:color w:val="auto"/>
              </w:rPr>
            </w:pPr>
            <w:r>
              <w:rPr>
                <w:rFonts w:ascii="Arial" w:cs="Arial" w:eastAsia="Arial" w:hAnsi="Arial"/>
                <w:sz w:val="18"/>
                <w:szCs w:val="18"/>
                <w:color w:val="auto"/>
              </w:rPr>
              <w:t>6,475</w:t>
            </w:r>
          </w:p>
        </w:tc>
        <w:tc>
          <w:tcPr>
            <w:tcW w:w="1680" w:type="dxa"/>
            <w:vAlign w:val="bottom"/>
          </w:tcPr>
          <w:p>
            <w:pPr>
              <w:jc w:val="right"/>
              <w:ind w:right="232"/>
              <w:spacing w:after="0"/>
              <w:rPr>
                <w:sz w:val="20"/>
                <w:szCs w:val="20"/>
                <w:color w:val="auto"/>
              </w:rPr>
            </w:pPr>
            <w:r>
              <w:rPr>
                <w:rFonts w:ascii="Arial" w:cs="Arial" w:eastAsia="Arial" w:hAnsi="Arial"/>
                <w:sz w:val="18"/>
                <w:szCs w:val="18"/>
                <w:color w:val="auto"/>
              </w:rPr>
              <w:t>652.00</w:t>
            </w:r>
          </w:p>
        </w:tc>
        <w:tc>
          <w:tcPr>
            <w:tcW w:w="1420" w:type="dxa"/>
            <w:vAlign w:val="bottom"/>
            <w:gridSpan w:val="2"/>
          </w:tcPr>
          <w:p>
            <w:pPr>
              <w:jc w:val="right"/>
              <w:ind w:right="92"/>
              <w:spacing w:after="0"/>
              <w:rPr>
                <w:sz w:val="20"/>
                <w:szCs w:val="20"/>
                <w:color w:val="auto"/>
              </w:rPr>
            </w:pPr>
            <w:r>
              <w:rPr>
                <w:rFonts w:ascii="Arial" w:cs="Arial" w:eastAsia="Arial" w:hAnsi="Arial"/>
                <w:sz w:val="18"/>
                <w:szCs w:val="18"/>
                <w:color w:val="auto"/>
              </w:rPr>
              <w:t>27,962</w:t>
            </w:r>
          </w:p>
        </w:tc>
        <w:tc>
          <w:tcPr>
            <w:tcW w:w="1740" w:type="dxa"/>
            <w:vAlign w:val="bottom"/>
          </w:tcPr>
          <w:p>
            <w:pPr>
              <w:jc w:val="right"/>
              <w:ind w:right="232"/>
              <w:spacing w:after="0"/>
              <w:rPr>
                <w:sz w:val="20"/>
                <w:szCs w:val="20"/>
                <w:color w:val="auto"/>
              </w:rPr>
            </w:pPr>
            <w:r>
              <w:rPr>
                <w:rFonts w:ascii="Arial" w:cs="Arial" w:eastAsia="Arial" w:hAnsi="Arial"/>
                <w:sz w:val="18"/>
                <w:szCs w:val="18"/>
                <w:color w:val="auto"/>
              </w:rPr>
              <w:t>526.00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Exercised</w:t>
            </w:r>
          </w:p>
        </w:tc>
        <w:tc>
          <w:tcPr>
            <w:tcW w:w="1160" w:type="dxa"/>
            <w:vAlign w:val="bottom"/>
            <w:shd w:val="clear" w:color="auto" w:fill="EEEEEE"/>
          </w:tcPr>
          <w:p>
            <w:pPr>
              <w:jc w:val="right"/>
              <w:ind w:right="32"/>
              <w:spacing w:after="0"/>
              <w:rPr>
                <w:sz w:val="20"/>
                <w:szCs w:val="20"/>
                <w:color w:val="auto"/>
              </w:rPr>
            </w:pPr>
            <w:r>
              <w:rPr>
                <w:rFonts w:ascii="Arial" w:cs="Arial" w:eastAsia="Arial" w:hAnsi="Arial"/>
                <w:sz w:val="18"/>
                <w:szCs w:val="18"/>
                <w:b w:val="1"/>
                <w:bCs w:val="1"/>
                <w:color w:val="auto"/>
              </w:rPr>
              <w:t>(94,652)</w:t>
            </w:r>
          </w:p>
        </w:tc>
        <w:tc>
          <w:tcPr>
            <w:tcW w:w="1760" w:type="dxa"/>
            <w:vAlign w:val="bottom"/>
            <w:shd w:val="clear" w:color="auto" w:fill="EEEEEE"/>
          </w:tcPr>
          <w:p>
            <w:pPr>
              <w:jc w:val="right"/>
              <w:ind w:right="232"/>
              <w:spacing w:after="0"/>
              <w:rPr>
                <w:sz w:val="20"/>
                <w:szCs w:val="20"/>
                <w:color w:val="auto"/>
              </w:rPr>
            </w:pPr>
            <w:r>
              <w:rPr>
                <w:rFonts w:ascii="Arial" w:cs="Arial" w:eastAsia="Arial" w:hAnsi="Arial"/>
                <w:sz w:val="18"/>
                <w:szCs w:val="18"/>
                <w:b w:val="1"/>
                <w:bCs w:val="1"/>
                <w:color w:val="auto"/>
              </w:rPr>
              <w:t>303.66</w:t>
            </w:r>
          </w:p>
        </w:tc>
        <w:tc>
          <w:tcPr>
            <w:tcW w:w="1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(540)</w:t>
            </w:r>
          </w:p>
        </w:tc>
        <w:tc>
          <w:tcPr>
            <w:tcW w:w="168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rPr>
              <w:t>375.00</w:t>
            </w:r>
          </w:p>
        </w:tc>
        <w:tc>
          <w:tcPr>
            <w:tcW w:w="1420" w:type="dxa"/>
            <w:vAlign w:val="bottom"/>
            <w:gridSpan w:val="2"/>
            <w:shd w:val="clear" w:color="auto" w:fill="EEEEEE"/>
          </w:tcPr>
          <w:p>
            <w:pPr>
              <w:jc w:val="right"/>
              <w:ind w:right="32"/>
              <w:spacing w:after="0"/>
              <w:rPr>
                <w:sz w:val="20"/>
                <w:szCs w:val="20"/>
                <w:color w:val="auto"/>
              </w:rPr>
            </w:pPr>
            <w:r>
              <w:rPr>
                <w:rFonts w:ascii="Arial" w:cs="Arial" w:eastAsia="Arial" w:hAnsi="Arial"/>
                <w:sz w:val="18"/>
                <w:szCs w:val="18"/>
                <w:color w:val="auto"/>
              </w:rPr>
              <w:t>(7,247)</w:t>
            </w:r>
          </w:p>
        </w:tc>
        <w:tc>
          <w:tcPr>
            <w:tcW w:w="174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rPr>
              <w:t>227.20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260" w:type="dxa"/>
            <w:vAlign w:val="bottom"/>
          </w:tcPr>
          <w:p>
            <w:pPr>
              <w:ind w:left="220"/>
              <w:spacing w:after="0"/>
              <w:rPr>
                <w:sz w:val="20"/>
                <w:szCs w:val="20"/>
                <w:color w:val="auto"/>
              </w:rPr>
            </w:pPr>
            <w:r>
              <w:rPr>
                <w:rFonts w:ascii="Arial" w:cs="Arial" w:eastAsia="Arial" w:hAnsi="Arial"/>
                <w:sz w:val="18"/>
                <w:szCs w:val="18"/>
                <w:color w:val="auto"/>
              </w:rPr>
              <w:t>Forfeited</w:t>
            </w:r>
          </w:p>
        </w:tc>
        <w:tc>
          <w:tcPr>
            <w:tcW w:w="1160" w:type="dxa"/>
            <w:vAlign w:val="bottom"/>
          </w:tcPr>
          <w:p>
            <w:pPr>
              <w:jc w:val="right"/>
              <w:ind w:right="32"/>
              <w:spacing w:after="0"/>
              <w:rPr>
                <w:sz w:val="20"/>
                <w:szCs w:val="20"/>
                <w:color w:val="auto"/>
              </w:rPr>
            </w:pPr>
            <w:r>
              <w:rPr>
                <w:rFonts w:ascii="Arial" w:cs="Arial" w:eastAsia="Arial" w:hAnsi="Arial"/>
                <w:sz w:val="18"/>
                <w:szCs w:val="18"/>
                <w:b w:val="1"/>
                <w:bCs w:val="1"/>
                <w:color w:val="auto"/>
              </w:rPr>
              <w:t>(848)</w:t>
            </w:r>
          </w:p>
        </w:tc>
        <w:tc>
          <w:tcPr>
            <w:tcW w:w="1760" w:type="dxa"/>
            <w:vAlign w:val="bottom"/>
          </w:tcPr>
          <w:p>
            <w:pPr>
              <w:jc w:val="right"/>
              <w:ind w:right="232"/>
              <w:spacing w:after="0"/>
              <w:rPr>
                <w:sz w:val="20"/>
                <w:szCs w:val="20"/>
                <w:color w:val="auto"/>
              </w:rPr>
            </w:pPr>
            <w:r>
              <w:rPr>
                <w:rFonts w:ascii="Arial" w:cs="Arial" w:eastAsia="Arial" w:hAnsi="Arial"/>
                <w:sz w:val="18"/>
                <w:szCs w:val="18"/>
                <w:b w:val="1"/>
                <w:bCs w:val="1"/>
                <w:color w:val="auto"/>
              </w:rPr>
              <w:t>382.12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(1,050)</w:t>
            </w:r>
          </w:p>
        </w:tc>
        <w:tc>
          <w:tcPr>
            <w:tcW w:w="1680" w:type="dxa"/>
            <w:vAlign w:val="bottom"/>
          </w:tcPr>
          <w:p>
            <w:pPr>
              <w:jc w:val="right"/>
              <w:ind w:right="232"/>
              <w:spacing w:after="0"/>
              <w:rPr>
                <w:sz w:val="20"/>
                <w:szCs w:val="20"/>
                <w:color w:val="auto"/>
              </w:rPr>
            </w:pPr>
            <w:r>
              <w:rPr>
                <w:rFonts w:ascii="Arial" w:cs="Arial" w:eastAsia="Arial" w:hAnsi="Arial"/>
                <w:sz w:val="18"/>
                <w:szCs w:val="18"/>
                <w:color w:val="auto"/>
              </w:rPr>
              <w:t>403.76</w:t>
            </w:r>
          </w:p>
        </w:tc>
        <w:tc>
          <w:tcPr>
            <w:tcW w:w="1420" w:type="dxa"/>
            <w:vAlign w:val="bottom"/>
            <w:gridSpan w:val="2"/>
          </w:tcPr>
          <w:p>
            <w:pPr>
              <w:jc w:val="right"/>
              <w:ind w:right="32"/>
              <w:spacing w:after="0"/>
              <w:rPr>
                <w:sz w:val="20"/>
                <w:szCs w:val="20"/>
                <w:color w:val="auto"/>
              </w:rPr>
            </w:pPr>
            <w:r>
              <w:rPr>
                <w:rFonts w:ascii="Arial" w:cs="Arial" w:eastAsia="Arial" w:hAnsi="Arial"/>
                <w:sz w:val="18"/>
                <w:szCs w:val="18"/>
                <w:color w:val="auto"/>
              </w:rPr>
              <w:t>(10,017)</w:t>
            </w:r>
          </w:p>
        </w:tc>
        <w:tc>
          <w:tcPr>
            <w:tcW w:w="1740" w:type="dxa"/>
            <w:vAlign w:val="bottom"/>
          </w:tcPr>
          <w:p>
            <w:pPr>
              <w:jc w:val="right"/>
              <w:ind w:right="232"/>
              <w:spacing w:after="0"/>
              <w:rPr>
                <w:sz w:val="20"/>
                <w:szCs w:val="20"/>
                <w:color w:val="auto"/>
              </w:rPr>
            </w:pPr>
            <w:r>
              <w:rPr>
                <w:rFonts w:ascii="Arial" w:cs="Arial" w:eastAsia="Arial" w:hAnsi="Arial"/>
                <w:sz w:val="18"/>
                <w:szCs w:val="18"/>
                <w:color w:val="auto"/>
              </w:rPr>
              <w:t>321.67</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76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6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7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60" w:type="dxa"/>
            <w:vAlign w:val="bottom"/>
            <w:shd w:val="clear" w:color="auto" w:fill="EEEEEE"/>
          </w:tcPr>
          <w:p>
            <w:pPr>
              <w:spacing w:after="0"/>
              <w:rPr>
                <w:sz w:val="20"/>
                <w:szCs w:val="20"/>
                <w:color w:val="auto"/>
              </w:rPr>
            </w:pPr>
            <w:r>
              <w:rPr>
                <w:rFonts w:ascii="Arial" w:cs="Arial" w:eastAsia="Arial" w:hAnsi="Arial"/>
                <w:sz w:val="18"/>
                <w:szCs w:val="18"/>
                <w:color w:val="auto"/>
              </w:rPr>
              <w:t>End of year</w:t>
            </w:r>
          </w:p>
        </w:tc>
        <w:tc>
          <w:tcPr>
            <w:tcW w:w="1160" w:type="dxa"/>
            <w:vAlign w:val="bottom"/>
            <w:shd w:val="clear" w:color="auto" w:fill="EEEEEE"/>
          </w:tcPr>
          <w:p>
            <w:pPr>
              <w:jc w:val="right"/>
              <w:ind w:right="92"/>
              <w:spacing w:after="0"/>
              <w:rPr>
                <w:sz w:val="20"/>
                <w:szCs w:val="20"/>
                <w:color w:val="auto"/>
              </w:rPr>
            </w:pPr>
            <w:r>
              <w:rPr>
                <w:rFonts w:ascii="Arial" w:cs="Arial" w:eastAsia="Arial" w:hAnsi="Arial"/>
                <w:sz w:val="18"/>
                <w:szCs w:val="18"/>
                <w:b w:val="1"/>
                <w:bCs w:val="1"/>
                <w:color w:val="auto"/>
              </w:rPr>
              <w:t>68,000</w:t>
            </w:r>
          </w:p>
        </w:tc>
        <w:tc>
          <w:tcPr>
            <w:tcW w:w="1760" w:type="dxa"/>
            <w:vAlign w:val="bottom"/>
            <w:shd w:val="clear" w:color="auto" w:fill="EEEEEE"/>
          </w:tcPr>
          <w:p>
            <w:pPr>
              <w:jc w:val="right"/>
              <w:ind w:right="232"/>
              <w:spacing w:after="0"/>
              <w:rPr>
                <w:sz w:val="20"/>
                <w:szCs w:val="20"/>
                <w:color w:val="auto"/>
              </w:rPr>
            </w:pPr>
            <w:r>
              <w:rPr>
                <w:rFonts w:ascii="Arial" w:cs="Arial" w:eastAsia="Arial" w:hAnsi="Arial"/>
                <w:sz w:val="18"/>
                <w:szCs w:val="18"/>
                <w:b w:val="1"/>
                <w:bCs w:val="1"/>
                <w:color w:val="auto"/>
              </w:rPr>
              <w:t>$596.17</w:t>
            </w:r>
          </w:p>
        </w:tc>
        <w:tc>
          <w:tcPr>
            <w:tcW w:w="1380" w:type="dxa"/>
            <w:vAlign w:val="bottom"/>
            <w:gridSpan w:val="2"/>
            <w:shd w:val="clear" w:color="auto" w:fill="EEEEEE"/>
          </w:tcPr>
          <w:p>
            <w:pPr>
              <w:jc w:val="right"/>
              <w:ind w:right="52"/>
              <w:spacing w:after="0"/>
              <w:rPr>
                <w:sz w:val="20"/>
                <w:szCs w:val="20"/>
                <w:color w:val="auto"/>
              </w:rPr>
            </w:pPr>
            <w:r>
              <w:rPr>
                <w:rFonts w:ascii="Arial" w:cs="Arial" w:eastAsia="Arial" w:hAnsi="Arial"/>
                <w:sz w:val="18"/>
                <w:szCs w:val="18"/>
                <w:color w:val="auto"/>
              </w:rPr>
              <w:t>147,463</w:t>
            </w:r>
          </w:p>
        </w:tc>
        <w:tc>
          <w:tcPr>
            <w:tcW w:w="168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rPr>
              <w:t>$311.24</w:t>
            </w:r>
          </w:p>
        </w:tc>
        <w:tc>
          <w:tcPr>
            <w:tcW w:w="1420" w:type="dxa"/>
            <w:vAlign w:val="bottom"/>
            <w:gridSpan w:val="2"/>
            <w:shd w:val="clear" w:color="auto" w:fill="EEEEEE"/>
          </w:tcPr>
          <w:p>
            <w:pPr>
              <w:jc w:val="right"/>
              <w:ind w:right="92"/>
              <w:spacing w:after="0"/>
              <w:rPr>
                <w:sz w:val="20"/>
                <w:szCs w:val="20"/>
                <w:color w:val="auto"/>
              </w:rPr>
            </w:pPr>
            <w:r>
              <w:rPr>
                <w:rFonts w:ascii="Arial" w:cs="Arial" w:eastAsia="Arial" w:hAnsi="Arial"/>
                <w:sz w:val="18"/>
                <w:szCs w:val="18"/>
                <w:color w:val="auto"/>
              </w:rPr>
              <w:t>142,578</w:t>
            </w:r>
          </w:p>
        </w:tc>
        <w:tc>
          <w:tcPr>
            <w:tcW w:w="174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rPr>
              <w:t>$296.69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76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6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7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Of the shares covered by options outstanding at the end of 2003, 39,910 are now exercisable, 7,332 will become exercisable in 2004, 7,332 will become exercisable in 2005, 7,232 will become exercisable in 2006, 3,397 will become exercisable in 2007, and 2,797 will become exercisable in 2008. Information related to stock options outstanding at December 28, 2003 is as follows: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86"/>
              </w:rPr>
              <w:t>Weighted</w:t>
            </w:r>
          </w:p>
        </w:tc>
        <w:tc>
          <w:tcPr>
            <w:tcW w:w="258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86"/>
              </w:rPr>
              <w:t>Average</w:t>
            </w:r>
          </w:p>
        </w:tc>
        <w:tc>
          <w:tcPr>
            <w:tcW w:w="258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2940" w:type="dxa"/>
            <w:vAlign w:val="bottom"/>
          </w:tcPr>
          <w:p>
            <w:pPr>
              <w:jc w:val="center"/>
              <w:ind w:left="52"/>
              <w:spacing w:after="0"/>
              <w:rPr>
                <w:sz w:val="20"/>
                <w:szCs w:val="20"/>
                <w:color w:val="auto"/>
              </w:rPr>
            </w:pPr>
            <w:r>
              <w:rPr>
                <w:rFonts w:ascii="Arial" w:cs="Arial" w:eastAsia="Arial" w:hAnsi="Arial"/>
                <w:sz w:val="18"/>
                <w:szCs w:val="18"/>
                <w:color w:val="auto"/>
                <w:w w:val="87"/>
              </w:rPr>
              <w:t>Number</w:t>
            </w:r>
          </w:p>
        </w:tc>
        <w:tc>
          <w:tcPr>
            <w:tcW w:w="2740" w:type="dxa"/>
            <w:vAlign w:val="bottom"/>
          </w:tcPr>
          <w:p>
            <w:pPr>
              <w:jc w:val="center"/>
              <w:spacing w:after="0"/>
              <w:rPr>
                <w:sz w:val="20"/>
                <w:szCs w:val="20"/>
                <w:color w:val="auto"/>
              </w:rPr>
            </w:pPr>
            <w:r>
              <w:rPr>
                <w:rFonts w:ascii="Arial" w:cs="Arial" w:eastAsia="Arial" w:hAnsi="Arial"/>
                <w:sz w:val="18"/>
                <w:szCs w:val="18"/>
                <w:color w:val="auto"/>
                <w:w w:val="90"/>
              </w:rPr>
              <w:t>Remaining</w:t>
            </w:r>
          </w:p>
        </w:tc>
        <w:tc>
          <w:tcPr>
            <w:tcW w:w="2580" w:type="dxa"/>
            <w:vAlign w:val="bottom"/>
          </w:tcPr>
          <w:p>
            <w:pPr>
              <w:jc w:val="center"/>
              <w:ind w:left="32"/>
              <w:spacing w:after="0"/>
              <w:rPr>
                <w:sz w:val="20"/>
                <w:szCs w:val="20"/>
                <w:color w:val="auto"/>
              </w:rPr>
            </w:pPr>
            <w:r>
              <w:rPr>
                <w:rFonts w:ascii="Arial" w:cs="Arial" w:eastAsia="Arial" w:hAnsi="Arial"/>
                <w:sz w:val="18"/>
                <w:szCs w:val="18"/>
                <w:color w:val="auto"/>
                <w:w w:val="90"/>
              </w:rPr>
              <w:t>Number</w:t>
            </w:r>
          </w:p>
        </w:tc>
      </w:tr>
      <w:tr>
        <w:trPr>
          <w:trHeight w:val="216"/>
        </w:trPr>
        <w:tc>
          <w:tcPr>
            <w:tcW w:w="3160" w:type="dxa"/>
            <w:vAlign w:val="bottom"/>
          </w:tcPr>
          <w:p>
            <w:pPr>
              <w:spacing w:after="0"/>
              <w:rPr>
                <w:sz w:val="18"/>
                <w:szCs w:val="18"/>
                <w:color w:val="auto"/>
              </w:rPr>
            </w:pPr>
          </w:p>
        </w:tc>
        <w:tc>
          <w:tcPr>
            <w:tcW w:w="2940" w:type="dxa"/>
            <w:vAlign w:val="bottom"/>
          </w:tcPr>
          <w:p>
            <w:pPr>
              <w:jc w:val="center"/>
              <w:ind w:left="72"/>
              <w:spacing w:after="0"/>
              <w:rPr>
                <w:sz w:val="20"/>
                <w:szCs w:val="20"/>
                <w:color w:val="auto"/>
              </w:rPr>
            </w:pPr>
            <w:r>
              <w:rPr>
                <w:rFonts w:ascii="Arial" w:cs="Arial" w:eastAsia="Arial" w:hAnsi="Arial"/>
                <w:sz w:val="18"/>
                <w:szCs w:val="18"/>
                <w:color w:val="auto"/>
                <w:w w:val="88"/>
              </w:rPr>
              <w:t>Outstanding</w:t>
            </w:r>
          </w:p>
        </w:tc>
        <w:tc>
          <w:tcPr>
            <w:tcW w:w="2740" w:type="dxa"/>
            <w:vAlign w:val="bottom"/>
          </w:tcPr>
          <w:p>
            <w:pPr>
              <w:jc w:val="center"/>
              <w:spacing w:after="0"/>
              <w:rPr>
                <w:sz w:val="20"/>
                <w:szCs w:val="20"/>
                <w:color w:val="auto"/>
              </w:rPr>
            </w:pPr>
            <w:r>
              <w:rPr>
                <w:rFonts w:ascii="Arial" w:cs="Arial" w:eastAsia="Arial" w:hAnsi="Arial"/>
                <w:sz w:val="18"/>
                <w:szCs w:val="18"/>
                <w:color w:val="auto"/>
                <w:w w:val="89"/>
              </w:rPr>
              <w:t>Contractual</w:t>
            </w:r>
          </w:p>
        </w:tc>
        <w:tc>
          <w:tcPr>
            <w:tcW w:w="2580" w:type="dxa"/>
            <w:vAlign w:val="bottom"/>
          </w:tcPr>
          <w:p>
            <w:pPr>
              <w:jc w:val="center"/>
              <w:ind w:left="32"/>
              <w:spacing w:after="0"/>
              <w:rPr>
                <w:sz w:val="20"/>
                <w:szCs w:val="20"/>
                <w:color w:val="auto"/>
              </w:rPr>
            </w:pPr>
            <w:r>
              <w:rPr>
                <w:rFonts w:ascii="Arial" w:cs="Arial" w:eastAsia="Arial" w:hAnsi="Arial"/>
                <w:sz w:val="18"/>
                <w:szCs w:val="18"/>
                <w:color w:val="auto"/>
                <w:w w:val="88"/>
              </w:rPr>
              <w:t>Exercisable</w:t>
            </w:r>
          </w:p>
        </w:tc>
      </w:tr>
      <w:tr>
        <w:trPr>
          <w:trHeight w:val="222"/>
        </w:trPr>
        <w:tc>
          <w:tcPr>
            <w:tcW w:w="3160" w:type="dxa"/>
            <w:vAlign w:val="bottom"/>
          </w:tcPr>
          <w:p>
            <w:pPr>
              <w:jc w:val="right"/>
              <w:ind w:right="1032"/>
              <w:spacing w:after="0"/>
              <w:rPr>
                <w:sz w:val="20"/>
                <w:szCs w:val="20"/>
                <w:color w:val="auto"/>
              </w:rPr>
            </w:pPr>
            <w:r>
              <w:rPr>
                <w:rFonts w:ascii="Arial" w:cs="Arial" w:eastAsia="Arial" w:hAnsi="Arial"/>
                <w:sz w:val="18"/>
                <w:szCs w:val="18"/>
                <w:color w:val="auto"/>
              </w:rPr>
              <w:t>Exercise Price</w:t>
            </w:r>
          </w:p>
        </w:tc>
        <w:tc>
          <w:tcPr>
            <w:tcW w:w="2940" w:type="dxa"/>
            <w:vAlign w:val="bottom"/>
          </w:tcPr>
          <w:p>
            <w:pPr>
              <w:jc w:val="center"/>
              <w:ind w:left="52"/>
              <w:spacing w:after="0"/>
              <w:rPr>
                <w:sz w:val="20"/>
                <w:szCs w:val="20"/>
                <w:color w:val="auto"/>
              </w:rPr>
            </w:pPr>
            <w:r>
              <w:rPr>
                <w:rFonts w:ascii="Arial" w:cs="Arial" w:eastAsia="Arial" w:hAnsi="Arial"/>
                <w:sz w:val="18"/>
                <w:szCs w:val="18"/>
                <w:color w:val="auto"/>
                <w:w w:val="88"/>
              </w:rPr>
              <w:t>at 12/28/03</w:t>
            </w:r>
          </w:p>
        </w:tc>
        <w:tc>
          <w:tcPr>
            <w:tcW w:w="2740" w:type="dxa"/>
            <w:vAlign w:val="bottom"/>
          </w:tcPr>
          <w:p>
            <w:pPr>
              <w:jc w:val="center"/>
              <w:spacing w:after="0"/>
              <w:rPr>
                <w:sz w:val="20"/>
                <w:szCs w:val="20"/>
                <w:color w:val="auto"/>
              </w:rPr>
            </w:pPr>
            <w:r>
              <w:rPr>
                <w:rFonts w:ascii="Arial" w:cs="Arial" w:eastAsia="Arial" w:hAnsi="Arial"/>
                <w:sz w:val="18"/>
                <w:szCs w:val="18"/>
                <w:color w:val="auto"/>
                <w:w w:val="93"/>
              </w:rPr>
              <w:t>Life (yrs.)</w:t>
            </w:r>
          </w:p>
        </w:tc>
        <w:tc>
          <w:tcPr>
            <w:tcW w:w="2580" w:type="dxa"/>
            <w:vAlign w:val="bottom"/>
          </w:tcPr>
          <w:p>
            <w:pPr>
              <w:jc w:val="center"/>
              <w:ind w:left="12"/>
              <w:spacing w:after="0"/>
              <w:rPr>
                <w:sz w:val="20"/>
                <w:szCs w:val="20"/>
                <w:color w:val="auto"/>
              </w:rPr>
            </w:pPr>
            <w:r>
              <w:rPr>
                <w:rFonts w:ascii="Arial" w:cs="Arial" w:eastAsia="Arial" w:hAnsi="Arial"/>
                <w:sz w:val="18"/>
                <w:szCs w:val="18"/>
                <w:color w:val="auto"/>
                <w:w w:val="88"/>
              </w:rPr>
              <w:t>at 12/28/03</w:t>
            </w:r>
          </w:p>
        </w:tc>
      </w:tr>
      <w:tr>
        <w:trPr>
          <w:trHeight w:val="110"/>
        </w:trPr>
        <w:tc>
          <w:tcPr>
            <w:tcW w:w="3160" w:type="dxa"/>
            <w:vAlign w:val="bottom"/>
            <w:tcBorders>
              <w:bottom w:val="single" w:sz="8" w:color="808080"/>
            </w:tcBorders>
          </w:tcPr>
          <w:p>
            <w:pPr>
              <w:spacing w:after="0"/>
              <w:rPr>
                <w:sz w:val="9"/>
                <w:szCs w:val="9"/>
                <w:color w:val="auto"/>
              </w:rPr>
            </w:pPr>
          </w:p>
        </w:tc>
        <w:tc>
          <w:tcPr>
            <w:tcW w:w="2940" w:type="dxa"/>
            <w:vAlign w:val="bottom"/>
            <w:tcBorders>
              <w:bottom w:val="single" w:sz="8" w:color="808080"/>
            </w:tcBorders>
          </w:tcPr>
          <w:p>
            <w:pPr>
              <w:spacing w:after="0"/>
              <w:rPr>
                <w:sz w:val="9"/>
                <w:szCs w:val="9"/>
                <w:color w:val="auto"/>
              </w:rPr>
            </w:pPr>
          </w:p>
        </w:tc>
        <w:tc>
          <w:tcPr>
            <w:tcW w:w="2740" w:type="dxa"/>
            <w:vAlign w:val="bottom"/>
            <w:tcBorders>
              <w:bottom w:val="single" w:sz="8" w:color="808080"/>
            </w:tcBorders>
          </w:tcPr>
          <w:p>
            <w:pPr>
              <w:spacing w:after="0"/>
              <w:rPr>
                <w:sz w:val="9"/>
                <w:szCs w:val="9"/>
                <w:color w:val="auto"/>
              </w:rPr>
            </w:pPr>
          </w:p>
        </w:tc>
        <w:tc>
          <w:tcPr>
            <w:tcW w:w="2580" w:type="dxa"/>
            <w:vAlign w:val="bottom"/>
            <w:tcBorders>
              <w:bottom w:val="single" w:sz="8" w:color="808080"/>
            </w:tcBorders>
          </w:tcPr>
          <w:p>
            <w:pPr>
              <w:spacing w:after="0"/>
              <w:rPr>
                <w:sz w:val="9"/>
                <w:szCs w:val="9"/>
                <w:color w:val="auto"/>
              </w:rPr>
            </w:pPr>
          </w:p>
        </w:tc>
      </w:tr>
      <w:tr>
        <w:trPr>
          <w:trHeight w:val="102"/>
        </w:trPr>
        <w:tc>
          <w:tcPr>
            <w:tcW w:w="3160" w:type="dxa"/>
            <w:vAlign w:val="bottom"/>
          </w:tcPr>
          <w:p>
            <w:pPr>
              <w:spacing w:after="0"/>
              <w:rPr>
                <w:sz w:val="8"/>
                <w:szCs w:val="8"/>
                <w:color w:val="auto"/>
              </w:rPr>
            </w:pPr>
          </w:p>
        </w:tc>
        <w:tc>
          <w:tcPr>
            <w:tcW w:w="2940" w:type="dxa"/>
            <w:vAlign w:val="bottom"/>
          </w:tcPr>
          <w:p>
            <w:pPr>
              <w:spacing w:after="0"/>
              <w:rPr>
                <w:sz w:val="8"/>
                <w:szCs w:val="8"/>
                <w:color w:val="auto"/>
              </w:rPr>
            </w:pPr>
          </w:p>
        </w:tc>
        <w:tc>
          <w:tcPr>
            <w:tcW w:w="2740" w:type="dxa"/>
            <w:vAlign w:val="bottom"/>
          </w:tcPr>
          <w:p>
            <w:pPr>
              <w:spacing w:after="0"/>
              <w:rPr>
                <w:sz w:val="8"/>
                <w:szCs w:val="8"/>
                <w:color w:val="auto"/>
              </w:rPr>
            </w:pPr>
          </w:p>
        </w:tc>
        <w:tc>
          <w:tcPr>
            <w:tcW w:w="2580" w:type="dxa"/>
            <w:vAlign w:val="bottom"/>
          </w:tcPr>
          <w:p>
            <w:pPr>
              <w:spacing w:after="0"/>
              <w:rPr>
                <w:sz w:val="8"/>
                <w:szCs w:val="8"/>
                <w:color w:val="auto"/>
              </w:rPr>
            </w:pPr>
          </w:p>
        </w:tc>
      </w:tr>
      <w:tr>
        <w:trPr>
          <w:trHeight w:val="216"/>
        </w:trPr>
        <w:tc>
          <w:tcPr>
            <w:tcW w:w="3160" w:type="dxa"/>
            <w:vAlign w:val="bottom"/>
            <w:shd w:val="clear" w:color="auto" w:fill="EEEEEE"/>
          </w:tcPr>
          <w:p>
            <w:pPr>
              <w:jc w:val="right"/>
              <w:ind w:right="1332"/>
              <w:spacing w:after="0"/>
              <w:rPr>
                <w:sz w:val="20"/>
                <w:szCs w:val="20"/>
                <w:color w:val="auto"/>
              </w:rPr>
            </w:pPr>
            <w:r>
              <w:rPr>
                <w:rFonts w:ascii="Arial" w:cs="Arial" w:eastAsia="Arial" w:hAnsi="Arial"/>
                <w:sz w:val="18"/>
                <w:szCs w:val="18"/>
                <w:color w:val="auto"/>
              </w:rPr>
              <w:t>$190</w:t>
            </w:r>
          </w:p>
        </w:tc>
        <w:tc>
          <w:tcPr>
            <w:tcW w:w="2940" w:type="dxa"/>
            <w:vAlign w:val="bottom"/>
            <w:shd w:val="clear" w:color="auto" w:fill="EEEEEE"/>
          </w:tcPr>
          <w:p>
            <w:pPr>
              <w:jc w:val="right"/>
              <w:ind w:right="1012"/>
              <w:spacing w:after="0"/>
              <w:rPr>
                <w:sz w:val="20"/>
                <w:szCs w:val="20"/>
                <w:color w:val="auto"/>
              </w:rPr>
            </w:pPr>
            <w:r>
              <w:rPr>
                <w:rFonts w:ascii="Arial" w:cs="Arial" w:eastAsia="Arial" w:hAnsi="Arial"/>
                <w:sz w:val="18"/>
                <w:szCs w:val="18"/>
                <w:color w:val="auto"/>
              </w:rPr>
              <w:t>31,341</w:t>
            </w:r>
          </w:p>
        </w:tc>
        <w:tc>
          <w:tcPr>
            <w:tcW w:w="2740" w:type="dxa"/>
            <w:vAlign w:val="bottom"/>
            <w:shd w:val="clear" w:color="auto" w:fill="EEEEEE"/>
          </w:tcPr>
          <w:p>
            <w:pPr>
              <w:jc w:val="right"/>
              <w:ind w:right="1052"/>
              <w:spacing w:after="0"/>
              <w:rPr>
                <w:sz w:val="20"/>
                <w:szCs w:val="20"/>
                <w:color w:val="auto"/>
              </w:rPr>
            </w:pPr>
            <w:r>
              <w:rPr>
                <w:rFonts w:ascii="Arial" w:cs="Arial" w:eastAsia="Arial" w:hAnsi="Arial"/>
                <w:sz w:val="18"/>
                <w:szCs w:val="18"/>
                <w:color w:val="auto"/>
              </w:rPr>
              <w:t>4.0</w:t>
            </w:r>
          </w:p>
        </w:tc>
        <w:tc>
          <w:tcPr>
            <w:tcW w:w="2580" w:type="dxa"/>
            <w:vAlign w:val="bottom"/>
            <w:shd w:val="clear" w:color="auto" w:fill="EEEEEE"/>
          </w:tcPr>
          <w:p>
            <w:pPr>
              <w:jc w:val="right"/>
              <w:ind w:right="852"/>
              <w:spacing w:after="0"/>
              <w:rPr>
                <w:sz w:val="20"/>
                <w:szCs w:val="20"/>
                <w:color w:val="auto"/>
              </w:rPr>
            </w:pPr>
            <w:r>
              <w:rPr>
                <w:rFonts w:ascii="Arial" w:cs="Arial" w:eastAsia="Arial" w:hAnsi="Arial"/>
                <w:sz w:val="18"/>
                <w:szCs w:val="18"/>
                <w:color w:val="auto"/>
              </w:rPr>
              <w:t>31,341</w:t>
            </w:r>
          </w:p>
        </w:tc>
      </w:tr>
      <w:tr>
        <w:trPr>
          <w:trHeight w:val="216"/>
        </w:trPr>
        <w:tc>
          <w:tcPr>
            <w:tcW w:w="3160" w:type="dxa"/>
            <w:vAlign w:val="bottom"/>
          </w:tcPr>
          <w:p>
            <w:pPr>
              <w:jc w:val="right"/>
              <w:ind w:right="1332"/>
              <w:spacing w:after="0"/>
              <w:rPr>
                <w:sz w:val="20"/>
                <w:szCs w:val="20"/>
                <w:color w:val="auto"/>
              </w:rPr>
            </w:pPr>
            <w:r>
              <w:rPr>
                <w:rFonts w:ascii="Arial" w:cs="Arial" w:eastAsia="Arial" w:hAnsi="Arial"/>
                <w:sz w:val="18"/>
                <w:szCs w:val="18"/>
                <w:color w:val="auto"/>
              </w:rPr>
              <w:t>375</w:t>
            </w:r>
          </w:p>
        </w:tc>
        <w:tc>
          <w:tcPr>
            <w:tcW w:w="2940" w:type="dxa"/>
            <w:vAlign w:val="bottom"/>
          </w:tcPr>
          <w:p>
            <w:pPr>
              <w:jc w:val="right"/>
              <w:ind w:right="1012"/>
              <w:spacing w:after="0"/>
              <w:rPr>
                <w:sz w:val="20"/>
                <w:szCs w:val="20"/>
                <w:color w:val="auto"/>
              </w:rPr>
            </w:pPr>
            <w:r>
              <w:rPr>
                <w:rFonts w:ascii="Arial" w:cs="Arial" w:eastAsia="Arial" w:hAnsi="Arial"/>
                <w:sz w:val="18"/>
                <w:szCs w:val="18"/>
                <w:color w:val="auto"/>
              </w:rPr>
              <w:t>500</w:t>
            </w:r>
          </w:p>
        </w:tc>
        <w:tc>
          <w:tcPr>
            <w:tcW w:w="2740" w:type="dxa"/>
            <w:vAlign w:val="bottom"/>
          </w:tcPr>
          <w:p>
            <w:pPr>
              <w:jc w:val="right"/>
              <w:ind w:right="1052"/>
              <w:spacing w:after="0"/>
              <w:rPr>
                <w:sz w:val="20"/>
                <w:szCs w:val="20"/>
                <w:color w:val="auto"/>
              </w:rPr>
            </w:pPr>
            <w:r>
              <w:rPr>
                <w:rFonts w:ascii="Arial" w:cs="Arial" w:eastAsia="Arial" w:hAnsi="Arial"/>
                <w:sz w:val="18"/>
                <w:szCs w:val="18"/>
                <w:color w:val="auto"/>
              </w:rPr>
              <w:t>5.6</w:t>
            </w:r>
          </w:p>
        </w:tc>
        <w:tc>
          <w:tcPr>
            <w:tcW w:w="2580" w:type="dxa"/>
            <w:vAlign w:val="bottom"/>
          </w:tcPr>
          <w:p>
            <w:pPr>
              <w:jc w:val="right"/>
              <w:ind w:right="852"/>
              <w:spacing w:after="0"/>
              <w:rPr>
                <w:sz w:val="20"/>
                <w:szCs w:val="20"/>
                <w:color w:val="auto"/>
              </w:rPr>
            </w:pPr>
            <w:r>
              <w:rPr>
                <w:rFonts w:ascii="Arial" w:cs="Arial" w:eastAsia="Arial" w:hAnsi="Arial"/>
                <w:sz w:val="18"/>
                <w:szCs w:val="18"/>
                <w:color w:val="auto"/>
              </w:rPr>
              <w:t>300</w:t>
            </w:r>
          </w:p>
        </w:tc>
      </w:tr>
      <w:tr>
        <w:trPr>
          <w:trHeight w:val="216"/>
        </w:trPr>
        <w:tc>
          <w:tcPr>
            <w:tcW w:w="3160" w:type="dxa"/>
            <w:vAlign w:val="bottom"/>
            <w:shd w:val="clear" w:color="auto" w:fill="EEEEEE"/>
          </w:tcPr>
          <w:p>
            <w:pPr>
              <w:jc w:val="right"/>
              <w:ind w:right="1332"/>
              <w:spacing w:after="0"/>
              <w:rPr>
                <w:sz w:val="20"/>
                <w:szCs w:val="20"/>
                <w:color w:val="auto"/>
              </w:rPr>
            </w:pPr>
            <w:r>
              <w:rPr>
                <w:rFonts w:ascii="Arial" w:cs="Arial" w:eastAsia="Arial" w:hAnsi="Arial"/>
                <w:sz w:val="18"/>
                <w:szCs w:val="18"/>
                <w:color w:val="auto"/>
              </w:rPr>
              <w:t>526</w:t>
            </w:r>
          </w:p>
        </w:tc>
        <w:tc>
          <w:tcPr>
            <w:tcW w:w="2940" w:type="dxa"/>
            <w:vAlign w:val="bottom"/>
            <w:shd w:val="clear" w:color="auto" w:fill="EEEEEE"/>
          </w:tcPr>
          <w:p>
            <w:pPr>
              <w:jc w:val="right"/>
              <w:ind w:right="1012"/>
              <w:spacing w:after="0"/>
              <w:rPr>
                <w:sz w:val="20"/>
                <w:szCs w:val="20"/>
                <w:color w:val="auto"/>
              </w:rPr>
            </w:pPr>
            <w:r>
              <w:rPr>
                <w:rFonts w:ascii="Arial" w:cs="Arial" w:eastAsia="Arial" w:hAnsi="Arial"/>
                <w:sz w:val="18"/>
                <w:szCs w:val="18"/>
                <w:color w:val="auto"/>
              </w:rPr>
              <w:t>19,172</w:t>
            </w:r>
          </w:p>
        </w:tc>
        <w:tc>
          <w:tcPr>
            <w:tcW w:w="2740" w:type="dxa"/>
            <w:vAlign w:val="bottom"/>
            <w:shd w:val="clear" w:color="auto" w:fill="EEEEEE"/>
          </w:tcPr>
          <w:p>
            <w:pPr>
              <w:jc w:val="right"/>
              <w:ind w:right="1052"/>
              <w:spacing w:after="0"/>
              <w:rPr>
                <w:sz w:val="20"/>
                <w:szCs w:val="20"/>
                <w:color w:val="auto"/>
              </w:rPr>
            </w:pPr>
            <w:r>
              <w:rPr>
                <w:rFonts w:ascii="Arial" w:cs="Arial" w:eastAsia="Arial" w:hAnsi="Arial"/>
                <w:sz w:val="18"/>
                <w:szCs w:val="18"/>
                <w:color w:val="auto"/>
              </w:rPr>
              <w:t>7.0</w:t>
            </w:r>
          </w:p>
        </w:tc>
        <w:tc>
          <w:tcPr>
            <w:tcW w:w="2580" w:type="dxa"/>
            <w:vAlign w:val="bottom"/>
            <w:shd w:val="clear" w:color="auto" w:fill="EEEEEE"/>
          </w:tcPr>
          <w:p>
            <w:pPr>
              <w:jc w:val="right"/>
              <w:ind w:right="852"/>
              <w:spacing w:after="0"/>
              <w:rPr>
                <w:sz w:val="20"/>
                <w:szCs w:val="20"/>
                <w:color w:val="auto"/>
              </w:rPr>
            </w:pPr>
            <w:r>
              <w:rPr>
                <w:rFonts w:ascii="Arial" w:cs="Arial" w:eastAsia="Arial" w:hAnsi="Arial"/>
                <w:sz w:val="18"/>
                <w:szCs w:val="18"/>
                <w:color w:val="auto"/>
              </w:rPr>
              <w:t>7,669</w:t>
            </w:r>
          </w:p>
        </w:tc>
      </w:tr>
      <w:tr>
        <w:trPr>
          <w:trHeight w:val="216"/>
        </w:trPr>
        <w:tc>
          <w:tcPr>
            <w:tcW w:w="3160" w:type="dxa"/>
            <w:vAlign w:val="bottom"/>
          </w:tcPr>
          <w:p>
            <w:pPr>
              <w:jc w:val="right"/>
              <w:ind w:right="1332"/>
              <w:spacing w:after="0"/>
              <w:rPr>
                <w:sz w:val="20"/>
                <w:szCs w:val="20"/>
                <w:color w:val="auto"/>
              </w:rPr>
            </w:pPr>
            <w:r>
              <w:rPr>
                <w:rFonts w:ascii="Arial" w:cs="Arial" w:eastAsia="Arial" w:hAnsi="Arial"/>
                <w:sz w:val="18"/>
                <w:szCs w:val="18"/>
                <w:color w:val="auto"/>
              </w:rPr>
              <w:t>652</w:t>
            </w:r>
          </w:p>
        </w:tc>
        <w:tc>
          <w:tcPr>
            <w:tcW w:w="2940" w:type="dxa"/>
            <w:vAlign w:val="bottom"/>
          </w:tcPr>
          <w:p>
            <w:pPr>
              <w:jc w:val="right"/>
              <w:ind w:right="1012"/>
              <w:spacing w:after="0"/>
              <w:rPr>
                <w:sz w:val="20"/>
                <w:szCs w:val="20"/>
                <w:color w:val="auto"/>
              </w:rPr>
            </w:pPr>
            <w:r>
              <w:rPr>
                <w:rFonts w:ascii="Arial" w:cs="Arial" w:eastAsia="Arial" w:hAnsi="Arial"/>
                <w:sz w:val="18"/>
                <w:szCs w:val="18"/>
                <w:color w:val="auto"/>
              </w:rPr>
              <w:t>3,000</w:t>
            </w:r>
          </w:p>
        </w:tc>
        <w:tc>
          <w:tcPr>
            <w:tcW w:w="2740" w:type="dxa"/>
            <w:vAlign w:val="bottom"/>
          </w:tcPr>
          <w:p>
            <w:pPr>
              <w:jc w:val="right"/>
              <w:ind w:right="1052"/>
              <w:spacing w:after="0"/>
              <w:rPr>
                <w:sz w:val="20"/>
                <w:szCs w:val="20"/>
                <w:color w:val="auto"/>
              </w:rPr>
            </w:pPr>
            <w:r>
              <w:rPr>
                <w:rFonts w:ascii="Arial" w:cs="Arial" w:eastAsia="Arial" w:hAnsi="Arial"/>
                <w:sz w:val="18"/>
                <w:szCs w:val="18"/>
                <w:color w:val="auto"/>
              </w:rPr>
              <w:t>7.0</w:t>
            </w:r>
          </w:p>
        </w:tc>
        <w:tc>
          <w:tcPr>
            <w:tcW w:w="2580" w:type="dxa"/>
            <w:vAlign w:val="bottom"/>
          </w:tcPr>
          <w:p>
            <w:pPr>
              <w:jc w:val="right"/>
              <w:ind w:right="852"/>
              <w:spacing w:after="0"/>
              <w:rPr>
                <w:sz w:val="20"/>
                <w:szCs w:val="20"/>
                <w:color w:val="auto"/>
              </w:rPr>
            </w:pPr>
            <w:r>
              <w:rPr>
                <w:rFonts w:ascii="Arial" w:cs="Arial" w:eastAsia="Arial" w:hAnsi="Arial"/>
                <w:sz w:val="18"/>
                <w:szCs w:val="18"/>
                <w:color w:val="auto"/>
              </w:rPr>
              <w:t>600</w:t>
            </w:r>
          </w:p>
        </w:tc>
      </w:tr>
      <w:tr>
        <w:trPr>
          <w:trHeight w:val="216"/>
        </w:trPr>
        <w:tc>
          <w:tcPr>
            <w:tcW w:w="3160" w:type="dxa"/>
            <w:vAlign w:val="bottom"/>
            <w:shd w:val="clear" w:color="auto" w:fill="EEEEEE"/>
          </w:tcPr>
          <w:p>
            <w:pPr>
              <w:jc w:val="right"/>
              <w:ind w:right="1332"/>
              <w:spacing w:after="0"/>
              <w:rPr>
                <w:sz w:val="20"/>
                <w:szCs w:val="20"/>
                <w:color w:val="auto"/>
              </w:rPr>
            </w:pPr>
            <w:r>
              <w:rPr>
                <w:rFonts w:ascii="Arial" w:cs="Arial" w:eastAsia="Arial" w:hAnsi="Arial"/>
                <w:sz w:val="18"/>
                <w:szCs w:val="18"/>
                <w:color w:val="auto"/>
              </w:rPr>
              <w:t>861</w:t>
            </w:r>
          </w:p>
        </w:tc>
        <w:tc>
          <w:tcPr>
            <w:tcW w:w="2940" w:type="dxa"/>
            <w:vAlign w:val="bottom"/>
            <w:shd w:val="clear" w:color="auto" w:fill="EEEEEE"/>
          </w:tcPr>
          <w:p>
            <w:pPr>
              <w:jc w:val="right"/>
              <w:ind w:right="1012"/>
              <w:spacing w:after="0"/>
              <w:rPr>
                <w:sz w:val="20"/>
                <w:szCs w:val="20"/>
                <w:color w:val="auto"/>
              </w:rPr>
            </w:pPr>
            <w:r>
              <w:rPr>
                <w:rFonts w:ascii="Arial" w:cs="Arial" w:eastAsia="Arial" w:hAnsi="Arial"/>
                <w:sz w:val="18"/>
                <w:szCs w:val="18"/>
                <w:color w:val="auto"/>
              </w:rPr>
              <w:t>487</w:t>
            </w:r>
          </w:p>
        </w:tc>
        <w:tc>
          <w:tcPr>
            <w:tcW w:w="2740" w:type="dxa"/>
            <w:vAlign w:val="bottom"/>
            <w:shd w:val="clear" w:color="auto" w:fill="EEEEEE"/>
          </w:tcPr>
          <w:p>
            <w:pPr>
              <w:jc w:val="right"/>
              <w:ind w:right="1052"/>
              <w:spacing w:after="0"/>
              <w:rPr>
                <w:sz w:val="20"/>
                <w:szCs w:val="20"/>
                <w:color w:val="auto"/>
              </w:rPr>
            </w:pPr>
            <w:r>
              <w:rPr>
                <w:rFonts w:ascii="Arial" w:cs="Arial" w:eastAsia="Arial" w:hAnsi="Arial"/>
                <w:sz w:val="18"/>
                <w:szCs w:val="18"/>
                <w:color w:val="auto"/>
              </w:rPr>
              <w:t>7.0</w:t>
            </w:r>
          </w:p>
        </w:tc>
        <w:tc>
          <w:tcPr>
            <w:tcW w:w="2580" w:type="dxa"/>
            <w:vAlign w:val="bottom"/>
            <w:shd w:val="clear" w:color="auto" w:fill="EEEEEE"/>
          </w:tcPr>
          <w:p>
            <w:pPr>
              <w:jc w:val="right"/>
              <w:ind w:right="852"/>
              <w:spacing w:after="0"/>
              <w:rPr>
                <w:sz w:val="20"/>
                <w:szCs w:val="20"/>
                <w:color w:val="auto"/>
              </w:rPr>
            </w:pPr>
            <w:r>
              <w:rPr>
                <w:rFonts w:ascii="Arial" w:cs="Arial" w:eastAsia="Arial" w:hAnsi="Arial"/>
                <w:sz w:val="18"/>
                <w:szCs w:val="18"/>
                <w:color w:val="auto"/>
              </w:rPr>
              <w:t>0</w:t>
            </w:r>
          </w:p>
        </w:tc>
      </w:tr>
      <w:tr>
        <w:trPr>
          <w:trHeight w:val="222"/>
        </w:trPr>
        <w:tc>
          <w:tcPr>
            <w:tcW w:w="3160" w:type="dxa"/>
            <w:vAlign w:val="bottom"/>
          </w:tcPr>
          <w:p>
            <w:pPr>
              <w:jc w:val="right"/>
              <w:ind w:right="1332"/>
              <w:spacing w:after="0"/>
              <w:rPr>
                <w:sz w:val="20"/>
                <w:szCs w:val="20"/>
                <w:color w:val="auto"/>
              </w:rPr>
            </w:pPr>
            <w:r>
              <w:rPr>
                <w:rFonts w:ascii="Arial" w:cs="Arial" w:eastAsia="Arial" w:hAnsi="Arial"/>
                <w:sz w:val="18"/>
                <w:szCs w:val="18"/>
                <w:color w:val="auto"/>
              </w:rPr>
              <w:t>1,625</w:t>
            </w:r>
          </w:p>
        </w:tc>
        <w:tc>
          <w:tcPr>
            <w:tcW w:w="2940" w:type="dxa"/>
            <w:vAlign w:val="bottom"/>
          </w:tcPr>
          <w:p>
            <w:pPr>
              <w:jc w:val="right"/>
              <w:ind w:right="1012"/>
              <w:spacing w:after="0"/>
              <w:rPr>
                <w:sz w:val="20"/>
                <w:szCs w:val="20"/>
                <w:color w:val="auto"/>
              </w:rPr>
            </w:pPr>
            <w:r>
              <w:rPr>
                <w:rFonts w:ascii="Arial" w:cs="Arial" w:eastAsia="Arial" w:hAnsi="Arial"/>
                <w:sz w:val="18"/>
                <w:szCs w:val="18"/>
                <w:color w:val="auto"/>
              </w:rPr>
              <w:t>13,500</w:t>
            </w:r>
          </w:p>
        </w:tc>
        <w:tc>
          <w:tcPr>
            <w:tcW w:w="2740" w:type="dxa"/>
            <w:vAlign w:val="bottom"/>
          </w:tcPr>
          <w:p>
            <w:pPr>
              <w:jc w:val="right"/>
              <w:ind w:right="1052"/>
              <w:spacing w:after="0"/>
              <w:rPr>
                <w:sz w:val="20"/>
                <w:szCs w:val="20"/>
                <w:color w:val="auto"/>
              </w:rPr>
            </w:pPr>
            <w:r>
              <w:rPr>
                <w:rFonts w:ascii="Arial" w:cs="Arial" w:eastAsia="Arial" w:hAnsi="Arial"/>
                <w:sz w:val="18"/>
                <w:szCs w:val="18"/>
                <w:color w:val="auto"/>
              </w:rPr>
              <w:t>8.0</w:t>
            </w:r>
          </w:p>
        </w:tc>
        <w:tc>
          <w:tcPr>
            <w:tcW w:w="2580" w:type="dxa"/>
            <w:vAlign w:val="bottom"/>
          </w:tcPr>
          <w:p>
            <w:pPr>
              <w:jc w:val="right"/>
              <w:ind w:right="852"/>
              <w:spacing w:after="0"/>
              <w:rPr>
                <w:sz w:val="20"/>
                <w:szCs w:val="20"/>
                <w:color w:val="auto"/>
              </w:rPr>
            </w:pPr>
            <w:r>
              <w:rPr>
                <w:rFonts w:ascii="Arial" w:cs="Arial" w:eastAsia="Arial" w:hAnsi="Arial"/>
                <w:sz w:val="18"/>
                <w:szCs w:val="18"/>
                <w:color w:val="auto"/>
              </w:rPr>
              <w:t>0</w:t>
            </w:r>
          </w:p>
        </w:tc>
      </w:tr>
    </w:tbl>
    <w:p>
      <w:pPr>
        <w:spacing w:after="0" w:line="195" w:lineRule="exact"/>
        <w:rPr>
          <w:sz w:val="20"/>
          <w:szCs w:val="20"/>
          <w:color w:val="auto"/>
        </w:rPr>
      </w:pPr>
    </w:p>
    <w:p>
      <w:pPr>
        <w:jc w:val="both"/>
        <w:ind w:right="260"/>
        <w:spacing w:after="0" w:line="339" w:lineRule="auto"/>
        <w:rPr>
          <w:sz w:val="20"/>
          <w:szCs w:val="20"/>
          <w:color w:val="auto"/>
        </w:rPr>
      </w:pPr>
      <w:r>
        <w:rPr>
          <w:rFonts w:ascii="Arial" w:cs="Arial" w:eastAsia="Arial" w:hAnsi="Arial"/>
          <w:sz w:val="15"/>
          <w:szCs w:val="15"/>
          <w:b w:val="1"/>
          <w:bCs w:val="1"/>
          <w:color w:val="auto"/>
        </w:rPr>
        <w:t xml:space="preserve">Average Number of Shares Outstanding. </w:t>
      </w:r>
      <w:r>
        <w:rPr>
          <w:rFonts w:ascii="Arial" w:cs="Arial" w:eastAsia="Arial" w:hAnsi="Arial"/>
          <w:sz w:val="15"/>
          <w:szCs w:val="15"/>
          <w:color w:val="auto"/>
        </w:rPr>
        <w:t>Basic earnings per share are based on the weighted average number of shares of common stock outstanding during</w:t>
      </w:r>
      <w:r>
        <w:rPr>
          <w:rFonts w:ascii="Arial" w:cs="Arial" w:eastAsia="Arial" w:hAnsi="Arial"/>
          <w:sz w:val="15"/>
          <w:szCs w:val="15"/>
          <w:b w:val="1"/>
          <w:bCs w:val="1"/>
          <w:color w:val="auto"/>
        </w:rPr>
        <w:t xml:space="preserve"> </w:t>
      </w:r>
      <w:r>
        <w:rPr>
          <w:rFonts w:ascii="Arial" w:cs="Arial" w:eastAsia="Arial" w:hAnsi="Arial"/>
          <w:sz w:val="15"/>
          <w:szCs w:val="15"/>
          <w:color w:val="auto"/>
        </w:rPr>
        <w:t>each year. Diluted earnings per common share are based upon the weighted average number of shares of common stock outstanding each year, adjusted for the dilutive effect of shares issuable under outstanding stock options. Basic and diluted weighted average share information for 2003, 2002 and 2001 is as follows:</w:t>
      </w:r>
    </w:p>
    <w:p>
      <w:pPr>
        <w:spacing w:after="0" w:line="288"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540" w:type="dxa"/>
            <w:vAlign w:val="bottom"/>
          </w:tcPr>
          <w:p>
            <w:pPr>
              <w:jc w:val="center"/>
              <w:ind w:left="1052"/>
              <w:spacing w:after="0"/>
              <w:rPr>
                <w:sz w:val="20"/>
                <w:szCs w:val="20"/>
                <w:color w:val="auto"/>
              </w:rPr>
            </w:pPr>
            <w:r>
              <w:rPr>
                <w:rFonts w:ascii="Arial" w:cs="Arial" w:eastAsia="Arial" w:hAnsi="Arial"/>
                <w:sz w:val="18"/>
                <w:szCs w:val="18"/>
                <w:color w:val="auto"/>
                <w:w w:val="90"/>
              </w:rPr>
              <w:t>Basic</w:t>
            </w:r>
          </w:p>
        </w:tc>
        <w:tc>
          <w:tcPr>
            <w:tcW w:w="1280" w:type="dxa"/>
            <w:vAlign w:val="bottom"/>
          </w:tcPr>
          <w:p>
            <w:pPr>
              <w:ind w:left="360"/>
              <w:spacing w:after="0"/>
              <w:rPr>
                <w:sz w:val="20"/>
                <w:szCs w:val="20"/>
                <w:color w:val="auto"/>
              </w:rPr>
            </w:pPr>
            <w:r>
              <w:rPr>
                <w:rFonts w:ascii="Arial" w:cs="Arial" w:eastAsia="Arial" w:hAnsi="Arial"/>
                <w:sz w:val="18"/>
                <w:szCs w:val="18"/>
                <w:color w:val="auto"/>
              </w:rPr>
              <w:t>Dilutive</w:t>
            </w:r>
          </w:p>
        </w:tc>
        <w:tc>
          <w:tcPr>
            <w:tcW w:w="1200" w:type="dxa"/>
            <w:vAlign w:val="bottom"/>
          </w:tcPr>
          <w:p>
            <w:pPr>
              <w:jc w:val="center"/>
              <w:ind w:left="32"/>
              <w:spacing w:after="0"/>
              <w:rPr>
                <w:sz w:val="20"/>
                <w:szCs w:val="20"/>
                <w:color w:val="auto"/>
              </w:rPr>
            </w:pPr>
            <w:r>
              <w:rPr>
                <w:rFonts w:ascii="Arial" w:cs="Arial" w:eastAsia="Arial" w:hAnsi="Arial"/>
                <w:sz w:val="18"/>
                <w:szCs w:val="18"/>
                <w:color w:val="auto"/>
                <w:w w:val="92"/>
              </w:rPr>
              <w:t>Diluted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540" w:type="dxa"/>
            <w:vAlign w:val="bottom"/>
          </w:tcPr>
          <w:p>
            <w:pPr>
              <w:jc w:val="center"/>
              <w:ind w:left="1052"/>
              <w:spacing w:after="0"/>
              <w:rPr>
                <w:sz w:val="20"/>
                <w:szCs w:val="20"/>
                <w:color w:val="auto"/>
              </w:rPr>
            </w:pPr>
            <w:r>
              <w:rPr>
                <w:rFonts w:ascii="Arial" w:cs="Arial" w:eastAsia="Arial" w:hAnsi="Arial"/>
                <w:sz w:val="18"/>
                <w:szCs w:val="18"/>
                <w:color w:val="auto"/>
                <w:w w:val="89"/>
              </w:rPr>
              <w:t>Weighted</w:t>
            </w:r>
          </w:p>
        </w:tc>
        <w:tc>
          <w:tcPr>
            <w:tcW w:w="1280" w:type="dxa"/>
            <w:vAlign w:val="bottom"/>
          </w:tcPr>
          <w:p>
            <w:pPr>
              <w:ind w:left="340"/>
              <w:spacing w:after="0"/>
              <w:rPr>
                <w:sz w:val="20"/>
                <w:szCs w:val="20"/>
                <w:color w:val="auto"/>
              </w:rPr>
            </w:pPr>
            <w:r>
              <w:rPr>
                <w:rFonts w:ascii="Arial" w:cs="Arial" w:eastAsia="Arial" w:hAnsi="Arial"/>
                <w:sz w:val="18"/>
                <w:szCs w:val="18"/>
                <w:color w:val="auto"/>
              </w:rPr>
              <w:t>Effect of</w:t>
            </w:r>
          </w:p>
        </w:tc>
        <w:tc>
          <w:tcPr>
            <w:tcW w:w="1200" w:type="dxa"/>
            <w:vAlign w:val="bottom"/>
          </w:tcPr>
          <w:p>
            <w:pPr>
              <w:jc w:val="center"/>
              <w:ind w:left="32"/>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540" w:type="dxa"/>
            <w:vAlign w:val="bottom"/>
          </w:tcPr>
          <w:p>
            <w:pPr>
              <w:jc w:val="center"/>
              <w:ind w:left="1072"/>
              <w:spacing w:after="0"/>
              <w:rPr>
                <w:sz w:val="20"/>
                <w:szCs w:val="20"/>
                <w:color w:val="auto"/>
              </w:rPr>
            </w:pPr>
            <w:r>
              <w:rPr>
                <w:rFonts w:ascii="Arial" w:cs="Arial" w:eastAsia="Arial" w:hAnsi="Arial"/>
                <w:sz w:val="18"/>
                <w:szCs w:val="18"/>
                <w:color w:val="auto"/>
                <w:w w:val="86"/>
              </w:rPr>
              <w:t>Average</w:t>
            </w:r>
          </w:p>
        </w:tc>
        <w:tc>
          <w:tcPr>
            <w:tcW w:w="1280" w:type="dxa"/>
            <w:vAlign w:val="bottom"/>
          </w:tcPr>
          <w:p>
            <w:pPr>
              <w:ind w:left="460"/>
              <w:spacing w:after="0"/>
              <w:rPr>
                <w:sz w:val="20"/>
                <w:szCs w:val="20"/>
                <w:color w:val="auto"/>
              </w:rPr>
            </w:pPr>
            <w:r>
              <w:rPr>
                <w:rFonts w:ascii="Arial" w:cs="Arial" w:eastAsia="Arial" w:hAnsi="Arial"/>
                <w:sz w:val="18"/>
                <w:szCs w:val="18"/>
                <w:color w:val="auto"/>
              </w:rPr>
              <w:t>Stock</w:t>
            </w:r>
          </w:p>
        </w:tc>
        <w:tc>
          <w:tcPr>
            <w:tcW w:w="1200" w:type="dxa"/>
            <w:vAlign w:val="bottom"/>
          </w:tcPr>
          <w:p>
            <w:pPr>
              <w:jc w:val="center"/>
              <w:ind w:left="52"/>
              <w:spacing w:after="0"/>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540" w:type="dxa"/>
            <w:vAlign w:val="bottom"/>
          </w:tcPr>
          <w:p>
            <w:pPr>
              <w:jc w:val="center"/>
              <w:ind w:left="1052"/>
              <w:spacing w:after="0"/>
              <w:rPr>
                <w:sz w:val="20"/>
                <w:szCs w:val="20"/>
                <w:color w:val="auto"/>
              </w:rPr>
            </w:pPr>
            <w:r>
              <w:rPr>
                <w:rFonts w:ascii="Arial" w:cs="Arial" w:eastAsia="Arial" w:hAnsi="Arial"/>
                <w:sz w:val="18"/>
                <w:szCs w:val="18"/>
                <w:color w:val="auto"/>
                <w:w w:val="84"/>
              </w:rPr>
              <w:t>Shares</w:t>
            </w:r>
          </w:p>
        </w:tc>
        <w:tc>
          <w:tcPr>
            <w:tcW w:w="1280" w:type="dxa"/>
            <w:vAlign w:val="bottom"/>
          </w:tcPr>
          <w:p>
            <w:pPr>
              <w:ind w:left="380"/>
              <w:spacing w:after="0"/>
              <w:rPr>
                <w:sz w:val="20"/>
                <w:szCs w:val="20"/>
                <w:color w:val="auto"/>
              </w:rPr>
            </w:pPr>
            <w:r>
              <w:rPr>
                <w:rFonts w:ascii="Arial" w:cs="Arial" w:eastAsia="Arial" w:hAnsi="Arial"/>
                <w:sz w:val="18"/>
                <w:szCs w:val="18"/>
                <w:color w:val="auto"/>
              </w:rPr>
              <w:t>Options</w:t>
            </w:r>
          </w:p>
        </w:tc>
        <w:tc>
          <w:tcPr>
            <w:tcW w:w="1200" w:type="dxa"/>
            <w:vAlign w:val="bottom"/>
          </w:tcPr>
          <w:p>
            <w:pPr>
              <w:jc w:val="center"/>
              <w:ind w:left="52"/>
              <w:spacing w:after="0"/>
              <w:rPr>
                <w:sz w:val="20"/>
                <w:szCs w:val="20"/>
                <w:color w:val="auto"/>
              </w:rPr>
            </w:pPr>
            <w:r>
              <w:rPr>
                <w:rFonts w:ascii="Arial" w:cs="Arial" w:eastAsia="Arial" w:hAnsi="Arial"/>
                <w:sz w:val="18"/>
                <w:szCs w:val="18"/>
                <w:color w:val="auto"/>
                <w:w w:val="80"/>
              </w:rPr>
              <w:t>Shares</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25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0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00" w:type="dxa"/>
            <w:vAlign w:val="bottom"/>
            <w:shd w:val="clear" w:color="auto" w:fill="EEEEEE"/>
          </w:tcPr>
          <w:p>
            <w:pPr>
              <w:jc w:val="right"/>
              <w:ind w:right="1392"/>
              <w:spacing w:after="0"/>
              <w:rPr>
                <w:sz w:val="20"/>
                <w:szCs w:val="20"/>
                <w:color w:val="auto"/>
              </w:rPr>
            </w:pPr>
            <w:r>
              <w:rPr>
                <w:rFonts w:ascii="Arial" w:cs="Arial" w:eastAsia="Arial" w:hAnsi="Arial"/>
                <w:sz w:val="18"/>
                <w:szCs w:val="18"/>
                <w:color w:val="auto"/>
                <w:w w:val="74"/>
              </w:rPr>
              <w:t>2003</w:t>
            </w:r>
          </w:p>
        </w:tc>
        <w:tc>
          <w:tcPr>
            <w:tcW w:w="2540" w:type="dxa"/>
            <w:vAlign w:val="bottom"/>
            <w:shd w:val="clear" w:color="auto" w:fill="EEEEEE"/>
          </w:tcPr>
          <w:p>
            <w:pPr>
              <w:jc w:val="center"/>
              <w:ind w:left="1072"/>
              <w:spacing w:after="0"/>
              <w:rPr>
                <w:sz w:val="20"/>
                <w:szCs w:val="20"/>
                <w:color w:val="auto"/>
              </w:rPr>
            </w:pPr>
            <w:r>
              <w:rPr>
                <w:rFonts w:ascii="Arial" w:cs="Arial" w:eastAsia="Arial" w:hAnsi="Arial"/>
                <w:sz w:val="18"/>
                <w:szCs w:val="18"/>
                <w:color w:val="auto"/>
                <w:w w:val="87"/>
              </w:rPr>
              <w:t>9,530,209</w:t>
            </w:r>
          </w:p>
        </w:tc>
        <w:tc>
          <w:tcPr>
            <w:tcW w:w="1280" w:type="dxa"/>
            <w:vAlign w:val="bottom"/>
            <w:shd w:val="clear" w:color="auto" w:fill="EEEEEE"/>
          </w:tcPr>
          <w:p>
            <w:pPr>
              <w:ind w:left="440"/>
              <w:spacing w:after="0"/>
              <w:rPr>
                <w:sz w:val="20"/>
                <w:szCs w:val="20"/>
                <w:color w:val="auto"/>
              </w:rPr>
            </w:pPr>
            <w:r>
              <w:rPr>
                <w:rFonts w:ascii="Arial" w:cs="Arial" w:eastAsia="Arial" w:hAnsi="Arial"/>
                <w:sz w:val="18"/>
                <w:szCs w:val="18"/>
                <w:color w:val="auto"/>
              </w:rPr>
              <w:t>24,454</w:t>
            </w:r>
          </w:p>
        </w:tc>
        <w:tc>
          <w:tcPr>
            <w:tcW w:w="1200" w:type="dxa"/>
            <w:vAlign w:val="bottom"/>
            <w:shd w:val="clear" w:color="auto" w:fill="EEEEEE"/>
          </w:tcPr>
          <w:p>
            <w:pPr>
              <w:jc w:val="center"/>
              <w:ind w:left="92"/>
              <w:spacing w:after="0"/>
              <w:rPr>
                <w:sz w:val="20"/>
                <w:szCs w:val="20"/>
                <w:color w:val="auto"/>
              </w:rPr>
            </w:pPr>
            <w:r>
              <w:rPr>
                <w:rFonts w:ascii="Arial" w:cs="Arial" w:eastAsia="Arial" w:hAnsi="Arial"/>
                <w:sz w:val="18"/>
                <w:szCs w:val="18"/>
                <w:color w:val="auto"/>
                <w:w w:val="87"/>
              </w:rPr>
              <w:t>9,554,663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jc w:val="right"/>
              <w:ind w:right="1392"/>
              <w:spacing w:after="0"/>
              <w:rPr>
                <w:sz w:val="20"/>
                <w:szCs w:val="20"/>
                <w:color w:val="auto"/>
              </w:rPr>
            </w:pPr>
            <w:r>
              <w:rPr>
                <w:rFonts w:ascii="Arial" w:cs="Arial" w:eastAsia="Arial" w:hAnsi="Arial"/>
                <w:sz w:val="18"/>
                <w:szCs w:val="18"/>
                <w:color w:val="auto"/>
                <w:w w:val="74"/>
              </w:rPr>
              <w:t>2002</w:t>
            </w:r>
          </w:p>
        </w:tc>
        <w:tc>
          <w:tcPr>
            <w:tcW w:w="2540" w:type="dxa"/>
            <w:vAlign w:val="bottom"/>
          </w:tcPr>
          <w:p>
            <w:pPr>
              <w:jc w:val="center"/>
              <w:ind w:left="1072"/>
              <w:spacing w:after="0"/>
              <w:rPr>
                <w:sz w:val="20"/>
                <w:szCs w:val="20"/>
                <w:color w:val="auto"/>
              </w:rPr>
            </w:pPr>
            <w:r>
              <w:rPr>
                <w:rFonts w:ascii="Arial" w:cs="Arial" w:eastAsia="Arial" w:hAnsi="Arial"/>
                <w:sz w:val="18"/>
                <w:szCs w:val="18"/>
                <w:color w:val="auto"/>
                <w:w w:val="87"/>
              </w:rPr>
              <w:t>9,503,983</w:t>
            </w:r>
          </w:p>
        </w:tc>
        <w:tc>
          <w:tcPr>
            <w:tcW w:w="1280" w:type="dxa"/>
            <w:vAlign w:val="bottom"/>
          </w:tcPr>
          <w:p>
            <w:pPr>
              <w:ind w:left="440"/>
              <w:spacing w:after="0"/>
              <w:rPr>
                <w:sz w:val="20"/>
                <w:szCs w:val="20"/>
                <w:color w:val="auto"/>
              </w:rPr>
            </w:pPr>
            <w:r>
              <w:rPr>
                <w:rFonts w:ascii="Arial" w:cs="Arial" w:eastAsia="Arial" w:hAnsi="Arial"/>
                <w:sz w:val="18"/>
                <w:szCs w:val="18"/>
                <w:color w:val="auto"/>
              </w:rPr>
              <w:t>18,671</w:t>
            </w:r>
          </w:p>
        </w:tc>
        <w:tc>
          <w:tcPr>
            <w:tcW w:w="1200" w:type="dxa"/>
            <w:vAlign w:val="bottom"/>
          </w:tcPr>
          <w:p>
            <w:pPr>
              <w:jc w:val="center"/>
              <w:ind w:left="92"/>
              <w:spacing w:after="0"/>
              <w:rPr>
                <w:sz w:val="20"/>
                <w:szCs w:val="20"/>
                <w:color w:val="auto"/>
              </w:rPr>
            </w:pPr>
            <w:r>
              <w:rPr>
                <w:rFonts w:ascii="Arial" w:cs="Arial" w:eastAsia="Arial" w:hAnsi="Arial"/>
                <w:sz w:val="18"/>
                <w:szCs w:val="18"/>
                <w:color w:val="auto"/>
                <w:w w:val="87"/>
              </w:rPr>
              <w:t>9,522,654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EEEEEE"/>
          </w:tcPr>
          <w:p>
            <w:pPr>
              <w:jc w:val="right"/>
              <w:ind w:right="1392"/>
              <w:spacing w:after="0"/>
              <w:rPr>
                <w:sz w:val="20"/>
                <w:szCs w:val="20"/>
                <w:color w:val="auto"/>
              </w:rPr>
            </w:pPr>
            <w:r>
              <w:rPr>
                <w:rFonts w:ascii="Arial" w:cs="Arial" w:eastAsia="Arial" w:hAnsi="Arial"/>
                <w:sz w:val="18"/>
                <w:szCs w:val="18"/>
                <w:color w:val="auto"/>
                <w:w w:val="74"/>
              </w:rPr>
              <w:t>2001</w:t>
            </w:r>
          </w:p>
        </w:tc>
        <w:tc>
          <w:tcPr>
            <w:tcW w:w="2540" w:type="dxa"/>
            <w:vAlign w:val="bottom"/>
            <w:shd w:val="clear" w:color="auto" w:fill="EEEEEE"/>
          </w:tcPr>
          <w:p>
            <w:pPr>
              <w:jc w:val="center"/>
              <w:ind w:left="1072"/>
              <w:spacing w:after="0"/>
              <w:rPr>
                <w:sz w:val="20"/>
                <w:szCs w:val="20"/>
                <w:color w:val="auto"/>
              </w:rPr>
            </w:pPr>
            <w:r>
              <w:rPr>
                <w:rFonts w:ascii="Arial" w:cs="Arial" w:eastAsia="Arial" w:hAnsi="Arial"/>
                <w:sz w:val="18"/>
                <w:szCs w:val="18"/>
                <w:color w:val="auto"/>
                <w:w w:val="87"/>
              </w:rPr>
              <w:t>9,486,386</w:t>
            </w:r>
          </w:p>
        </w:tc>
        <w:tc>
          <w:tcPr>
            <w:tcW w:w="1280" w:type="dxa"/>
            <w:vAlign w:val="bottom"/>
            <w:shd w:val="clear" w:color="auto" w:fill="EEEEEE"/>
          </w:tcPr>
          <w:p>
            <w:pPr>
              <w:ind w:left="440"/>
              <w:spacing w:after="0"/>
              <w:rPr>
                <w:sz w:val="20"/>
                <w:szCs w:val="20"/>
                <w:color w:val="auto"/>
              </w:rPr>
            </w:pPr>
            <w:r>
              <w:rPr>
                <w:rFonts w:ascii="Arial" w:cs="Arial" w:eastAsia="Arial" w:hAnsi="Arial"/>
                <w:sz w:val="18"/>
                <w:szCs w:val="18"/>
                <w:color w:val="auto"/>
              </w:rPr>
              <w:t>13,173</w:t>
            </w:r>
          </w:p>
        </w:tc>
        <w:tc>
          <w:tcPr>
            <w:tcW w:w="1200" w:type="dxa"/>
            <w:vAlign w:val="bottom"/>
            <w:shd w:val="clear" w:color="auto" w:fill="EEEEEE"/>
          </w:tcPr>
          <w:p>
            <w:pPr>
              <w:jc w:val="center"/>
              <w:ind w:left="92"/>
              <w:spacing w:after="0"/>
              <w:rPr>
                <w:sz w:val="20"/>
                <w:szCs w:val="20"/>
                <w:color w:val="auto"/>
              </w:rPr>
            </w:pPr>
            <w:r>
              <w:rPr>
                <w:rFonts w:ascii="Arial" w:cs="Arial" w:eastAsia="Arial" w:hAnsi="Arial"/>
                <w:sz w:val="18"/>
                <w:szCs w:val="18"/>
                <w:color w:val="auto"/>
                <w:w w:val="87"/>
              </w:rPr>
              <w:t>9,499,559</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2003, 2002 and 2001 diluted earnings per share amounts exclude the effects of 16,750, 11,500 and 31,000 stock options outstanding, respectively, as their inclusion would be antidilutive.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PENSIONS AND OTHER POSTRETIREMENT PLANS</w:t>
      </w:r>
    </w:p>
    <w:p>
      <w:pPr>
        <w:spacing w:after="0" w:line="23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Company maintains various pension and incentive savings plans and contributes to several multi-employer plans on behalf of certain union-represented employee groups. Substantially all of the Company’s employees are covered by these plans.</w:t>
      </w:r>
    </w:p>
    <w:p>
      <w:pPr>
        <w:spacing w:after="0" w:line="18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Company also provides health care and life insurance benefits to certain retired employees. These employees become eligible for benefits after meeting age and service requirements.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a measurement date of December 31 for its pension and other postretirement benefit plans.</w:t>
      </w:r>
    </w:p>
    <w:p>
      <w:pPr>
        <w:sectPr>
          <w:pgSz w:w="11900" w:h="16838" w:orient="portrait"/>
          <w:cols w:equalWidth="0" w:num="1">
            <w:col w:w="11420"/>
          </w:cols>
          <w:pgMar w:left="240" w:top="942" w:right="239" w:bottom="0" w:gutter="0" w:footer="0" w:header="0"/>
        </w:sectPr>
      </w:pPr>
    </w:p>
    <w:bookmarkStart w:id="64" w:name="page65"/>
    <w:bookmarkEnd w:id="64"/>
    <w:p>
      <w:pPr>
        <w:spacing w:after="0" w:line="298" w:lineRule="auto"/>
        <w:rPr>
          <w:sz w:val="20"/>
          <w:szCs w:val="20"/>
          <w:color w:val="auto"/>
        </w:rPr>
      </w:pPr>
      <w:r>
        <w:rPr>
          <w:rFonts w:ascii="Arial" w:cs="Arial" w:eastAsia="Arial" w:hAnsi="Arial"/>
          <w:sz w:val="16"/>
          <w:szCs w:val="16"/>
          <w:color w:val="auto"/>
        </w:rPr>
        <w:t>In 2001, 2002 and 2003, the Company offered several early retirement programs to certain groups of employees at The Washington Post newspaper, Newsweek and the corporate office, the effects of which are included below. Effective June 1, 2003, the retirement pension program for certain employees at The Washington Post newspaper and the corporate office was amended and provides for increased annuity payments for vested employees retiring after this date. This plan amendment resulted in a reduction in the pension credit of approximately $2.6 million for the year ended December 28, 2003.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obligation, asset and funding information for the Company’s defined benefit pension and postretirement</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5" w:name="page66"/>
    <w:bookmarkEnd w:id="65"/>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plans at December 28, 2003 and December 29, 2002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40" w:type="dxa"/>
            <w:vAlign w:val="bottom"/>
            <w:gridSpan w:val="3"/>
          </w:tcPr>
          <w:p>
            <w:pPr>
              <w:jc w:val="right"/>
              <w:ind w:right="732"/>
              <w:spacing w:after="0"/>
              <w:rPr>
                <w:sz w:val="20"/>
                <w:szCs w:val="20"/>
                <w:color w:val="auto"/>
              </w:rPr>
            </w:pPr>
            <w:r>
              <w:rPr>
                <w:rFonts w:ascii="Arial" w:cs="Arial" w:eastAsia="Arial" w:hAnsi="Arial"/>
                <w:sz w:val="18"/>
                <w:szCs w:val="18"/>
                <w:color w:val="auto"/>
              </w:rPr>
              <w:t>Pension Plans</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0" w:type="dxa"/>
            <w:vAlign w:val="bottom"/>
            <w:gridSpan w:val="3"/>
          </w:tcPr>
          <w:p>
            <w:pPr>
              <w:jc w:val="right"/>
              <w:ind w:right="432"/>
              <w:spacing w:after="0"/>
              <w:rPr>
                <w:sz w:val="20"/>
                <w:szCs w:val="20"/>
                <w:color w:val="auto"/>
              </w:rPr>
            </w:pPr>
            <w:r>
              <w:rPr>
                <w:rFonts w:ascii="Arial" w:cs="Arial" w:eastAsia="Arial" w:hAnsi="Arial"/>
                <w:sz w:val="18"/>
                <w:szCs w:val="18"/>
                <w:color w:val="auto"/>
                <w:w w:val="99"/>
              </w:rPr>
              <w:t>Postretirement Plans</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4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ind w:right="252"/>
              <w:spacing w:after="0"/>
              <w:rPr>
                <w:sz w:val="20"/>
                <w:szCs w:val="20"/>
                <w:color w:val="auto"/>
              </w:rPr>
            </w:pPr>
            <w:r>
              <w:rPr>
                <w:rFonts w:ascii="Arial" w:cs="Arial" w:eastAsia="Arial" w:hAnsi="Arial"/>
                <w:sz w:val="18"/>
                <w:szCs w:val="18"/>
                <w:b w:val="1"/>
                <w:bCs w:val="1"/>
                <w:color w:val="auto"/>
              </w:rPr>
              <w:t>2003</w:t>
            </w:r>
          </w:p>
        </w:tc>
        <w:tc>
          <w:tcPr>
            <w:tcW w:w="400" w:type="dxa"/>
            <w:vAlign w:val="bottom"/>
          </w:tcPr>
          <w:p>
            <w:pPr>
              <w:spacing w:after="0"/>
              <w:rPr>
                <w:sz w:val="24"/>
                <w:szCs w:val="24"/>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2002</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252"/>
              <w:spacing w:after="0"/>
              <w:rPr>
                <w:sz w:val="20"/>
                <w:szCs w:val="20"/>
                <w:color w:val="auto"/>
              </w:rPr>
            </w:pPr>
            <w:r>
              <w:rPr>
                <w:rFonts w:ascii="Arial" w:cs="Arial" w:eastAsia="Arial" w:hAnsi="Arial"/>
                <w:sz w:val="18"/>
                <w:szCs w:val="18"/>
                <w:b w:val="1"/>
                <w:bCs w:val="1"/>
                <w:color w:val="auto"/>
              </w:rPr>
              <w:t>2003</w:t>
            </w:r>
          </w:p>
        </w:tc>
        <w:tc>
          <w:tcPr>
            <w:tcW w:w="400" w:type="dxa"/>
            <w:vAlign w:val="bottom"/>
          </w:tcPr>
          <w:p>
            <w:pPr>
              <w:spacing w:after="0"/>
              <w:rPr>
                <w:sz w:val="24"/>
                <w:szCs w:val="24"/>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110"/>
        </w:trPr>
        <w:tc>
          <w:tcPr>
            <w:tcW w:w="444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20" w:type="dxa"/>
            <w:vAlign w:val="bottom"/>
            <w:tcBorders>
              <w:top w:val="single" w:sz="8" w:color="808080"/>
            </w:tcBorders>
          </w:tcPr>
          <w:p>
            <w:pPr>
              <w:spacing w:after="0"/>
              <w:rPr>
                <w:sz w:val="8"/>
                <w:szCs w:val="8"/>
                <w:color w:val="auto"/>
              </w:rPr>
            </w:pPr>
          </w:p>
        </w:tc>
        <w:tc>
          <w:tcPr>
            <w:tcW w:w="260" w:type="dxa"/>
            <w:vAlign w:val="bottom"/>
            <w:tcBorders>
              <w:top w:val="single" w:sz="8" w:color="808080"/>
            </w:tcBorders>
          </w:tcPr>
          <w:p>
            <w:pPr>
              <w:spacing w:after="0"/>
              <w:rPr>
                <w:sz w:val="8"/>
                <w:szCs w:val="8"/>
                <w:color w:val="auto"/>
              </w:rPr>
            </w:pPr>
          </w:p>
        </w:tc>
        <w:tc>
          <w:tcPr>
            <w:tcW w:w="1060" w:type="dxa"/>
            <w:vAlign w:val="bottom"/>
            <w:tcBorders>
              <w:top w:val="single" w:sz="8" w:color="808080"/>
            </w:tcBorders>
          </w:tcPr>
          <w:p>
            <w:pPr>
              <w:spacing w:after="0"/>
              <w:rPr>
                <w:sz w:val="8"/>
                <w:szCs w:val="8"/>
                <w:color w:val="auto"/>
              </w:rPr>
            </w:pPr>
          </w:p>
        </w:tc>
        <w:tc>
          <w:tcPr>
            <w:tcW w:w="400" w:type="dxa"/>
            <w:vAlign w:val="bottom"/>
            <w:tcBorders>
              <w:top w:val="single" w:sz="8" w:color="808080"/>
            </w:tcBorders>
          </w:tcPr>
          <w:p>
            <w:pPr>
              <w:spacing w:after="0"/>
              <w:rPr>
                <w:sz w:val="8"/>
                <w:szCs w:val="8"/>
                <w:color w:val="auto"/>
              </w:rPr>
            </w:pPr>
          </w:p>
        </w:tc>
        <w:tc>
          <w:tcPr>
            <w:tcW w:w="880" w:type="dxa"/>
            <w:vAlign w:val="bottom"/>
            <w:tcBorders>
              <w:top w:val="single" w:sz="8" w:color="808080"/>
            </w:tcBorders>
          </w:tcPr>
          <w:p>
            <w:pPr>
              <w:spacing w:after="0"/>
              <w:rPr>
                <w:sz w:val="8"/>
                <w:szCs w:val="8"/>
                <w:color w:val="auto"/>
              </w:rPr>
            </w:pPr>
          </w:p>
        </w:tc>
        <w:tc>
          <w:tcPr>
            <w:tcW w:w="280" w:type="dxa"/>
            <w:vAlign w:val="bottom"/>
            <w:tcBorders>
              <w:top w:val="single" w:sz="8" w:color="808080"/>
            </w:tcBorders>
          </w:tcPr>
          <w:p>
            <w:pPr>
              <w:spacing w:after="0"/>
              <w:rPr>
                <w:sz w:val="8"/>
                <w:szCs w:val="8"/>
                <w:color w:val="auto"/>
              </w:rPr>
            </w:pPr>
          </w:p>
        </w:tc>
        <w:tc>
          <w:tcPr>
            <w:tcW w:w="280" w:type="dxa"/>
            <w:vAlign w:val="bottom"/>
            <w:tcBorders>
              <w:top w:val="single" w:sz="8" w:color="808080"/>
            </w:tcBorders>
          </w:tcPr>
          <w:p>
            <w:pPr>
              <w:spacing w:after="0"/>
              <w:rPr>
                <w:sz w:val="8"/>
                <w:szCs w:val="8"/>
                <w:color w:val="auto"/>
              </w:rPr>
            </w:pPr>
          </w:p>
        </w:tc>
        <w:tc>
          <w:tcPr>
            <w:tcW w:w="980" w:type="dxa"/>
            <w:vAlign w:val="bottom"/>
            <w:tcBorders>
              <w:top w:val="single" w:sz="8" w:color="808080"/>
            </w:tcBorders>
          </w:tcPr>
          <w:p>
            <w:pPr>
              <w:spacing w:after="0"/>
              <w:rPr>
                <w:sz w:val="8"/>
                <w:szCs w:val="8"/>
                <w:color w:val="auto"/>
              </w:rPr>
            </w:pPr>
          </w:p>
        </w:tc>
        <w:tc>
          <w:tcPr>
            <w:tcW w:w="400" w:type="dxa"/>
            <w:vAlign w:val="bottom"/>
            <w:tcBorders>
              <w:top w:val="single" w:sz="8" w:color="808080"/>
            </w:tcBorders>
          </w:tcPr>
          <w:p>
            <w:pPr>
              <w:spacing w:after="0"/>
              <w:rPr>
                <w:sz w:val="8"/>
                <w:szCs w:val="8"/>
                <w:color w:val="auto"/>
              </w:rPr>
            </w:pPr>
          </w:p>
        </w:tc>
        <w:tc>
          <w:tcPr>
            <w:tcW w:w="820" w:type="dxa"/>
            <w:vAlign w:val="bottom"/>
            <w:tcBorders>
              <w:top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Change in Benefit Obligation</w:t>
            </w:r>
          </w:p>
        </w:tc>
        <w:tc>
          <w:tcPr>
            <w:tcW w:w="26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252"/>
              <w:spacing w:after="0"/>
              <w:rPr>
                <w:sz w:val="20"/>
                <w:szCs w:val="20"/>
                <w:color w:val="auto"/>
              </w:rPr>
            </w:pPr>
            <w:r>
              <w:rPr>
                <w:rFonts w:ascii="Arial" w:cs="Arial" w:eastAsia="Arial" w:hAnsi="Arial"/>
                <w:sz w:val="18"/>
                <w:szCs w:val="18"/>
                <w:b w:val="1"/>
                <w:bCs w:val="1"/>
                <w:color w:val="auto"/>
              </w:rPr>
              <w:t>498,952</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431,017</w:t>
            </w: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252"/>
              <w:spacing w:after="0"/>
              <w:rPr>
                <w:sz w:val="20"/>
                <w:szCs w:val="20"/>
                <w:color w:val="auto"/>
              </w:rPr>
            </w:pPr>
            <w:r>
              <w:rPr>
                <w:rFonts w:ascii="Arial" w:cs="Arial" w:eastAsia="Arial" w:hAnsi="Arial"/>
                <w:sz w:val="18"/>
                <w:szCs w:val="18"/>
                <w:b w:val="1"/>
                <w:bCs w:val="1"/>
                <w:color w:val="auto"/>
                <w:w w:val="95"/>
              </w:rPr>
              <w:t>112,174</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2"/>
              <w:spacing w:after="0"/>
              <w:rPr>
                <w:sz w:val="20"/>
                <w:szCs w:val="20"/>
                <w:color w:val="auto"/>
              </w:rPr>
            </w:pPr>
            <w:r>
              <w:rPr>
                <w:rFonts w:ascii="Arial" w:cs="Arial" w:eastAsia="Arial" w:hAnsi="Arial"/>
                <w:sz w:val="18"/>
                <w:szCs w:val="18"/>
                <w:color w:val="auto"/>
                <w:w w:val="95"/>
              </w:rPr>
              <w:t>105,392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color w:val="auto"/>
              </w:rPr>
              <w:t>Service cost</w:t>
            </w:r>
          </w:p>
        </w:tc>
        <w:tc>
          <w:tcPr>
            <w:tcW w:w="26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252"/>
              <w:spacing w:after="0"/>
              <w:rPr>
                <w:sz w:val="20"/>
                <w:szCs w:val="20"/>
                <w:color w:val="auto"/>
              </w:rPr>
            </w:pPr>
            <w:r>
              <w:rPr>
                <w:rFonts w:ascii="Arial" w:cs="Arial" w:eastAsia="Arial" w:hAnsi="Arial"/>
                <w:sz w:val="18"/>
                <w:szCs w:val="18"/>
                <w:b w:val="1"/>
                <w:bCs w:val="1"/>
                <w:color w:val="auto"/>
              </w:rPr>
              <w:t>19,965</w:t>
            </w:r>
          </w:p>
        </w:tc>
        <w:tc>
          <w:tcPr>
            <w:tcW w:w="40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rPr>
              <w:t>17,489</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252"/>
              <w:spacing w:after="0"/>
              <w:rPr>
                <w:sz w:val="20"/>
                <w:szCs w:val="20"/>
                <w:color w:val="auto"/>
              </w:rPr>
            </w:pPr>
            <w:r>
              <w:rPr>
                <w:rFonts w:ascii="Arial" w:cs="Arial" w:eastAsia="Arial" w:hAnsi="Arial"/>
                <w:sz w:val="18"/>
                <w:szCs w:val="18"/>
                <w:b w:val="1"/>
                <w:bCs w:val="1"/>
                <w:color w:val="auto"/>
              </w:rPr>
              <w:t>5,164</w:t>
            </w:r>
          </w:p>
        </w:tc>
        <w:tc>
          <w:tcPr>
            <w:tcW w:w="40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rPr>
              <w:t>5,418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18"/>
                <w:szCs w:val="18"/>
                <w:color w:val="auto"/>
              </w:rPr>
            </w:pPr>
          </w:p>
        </w:tc>
        <w:tc>
          <w:tcPr>
            <w:tcW w:w="1060" w:type="dxa"/>
            <w:vAlign w:val="bottom"/>
          </w:tcPr>
          <w:p>
            <w:pPr>
              <w:jc w:val="right"/>
              <w:ind w:right="252"/>
              <w:spacing w:after="0"/>
              <w:rPr>
                <w:sz w:val="20"/>
                <w:szCs w:val="20"/>
                <w:color w:val="auto"/>
              </w:rPr>
            </w:pPr>
            <w:r>
              <w:rPr>
                <w:rFonts w:ascii="Arial" w:cs="Arial" w:eastAsia="Arial" w:hAnsi="Arial"/>
                <w:sz w:val="18"/>
                <w:szCs w:val="18"/>
                <w:b w:val="1"/>
                <w:bCs w:val="1"/>
                <w:color w:val="auto"/>
              </w:rPr>
              <w:t>33,696</w:t>
            </w:r>
          </w:p>
        </w:tc>
        <w:tc>
          <w:tcPr>
            <w:tcW w:w="400" w:type="dxa"/>
            <w:vAlign w:val="bottom"/>
          </w:tcPr>
          <w:p>
            <w:pPr>
              <w:spacing w:after="0"/>
              <w:rPr>
                <w:sz w:val="18"/>
                <w:szCs w:val="18"/>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30,820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252"/>
              <w:spacing w:after="0"/>
              <w:rPr>
                <w:sz w:val="20"/>
                <w:szCs w:val="20"/>
                <w:color w:val="auto"/>
              </w:rPr>
            </w:pPr>
            <w:r>
              <w:rPr>
                <w:rFonts w:ascii="Arial" w:cs="Arial" w:eastAsia="Arial" w:hAnsi="Arial"/>
                <w:sz w:val="18"/>
                <w:szCs w:val="18"/>
                <w:b w:val="1"/>
                <w:bCs w:val="1"/>
                <w:color w:val="auto"/>
              </w:rPr>
              <w:t>7,395</w:t>
            </w:r>
          </w:p>
        </w:tc>
        <w:tc>
          <w:tcPr>
            <w:tcW w:w="40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7,997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color w:val="auto"/>
              </w:rPr>
              <w:t>Amendments</w:t>
            </w:r>
          </w:p>
        </w:tc>
        <w:tc>
          <w:tcPr>
            <w:tcW w:w="26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252"/>
              <w:spacing w:after="0"/>
              <w:rPr>
                <w:sz w:val="20"/>
                <w:szCs w:val="20"/>
                <w:color w:val="auto"/>
              </w:rPr>
            </w:pPr>
            <w:r>
              <w:rPr>
                <w:rFonts w:ascii="Arial" w:cs="Arial" w:eastAsia="Arial" w:hAnsi="Arial"/>
                <w:sz w:val="18"/>
                <w:szCs w:val="18"/>
                <w:b w:val="1"/>
                <w:bCs w:val="1"/>
                <w:color w:val="auto"/>
              </w:rPr>
              <w:t>60,697</w:t>
            </w:r>
          </w:p>
        </w:tc>
        <w:tc>
          <w:tcPr>
            <w:tcW w:w="40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rPr>
              <w:t>28,817</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192"/>
              <w:spacing w:after="0"/>
              <w:rPr>
                <w:sz w:val="20"/>
                <w:szCs w:val="20"/>
                <w:color w:val="auto"/>
              </w:rPr>
            </w:pPr>
            <w:r>
              <w:rPr>
                <w:rFonts w:ascii="Arial" w:cs="Arial" w:eastAsia="Arial" w:hAnsi="Arial"/>
                <w:sz w:val="18"/>
                <w:szCs w:val="18"/>
                <w:b w:val="1"/>
                <w:bCs w:val="1"/>
                <w:color w:val="auto"/>
              </w:rPr>
              <w:t>(5,479)</w:t>
            </w:r>
          </w:p>
        </w:tc>
        <w:tc>
          <w:tcPr>
            <w:tcW w:w="40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(3,130)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Actuarial loss</w:t>
            </w:r>
          </w:p>
        </w:tc>
        <w:tc>
          <w:tcPr>
            <w:tcW w:w="260" w:type="dxa"/>
            <w:vAlign w:val="bottom"/>
          </w:tcPr>
          <w:p>
            <w:pPr>
              <w:spacing w:after="0"/>
              <w:rPr>
                <w:sz w:val="18"/>
                <w:szCs w:val="18"/>
                <w:color w:val="auto"/>
              </w:rPr>
            </w:pPr>
          </w:p>
        </w:tc>
        <w:tc>
          <w:tcPr>
            <w:tcW w:w="1060" w:type="dxa"/>
            <w:vAlign w:val="bottom"/>
          </w:tcPr>
          <w:p>
            <w:pPr>
              <w:jc w:val="right"/>
              <w:ind w:right="252"/>
              <w:spacing w:after="0"/>
              <w:rPr>
                <w:sz w:val="20"/>
                <w:szCs w:val="20"/>
                <w:color w:val="auto"/>
              </w:rPr>
            </w:pPr>
            <w:r>
              <w:rPr>
                <w:rFonts w:ascii="Arial" w:cs="Arial" w:eastAsia="Arial" w:hAnsi="Arial"/>
                <w:sz w:val="18"/>
                <w:szCs w:val="18"/>
                <w:b w:val="1"/>
                <w:bCs w:val="1"/>
                <w:color w:val="auto"/>
              </w:rPr>
              <w:t>37,339</w:t>
            </w:r>
          </w:p>
        </w:tc>
        <w:tc>
          <w:tcPr>
            <w:tcW w:w="400" w:type="dxa"/>
            <w:vAlign w:val="bottom"/>
          </w:tcPr>
          <w:p>
            <w:pPr>
              <w:spacing w:after="0"/>
              <w:rPr>
                <w:sz w:val="18"/>
                <w:szCs w:val="18"/>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22,851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252"/>
              <w:spacing w:after="0"/>
              <w:rPr>
                <w:sz w:val="20"/>
                <w:szCs w:val="20"/>
                <w:color w:val="auto"/>
              </w:rPr>
            </w:pPr>
            <w:r>
              <w:rPr>
                <w:rFonts w:ascii="Arial" w:cs="Arial" w:eastAsia="Arial" w:hAnsi="Arial"/>
                <w:sz w:val="18"/>
                <w:szCs w:val="18"/>
                <w:b w:val="1"/>
                <w:bCs w:val="1"/>
                <w:color w:val="auto"/>
              </w:rPr>
              <w:t>6,733</w:t>
            </w:r>
          </w:p>
        </w:tc>
        <w:tc>
          <w:tcPr>
            <w:tcW w:w="40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color w:val="auto"/>
              </w:rPr>
              <w:t>Benefits paid</w:t>
            </w:r>
          </w:p>
        </w:tc>
        <w:tc>
          <w:tcPr>
            <w:tcW w:w="26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212"/>
              <w:spacing w:after="0"/>
              <w:rPr>
                <w:sz w:val="20"/>
                <w:szCs w:val="20"/>
                <w:color w:val="auto"/>
              </w:rPr>
            </w:pPr>
            <w:r>
              <w:rPr>
                <w:rFonts w:ascii="Arial" w:cs="Arial" w:eastAsia="Arial" w:hAnsi="Arial"/>
                <w:sz w:val="18"/>
                <w:szCs w:val="18"/>
                <w:b w:val="1"/>
                <w:bCs w:val="1"/>
                <w:color w:val="auto"/>
              </w:rPr>
              <w:t>(24,875)</w:t>
            </w:r>
          </w:p>
        </w:tc>
        <w:tc>
          <w:tcPr>
            <w:tcW w:w="40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32"/>
              <w:spacing w:after="0"/>
              <w:rPr>
                <w:sz w:val="20"/>
                <w:szCs w:val="20"/>
                <w:color w:val="auto"/>
              </w:rPr>
            </w:pPr>
            <w:r>
              <w:rPr>
                <w:rFonts w:ascii="Arial" w:cs="Arial" w:eastAsia="Arial" w:hAnsi="Arial"/>
                <w:sz w:val="18"/>
                <w:szCs w:val="18"/>
                <w:color w:val="auto"/>
              </w:rPr>
              <w:t>(32,042)</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192"/>
              <w:spacing w:after="0"/>
              <w:rPr>
                <w:sz w:val="20"/>
                <w:szCs w:val="20"/>
                <w:color w:val="auto"/>
              </w:rPr>
            </w:pPr>
            <w:r>
              <w:rPr>
                <w:rFonts w:ascii="Arial" w:cs="Arial" w:eastAsia="Arial" w:hAnsi="Arial"/>
                <w:sz w:val="18"/>
                <w:szCs w:val="18"/>
                <w:b w:val="1"/>
                <w:bCs w:val="1"/>
                <w:color w:val="auto"/>
              </w:rPr>
              <w:t>(5,543)</w:t>
            </w:r>
          </w:p>
        </w:tc>
        <w:tc>
          <w:tcPr>
            <w:tcW w:w="40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(4,990)</w:t>
            </w:r>
          </w:p>
        </w:tc>
        <w:tc>
          <w:tcPr>
            <w:tcW w:w="0" w:type="dxa"/>
            <w:vAlign w:val="bottom"/>
          </w:tcPr>
          <w:p>
            <w:pPr>
              <w:spacing w:after="0"/>
              <w:rPr>
                <w:sz w:val="1"/>
                <w:szCs w:val="1"/>
                <w:color w:val="auto"/>
              </w:rPr>
            </w:pPr>
          </w:p>
        </w:tc>
      </w:tr>
      <w:tr>
        <w:trPr>
          <w:trHeight w:val="108"/>
        </w:trPr>
        <w:tc>
          <w:tcPr>
            <w:tcW w:w="4440" w:type="dxa"/>
            <w:vAlign w:val="bottom"/>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gridSpan w:val="2"/>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4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gridSpan w:val="2"/>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color w:val="auto"/>
              </w:rPr>
              <w:t>Benefit obligation at end of year</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EEEEEE"/>
          </w:tcPr>
          <w:p>
            <w:pPr>
              <w:jc w:val="right"/>
              <w:ind w:right="252"/>
              <w:spacing w:after="0"/>
              <w:rPr>
                <w:sz w:val="20"/>
                <w:szCs w:val="20"/>
                <w:color w:val="auto"/>
              </w:rPr>
            </w:pPr>
            <w:r>
              <w:rPr>
                <w:rFonts w:ascii="Arial" w:cs="Arial" w:eastAsia="Arial" w:hAnsi="Arial"/>
                <w:sz w:val="18"/>
                <w:szCs w:val="18"/>
                <w:b w:val="1"/>
                <w:bCs w:val="1"/>
                <w:color w:val="auto"/>
              </w:rPr>
              <w:t>625,774</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rPr>
              <w:t>498,952</w:t>
            </w: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EEEEEE"/>
          </w:tcPr>
          <w:p>
            <w:pPr>
              <w:jc w:val="right"/>
              <w:ind w:right="252"/>
              <w:spacing w:after="0"/>
              <w:rPr>
                <w:sz w:val="20"/>
                <w:szCs w:val="20"/>
                <w:color w:val="auto"/>
              </w:rPr>
            </w:pPr>
            <w:r>
              <w:rPr>
                <w:rFonts w:ascii="Arial" w:cs="Arial" w:eastAsia="Arial" w:hAnsi="Arial"/>
                <w:sz w:val="18"/>
                <w:szCs w:val="18"/>
                <w:b w:val="1"/>
                <w:bCs w:val="1"/>
                <w:color w:val="auto"/>
                <w:w w:val="95"/>
              </w:rPr>
              <w:t>120,444</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w w:val="95"/>
              </w:rPr>
              <w:t>112,174</w:t>
            </w:r>
          </w:p>
        </w:tc>
        <w:tc>
          <w:tcPr>
            <w:tcW w:w="0" w:type="dxa"/>
            <w:vAlign w:val="bottom"/>
          </w:tcPr>
          <w:p>
            <w:pPr>
              <w:spacing w:after="0"/>
              <w:rPr>
                <w:sz w:val="1"/>
                <w:szCs w:val="1"/>
                <w:color w:val="auto"/>
              </w:rPr>
            </w:pPr>
          </w:p>
        </w:tc>
      </w:tr>
      <w:tr>
        <w:trPr>
          <w:trHeight w:val="105"/>
        </w:trPr>
        <w:tc>
          <w:tcPr>
            <w:tcW w:w="444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440" w:type="dxa"/>
            <w:vAlign w:val="bottom"/>
            <w:tcBorders>
              <w:right w:val="single" w:sz="8" w:color="808080"/>
            </w:tcBorders>
            <w:gridSpan w:val="2"/>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Change in Plan Assets</w:t>
            </w:r>
          </w:p>
        </w:tc>
        <w:tc>
          <w:tcPr>
            <w:tcW w:w="26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Fair value of assets at beginning of year</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252"/>
              <w:spacing w:after="0"/>
              <w:rPr>
                <w:sz w:val="20"/>
                <w:szCs w:val="20"/>
                <w:color w:val="auto"/>
              </w:rPr>
            </w:pPr>
            <w:r>
              <w:rPr>
                <w:rFonts w:ascii="Arial" w:cs="Arial" w:eastAsia="Arial" w:hAnsi="Arial"/>
                <w:sz w:val="18"/>
                <w:szCs w:val="18"/>
                <w:b w:val="1"/>
                <w:bCs w:val="1"/>
                <w:color w:val="auto"/>
                <w:w w:val="87"/>
              </w:rPr>
              <w:t>1,362,084</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2"/>
              <w:spacing w:after="0"/>
              <w:rPr>
                <w:sz w:val="20"/>
                <w:szCs w:val="20"/>
                <w:color w:val="auto"/>
              </w:rPr>
            </w:pPr>
            <w:r>
              <w:rPr>
                <w:rFonts w:ascii="Arial" w:cs="Arial" w:eastAsia="Arial" w:hAnsi="Arial"/>
                <w:sz w:val="18"/>
                <w:szCs w:val="18"/>
                <w:color w:val="auto"/>
                <w:w w:val="84"/>
              </w:rPr>
              <w:t>1,427,554</w:t>
            </w: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252"/>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color w:val="auto"/>
              </w:rPr>
              <w:t>Actual return on plan assets</w:t>
            </w:r>
          </w:p>
        </w:tc>
        <w:tc>
          <w:tcPr>
            <w:tcW w:w="26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252"/>
              <w:spacing w:after="0"/>
              <w:rPr>
                <w:sz w:val="20"/>
                <w:szCs w:val="20"/>
                <w:color w:val="auto"/>
              </w:rPr>
            </w:pPr>
            <w:r>
              <w:rPr>
                <w:rFonts w:ascii="Arial" w:cs="Arial" w:eastAsia="Arial" w:hAnsi="Arial"/>
                <w:sz w:val="18"/>
                <w:szCs w:val="18"/>
                <w:b w:val="1"/>
                <w:bCs w:val="1"/>
                <w:color w:val="auto"/>
              </w:rPr>
              <w:t>227,757</w:t>
            </w:r>
          </w:p>
        </w:tc>
        <w:tc>
          <w:tcPr>
            <w:tcW w:w="40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32"/>
              <w:spacing w:after="0"/>
              <w:rPr>
                <w:sz w:val="20"/>
                <w:szCs w:val="20"/>
                <w:color w:val="auto"/>
              </w:rPr>
            </w:pPr>
            <w:r>
              <w:rPr>
                <w:rFonts w:ascii="Arial" w:cs="Arial" w:eastAsia="Arial" w:hAnsi="Arial"/>
                <w:sz w:val="18"/>
                <w:szCs w:val="18"/>
                <w:color w:val="auto"/>
              </w:rPr>
              <w:t>(33,428)</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252"/>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Employer contributions</w:t>
            </w:r>
          </w:p>
        </w:tc>
        <w:tc>
          <w:tcPr>
            <w:tcW w:w="260" w:type="dxa"/>
            <w:vAlign w:val="bottom"/>
          </w:tcPr>
          <w:p>
            <w:pPr>
              <w:spacing w:after="0"/>
              <w:rPr>
                <w:sz w:val="18"/>
                <w:szCs w:val="18"/>
                <w:color w:val="auto"/>
              </w:rPr>
            </w:pPr>
          </w:p>
        </w:tc>
        <w:tc>
          <w:tcPr>
            <w:tcW w:w="1060" w:type="dxa"/>
            <w:vAlign w:val="bottom"/>
          </w:tcPr>
          <w:p>
            <w:pPr>
              <w:jc w:val="right"/>
              <w:ind w:right="252"/>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8"/>
                <w:szCs w:val="18"/>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252"/>
              <w:spacing w:after="0"/>
              <w:rPr>
                <w:sz w:val="20"/>
                <w:szCs w:val="20"/>
                <w:color w:val="auto"/>
              </w:rPr>
            </w:pPr>
            <w:r>
              <w:rPr>
                <w:rFonts w:ascii="Arial" w:cs="Arial" w:eastAsia="Arial" w:hAnsi="Arial"/>
                <w:sz w:val="18"/>
                <w:szCs w:val="18"/>
                <w:b w:val="1"/>
                <w:bCs w:val="1"/>
                <w:color w:val="auto"/>
              </w:rPr>
              <w:t>5,543</w:t>
            </w:r>
          </w:p>
        </w:tc>
        <w:tc>
          <w:tcPr>
            <w:tcW w:w="40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4,990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color w:val="auto"/>
              </w:rPr>
              <w:t>Benefits paid</w:t>
            </w:r>
          </w:p>
        </w:tc>
        <w:tc>
          <w:tcPr>
            <w:tcW w:w="26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212"/>
              <w:spacing w:after="0"/>
              <w:rPr>
                <w:sz w:val="20"/>
                <w:szCs w:val="20"/>
                <w:color w:val="auto"/>
              </w:rPr>
            </w:pPr>
            <w:r>
              <w:rPr>
                <w:rFonts w:ascii="Arial" w:cs="Arial" w:eastAsia="Arial" w:hAnsi="Arial"/>
                <w:sz w:val="18"/>
                <w:szCs w:val="18"/>
                <w:b w:val="1"/>
                <w:bCs w:val="1"/>
                <w:color w:val="auto"/>
              </w:rPr>
              <w:t>(24,875)</w:t>
            </w:r>
          </w:p>
        </w:tc>
        <w:tc>
          <w:tcPr>
            <w:tcW w:w="40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32"/>
              <w:spacing w:after="0"/>
              <w:rPr>
                <w:sz w:val="20"/>
                <w:szCs w:val="20"/>
                <w:color w:val="auto"/>
              </w:rPr>
            </w:pPr>
            <w:r>
              <w:rPr>
                <w:rFonts w:ascii="Arial" w:cs="Arial" w:eastAsia="Arial" w:hAnsi="Arial"/>
                <w:sz w:val="18"/>
                <w:szCs w:val="18"/>
                <w:color w:val="auto"/>
              </w:rPr>
              <w:t>(32,042)</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192"/>
              <w:spacing w:after="0"/>
              <w:rPr>
                <w:sz w:val="20"/>
                <w:szCs w:val="20"/>
                <w:color w:val="auto"/>
              </w:rPr>
            </w:pPr>
            <w:r>
              <w:rPr>
                <w:rFonts w:ascii="Arial" w:cs="Arial" w:eastAsia="Arial" w:hAnsi="Arial"/>
                <w:sz w:val="18"/>
                <w:szCs w:val="18"/>
                <w:b w:val="1"/>
                <w:bCs w:val="1"/>
                <w:color w:val="auto"/>
              </w:rPr>
              <w:t>(5,543)</w:t>
            </w:r>
          </w:p>
        </w:tc>
        <w:tc>
          <w:tcPr>
            <w:tcW w:w="40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(4,990)</w:t>
            </w:r>
          </w:p>
        </w:tc>
        <w:tc>
          <w:tcPr>
            <w:tcW w:w="0" w:type="dxa"/>
            <w:vAlign w:val="bottom"/>
          </w:tcPr>
          <w:p>
            <w:pPr>
              <w:spacing w:after="0"/>
              <w:rPr>
                <w:sz w:val="1"/>
                <w:szCs w:val="1"/>
                <w:color w:val="auto"/>
              </w:rPr>
            </w:pPr>
          </w:p>
        </w:tc>
      </w:tr>
      <w:tr>
        <w:trPr>
          <w:trHeight w:val="108"/>
        </w:trPr>
        <w:tc>
          <w:tcPr>
            <w:tcW w:w="4440" w:type="dxa"/>
            <w:vAlign w:val="bottom"/>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gridSpan w:val="2"/>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4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gridSpan w:val="2"/>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color w:val="auto"/>
              </w:rPr>
              <w:t>Fair value of assets at end of year</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EEEEEE"/>
          </w:tcPr>
          <w:p>
            <w:pPr>
              <w:jc w:val="right"/>
              <w:ind w:right="252"/>
              <w:spacing w:after="0"/>
              <w:rPr>
                <w:sz w:val="20"/>
                <w:szCs w:val="20"/>
                <w:color w:val="auto"/>
              </w:rPr>
            </w:pPr>
            <w:r>
              <w:rPr>
                <w:rFonts w:ascii="Arial" w:cs="Arial" w:eastAsia="Arial" w:hAnsi="Arial"/>
                <w:sz w:val="18"/>
                <w:szCs w:val="18"/>
                <w:b w:val="1"/>
                <w:bCs w:val="1"/>
                <w:color w:val="auto"/>
                <w:w w:val="87"/>
              </w:rPr>
              <w:t>1,564,966</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w w:val="84"/>
              </w:rPr>
              <w:t>1,362,084</w:t>
            </w: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EEEEEE"/>
          </w:tcPr>
          <w:p>
            <w:pPr>
              <w:jc w:val="right"/>
              <w:ind w:right="252"/>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4440" w:type="dxa"/>
            <w:vAlign w:val="bottom"/>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gridSpan w:val="2"/>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4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gridSpan w:val="2"/>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color w:val="auto"/>
              </w:rPr>
              <w:t>Funded status</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EEEEEE"/>
          </w:tcPr>
          <w:p>
            <w:pPr>
              <w:jc w:val="right"/>
              <w:ind w:right="252"/>
              <w:spacing w:after="0"/>
              <w:rPr>
                <w:sz w:val="20"/>
                <w:szCs w:val="20"/>
                <w:color w:val="auto"/>
              </w:rPr>
            </w:pPr>
            <w:r>
              <w:rPr>
                <w:rFonts w:ascii="Arial" w:cs="Arial" w:eastAsia="Arial" w:hAnsi="Arial"/>
                <w:sz w:val="18"/>
                <w:szCs w:val="18"/>
                <w:b w:val="1"/>
                <w:bCs w:val="1"/>
                <w:color w:val="auto"/>
              </w:rPr>
              <w:t>939,192</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rPr>
              <w:t>863,132</w:t>
            </w: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EEEEEE"/>
          </w:tcPr>
          <w:p>
            <w:pPr>
              <w:jc w:val="right"/>
              <w:ind w:right="192"/>
              <w:spacing w:after="0"/>
              <w:rPr>
                <w:sz w:val="20"/>
                <w:szCs w:val="20"/>
                <w:color w:val="auto"/>
              </w:rPr>
            </w:pPr>
            <w:r>
              <w:rPr>
                <w:rFonts w:ascii="Arial" w:cs="Arial" w:eastAsia="Arial" w:hAnsi="Arial"/>
                <w:sz w:val="18"/>
                <w:szCs w:val="18"/>
                <w:b w:val="1"/>
                <w:bCs w:val="1"/>
                <w:color w:val="auto"/>
                <w:w w:val="88"/>
              </w:rPr>
              <w:t>(120,444)</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w w:val="85"/>
              </w:rPr>
              <w:t>(112,174)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Unrecognized transition asset</w:t>
            </w:r>
          </w:p>
        </w:tc>
        <w:tc>
          <w:tcPr>
            <w:tcW w:w="260" w:type="dxa"/>
            <w:vAlign w:val="bottom"/>
          </w:tcPr>
          <w:p>
            <w:pPr>
              <w:spacing w:after="0"/>
              <w:rPr>
                <w:sz w:val="18"/>
                <w:szCs w:val="18"/>
                <w:color w:val="auto"/>
              </w:rPr>
            </w:pPr>
          </w:p>
        </w:tc>
        <w:tc>
          <w:tcPr>
            <w:tcW w:w="1060" w:type="dxa"/>
            <w:vAlign w:val="bottom"/>
          </w:tcPr>
          <w:p>
            <w:pPr>
              <w:jc w:val="right"/>
              <w:ind w:right="212"/>
              <w:spacing w:after="0"/>
              <w:rPr>
                <w:sz w:val="20"/>
                <w:szCs w:val="20"/>
                <w:color w:val="auto"/>
              </w:rPr>
            </w:pPr>
            <w:r>
              <w:rPr>
                <w:rFonts w:ascii="Arial" w:cs="Arial" w:eastAsia="Arial" w:hAnsi="Arial"/>
                <w:sz w:val="18"/>
                <w:szCs w:val="18"/>
                <w:b w:val="1"/>
                <w:bCs w:val="1"/>
                <w:color w:val="auto"/>
              </w:rPr>
              <w:t>(1,442)</w:t>
            </w:r>
          </w:p>
        </w:tc>
        <w:tc>
          <w:tcPr>
            <w:tcW w:w="40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(3,631)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252"/>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8"/>
                <w:szCs w:val="18"/>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color w:val="auto"/>
              </w:rPr>
              <w:t>Unrecognized prior service cost</w:t>
            </w:r>
          </w:p>
        </w:tc>
        <w:tc>
          <w:tcPr>
            <w:tcW w:w="26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252"/>
              <w:spacing w:after="0"/>
              <w:rPr>
                <w:sz w:val="20"/>
                <w:szCs w:val="20"/>
                <w:color w:val="auto"/>
              </w:rPr>
            </w:pPr>
            <w:r>
              <w:rPr>
                <w:rFonts w:ascii="Arial" w:cs="Arial" w:eastAsia="Arial" w:hAnsi="Arial"/>
                <w:sz w:val="18"/>
                <w:szCs w:val="18"/>
                <w:b w:val="1"/>
                <w:bCs w:val="1"/>
                <w:color w:val="auto"/>
              </w:rPr>
              <w:t>46,941</w:t>
            </w:r>
          </w:p>
        </w:tc>
        <w:tc>
          <w:tcPr>
            <w:tcW w:w="40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rPr>
              <w:t>24,553</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192"/>
              <w:spacing w:after="0"/>
              <w:rPr>
                <w:sz w:val="20"/>
                <w:szCs w:val="20"/>
                <w:color w:val="auto"/>
              </w:rPr>
            </w:pPr>
            <w:r>
              <w:rPr>
                <w:rFonts w:ascii="Arial" w:cs="Arial" w:eastAsia="Arial" w:hAnsi="Arial"/>
                <w:sz w:val="18"/>
                <w:szCs w:val="18"/>
                <w:b w:val="1"/>
                <w:bCs w:val="1"/>
                <w:color w:val="auto"/>
              </w:rPr>
              <w:t>(8,589)</w:t>
            </w:r>
          </w:p>
        </w:tc>
        <w:tc>
          <w:tcPr>
            <w:tcW w:w="40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(3,469)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Unrecognized actuarial gain</w:t>
            </w:r>
          </w:p>
        </w:tc>
        <w:tc>
          <w:tcPr>
            <w:tcW w:w="260" w:type="dxa"/>
            <w:vAlign w:val="bottom"/>
          </w:tcPr>
          <w:p>
            <w:pPr>
              <w:spacing w:after="0"/>
              <w:rPr>
                <w:sz w:val="19"/>
                <w:szCs w:val="19"/>
                <w:color w:val="auto"/>
              </w:rPr>
            </w:pPr>
          </w:p>
        </w:tc>
        <w:tc>
          <w:tcPr>
            <w:tcW w:w="1060" w:type="dxa"/>
            <w:vAlign w:val="bottom"/>
          </w:tcPr>
          <w:p>
            <w:pPr>
              <w:jc w:val="right"/>
              <w:ind w:right="212"/>
              <w:spacing w:after="0"/>
              <w:rPr>
                <w:sz w:val="20"/>
                <w:szCs w:val="20"/>
                <w:color w:val="auto"/>
              </w:rPr>
            </w:pPr>
            <w:r>
              <w:rPr>
                <w:rFonts w:ascii="Arial" w:cs="Arial" w:eastAsia="Arial" w:hAnsi="Arial"/>
                <w:sz w:val="18"/>
                <w:szCs w:val="18"/>
                <w:b w:val="1"/>
                <w:bCs w:val="1"/>
                <w:color w:val="auto"/>
                <w:w w:val="95"/>
              </w:rPr>
              <w:t>(469,890)</w:t>
            </w:r>
          </w:p>
        </w:tc>
        <w:tc>
          <w:tcPr>
            <w:tcW w:w="40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w w:val="95"/>
              </w:rPr>
              <w:t>(390,268)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92"/>
              <w:spacing w:after="0"/>
              <w:rPr>
                <w:sz w:val="20"/>
                <w:szCs w:val="20"/>
                <w:color w:val="auto"/>
              </w:rPr>
            </w:pPr>
            <w:r>
              <w:rPr>
                <w:rFonts w:ascii="Arial" w:cs="Arial" w:eastAsia="Arial" w:hAnsi="Arial"/>
                <w:sz w:val="18"/>
                <w:szCs w:val="18"/>
                <w:b w:val="1"/>
                <w:bCs w:val="1"/>
                <w:color w:val="auto"/>
              </w:rPr>
              <w:t>(11,707)</w:t>
            </w:r>
          </w:p>
        </w:tc>
        <w:tc>
          <w:tcPr>
            <w:tcW w:w="400" w:type="dxa"/>
            <w:vAlign w:val="bottom"/>
          </w:tcPr>
          <w:p>
            <w:pPr>
              <w:spacing w:after="0"/>
              <w:rPr>
                <w:sz w:val="19"/>
                <w:szCs w:val="19"/>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w w:val="98"/>
              </w:rPr>
              <w:t>(20,750)</w:t>
            </w:r>
          </w:p>
        </w:tc>
        <w:tc>
          <w:tcPr>
            <w:tcW w:w="0" w:type="dxa"/>
            <w:vAlign w:val="bottom"/>
          </w:tcPr>
          <w:p>
            <w:pPr>
              <w:spacing w:after="0"/>
              <w:rPr>
                <w:sz w:val="1"/>
                <w:szCs w:val="1"/>
                <w:color w:val="auto"/>
              </w:rPr>
            </w:pPr>
          </w:p>
        </w:tc>
      </w:tr>
      <w:tr>
        <w:trPr>
          <w:trHeight w:val="96"/>
        </w:trPr>
        <w:tc>
          <w:tcPr>
            <w:tcW w:w="4440" w:type="dxa"/>
            <w:vAlign w:val="bottom"/>
            <w:gridSpan w:val="2"/>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gridSpan w:val="2"/>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44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60" w:type="dxa"/>
            <w:vAlign w:val="bottom"/>
            <w:gridSpan w:val="2"/>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560" w:type="dxa"/>
            <w:vAlign w:val="bottom"/>
            <w:gridSpan w:val="2"/>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Net prepaid (accrued) cost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252"/>
              <w:spacing w:after="0"/>
              <w:rPr>
                <w:sz w:val="20"/>
                <w:szCs w:val="20"/>
                <w:color w:val="auto"/>
              </w:rPr>
            </w:pPr>
            <w:r>
              <w:rPr>
                <w:rFonts w:ascii="Arial" w:cs="Arial" w:eastAsia="Arial" w:hAnsi="Arial"/>
                <w:sz w:val="18"/>
                <w:szCs w:val="18"/>
                <w:b w:val="1"/>
                <w:bCs w:val="1"/>
                <w:color w:val="auto"/>
              </w:rPr>
              <w:t>514,801</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493,786</w:t>
            </w: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92"/>
              <w:spacing w:after="0"/>
              <w:rPr>
                <w:sz w:val="20"/>
                <w:szCs w:val="20"/>
                <w:color w:val="auto"/>
              </w:rPr>
            </w:pPr>
            <w:r>
              <w:rPr>
                <w:rFonts w:ascii="Arial" w:cs="Arial" w:eastAsia="Arial" w:hAnsi="Arial"/>
                <w:sz w:val="18"/>
                <w:szCs w:val="18"/>
                <w:b w:val="1"/>
                <w:bCs w:val="1"/>
                <w:color w:val="auto"/>
                <w:w w:val="88"/>
              </w:rPr>
              <w:t>(140,740)</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w w:val="85"/>
              </w:rPr>
              <w:t>(136,393)</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4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2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accumulated benefit obligation for the Company’s defined benefit pension plans at December 28, 2003 and December 29, 2002 was $548.4 million and $432.9 million,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Key assumptions utilized for determining the benefit obligation at December 28, 2003 and December 29, 2002 are as follows:</w:t>
      </w:r>
    </w:p>
    <w:p>
      <w:pPr>
        <w:spacing w:after="0" w:line="200" w:lineRule="exact"/>
        <w:rPr>
          <w:sz w:val="20"/>
          <w:szCs w:val="20"/>
          <w:color w:val="auto"/>
        </w:rPr>
      </w:pPr>
    </w:p>
    <w:p>
      <w:pPr>
        <w:spacing w:after="0" w:line="24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2"/>
          </w:tcPr>
          <w:p>
            <w:pPr>
              <w:jc w:val="right"/>
              <w:ind w:right="512"/>
              <w:spacing w:after="0"/>
              <w:rPr>
                <w:sz w:val="20"/>
                <w:szCs w:val="20"/>
                <w:color w:val="auto"/>
              </w:rPr>
            </w:pPr>
            <w:r>
              <w:rPr>
                <w:rFonts w:ascii="Arial" w:cs="Arial" w:eastAsia="Arial" w:hAnsi="Arial"/>
                <w:sz w:val="18"/>
                <w:szCs w:val="18"/>
                <w:color w:val="auto"/>
              </w:rPr>
              <w:t>Postretirement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2240" w:type="dxa"/>
            <w:vAlign w:val="bottom"/>
            <w:gridSpan w:val="2"/>
          </w:tcPr>
          <w:p>
            <w:pPr>
              <w:jc w:val="right"/>
              <w:ind w:right="552"/>
              <w:spacing w:after="0"/>
              <w:rPr>
                <w:sz w:val="20"/>
                <w:szCs w:val="20"/>
                <w:color w:val="auto"/>
              </w:rPr>
            </w:pPr>
            <w:r>
              <w:rPr>
                <w:rFonts w:ascii="Arial" w:cs="Arial" w:eastAsia="Arial" w:hAnsi="Arial"/>
                <w:sz w:val="18"/>
                <w:szCs w:val="18"/>
                <w:color w:val="auto"/>
              </w:rPr>
              <w:t>Pension Plans</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80" w:type="dxa"/>
            <w:vAlign w:val="bottom"/>
          </w:tcPr>
          <w:p>
            <w:pPr>
              <w:jc w:val="right"/>
              <w:ind w:right="852"/>
              <w:spacing w:after="0"/>
              <w:rPr>
                <w:sz w:val="20"/>
                <w:szCs w:val="20"/>
                <w:color w:val="auto"/>
              </w:rPr>
            </w:pPr>
            <w:r>
              <w:rPr>
                <w:rFonts w:ascii="Arial" w:cs="Arial" w:eastAsia="Arial" w:hAnsi="Arial"/>
                <w:sz w:val="18"/>
                <w:szCs w:val="18"/>
                <w:color w:val="auto"/>
                <w:w w:val="93"/>
              </w:rPr>
              <w:t>Plans</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42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160" w:type="dxa"/>
            <w:vAlign w:val="bottom"/>
          </w:tcPr>
          <w:p>
            <w:pPr>
              <w:jc w:val="right"/>
              <w:ind w:right="292"/>
              <w:spacing w:after="0"/>
              <w:rPr>
                <w:sz w:val="20"/>
                <w:szCs w:val="20"/>
                <w:color w:val="auto"/>
              </w:rPr>
            </w:pPr>
            <w:r>
              <w:rPr>
                <w:rFonts w:ascii="Arial" w:cs="Arial" w:eastAsia="Arial" w:hAnsi="Arial"/>
                <w:sz w:val="18"/>
                <w:szCs w:val="18"/>
                <w:b w:val="1"/>
                <w:bCs w:val="1"/>
                <w:color w:val="auto"/>
              </w:rPr>
              <w:t>2003</w:t>
            </w: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2002</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2003</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110"/>
        </w:trPr>
        <w:tc>
          <w:tcPr>
            <w:tcW w:w="4440" w:type="dxa"/>
            <w:vAlign w:val="bottom"/>
            <w:gridSpan w:val="2"/>
          </w:tcPr>
          <w:p>
            <w:pPr>
              <w:spacing w:after="0"/>
              <w:rPr>
                <w:sz w:val="9"/>
                <w:szCs w:val="9"/>
                <w:color w:val="auto"/>
              </w:rPr>
            </w:pPr>
          </w:p>
        </w:tc>
        <w:tc>
          <w:tcPr>
            <w:tcW w:w="1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80" w:type="dxa"/>
            <w:vAlign w:val="bottom"/>
            <w:gridSpan w:val="2"/>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20" w:type="dxa"/>
            <w:vAlign w:val="bottom"/>
            <w:tcBorders>
              <w:top w:val="single" w:sz="8" w:color="808080"/>
            </w:tcBorders>
          </w:tcPr>
          <w:p>
            <w:pPr>
              <w:spacing w:after="0"/>
              <w:rPr>
                <w:sz w:val="8"/>
                <w:szCs w:val="8"/>
                <w:color w:val="auto"/>
              </w:rPr>
            </w:pPr>
          </w:p>
        </w:tc>
        <w:tc>
          <w:tcPr>
            <w:tcW w:w="1160" w:type="dxa"/>
            <w:vAlign w:val="bottom"/>
            <w:tcBorders>
              <w:top w:val="single" w:sz="8" w:color="808080"/>
            </w:tcBorders>
          </w:tcPr>
          <w:p>
            <w:pPr>
              <w:spacing w:after="0"/>
              <w:rPr>
                <w:sz w:val="8"/>
                <w:szCs w:val="8"/>
                <w:color w:val="auto"/>
              </w:rPr>
            </w:pPr>
          </w:p>
        </w:tc>
        <w:tc>
          <w:tcPr>
            <w:tcW w:w="1080" w:type="dxa"/>
            <w:vAlign w:val="bottom"/>
            <w:tcBorders>
              <w:top w:val="single" w:sz="8" w:color="808080"/>
            </w:tcBorders>
          </w:tcPr>
          <w:p>
            <w:pPr>
              <w:spacing w:after="0"/>
              <w:rPr>
                <w:sz w:val="8"/>
                <w:szCs w:val="8"/>
                <w:color w:val="auto"/>
              </w:rPr>
            </w:pPr>
          </w:p>
        </w:tc>
        <w:tc>
          <w:tcPr>
            <w:tcW w:w="1080" w:type="dxa"/>
            <w:vAlign w:val="bottom"/>
            <w:tcBorders>
              <w:top w:val="single" w:sz="8" w:color="808080"/>
            </w:tcBorders>
            <w:gridSpan w:val="2"/>
          </w:tcPr>
          <w:p>
            <w:pPr>
              <w:spacing w:after="0"/>
              <w:rPr>
                <w:sz w:val="8"/>
                <w:szCs w:val="8"/>
                <w:color w:val="auto"/>
              </w:rPr>
            </w:pPr>
          </w:p>
        </w:tc>
        <w:tc>
          <w:tcPr>
            <w:tcW w:w="1380" w:type="dxa"/>
            <w:vAlign w:val="bottom"/>
            <w:tcBorders>
              <w:top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EEEEEE"/>
          </w:tcPr>
          <w:p>
            <w:pPr>
              <w:spacing w:after="0"/>
              <w:rPr>
                <w:sz w:val="20"/>
                <w:szCs w:val="20"/>
                <w:color w:val="auto"/>
              </w:rPr>
            </w:pPr>
            <w:r>
              <w:rPr>
                <w:rFonts w:ascii="Arial" w:cs="Arial" w:eastAsia="Arial" w:hAnsi="Arial"/>
                <w:sz w:val="18"/>
                <w:szCs w:val="18"/>
                <w:color w:val="auto"/>
              </w:rPr>
              <w:t>Discount rate</w:t>
            </w:r>
          </w:p>
        </w:tc>
        <w:tc>
          <w:tcPr>
            <w:tcW w:w="1160" w:type="dxa"/>
            <w:vAlign w:val="bottom"/>
            <w:shd w:val="clear" w:color="auto" w:fill="EEEEEE"/>
          </w:tcPr>
          <w:p>
            <w:pPr>
              <w:jc w:val="right"/>
              <w:ind w:right="292"/>
              <w:spacing w:after="0"/>
              <w:rPr>
                <w:sz w:val="20"/>
                <w:szCs w:val="20"/>
                <w:color w:val="auto"/>
              </w:rPr>
            </w:pPr>
            <w:r>
              <w:rPr>
                <w:rFonts w:ascii="Arial" w:cs="Arial" w:eastAsia="Arial" w:hAnsi="Arial"/>
                <w:sz w:val="18"/>
                <w:szCs w:val="18"/>
                <w:b w:val="1"/>
                <w:bCs w:val="1"/>
                <w:color w:val="auto"/>
              </w:rPr>
              <w:t>6.25%</w:t>
            </w:r>
          </w:p>
        </w:tc>
        <w:tc>
          <w:tcPr>
            <w:tcW w:w="1080" w:type="dxa"/>
            <w:vAlign w:val="bottom"/>
            <w:shd w:val="clear" w:color="auto" w:fill="EEEEEE"/>
          </w:tcPr>
          <w:p>
            <w:pPr>
              <w:jc w:val="right"/>
              <w:ind w:right="152"/>
              <w:spacing w:after="0"/>
              <w:rPr>
                <w:sz w:val="20"/>
                <w:szCs w:val="20"/>
                <w:color w:val="auto"/>
              </w:rPr>
            </w:pPr>
            <w:r>
              <w:rPr>
                <w:rFonts w:ascii="Arial" w:cs="Arial" w:eastAsia="Arial" w:hAnsi="Arial"/>
                <w:sz w:val="18"/>
                <w:szCs w:val="18"/>
                <w:color w:val="auto"/>
              </w:rPr>
              <w:t>6.75%</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6.25%</w:t>
            </w:r>
          </w:p>
        </w:tc>
        <w:tc>
          <w:tcPr>
            <w:tcW w:w="1380" w:type="dxa"/>
            <w:vAlign w:val="bottom"/>
            <w:shd w:val="clear" w:color="auto" w:fill="EEEEEE"/>
          </w:tcPr>
          <w:p>
            <w:pPr>
              <w:jc w:val="right"/>
              <w:ind w:right="152"/>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Rate of compensation increase</w:t>
            </w:r>
          </w:p>
        </w:tc>
        <w:tc>
          <w:tcPr>
            <w:tcW w:w="1160" w:type="dxa"/>
            <w:vAlign w:val="bottom"/>
          </w:tcPr>
          <w:p>
            <w:pPr>
              <w:jc w:val="right"/>
              <w:ind w:right="292"/>
              <w:spacing w:after="0"/>
              <w:rPr>
                <w:sz w:val="20"/>
                <w:szCs w:val="20"/>
                <w:color w:val="auto"/>
              </w:rPr>
            </w:pPr>
            <w:r>
              <w:rPr>
                <w:rFonts w:ascii="Arial" w:cs="Arial" w:eastAsia="Arial" w:hAnsi="Arial"/>
                <w:sz w:val="18"/>
                <w:szCs w:val="18"/>
                <w:b w:val="1"/>
                <w:bCs w:val="1"/>
                <w:color w:val="auto"/>
              </w:rPr>
              <w:t>4.0%</w:t>
            </w: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assumed health care cost trend rate used in measuring the postretirement benefit obligation at December 28, 2003 was 9.5 percent for both pre-age 65 and post-age 65 benefits, decreasing to 5 percent in the year 2013 and thereafter.</w:t>
      </w:r>
    </w:p>
    <w:p>
      <w:pPr>
        <w:spacing w:after="0" w:line="18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Assumed health care cost trend rates have a significant effect on the amounts reported for the health care plans. A change of 1 percentage point in the assumed health care cost trend rates would have the following effects (in thousands):</w:t>
      </w:r>
    </w:p>
    <w:p>
      <w:pPr>
        <w:spacing w:after="0" w:line="200" w:lineRule="exact"/>
        <w:rPr>
          <w:sz w:val="20"/>
          <w:szCs w:val="20"/>
          <w:color w:val="auto"/>
        </w:rPr>
      </w:pP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80" w:type="dxa"/>
            <w:vAlign w:val="bottom"/>
          </w:tcPr>
          <w:p>
            <w:pPr>
              <w:jc w:val="right"/>
              <w:ind w:right="412"/>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18"/>
                <w:szCs w:val="18"/>
                <w:color w:val="auto"/>
              </w:rPr>
            </w:pPr>
          </w:p>
        </w:tc>
        <w:tc>
          <w:tcPr>
            <w:tcW w:w="960" w:type="dxa"/>
            <w:vAlign w:val="bottom"/>
          </w:tcPr>
          <w:p>
            <w:pPr>
              <w:jc w:val="right"/>
              <w:ind w:right="33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3180" w:type="dxa"/>
            <w:vAlign w:val="bottom"/>
            <w:gridSpan w:val="2"/>
          </w:tcPr>
          <w:p>
            <w:pPr>
              <w:ind w:left="2100"/>
              <w:spacing w:after="0"/>
              <w:rPr>
                <w:sz w:val="20"/>
                <w:szCs w:val="20"/>
                <w:color w:val="auto"/>
              </w:rPr>
            </w:pPr>
            <w:r>
              <w:rPr>
                <w:rFonts w:ascii="Arial" w:cs="Arial" w:eastAsia="Arial" w:hAnsi="Arial"/>
                <w:sz w:val="18"/>
                <w:szCs w:val="18"/>
                <w:color w:val="auto"/>
              </w:rPr>
              <w:t>Increase</w:t>
            </w:r>
          </w:p>
        </w:tc>
        <w:tc>
          <w:tcPr>
            <w:tcW w:w="1560" w:type="dxa"/>
            <w:vAlign w:val="bottom"/>
            <w:gridSpan w:val="2"/>
          </w:tcPr>
          <w:p>
            <w:pPr>
              <w:jc w:val="right"/>
              <w:ind w:right="292"/>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110"/>
        </w:trPr>
        <w:tc>
          <w:tcPr>
            <w:tcW w:w="4400" w:type="dxa"/>
            <w:vAlign w:val="bottom"/>
            <w:gridSpan w:val="2"/>
          </w:tcPr>
          <w:p>
            <w:pPr>
              <w:spacing w:after="0"/>
              <w:rPr>
                <w:sz w:val="9"/>
                <w:szCs w:val="9"/>
                <w:color w:val="auto"/>
              </w:rPr>
            </w:pPr>
          </w:p>
        </w:tc>
        <w:tc>
          <w:tcPr>
            <w:tcW w:w="2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Borders>
              <w:top w:val="single" w:sz="8" w:color="808080"/>
            </w:tcBorders>
          </w:tcPr>
          <w:p>
            <w:pPr>
              <w:spacing w:after="0"/>
              <w:rPr>
                <w:sz w:val="8"/>
                <w:szCs w:val="8"/>
                <w:color w:val="auto"/>
              </w:rPr>
            </w:pPr>
          </w:p>
        </w:tc>
        <w:tc>
          <w:tcPr>
            <w:tcW w:w="2200" w:type="dxa"/>
            <w:vAlign w:val="bottom"/>
            <w:tcBorders>
              <w:top w:val="single" w:sz="8" w:color="808080"/>
            </w:tcBorders>
          </w:tcPr>
          <w:p>
            <w:pPr>
              <w:spacing w:after="0"/>
              <w:rPr>
                <w:sz w:val="8"/>
                <w:szCs w:val="8"/>
                <w:color w:val="auto"/>
              </w:rPr>
            </w:pPr>
          </w:p>
        </w:tc>
        <w:tc>
          <w:tcPr>
            <w:tcW w:w="980" w:type="dxa"/>
            <w:vAlign w:val="bottom"/>
            <w:tcBorders>
              <w:top w:val="single" w:sz="8" w:color="808080"/>
            </w:tcBorders>
          </w:tcPr>
          <w:p>
            <w:pPr>
              <w:spacing w:after="0"/>
              <w:rPr>
                <w:sz w:val="8"/>
                <w:szCs w:val="8"/>
                <w:color w:val="auto"/>
              </w:rPr>
            </w:pPr>
          </w:p>
        </w:tc>
        <w:tc>
          <w:tcPr>
            <w:tcW w:w="600" w:type="dxa"/>
            <w:vAlign w:val="bottom"/>
            <w:tcBorders>
              <w:top w:val="single" w:sz="8" w:color="808080"/>
            </w:tcBorders>
          </w:tcPr>
          <w:p>
            <w:pPr>
              <w:spacing w:after="0"/>
              <w:rPr>
                <w:sz w:val="8"/>
                <w:szCs w:val="8"/>
                <w:color w:val="auto"/>
              </w:rPr>
            </w:pPr>
          </w:p>
        </w:tc>
        <w:tc>
          <w:tcPr>
            <w:tcW w:w="960" w:type="dxa"/>
            <w:vAlign w:val="bottom"/>
            <w:tcBorders>
              <w:top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EEEEEE"/>
          </w:tcPr>
          <w:p>
            <w:pPr>
              <w:spacing w:after="0"/>
              <w:rPr>
                <w:sz w:val="20"/>
                <w:szCs w:val="20"/>
                <w:color w:val="auto"/>
              </w:rPr>
            </w:pPr>
            <w:r>
              <w:rPr>
                <w:rFonts w:ascii="Arial" w:cs="Arial" w:eastAsia="Arial" w:hAnsi="Arial"/>
                <w:sz w:val="18"/>
                <w:szCs w:val="18"/>
                <w:color w:val="auto"/>
              </w:rPr>
              <w:t>Benefit obligation at end of year</w:t>
            </w:r>
          </w:p>
        </w:tc>
        <w:tc>
          <w:tcPr>
            <w:tcW w:w="2200" w:type="dxa"/>
            <w:vAlign w:val="bottom"/>
            <w:shd w:val="clear" w:color="auto" w:fill="EEEEEE"/>
          </w:tcPr>
          <w:p>
            <w:pPr>
              <w:ind w:left="2120"/>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EEEEEE"/>
          </w:tcPr>
          <w:p>
            <w:pPr>
              <w:jc w:val="right"/>
              <w:ind w:right="412"/>
              <w:spacing w:after="0"/>
              <w:rPr>
                <w:sz w:val="20"/>
                <w:szCs w:val="20"/>
                <w:color w:val="auto"/>
              </w:rPr>
            </w:pPr>
            <w:r>
              <w:rPr>
                <w:rFonts w:ascii="Arial" w:cs="Arial" w:eastAsia="Arial" w:hAnsi="Arial"/>
                <w:sz w:val="18"/>
                <w:szCs w:val="18"/>
                <w:color w:val="auto"/>
                <w:w w:val="83"/>
              </w:rPr>
              <w:t>18,104</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w w:val="86"/>
              </w:rPr>
              <w:t>(16,918)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Service cost plus interest cost</w:t>
            </w:r>
          </w:p>
        </w:tc>
        <w:tc>
          <w:tcPr>
            <w:tcW w:w="2200" w:type="dxa"/>
            <w:vAlign w:val="bottom"/>
          </w:tcPr>
          <w:p>
            <w:pPr>
              <w:ind w:left="212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412"/>
              <w:spacing w:after="0"/>
              <w:rPr>
                <w:sz w:val="20"/>
                <w:szCs w:val="20"/>
                <w:color w:val="auto"/>
              </w:rPr>
            </w:pPr>
            <w:r>
              <w:rPr>
                <w:rFonts w:ascii="Arial" w:cs="Arial" w:eastAsia="Arial" w:hAnsi="Arial"/>
                <w:sz w:val="18"/>
                <w:szCs w:val="18"/>
                <w:color w:val="auto"/>
              </w:rPr>
              <w:t>1,990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72"/>
              <w:spacing w:after="0"/>
              <w:rPr>
                <w:sz w:val="20"/>
                <w:szCs w:val="20"/>
                <w:color w:val="auto"/>
              </w:rPr>
            </w:pPr>
            <w:r>
              <w:rPr>
                <w:rFonts w:ascii="Arial" w:cs="Arial" w:eastAsia="Arial" w:hAnsi="Arial"/>
                <w:sz w:val="18"/>
                <w:szCs w:val="18"/>
                <w:color w:val="auto"/>
              </w:rPr>
              <w:t>(1,929)</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Company made no contributions to its defined benefit pension plans in 2003 and 2002, and the Company does not expect to make any contributions in 2004 or in the foreseeable future. The Company made contributions to its postretirement benefit plans of $5.5 million and $5.0 million for the years ended December 28, 2003 and December 29, 2002, respectively, as the plans are unfunded and the Company covers benefit payments. The Company expects to make contributions for its postretirement plans by funding benefit payments consistent with the assumed heath care cost trend rates discussed above.</w:t>
      </w:r>
    </w:p>
    <w:p>
      <w:pPr>
        <w:spacing w:after="0" w:line="167"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The Company’s defined benefit pension obligations are funded by a relatively small but diversified mix of stocks and high-quality fixed-income securities that are held in trust. Essentially all of the assets are managed by two investment companies. None of the assets are managed internally by the Company or are invested in securities of the Company. The goal of the investment managers is to produce moderate long-term growth in the value of those assets while protecting them against decreases in value. The investment managers cannot invest more than 20 percent of the assets at the time of purchase in the stock of Berkshire Hathaway</w:t>
      </w:r>
    </w:p>
    <w:p>
      <w:pPr>
        <w:sectPr>
          <w:pgSz w:w="11900" w:h="16926" w:orient="portrait"/>
          <w:cols w:equalWidth="0" w:num="1">
            <w:col w:w="11400"/>
          </w:cols>
          <w:pgMar w:left="240" w:top="941" w:right="259" w:bottom="0" w:gutter="0" w:footer="0" w:header="0"/>
        </w:sectPr>
      </w:pPr>
    </w:p>
    <w:bookmarkStart w:id="66" w:name="page67"/>
    <w:bookmarkEnd w:id="66"/>
    <w:p>
      <w:pPr>
        <w:jc w:val="both"/>
        <w:ind w:right="80"/>
        <w:spacing w:after="0" w:line="255" w:lineRule="auto"/>
        <w:rPr>
          <w:sz w:val="20"/>
          <w:szCs w:val="20"/>
          <w:color w:val="auto"/>
        </w:rPr>
      </w:pPr>
      <w:r>
        <w:rPr>
          <w:rFonts w:ascii="Arial" w:cs="Arial" w:eastAsia="Arial" w:hAnsi="Arial"/>
          <w:sz w:val="18"/>
          <w:szCs w:val="18"/>
          <w:color w:val="auto"/>
        </w:rPr>
        <w:t>or more than 10 percent of the assets in the securities of any other single issuer, except for obligations of the U.S. Government, without receiving prior approval by the Plan administrator. Over the past five years, the managers together have invested between 65 percent and 85 percent of the assets in equities. At the end of 2003, 82 percent of the assets were invested in equities; 25 percent of the assets were invested in Berkshire Hathaway common stock. The Company’s retirement plan trust held shares of Berkshire Class A and Class B common stock with a total market value of $398.2 million and $343.8 million at December 28, 2003 and December 29, 2002, respectively.</w:t>
      </w:r>
    </w:p>
    <w:p>
      <w:pPr>
        <w:spacing w:after="0" w:line="19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total (income) cost arising from the Company’s defined benefit pension and postretirement plans for the years ended December 28, 2003, December 29, 2002 and December 30, 2001, consists of the following components (in thousands):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Pension Plans</w:t>
            </w: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20" w:type="dxa"/>
            <w:vAlign w:val="bottom"/>
            <w:gridSpan w:val="2"/>
          </w:tcPr>
          <w:p>
            <w:pPr>
              <w:jc w:val="right"/>
              <w:ind w:right="32"/>
              <w:spacing w:after="0"/>
              <w:rPr>
                <w:sz w:val="20"/>
                <w:szCs w:val="20"/>
                <w:color w:val="auto"/>
              </w:rPr>
            </w:pPr>
            <w:r>
              <w:rPr>
                <w:rFonts w:ascii="Arial" w:cs="Arial" w:eastAsia="Arial" w:hAnsi="Arial"/>
                <w:sz w:val="18"/>
                <w:szCs w:val="18"/>
                <w:color w:val="auto"/>
                <w:w w:val="88"/>
              </w:rPr>
              <w:t>Postretirement Plans</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b w:val="1"/>
                <w:bCs w:val="1"/>
                <w:color w:val="auto"/>
              </w:rPr>
              <w:t>2003</w:t>
            </w:r>
          </w:p>
        </w:tc>
        <w:tc>
          <w:tcPr>
            <w:tcW w:w="1400" w:type="dxa"/>
            <w:vAlign w:val="bottom"/>
          </w:tcPr>
          <w:p>
            <w:pPr>
              <w:jc w:val="right"/>
              <w:ind w:right="312"/>
              <w:spacing w:after="0"/>
              <w:rPr>
                <w:sz w:val="20"/>
                <w:szCs w:val="20"/>
                <w:color w:val="auto"/>
              </w:rPr>
            </w:pPr>
            <w:r>
              <w:rPr>
                <w:rFonts w:ascii="Arial" w:cs="Arial" w:eastAsia="Arial" w:hAnsi="Arial"/>
                <w:sz w:val="18"/>
                <w:szCs w:val="18"/>
                <w:color w:val="auto"/>
              </w:rPr>
              <w:t>2002</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2001</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b w:val="1"/>
                <w:bCs w:val="1"/>
                <w:color w:val="auto"/>
              </w:rPr>
              <w:t>2003</w:t>
            </w:r>
          </w:p>
        </w:tc>
        <w:tc>
          <w:tcPr>
            <w:tcW w:w="600" w:type="dxa"/>
            <w:vAlign w:val="bottom"/>
          </w:tcPr>
          <w:p>
            <w:pPr>
              <w:spacing w:after="0"/>
              <w:rPr>
                <w:sz w:val="24"/>
                <w:szCs w:val="24"/>
                <w:color w:val="auto"/>
              </w:rPr>
            </w:pPr>
          </w:p>
        </w:tc>
        <w:tc>
          <w:tcPr>
            <w:tcW w:w="1020" w:type="dxa"/>
            <w:vAlign w:val="bottom"/>
          </w:tcPr>
          <w:p>
            <w:pPr>
              <w:jc w:val="right"/>
              <w:ind w:right="452"/>
              <w:spacing w:after="0"/>
              <w:rPr>
                <w:sz w:val="20"/>
                <w:szCs w:val="20"/>
                <w:color w:val="auto"/>
              </w:rPr>
            </w:pPr>
            <w:r>
              <w:rPr>
                <w:rFonts w:ascii="Arial" w:cs="Arial" w:eastAsia="Arial" w:hAnsi="Arial"/>
                <w:sz w:val="18"/>
                <w:szCs w:val="18"/>
                <w:color w:val="auto"/>
              </w:rPr>
              <w:t>2002</w:t>
            </w: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2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EEEEEE"/>
          </w:tcPr>
          <w:p>
            <w:pPr>
              <w:spacing w:after="0"/>
              <w:rPr>
                <w:sz w:val="20"/>
                <w:szCs w:val="20"/>
                <w:color w:val="auto"/>
              </w:rPr>
            </w:pPr>
            <w:r>
              <w:rPr>
                <w:rFonts w:ascii="Arial" w:cs="Arial" w:eastAsia="Arial" w:hAnsi="Arial"/>
                <w:sz w:val="18"/>
                <w:szCs w:val="18"/>
                <w:color w:val="auto"/>
              </w:rPr>
              <w:t>Service cost</w:t>
            </w:r>
          </w:p>
        </w:tc>
        <w:tc>
          <w:tcPr>
            <w:tcW w:w="1080" w:type="dxa"/>
            <w:vAlign w:val="bottom"/>
            <w:shd w:val="clear" w:color="auto" w:fill="EEEEEE"/>
          </w:tcPr>
          <w:p>
            <w:pPr>
              <w:jc w:val="right"/>
              <w:ind w:right="172"/>
              <w:spacing w:after="0"/>
              <w:rPr>
                <w:sz w:val="20"/>
                <w:szCs w:val="20"/>
                <w:color w:val="auto"/>
              </w:rPr>
            </w:pPr>
            <w:r>
              <w:rPr>
                <w:rFonts w:ascii="Arial" w:cs="Arial" w:eastAsia="Arial" w:hAnsi="Arial"/>
                <w:sz w:val="18"/>
                <w:szCs w:val="18"/>
                <w:b w:val="1"/>
                <w:bCs w:val="1"/>
                <w:color w:val="auto"/>
              </w:rPr>
              <w:t>$ 19,965</w:t>
            </w:r>
          </w:p>
        </w:tc>
        <w:tc>
          <w:tcPr>
            <w:tcW w:w="140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$ 17,489</w:t>
            </w:r>
          </w:p>
        </w:tc>
        <w:tc>
          <w:tcPr>
            <w:tcW w:w="1040" w:type="dxa"/>
            <w:vAlign w:val="bottom"/>
            <w:shd w:val="clear" w:color="auto" w:fill="EEEEEE"/>
          </w:tcPr>
          <w:p>
            <w:pPr>
              <w:jc w:val="right"/>
              <w:ind w:right="72"/>
              <w:spacing w:after="0"/>
              <w:rPr>
                <w:sz w:val="20"/>
                <w:szCs w:val="20"/>
                <w:color w:val="auto"/>
              </w:rPr>
            </w:pPr>
            <w:r>
              <w:rPr>
                <w:rFonts w:ascii="Arial" w:cs="Arial" w:eastAsia="Arial" w:hAnsi="Arial"/>
                <w:sz w:val="18"/>
                <w:szCs w:val="18"/>
                <w:color w:val="auto"/>
              </w:rPr>
              <w:t>$ 15,393</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EEEEEE"/>
          </w:tcPr>
          <w:p>
            <w:pPr>
              <w:jc w:val="right"/>
              <w:ind w:right="32"/>
              <w:spacing w:after="0"/>
              <w:rPr>
                <w:sz w:val="20"/>
                <w:szCs w:val="20"/>
                <w:color w:val="auto"/>
              </w:rPr>
            </w:pPr>
            <w:r>
              <w:rPr>
                <w:rFonts w:ascii="Arial" w:cs="Arial" w:eastAsia="Arial" w:hAnsi="Arial"/>
                <w:sz w:val="18"/>
                <w:szCs w:val="18"/>
                <w:b w:val="1"/>
                <w:bCs w:val="1"/>
                <w:color w:val="auto"/>
              </w:rPr>
              <w:t>5,164</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EEEEE"/>
          </w:tcPr>
          <w:p>
            <w:pPr>
              <w:jc w:val="right"/>
              <w:ind w:right="452"/>
              <w:spacing w:after="0"/>
              <w:rPr>
                <w:sz w:val="20"/>
                <w:szCs w:val="20"/>
                <w:color w:val="auto"/>
              </w:rPr>
            </w:pPr>
            <w:r>
              <w:rPr>
                <w:rFonts w:ascii="Arial" w:cs="Arial" w:eastAsia="Arial" w:hAnsi="Arial"/>
                <w:sz w:val="18"/>
                <w:szCs w:val="18"/>
                <w:color w:val="auto"/>
              </w:rPr>
              <w:t>5,418</w:t>
            </w:r>
          </w:p>
        </w:tc>
        <w:tc>
          <w:tcPr>
            <w:tcW w:w="82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rPr>
              <w:t>$ 3,707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Interest cost</w:t>
            </w:r>
          </w:p>
        </w:tc>
        <w:tc>
          <w:tcPr>
            <w:tcW w:w="1080" w:type="dxa"/>
            <w:vAlign w:val="bottom"/>
          </w:tcPr>
          <w:p>
            <w:pPr>
              <w:jc w:val="right"/>
              <w:ind w:right="172"/>
              <w:spacing w:after="0"/>
              <w:rPr>
                <w:sz w:val="20"/>
                <w:szCs w:val="20"/>
                <w:color w:val="auto"/>
              </w:rPr>
            </w:pPr>
            <w:r>
              <w:rPr>
                <w:rFonts w:ascii="Arial" w:cs="Arial" w:eastAsia="Arial" w:hAnsi="Arial"/>
                <w:sz w:val="18"/>
                <w:szCs w:val="18"/>
                <w:b w:val="1"/>
                <w:bCs w:val="1"/>
                <w:color w:val="auto"/>
              </w:rPr>
              <w:t>33,696</w:t>
            </w:r>
          </w:p>
        </w:tc>
        <w:tc>
          <w:tcPr>
            <w:tcW w:w="1400" w:type="dxa"/>
            <w:vAlign w:val="bottom"/>
          </w:tcPr>
          <w:p>
            <w:pPr>
              <w:jc w:val="right"/>
              <w:ind w:right="312"/>
              <w:spacing w:after="0"/>
              <w:rPr>
                <w:sz w:val="20"/>
                <w:szCs w:val="20"/>
                <w:color w:val="auto"/>
              </w:rPr>
            </w:pPr>
            <w:r>
              <w:rPr>
                <w:rFonts w:ascii="Arial" w:cs="Arial" w:eastAsia="Arial" w:hAnsi="Arial"/>
                <w:sz w:val="18"/>
                <w:szCs w:val="18"/>
                <w:color w:val="auto"/>
              </w:rPr>
              <w:t>30,820</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27,526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b w:val="1"/>
                <w:bCs w:val="1"/>
                <w:color w:val="auto"/>
              </w:rPr>
              <w:t>7,395</w:t>
            </w:r>
          </w:p>
        </w:tc>
        <w:tc>
          <w:tcPr>
            <w:tcW w:w="600" w:type="dxa"/>
            <w:vAlign w:val="bottom"/>
          </w:tcPr>
          <w:p>
            <w:pPr>
              <w:spacing w:after="0"/>
              <w:rPr>
                <w:sz w:val="18"/>
                <w:szCs w:val="18"/>
                <w:color w:val="auto"/>
              </w:rPr>
            </w:pPr>
          </w:p>
        </w:tc>
        <w:tc>
          <w:tcPr>
            <w:tcW w:w="1020" w:type="dxa"/>
            <w:vAlign w:val="bottom"/>
          </w:tcPr>
          <w:p>
            <w:pPr>
              <w:jc w:val="right"/>
              <w:ind w:right="452"/>
              <w:spacing w:after="0"/>
              <w:rPr>
                <w:sz w:val="20"/>
                <w:szCs w:val="20"/>
                <w:color w:val="auto"/>
              </w:rPr>
            </w:pPr>
            <w:r>
              <w:rPr>
                <w:rFonts w:ascii="Arial" w:cs="Arial" w:eastAsia="Arial" w:hAnsi="Arial"/>
                <w:sz w:val="18"/>
                <w:szCs w:val="18"/>
                <w:color w:val="auto"/>
              </w:rPr>
              <w:t>7,997</w:t>
            </w: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6,811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EEEEEE"/>
          </w:tcPr>
          <w:p>
            <w:pPr>
              <w:spacing w:after="0"/>
              <w:rPr>
                <w:sz w:val="20"/>
                <w:szCs w:val="20"/>
                <w:color w:val="auto"/>
              </w:rPr>
            </w:pPr>
            <w:r>
              <w:rPr>
                <w:rFonts w:ascii="Arial" w:cs="Arial" w:eastAsia="Arial" w:hAnsi="Arial"/>
                <w:sz w:val="18"/>
                <w:szCs w:val="18"/>
                <w:color w:val="auto"/>
              </w:rPr>
              <w:t>Expected return on assets</w:t>
            </w:r>
          </w:p>
        </w:tc>
        <w:tc>
          <w:tcPr>
            <w:tcW w:w="1080" w:type="dxa"/>
            <w:vAlign w:val="bottom"/>
            <w:shd w:val="clear" w:color="auto" w:fill="EEEEEE"/>
          </w:tcPr>
          <w:p>
            <w:pPr>
              <w:jc w:val="right"/>
              <w:ind w:right="112"/>
              <w:spacing w:after="0"/>
              <w:rPr>
                <w:sz w:val="20"/>
                <w:szCs w:val="20"/>
                <w:color w:val="auto"/>
              </w:rPr>
            </w:pPr>
            <w:r>
              <w:rPr>
                <w:rFonts w:ascii="Arial" w:cs="Arial" w:eastAsia="Arial" w:hAnsi="Arial"/>
                <w:sz w:val="18"/>
                <w:szCs w:val="18"/>
                <w:b w:val="1"/>
                <w:bCs w:val="1"/>
                <w:color w:val="auto"/>
              </w:rPr>
              <w:t>(96,116)</w:t>
            </w:r>
          </w:p>
        </w:tc>
        <w:tc>
          <w:tcPr>
            <w:tcW w:w="140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(92,192)</w:t>
            </w:r>
          </w:p>
        </w:tc>
        <w:tc>
          <w:tcPr>
            <w:tcW w:w="104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(97,567)</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shd w:val="clear" w:color="auto" w:fill="EEEEEE"/>
          </w:tcPr>
          <w:p>
            <w:pPr>
              <w:jc w:val="right"/>
              <w:ind w:right="32"/>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452"/>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Amortization of transition asset</w:t>
            </w:r>
          </w:p>
        </w:tc>
        <w:tc>
          <w:tcPr>
            <w:tcW w:w="1080" w:type="dxa"/>
            <w:vAlign w:val="bottom"/>
          </w:tcPr>
          <w:p>
            <w:pPr>
              <w:jc w:val="right"/>
              <w:ind w:right="112"/>
              <w:spacing w:after="0"/>
              <w:rPr>
                <w:sz w:val="20"/>
                <w:szCs w:val="20"/>
                <w:color w:val="auto"/>
              </w:rPr>
            </w:pPr>
            <w:r>
              <w:rPr>
                <w:rFonts w:ascii="Arial" w:cs="Arial" w:eastAsia="Arial" w:hAnsi="Arial"/>
                <w:sz w:val="18"/>
                <w:szCs w:val="18"/>
                <w:b w:val="1"/>
                <w:bCs w:val="1"/>
                <w:color w:val="auto"/>
              </w:rPr>
              <w:t>(2,189)</w:t>
            </w:r>
          </w:p>
        </w:tc>
        <w:tc>
          <w:tcPr>
            <w:tcW w:w="1400" w:type="dxa"/>
            <w:vAlign w:val="bottom"/>
          </w:tcPr>
          <w:p>
            <w:pPr>
              <w:jc w:val="right"/>
              <w:ind w:right="252"/>
              <w:spacing w:after="0"/>
              <w:rPr>
                <w:sz w:val="20"/>
                <w:szCs w:val="20"/>
                <w:color w:val="auto"/>
              </w:rPr>
            </w:pPr>
            <w:r>
              <w:rPr>
                <w:rFonts w:ascii="Arial" w:cs="Arial" w:eastAsia="Arial" w:hAnsi="Arial"/>
                <w:sz w:val="18"/>
                <w:szCs w:val="18"/>
                <w:color w:val="auto"/>
              </w:rPr>
              <w:t>(5,221)</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(6,502)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spacing w:after="0"/>
              <w:rPr>
                <w:sz w:val="18"/>
                <w:szCs w:val="18"/>
                <w:color w:val="auto"/>
              </w:rPr>
            </w:pPr>
          </w:p>
        </w:tc>
        <w:tc>
          <w:tcPr>
            <w:tcW w:w="102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prior service cost</w:t>
            </w:r>
          </w:p>
        </w:tc>
        <w:tc>
          <w:tcPr>
            <w:tcW w:w="1080" w:type="dxa"/>
            <w:vAlign w:val="bottom"/>
            <w:shd w:val="clear" w:color="auto" w:fill="EEEEEE"/>
          </w:tcPr>
          <w:p>
            <w:pPr>
              <w:jc w:val="right"/>
              <w:ind w:right="172"/>
              <w:spacing w:after="0"/>
              <w:rPr>
                <w:sz w:val="20"/>
                <w:szCs w:val="20"/>
                <w:color w:val="auto"/>
              </w:rPr>
            </w:pPr>
            <w:r>
              <w:rPr>
                <w:rFonts w:ascii="Arial" w:cs="Arial" w:eastAsia="Arial" w:hAnsi="Arial"/>
                <w:sz w:val="18"/>
                <w:szCs w:val="18"/>
                <w:b w:val="1"/>
                <w:bCs w:val="1"/>
                <w:color w:val="auto"/>
              </w:rPr>
              <w:t>4,172</w:t>
            </w:r>
          </w:p>
        </w:tc>
        <w:tc>
          <w:tcPr>
            <w:tcW w:w="140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2,185</w:t>
            </w:r>
          </w:p>
        </w:tc>
        <w:tc>
          <w:tcPr>
            <w:tcW w:w="1040" w:type="dxa"/>
            <w:vAlign w:val="bottom"/>
            <w:shd w:val="clear" w:color="auto" w:fill="EEEEEE"/>
          </w:tcPr>
          <w:p>
            <w:pPr>
              <w:jc w:val="right"/>
              <w:ind w:right="72"/>
              <w:spacing w:after="0"/>
              <w:rPr>
                <w:sz w:val="20"/>
                <w:szCs w:val="20"/>
                <w:color w:val="auto"/>
              </w:rPr>
            </w:pPr>
            <w:r>
              <w:rPr>
                <w:rFonts w:ascii="Arial" w:cs="Arial" w:eastAsia="Arial" w:hAnsi="Arial"/>
                <w:sz w:val="18"/>
                <w:szCs w:val="18"/>
                <w:color w:val="auto"/>
              </w:rPr>
              <w:t>2,122</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(360)</w:t>
            </w:r>
          </w:p>
        </w:tc>
        <w:tc>
          <w:tcPr>
            <w:tcW w:w="60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392"/>
              <w:spacing w:after="0"/>
              <w:rPr>
                <w:sz w:val="20"/>
                <w:szCs w:val="20"/>
                <w:color w:val="auto"/>
              </w:rPr>
            </w:pPr>
            <w:r>
              <w:rPr>
                <w:rFonts w:ascii="Arial" w:cs="Arial" w:eastAsia="Arial" w:hAnsi="Arial"/>
                <w:sz w:val="18"/>
                <w:szCs w:val="18"/>
                <w:color w:val="auto"/>
              </w:rPr>
              <w:t>(421)</w:t>
            </w:r>
          </w:p>
        </w:tc>
        <w:tc>
          <w:tcPr>
            <w:tcW w:w="820" w:type="dxa"/>
            <w:vAlign w:val="bottom"/>
            <w:shd w:val="clear" w:color="auto" w:fill="EEEEEE"/>
          </w:tcPr>
          <w:p>
            <w:pPr>
              <w:jc w:val="right"/>
              <w:ind w:right="32"/>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Recognized actuarial gain</w:t>
            </w:r>
          </w:p>
        </w:tc>
        <w:tc>
          <w:tcPr>
            <w:tcW w:w="1080" w:type="dxa"/>
            <w:vAlign w:val="bottom"/>
          </w:tcPr>
          <w:p>
            <w:pPr>
              <w:jc w:val="right"/>
              <w:ind w:right="112"/>
              <w:spacing w:after="0"/>
              <w:rPr>
                <w:sz w:val="20"/>
                <w:szCs w:val="20"/>
                <w:color w:val="auto"/>
              </w:rPr>
            </w:pPr>
            <w:r>
              <w:rPr>
                <w:rFonts w:ascii="Arial" w:cs="Arial" w:eastAsia="Arial" w:hAnsi="Arial"/>
                <w:sz w:val="18"/>
                <w:szCs w:val="18"/>
                <w:b w:val="1"/>
                <w:bCs w:val="1"/>
                <w:color w:val="auto"/>
              </w:rPr>
              <w:t>(14,665)</w:t>
            </w:r>
          </w:p>
        </w:tc>
        <w:tc>
          <w:tcPr>
            <w:tcW w:w="1400" w:type="dxa"/>
            <w:vAlign w:val="bottom"/>
          </w:tcPr>
          <w:p>
            <w:pPr>
              <w:jc w:val="right"/>
              <w:ind w:right="252"/>
              <w:spacing w:after="0"/>
              <w:rPr>
                <w:sz w:val="20"/>
                <w:szCs w:val="20"/>
                <w:color w:val="auto"/>
              </w:rPr>
            </w:pPr>
            <w:r>
              <w:rPr>
                <w:rFonts w:ascii="Arial" w:cs="Arial" w:eastAsia="Arial" w:hAnsi="Arial"/>
                <w:sz w:val="18"/>
                <w:szCs w:val="18"/>
                <w:color w:val="auto"/>
              </w:rPr>
              <w:t>(17,528)</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(17,917)</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4"/>
              </w:rPr>
              <w:t>(1,675)</w:t>
            </w:r>
          </w:p>
        </w:tc>
        <w:tc>
          <w:tcPr>
            <w:tcW w:w="600" w:type="dxa"/>
            <w:vAlign w:val="bottom"/>
          </w:tcPr>
          <w:p>
            <w:pPr>
              <w:spacing w:after="0"/>
              <w:rPr>
                <w:sz w:val="19"/>
                <w:szCs w:val="19"/>
                <w:color w:val="auto"/>
              </w:rPr>
            </w:pPr>
          </w:p>
        </w:tc>
        <w:tc>
          <w:tcPr>
            <w:tcW w:w="1020" w:type="dxa"/>
            <w:vAlign w:val="bottom"/>
          </w:tcPr>
          <w:p>
            <w:pPr>
              <w:jc w:val="right"/>
              <w:ind w:right="392"/>
              <w:spacing w:after="0"/>
              <w:rPr>
                <w:sz w:val="20"/>
                <w:szCs w:val="20"/>
                <w:color w:val="auto"/>
              </w:rPr>
            </w:pPr>
            <w:r>
              <w:rPr>
                <w:rFonts w:ascii="Arial" w:cs="Arial" w:eastAsia="Arial" w:hAnsi="Arial"/>
                <w:sz w:val="18"/>
                <w:szCs w:val="18"/>
                <w:color w:val="auto"/>
                <w:w w:val="91"/>
              </w:rPr>
              <w:t>(2,435)</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(3,408)</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EEEEEE"/>
          </w:tcPr>
          <w:p>
            <w:pPr>
              <w:spacing w:after="0"/>
              <w:rPr>
                <w:sz w:val="20"/>
                <w:szCs w:val="20"/>
                <w:color w:val="auto"/>
              </w:rPr>
            </w:pPr>
            <w:r>
              <w:rPr>
                <w:rFonts w:ascii="Arial" w:cs="Arial" w:eastAsia="Arial" w:hAnsi="Arial"/>
                <w:sz w:val="18"/>
                <w:szCs w:val="18"/>
                <w:color w:val="auto"/>
              </w:rPr>
              <w:t>Net periodic (benefit) cost for the year</w:t>
            </w:r>
          </w:p>
        </w:tc>
        <w:tc>
          <w:tcPr>
            <w:tcW w:w="1080" w:type="dxa"/>
            <w:vAlign w:val="bottom"/>
            <w:shd w:val="clear" w:color="auto" w:fill="EEEEEE"/>
          </w:tcPr>
          <w:p>
            <w:pPr>
              <w:jc w:val="right"/>
              <w:ind w:right="112"/>
              <w:spacing w:after="0"/>
              <w:rPr>
                <w:sz w:val="20"/>
                <w:szCs w:val="20"/>
                <w:color w:val="auto"/>
              </w:rPr>
            </w:pPr>
            <w:r>
              <w:rPr>
                <w:rFonts w:ascii="Arial" w:cs="Arial" w:eastAsia="Arial" w:hAnsi="Arial"/>
                <w:sz w:val="18"/>
                <w:szCs w:val="18"/>
                <w:b w:val="1"/>
                <w:bCs w:val="1"/>
                <w:color w:val="auto"/>
              </w:rPr>
              <w:t>(55,137)</w:t>
            </w:r>
          </w:p>
        </w:tc>
        <w:tc>
          <w:tcPr>
            <w:tcW w:w="140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(64,447)</w:t>
            </w:r>
          </w:p>
        </w:tc>
        <w:tc>
          <w:tcPr>
            <w:tcW w:w="104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(76,945)</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shd w:val="clear" w:color="auto" w:fill="EEEEEE"/>
          </w:tcPr>
          <w:p>
            <w:pPr>
              <w:jc w:val="right"/>
              <w:ind w:right="32"/>
              <w:spacing w:after="0"/>
              <w:rPr>
                <w:sz w:val="20"/>
                <w:szCs w:val="20"/>
                <w:color w:val="auto"/>
              </w:rPr>
            </w:pPr>
            <w:r>
              <w:rPr>
                <w:rFonts w:ascii="Arial" w:cs="Arial" w:eastAsia="Arial" w:hAnsi="Arial"/>
                <w:sz w:val="18"/>
                <w:szCs w:val="18"/>
                <w:b w:val="1"/>
                <w:bCs w:val="1"/>
                <w:color w:val="auto"/>
                <w:w w:val="87"/>
              </w:rPr>
              <w:t>10,524</w:t>
            </w:r>
          </w:p>
        </w:tc>
        <w:tc>
          <w:tcPr>
            <w:tcW w:w="60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452"/>
              <w:spacing w:after="0"/>
              <w:rPr>
                <w:sz w:val="20"/>
                <w:szCs w:val="20"/>
                <w:color w:val="auto"/>
              </w:rPr>
            </w:pPr>
            <w:r>
              <w:rPr>
                <w:rFonts w:ascii="Arial" w:cs="Arial" w:eastAsia="Arial" w:hAnsi="Arial"/>
                <w:sz w:val="18"/>
                <w:szCs w:val="18"/>
                <w:color w:val="auto"/>
                <w:w w:val="83"/>
              </w:rPr>
              <w:t>10,559</w:t>
            </w:r>
          </w:p>
        </w:tc>
        <w:tc>
          <w:tcPr>
            <w:tcW w:w="82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rPr>
              <w:t>6,948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Early retirement programs expense</w:t>
            </w:r>
          </w:p>
        </w:tc>
        <w:tc>
          <w:tcPr>
            <w:tcW w:w="1080" w:type="dxa"/>
            <w:vAlign w:val="bottom"/>
          </w:tcPr>
          <w:p>
            <w:pPr>
              <w:jc w:val="right"/>
              <w:ind w:right="172"/>
              <w:spacing w:after="0"/>
              <w:rPr>
                <w:sz w:val="20"/>
                <w:szCs w:val="20"/>
                <w:color w:val="auto"/>
              </w:rPr>
            </w:pPr>
            <w:r>
              <w:rPr>
                <w:rFonts w:ascii="Arial" w:cs="Arial" w:eastAsia="Arial" w:hAnsi="Arial"/>
                <w:sz w:val="18"/>
                <w:szCs w:val="18"/>
                <w:b w:val="1"/>
                <w:bCs w:val="1"/>
                <w:color w:val="auto"/>
              </w:rPr>
              <w:t>34,135</w:t>
            </w:r>
          </w:p>
        </w:tc>
        <w:tc>
          <w:tcPr>
            <w:tcW w:w="1400" w:type="dxa"/>
            <w:vAlign w:val="bottom"/>
          </w:tcPr>
          <w:p>
            <w:pPr>
              <w:jc w:val="right"/>
              <w:ind w:right="312"/>
              <w:spacing w:after="0"/>
              <w:rPr>
                <w:sz w:val="20"/>
                <w:szCs w:val="20"/>
                <w:color w:val="auto"/>
              </w:rPr>
            </w:pPr>
            <w:r>
              <w:rPr>
                <w:rFonts w:ascii="Arial" w:cs="Arial" w:eastAsia="Arial" w:hAnsi="Arial"/>
                <w:sz w:val="18"/>
                <w:szCs w:val="18"/>
                <w:color w:val="auto"/>
              </w:rPr>
              <w:t>19,001</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3,344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spacing w:after="0"/>
              <w:rPr>
                <w:sz w:val="18"/>
                <w:szCs w:val="18"/>
                <w:color w:val="auto"/>
              </w:rPr>
            </w:pPr>
          </w:p>
        </w:tc>
        <w:tc>
          <w:tcPr>
            <w:tcW w:w="102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EEEEEE"/>
          </w:tcPr>
          <w:p>
            <w:pPr>
              <w:spacing w:after="0"/>
              <w:rPr>
                <w:sz w:val="20"/>
                <w:szCs w:val="20"/>
                <w:color w:val="auto"/>
              </w:rPr>
            </w:pPr>
            <w:r>
              <w:rPr>
                <w:rFonts w:ascii="Arial" w:cs="Arial" w:eastAsia="Arial" w:hAnsi="Arial"/>
                <w:sz w:val="18"/>
                <w:szCs w:val="18"/>
                <w:color w:val="auto"/>
              </w:rPr>
              <w:t>Curtailment gain</w:t>
            </w:r>
          </w:p>
        </w:tc>
        <w:tc>
          <w:tcPr>
            <w:tcW w:w="1080" w:type="dxa"/>
            <w:vAlign w:val="bottom"/>
            <w:shd w:val="clear" w:color="auto" w:fill="EEEEEE"/>
          </w:tcPr>
          <w:p>
            <w:pPr>
              <w:jc w:val="right"/>
              <w:ind w:right="172"/>
              <w:spacing w:after="0"/>
              <w:rPr>
                <w:sz w:val="20"/>
                <w:szCs w:val="20"/>
                <w:color w:val="auto"/>
              </w:rPr>
            </w:pPr>
            <w:r>
              <w:rPr>
                <w:rFonts w:ascii="Arial" w:cs="Arial" w:eastAsia="Arial" w:hAnsi="Arial"/>
                <w:sz w:val="18"/>
                <w:szCs w:val="18"/>
                <w:b w:val="1"/>
                <w:bCs w:val="1"/>
                <w:color w:val="auto"/>
              </w:rPr>
              <w:t>—</w:t>
            </w:r>
          </w:p>
        </w:tc>
        <w:tc>
          <w:tcPr>
            <w:tcW w:w="140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EEEEEE"/>
          </w:tcPr>
          <w:p>
            <w:pPr>
              <w:jc w:val="right"/>
              <w:ind w:right="72"/>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(634)</w:t>
            </w:r>
          </w:p>
        </w:tc>
        <w:tc>
          <w:tcPr>
            <w:tcW w:w="60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452"/>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4300" w:type="dxa"/>
            <w:vAlign w:val="bottom"/>
            <w:gridSpan w:val="2"/>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Total (benefit) cost for the year</w:t>
            </w:r>
          </w:p>
        </w:tc>
        <w:tc>
          <w:tcPr>
            <w:tcW w:w="1080" w:type="dxa"/>
            <w:vAlign w:val="bottom"/>
          </w:tcPr>
          <w:p>
            <w:pPr>
              <w:jc w:val="right"/>
              <w:ind w:right="112"/>
              <w:spacing w:after="0"/>
              <w:rPr>
                <w:sz w:val="20"/>
                <w:szCs w:val="20"/>
                <w:color w:val="auto"/>
              </w:rPr>
            </w:pPr>
            <w:r>
              <w:rPr>
                <w:rFonts w:ascii="Arial" w:cs="Arial" w:eastAsia="Arial" w:hAnsi="Arial"/>
                <w:sz w:val="18"/>
                <w:szCs w:val="18"/>
                <w:b w:val="1"/>
                <w:bCs w:val="1"/>
                <w:color w:val="auto"/>
              </w:rPr>
              <w:t>$(21,002)</w:t>
            </w:r>
          </w:p>
        </w:tc>
        <w:tc>
          <w:tcPr>
            <w:tcW w:w="1400" w:type="dxa"/>
            <w:vAlign w:val="bottom"/>
          </w:tcPr>
          <w:p>
            <w:pPr>
              <w:jc w:val="right"/>
              <w:ind w:right="252"/>
              <w:spacing w:after="0"/>
              <w:rPr>
                <w:sz w:val="20"/>
                <w:szCs w:val="20"/>
                <w:color w:val="auto"/>
              </w:rPr>
            </w:pPr>
            <w:r>
              <w:rPr>
                <w:rFonts w:ascii="Arial" w:cs="Arial" w:eastAsia="Arial" w:hAnsi="Arial"/>
                <w:sz w:val="18"/>
                <w:szCs w:val="18"/>
                <w:color w:val="auto"/>
              </w:rPr>
              <w:t>$(45,446)</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$(73,601)</w:t>
            </w: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32"/>
              <w:spacing w:after="0"/>
              <w:rPr>
                <w:sz w:val="20"/>
                <w:szCs w:val="20"/>
                <w:color w:val="auto"/>
              </w:rPr>
            </w:pPr>
            <w:r>
              <w:rPr>
                <w:rFonts w:ascii="Arial" w:cs="Arial" w:eastAsia="Arial" w:hAnsi="Arial"/>
                <w:sz w:val="18"/>
                <w:szCs w:val="18"/>
                <w:b w:val="1"/>
                <w:bCs w:val="1"/>
                <w:color w:val="auto"/>
              </w:rPr>
              <w:t>9,890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452"/>
              <w:spacing w:after="0"/>
              <w:rPr>
                <w:sz w:val="20"/>
                <w:szCs w:val="20"/>
                <w:color w:val="auto"/>
              </w:rPr>
            </w:pPr>
            <w:r>
              <w:rPr>
                <w:rFonts w:ascii="Arial" w:cs="Arial" w:eastAsia="Arial" w:hAnsi="Arial"/>
                <w:sz w:val="18"/>
                <w:szCs w:val="18"/>
                <w:color w:val="auto"/>
                <w:w w:val="83"/>
              </w:rPr>
              <w:t>10,559</w:t>
            </w: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$ 6,948</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280" w:type="dxa"/>
            <w:vAlign w:val="bottom"/>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costs for the Company’s defined benefit pension and postretirement plans are actuarially determined. Below are the key assumptions utilized to determine periodic cost for the years ended December 28, 2003, December 29, 2002 and December 30, 2001:</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jc w:val="right"/>
              <w:ind w:right="272"/>
              <w:spacing w:after="0"/>
              <w:rPr>
                <w:sz w:val="20"/>
                <w:szCs w:val="20"/>
                <w:color w:val="auto"/>
              </w:rPr>
            </w:pPr>
            <w:r>
              <w:rPr>
                <w:rFonts w:ascii="Arial" w:cs="Arial" w:eastAsia="Arial" w:hAnsi="Arial"/>
                <w:sz w:val="14"/>
                <w:szCs w:val="14"/>
                <w:color w:val="auto"/>
              </w:rPr>
              <w:t>Pension Plans</w:t>
            </w: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tcPr>
          <w:p>
            <w:pPr>
              <w:jc w:val="right"/>
              <w:ind w:right="192"/>
              <w:spacing w:after="0"/>
              <w:rPr>
                <w:sz w:val="20"/>
                <w:szCs w:val="20"/>
                <w:color w:val="auto"/>
              </w:rPr>
            </w:pPr>
            <w:r>
              <w:rPr>
                <w:rFonts w:ascii="Arial" w:cs="Arial" w:eastAsia="Arial" w:hAnsi="Arial"/>
                <w:sz w:val="14"/>
                <w:szCs w:val="14"/>
                <w:color w:val="auto"/>
                <w:w w:val="95"/>
              </w:rPr>
              <w:t>Postretirement Plans</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920" w:type="dxa"/>
            <w:vAlign w:val="bottom"/>
          </w:tcPr>
          <w:p>
            <w:pPr>
              <w:jc w:val="right"/>
              <w:ind w:right="172"/>
              <w:spacing w:after="0"/>
              <w:rPr>
                <w:sz w:val="20"/>
                <w:szCs w:val="20"/>
                <w:color w:val="auto"/>
              </w:rPr>
            </w:pPr>
            <w:r>
              <w:rPr>
                <w:rFonts w:ascii="Arial" w:cs="Arial" w:eastAsia="Arial" w:hAnsi="Arial"/>
                <w:sz w:val="14"/>
                <w:szCs w:val="14"/>
                <w:b w:val="1"/>
                <w:bCs w:val="1"/>
                <w:color w:val="auto"/>
              </w:rPr>
              <w:t>2003</w:t>
            </w:r>
          </w:p>
        </w:tc>
        <w:tc>
          <w:tcPr>
            <w:tcW w:w="1320" w:type="dxa"/>
            <w:vAlign w:val="bottom"/>
          </w:tcPr>
          <w:p>
            <w:pPr>
              <w:jc w:val="right"/>
              <w:ind w:right="412"/>
              <w:spacing w:after="0"/>
              <w:rPr>
                <w:sz w:val="20"/>
                <w:szCs w:val="20"/>
                <w:color w:val="auto"/>
              </w:rPr>
            </w:pPr>
            <w:r>
              <w:rPr>
                <w:rFonts w:ascii="Arial" w:cs="Arial" w:eastAsia="Arial" w:hAnsi="Arial"/>
                <w:sz w:val="14"/>
                <w:szCs w:val="14"/>
                <w:color w:val="auto"/>
              </w:rPr>
              <w:t>2002</w:t>
            </w:r>
          </w:p>
        </w:tc>
        <w:tc>
          <w:tcPr>
            <w:tcW w:w="820" w:type="dxa"/>
            <w:vAlign w:val="bottom"/>
          </w:tcPr>
          <w:p>
            <w:pPr>
              <w:jc w:val="right"/>
              <w:ind w:right="132"/>
              <w:spacing w:after="0"/>
              <w:rPr>
                <w:sz w:val="20"/>
                <w:szCs w:val="20"/>
                <w:color w:val="auto"/>
              </w:rPr>
            </w:pPr>
            <w:r>
              <w:rPr>
                <w:rFonts w:ascii="Arial" w:cs="Arial" w:eastAsia="Arial" w:hAnsi="Arial"/>
                <w:sz w:val="14"/>
                <w:szCs w:val="14"/>
                <w:color w:val="auto"/>
              </w:rPr>
              <w:t>2001</w:t>
            </w:r>
          </w:p>
        </w:tc>
        <w:tc>
          <w:tcPr>
            <w:tcW w:w="116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2003</w:t>
            </w:r>
          </w:p>
        </w:tc>
        <w:tc>
          <w:tcPr>
            <w:tcW w:w="1520" w:type="dxa"/>
            <w:vAlign w:val="bottom"/>
          </w:tcPr>
          <w:p>
            <w:pPr>
              <w:jc w:val="right"/>
              <w:ind w:right="492"/>
              <w:spacing w:after="0"/>
              <w:rPr>
                <w:sz w:val="20"/>
                <w:szCs w:val="20"/>
                <w:color w:val="auto"/>
              </w:rPr>
            </w:pPr>
            <w:r>
              <w:rPr>
                <w:rFonts w:ascii="Arial" w:cs="Arial" w:eastAsia="Arial" w:hAnsi="Arial"/>
                <w:sz w:val="14"/>
                <w:szCs w:val="14"/>
                <w:color w:val="auto"/>
              </w:rPr>
              <w:t>2002</w:t>
            </w:r>
          </w:p>
        </w:tc>
        <w:tc>
          <w:tcPr>
            <w:tcW w:w="740" w:type="dxa"/>
            <w:vAlign w:val="bottom"/>
          </w:tcPr>
          <w:p>
            <w:pPr>
              <w:jc w:val="right"/>
              <w:ind w:right="132"/>
              <w:spacing w:after="0"/>
              <w:rPr>
                <w:sz w:val="20"/>
                <w:szCs w:val="20"/>
                <w:color w:val="auto"/>
              </w:rPr>
            </w:pPr>
            <w:r>
              <w:rPr>
                <w:rFonts w:ascii="Arial" w:cs="Arial" w:eastAsia="Arial" w:hAnsi="Arial"/>
                <w:sz w:val="14"/>
                <w:szCs w:val="14"/>
                <w:color w:val="auto"/>
              </w:rPr>
              <w:t>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2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Discount rate</w:t>
            </w:r>
          </w:p>
        </w:tc>
        <w:tc>
          <w:tcPr>
            <w:tcW w:w="920" w:type="dxa"/>
            <w:vAlign w:val="bottom"/>
            <w:shd w:val="clear" w:color="auto" w:fill="EEEEEE"/>
          </w:tcPr>
          <w:p>
            <w:pPr>
              <w:jc w:val="right"/>
              <w:ind w:right="172"/>
              <w:spacing w:after="0" w:line="149" w:lineRule="exact"/>
              <w:rPr>
                <w:sz w:val="20"/>
                <w:szCs w:val="20"/>
                <w:color w:val="auto"/>
              </w:rPr>
            </w:pPr>
            <w:r>
              <w:rPr>
                <w:rFonts w:ascii="Arial" w:cs="Arial" w:eastAsia="Arial" w:hAnsi="Arial"/>
                <w:sz w:val="14"/>
                <w:szCs w:val="14"/>
                <w:b w:val="1"/>
                <w:bCs w:val="1"/>
                <w:color w:val="auto"/>
              </w:rPr>
              <w:t>6.75%</w:t>
            </w:r>
          </w:p>
        </w:tc>
        <w:tc>
          <w:tcPr>
            <w:tcW w:w="1320" w:type="dxa"/>
            <w:vAlign w:val="bottom"/>
            <w:shd w:val="clear" w:color="auto" w:fill="EEEEEE"/>
          </w:tcPr>
          <w:p>
            <w:pPr>
              <w:jc w:val="right"/>
              <w:ind w:right="412"/>
              <w:spacing w:after="0" w:line="149" w:lineRule="exact"/>
              <w:rPr>
                <w:sz w:val="20"/>
                <w:szCs w:val="20"/>
                <w:color w:val="auto"/>
              </w:rPr>
            </w:pPr>
            <w:r>
              <w:rPr>
                <w:rFonts w:ascii="Arial" w:cs="Arial" w:eastAsia="Arial" w:hAnsi="Arial"/>
                <w:sz w:val="14"/>
                <w:szCs w:val="14"/>
                <w:color w:val="auto"/>
              </w:rPr>
              <w:t>7.0%</w:t>
            </w:r>
          </w:p>
        </w:tc>
        <w:tc>
          <w:tcPr>
            <w:tcW w:w="820" w:type="dxa"/>
            <w:vAlign w:val="bottom"/>
            <w:shd w:val="clear" w:color="auto" w:fill="EEEEEE"/>
          </w:tcPr>
          <w:p>
            <w:pPr>
              <w:jc w:val="right"/>
              <w:ind w:right="132"/>
              <w:spacing w:after="0" w:line="149" w:lineRule="exact"/>
              <w:rPr>
                <w:sz w:val="20"/>
                <w:szCs w:val="20"/>
                <w:color w:val="auto"/>
              </w:rPr>
            </w:pPr>
            <w:r>
              <w:rPr>
                <w:rFonts w:ascii="Arial" w:cs="Arial" w:eastAsia="Arial" w:hAnsi="Arial"/>
                <w:sz w:val="14"/>
                <w:szCs w:val="14"/>
                <w:color w:val="auto"/>
              </w:rPr>
              <w:t>7.5%</w:t>
            </w:r>
          </w:p>
        </w:tc>
        <w:tc>
          <w:tcPr>
            <w:tcW w:w="1160" w:type="dxa"/>
            <w:vAlign w:val="bottom"/>
            <w:gridSpan w:val="2"/>
            <w:shd w:val="clear" w:color="auto" w:fill="EEEEEE"/>
          </w:tcPr>
          <w:p>
            <w:pPr>
              <w:jc w:val="right"/>
              <w:ind w:right="92"/>
              <w:spacing w:after="0" w:line="149" w:lineRule="exact"/>
              <w:rPr>
                <w:sz w:val="20"/>
                <w:szCs w:val="20"/>
                <w:color w:val="auto"/>
              </w:rPr>
            </w:pPr>
            <w:r>
              <w:rPr>
                <w:rFonts w:ascii="Arial" w:cs="Arial" w:eastAsia="Arial" w:hAnsi="Arial"/>
                <w:sz w:val="14"/>
                <w:szCs w:val="14"/>
                <w:b w:val="1"/>
                <w:bCs w:val="1"/>
                <w:color w:val="auto"/>
              </w:rPr>
              <w:t>6.75%</w:t>
            </w:r>
          </w:p>
        </w:tc>
        <w:tc>
          <w:tcPr>
            <w:tcW w:w="1520" w:type="dxa"/>
            <w:vAlign w:val="bottom"/>
            <w:shd w:val="clear" w:color="auto" w:fill="EEEEEE"/>
          </w:tcPr>
          <w:p>
            <w:pPr>
              <w:jc w:val="right"/>
              <w:ind w:right="492"/>
              <w:spacing w:after="0" w:line="149" w:lineRule="exact"/>
              <w:rPr>
                <w:sz w:val="20"/>
                <w:szCs w:val="20"/>
                <w:color w:val="auto"/>
              </w:rPr>
            </w:pPr>
            <w:r>
              <w:rPr>
                <w:rFonts w:ascii="Arial" w:cs="Arial" w:eastAsia="Arial" w:hAnsi="Arial"/>
                <w:sz w:val="14"/>
                <w:szCs w:val="14"/>
                <w:color w:val="auto"/>
              </w:rPr>
              <w:t>7.0%</w:t>
            </w:r>
          </w:p>
        </w:tc>
        <w:tc>
          <w:tcPr>
            <w:tcW w:w="740" w:type="dxa"/>
            <w:vAlign w:val="bottom"/>
            <w:shd w:val="clear" w:color="auto" w:fill="EEEEEE"/>
          </w:tcPr>
          <w:p>
            <w:pPr>
              <w:jc w:val="right"/>
              <w:ind w:right="132"/>
              <w:spacing w:after="0" w:line="149"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line="149" w:lineRule="exact"/>
              <w:rPr>
                <w:sz w:val="20"/>
                <w:szCs w:val="20"/>
                <w:color w:val="auto"/>
              </w:rPr>
            </w:pPr>
            <w:r>
              <w:rPr>
                <w:rFonts w:ascii="Arial" w:cs="Arial" w:eastAsia="Arial" w:hAnsi="Arial"/>
                <w:sz w:val="14"/>
                <w:szCs w:val="14"/>
                <w:color w:val="auto"/>
              </w:rPr>
              <w:t>Expected return on plan assets</w:t>
            </w:r>
          </w:p>
        </w:tc>
        <w:tc>
          <w:tcPr>
            <w:tcW w:w="92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rPr>
              <w:t>7.5%</w:t>
            </w:r>
          </w:p>
        </w:tc>
        <w:tc>
          <w:tcPr>
            <w:tcW w:w="1320" w:type="dxa"/>
            <w:vAlign w:val="bottom"/>
          </w:tcPr>
          <w:p>
            <w:pPr>
              <w:jc w:val="right"/>
              <w:ind w:right="412"/>
              <w:spacing w:after="0" w:line="149" w:lineRule="exact"/>
              <w:rPr>
                <w:sz w:val="20"/>
                <w:szCs w:val="20"/>
                <w:color w:val="auto"/>
              </w:rPr>
            </w:pPr>
            <w:r>
              <w:rPr>
                <w:rFonts w:ascii="Arial" w:cs="Arial" w:eastAsia="Arial" w:hAnsi="Arial"/>
                <w:sz w:val="14"/>
                <w:szCs w:val="14"/>
                <w:color w:val="auto"/>
              </w:rPr>
              <w:t>7.5%</w:t>
            </w:r>
          </w:p>
        </w:tc>
        <w:tc>
          <w:tcPr>
            <w:tcW w:w="8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9.0%</w:t>
            </w:r>
          </w:p>
        </w:tc>
        <w:tc>
          <w:tcPr>
            <w:tcW w:w="320" w:type="dxa"/>
            <w:vAlign w:val="bottom"/>
          </w:tcPr>
          <w:p>
            <w:pPr>
              <w:spacing w:after="0"/>
              <w:rPr>
                <w:sz w:val="12"/>
                <w:szCs w:val="12"/>
                <w:color w:val="auto"/>
              </w:rPr>
            </w:pP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w:t>
            </w:r>
          </w:p>
        </w:tc>
        <w:tc>
          <w:tcPr>
            <w:tcW w:w="1520" w:type="dxa"/>
            <w:vAlign w:val="bottom"/>
          </w:tcPr>
          <w:p>
            <w:pPr>
              <w:jc w:val="right"/>
              <w:ind w:right="492"/>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Rate of compensation increase</w:t>
            </w:r>
          </w:p>
        </w:tc>
        <w:tc>
          <w:tcPr>
            <w:tcW w:w="920" w:type="dxa"/>
            <w:vAlign w:val="bottom"/>
            <w:shd w:val="clear" w:color="auto" w:fill="EEEEEE"/>
          </w:tcPr>
          <w:p>
            <w:pPr>
              <w:jc w:val="right"/>
              <w:ind w:right="172"/>
              <w:spacing w:after="0" w:line="149" w:lineRule="exact"/>
              <w:rPr>
                <w:sz w:val="20"/>
                <w:szCs w:val="20"/>
                <w:color w:val="auto"/>
              </w:rPr>
            </w:pPr>
            <w:r>
              <w:rPr>
                <w:rFonts w:ascii="Arial" w:cs="Arial" w:eastAsia="Arial" w:hAnsi="Arial"/>
                <w:sz w:val="14"/>
                <w:szCs w:val="14"/>
                <w:b w:val="1"/>
                <w:bCs w:val="1"/>
                <w:color w:val="auto"/>
              </w:rPr>
              <w:t>4.0%</w:t>
            </w:r>
          </w:p>
        </w:tc>
        <w:tc>
          <w:tcPr>
            <w:tcW w:w="1320" w:type="dxa"/>
            <w:vAlign w:val="bottom"/>
            <w:shd w:val="clear" w:color="auto" w:fill="EEEEEE"/>
          </w:tcPr>
          <w:p>
            <w:pPr>
              <w:jc w:val="right"/>
              <w:ind w:right="412"/>
              <w:spacing w:after="0" w:line="149" w:lineRule="exact"/>
              <w:rPr>
                <w:sz w:val="20"/>
                <w:szCs w:val="20"/>
                <w:color w:val="auto"/>
              </w:rPr>
            </w:pPr>
            <w:r>
              <w:rPr>
                <w:rFonts w:ascii="Arial" w:cs="Arial" w:eastAsia="Arial" w:hAnsi="Arial"/>
                <w:sz w:val="14"/>
                <w:szCs w:val="14"/>
                <w:color w:val="auto"/>
              </w:rPr>
              <w:t>4.0%</w:t>
            </w:r>
          </w:p>
        </w:tc>
        <w:tc>
          <w:tcPr>
            <w:tcW w:w="820" w:type="dxa"/>
            <w:vAlign w:val="bottom"/>
            <w:shd w:val="clear" w:color="auto" w:fill="EEEEEE"/>
          </w:tcPr>
          <w:p>
            <w:pPr>
              <w:jc w:val="right"/>
              <w:ind w:right="132"/>
              <w:spacing w:after="0" w:line="149" w:lineRule="exact"/>
              <w:rPr>
                <w:sz w:val="20"/>
                <w:szCs w:val="20"/>
                <w:color w:val="auto"/>
              </w:rPr>
            </w:pPr>
            <w:r>
              <w:rPr>
                <w:rFonts w:ascii="Arial" w:cs="Arial" w:eastAsia="Arial" w:hAnsi="Arial"/>
                <w:sz w:val="14"/>
                <w:szCs w:val="14"/>
                <w:color w:val="auto"/>
              </w:rPr>
              <w:t>4.0%</w:t>
            </w:r>
          </w:p>
        </w:tc>
        <w:tc>
          <w:tcPr>
            <w:tcW w:w="320" w:type="dxa"/>
            <w:vAlign w:val="bottom"/>
            <w:shd w:val="clear" w:color="auto" w:fill="EEEEEE"/>
          </w:tcPr>
          <w:p>
            <w:pPr>
              <w:spacing w:after="0"/>
              <w:rPr>
                <w:sz w:val="12"/>
                <w:szCs w:val="12"/>
                <w:color w:val="auto"/>
              </w:rPr>
            </w:pPr>
          </w:p>
        </w:tc>
        <w:tc>
          <w:tcPr>
            <w:tcW w:w="840" w:type="dxa"/>
            <w:vAlign w:val="bottom"/>
            <w:shd w:val="clear" w:color="auto" w:fill="EEEEEE"/>
          </w:tcPr>
          <w:p>
            <w:pPr>
              <w:jc w:val="right"/>
              <w:ind w:right="92"/>
              <w:spacing w:after="0" w:line="149" w:lineRule="exact"/>
              <w:rPr>
                <w:sz w:val="20"/>
                <w:szCs w:val="20"/>
                <w:color w:val="auto"/>
              </w:rPr>
            </w:pPr>
            <w:r>
              <w:rPr>
                <w:rFonts w:ascii="Arial" w:cs="Arial" w:eastAsia="Arial" w:hAnsi="Arial"/>
                <w:sz w:val="14"/>
                <w:szCs w:val="14"/>
                <w:b w:val="1"/>
                <w:bCs w:val="1"/>
                <w:color w:val="auto"/>
              </w:rPr>
              <w:t>—</w:t>
            </w:r>
          </w:p>
        </w:tc>
        <w:tc>
          <w:tcPr>
            <w:tcW w:w="1520" w:type="dxa"/>
            <w:vAlign w:val="bottom"/>
            <w:shd w:val="clear" w:color="auto" w:fill="EEEEEE"/>
          </w:tcPr>
          <w:p>
            <w:pPr>
              <w:jc w:val="right"/>
              <w:ind w:right="492"/>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EEEEEE"/>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In determining the expected rate of return on plan assets, the Company considers the relative weighting of plan assets, the historical performance of total plan assets and individual asset classes and economic and other indicators of future performance. In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sz w:val="20"/>
          <w:szCs w:val="20"/>
          <w:color w:val="auto"/>
        </w:rPr>
      </w:pPr>
      <w:r>
        <w:rPr>
          <w:rFonts w:ascii="Arial" w:cs="Arial" w:eastAsia="Arial" w:hAnsi="Arial"/>
          <w:sz w:val="16"/>
          <w:szCs w:val="16"/>
          <w:color w:val="auto"/>
        </w:rPr>
        <w:t>addition, the Company may consult with and consider the input of financial and other professionals in developing appropriate return benchmarks.</w:t>
      </w:r>
    </w:p>
    <w:p>
      <w:pPr>
        <w:spacing w:after="0" w:line="24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December of 2003, the Medicare Prescription Drug, Improvement, and Modernization Act of 2003 (the Act) was enacted. The Act introduced a prescription drug benefit under Medicare, as well as a federal subsidy to sponsors of retiree health benefit plans that provide a benefit that meets certain criteria. The Company’s other postretirement plans covering retirees currently provide certain prescription benefits to eligible participants. In accordance with FASB Staff Position No. 106-1, “Accounting and Disclosure Requirements Related to the Medicare Prescription Drug, Improvement, and Modernization Act of 2003,” the effects of the Act on the Company’s medical plans have not been included in the measurement of the Company’s accumulated postretirement benefit obligation or net periodic postretirement benefit cost for 2003.</w:t>
      </w:r>
    </w:p>
    <w:p>
      <w:pPr>
        <w:spacing w:after="0" w:line="174"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Contributions to multi-employer pension plans, which are generally based on hours worked, amounted to $2.0 million in 2003, $2.0 million in 2002 and $1.8 million in 2001.</w:t>
      </w:r>
    </w:p>
    <w:p>
      <w:pPr>
        <w:spacing w:after="0" w:line="186"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color w:val="auto"/>
        </w:rPr>
        <w:t>The Company recorded expense associated with retirement benefits provided under incentive savings plans (primarily 401(k) plans) of approximately $15.5 million in 2003, $15.4 million in 2002 and $14.5 million in 2001.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LEASE AND OTHER COMMITMENTS</w:t>
      </w:r>
    </w:p>
    <w:p>
      <w:pPr>
        <w:spacing w:after="0" w:line="231"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Company leases real property under operating agreements. Many of the leases contain renewal options and escalation clauses that require payments of additional rent to the extent of increases in the related operating costs.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At December 28, 2003, future minimum rental payments under noncancelable operating leases approximate the following (in thousands):</w:t>
      </w:r>
    </w:p>
    <w:p>
      <w:pPr>
        <w:spacing w:after="0" w:line="200" w:lineRule="exact"/>
        <w:rPr>
          <w:sz w:val="20"/>
          <w:szCs w:val="20"/>
          <w:color w:val="auto"/>
        </w:rPr>
      </w:pPr>
    </w:p>
    <w:p>
      <w:pPr>
        <w:spacing w:after="0" w:line="250"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3260" w:type="dxa"/>
            <w:vAlign w:val="bottom"/>
            <w:shd w:val="clear" w:color="auto" w:fill="EEEEEE"/>
          </w:tcPr>
          <w:p>
            <w:pPr>
              <w:spacing w:after="0"/>
              <w:rPr>
                <w:sz w:val="20"/>
                <w:szCs w:val="20"/>
                <w:color w:val="auto"/>
              </w:rPr>
            </w:pPr>
            <w:r>
              <w:rPr>
                <w:rFonts w:ascii="Arial" w:cs="Arial" w:eastAsia="Arial" w:hAnsi="Arial"/>
                <w:sz w:val="18"/>
                <w:szCs w:val="18"/>
                <w:color w:val="auto"/>
              </w:rPr>
              <w:t>2004</w:t>
            </w:r>
          </w:p>
        </w:tc>
        <w:tc>
          <w:tcPr>
            <w:tcW w:w="2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69,104</w:t>
            </w:r>
          </w:p>
        </w:tc>
        <w:tc>
          <w:tcPr>
            <w:tcW w:w="380" w:type="dxa"/>
            <w:vAlign w:val="bottom"/>
            <w:shd w:val="clear" w:color="auto" w:fill="EEEEEE"/>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2005</w:t>
            </w:r>
          </w:p>
        </w:tc>
        <w:tc>
          <w:tcPr>
            <w:tcW w:w="26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63,905</w:t>
            </w:r>
          </w:p>
        </w:tc>
        <w:tc>
          <w:tcPr>
            <w:tcW w:w="380" w:type="dxa"/>
            <w:vAlign w:val="bottom"/>
          </w:tcPr>
          <w:p>
            <w:pPr>
              <w:spacing w:after="0"/>
              <w:rPr>
                <w:sz w:val="18"/>
                <w:szCs w:val="18"/>
                <w:color w:val="auto"/>
              </w:rPr>
            </w:pPr>
          </w:p>
        </w:tc>
      </w:tr>
      <w:tr>
        <w:trPr>
          <w:trHeight w:val="216"/>
        </w:trPr>
        <w:tc>
          <w:tcPr>
            <w:tcW w:w="3260" w:type="dxa"/>
            <w:vAlign w:val="bottom"/>
            <w:shd w:val="clear" w:color="auto" w:fill="EEEEEE"/>
          </w:tcPr>
          <w:p>
            <w:pPr>
              <w:spacing w:after="0"/>
              <w:rPr>
                <w:sz w:val="20"/>
                <w:szCs w:val="20"/>
                <w:color w:val="auto"/>
              </w:rPr>
            </w:pPr>
            <w:r>
              <w:rPr>
                <w:rFonts w:ascii="Arial" w:cs="Arial" w:eastAsia="Arial" w:hAnsi="Arial"/>
                <w:sz w:val="18"/>
                <w:szCs w:val="18"/>
                <w:color w:val="auto"/>
              </w:rPr>
              <w:t>2006</w:t>
            </w:r>
          </w:p>
        </w:tc>
        <w:tc>
          <w:tcPr>
            <w:tcW w:w="26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57,945</w:t>
            </w:r>
          </w:p>
        </w:tc>
        <w:tc>
          <w:tcPr>
            <w:tcW w:w="380" w:type="dxa"/>
            <w:vAlign w:val="bottom"/>
            <w:shd w:val="clear" w:color="auto" w:fill="EEEEEE"/>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2007</w:t>
            </w:r>
          </w:p>
        </w:tc>
        <w:tc>
          <w:tcPr>
            <w:tcW w:w="26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54,095</w:t>
            </w:r>
          </w:p>
        </w:tc>
        <w:tc>
          <w:tcPr>
            <w:tcW w:w="380" w:type="dxa"/>
            <w:vAlign w:val="bottom"/>
          </w:tcPr>
          <w:p>
            <w:pPr>
              <w:spacing w:after="0"/>
              <w:rPr>
                <w:sz w:val="18"/>
                <w:szCs w:val="18"/>
                <w:color w:val="auto"/>
              </w:rPr>
            </w:pPr>
          </w:p>
        </w:tc>
      </w:tr>
      <w:tr>
        <w:trPr>
          <w:trHeight w:val="216"/>
        </w:trPr>
        <w:tc>
          <w:tcPr>
            <w:tcW w:w="3260" w:type="dxa"/>
            <w:vAlign w:val="bottom"/>
            <w:shd w:val="clear" w:color="auto" w:fill="EEEEEE"/>
          </w:tcPr>
          <w:p>
            <w:pPr>
              <w:spacing w:after="0"/>
              <w:rPr>
                <w:sz w:val="20"/>
                <w:szCs w:val="20"/>
                <w:color w:val="auto"/>
              </w:rPr>
            </w:pPr>
            <w:r>
              <w:rPr>
                <w:rFonts w:ascii="Arial" w:cs="Arial" w:eastAsia="Arial" w:hAnsi="Arial"/>
                <w:sz w:val="18"/>
                <w:szCs w:val="18"/>
                <w:color w:val="auto"/>
              </w:rPr>
              <w:t>2008</w:t>
            </w:r>
          </w:p>
        </w:tc>
        <w:tc>
          <w:tcPr>
            <w:tcW w:w="26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45,603</w:t>
            </w:r>
          </w:p>
        </w:tc>
        <w:tc>
          <w:tcPr>
            <w:tcW w:w="380" w:type="dxa"/>
            <w:vAlign w:val="bottom"/>
            <w:shd w:val="clear" w:color="auto" w:fill="EEEEEE"/>
          </w:tcPr>
          <w:p>
            <w:pPr>
              <w:spacing w:after="0"/>
              <w:rPr>
                <w:sz w:val="18"/>
                <w:szCs w:val="18"/>
                <w:color w:val="auto"/>
              </w:rPr>
            </w:pPr>
          </w:p>
        </w:tc>
      </w:tr>
      <w:tr>
        <w:trPr>
          <w:trHeight w:val="222"/>
        </w:trPr>
        <w:tc>
          <w:tcPr>
            <w:tcW w:w="3260" w:type="dxa"/>
            <w:vAlign w:val="bottom"/>
          </w:tcPr>
          <w:p>
            <w:pPr>
              <w:spacing w:after="0"/>
              <w:rPr>
                <w:sz w:val="20"/>
                <w:szCs w:val="20"/>
                <w:color w:val="auto"/>
              </w:rPr>
            </w:pPr>
            <w:r>
              <w:rPr>
                <w:rFonts w:ascii="Arial" w:cs="Arial" w:eastAsia="Arial" w:hAnsi="Arial"/>
                <w:sz w:val="18"/>
                <w:szCs w:val="18"/>
                <w:color w:val="auto"/>
              </w:rPr>
              <w:t>Thereafter</w:t>
            </w:r>
          </w:p>
        </w:tc>
        <w:tc>
          <w:tcPr>
            <w:tcW w:w="26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135,826</w:t>
            </w:r>
          </w:p>
        </w:tc>
        <w:tc>
          <w:tcPr>
            <w:tcW w:w="380" w:type="dxa"/>
            <w:vAlign w:val="bottom"/>
          </w:tcPr>
          <w:p>
            <w:pPr>
              <w:spacing w:after="0"/>
              <w:rPr>
                <w:sz w:val="19"/>
                <w:szCs w:val="19"/>
                <w:color w:val="auto"/>
              </w:rPr>
            </w:pPr>
          </w:p>
        </w:tc>
      </w:tr>
      <w:tr>
        <w:trPr>
          <w:trHeight w:val="102"/>
        </w:trPr>
        <w:tc>
          <w:tcPr>
            <w:tcW w:w="32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r>
      <w:tr>
        <w:trPr>
          <w:trHeight w:val="102"/>
        </w:trPr>
        <w:tc>
          <w:tcPr>
            <w:tcW w:w="32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r>
      <w:tr>
        <w:trPr>
          <w:trHeight w:val="216"/>
        </w:trPr>
        <w:tc>
          <w:tcPr>
            <w:tcW w:w="3260" w:type="dxa"/>
            <w:vAlign w:val="bottom"/>
            <w:shd w:val="clear" w:color="auto" w:fill="EEEEEE"/>
          </w:tcPr>
          <w:p>
            <w:pPr>
              <w:spacing w:after="0"/>
              <w:rPr>
                <w:sz w:val="18"/>
                <w:szCs w:val="18"/>
                <w:color w:val="auto"/>
              </w:rPr>
            </w:pPr>
          </w:p>
        </w:tc>
        <w:tc>
          <w:tcPr>
            <w:tcW w:w="2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426,478</w:t>
            </w:r>
          </w:p>
        </w:tc>
        <w:tc>
          <w:tcPr>
            <w:tcW w:w="380" w:type="dxa"/>
            <w:vAlign w:val="bottom"/>
            <w:shd w:val="clear" w:color="auto" w:fill="EEEEEE"/>
          </w:tcPr>
          <w:p>
            <w:pPr>
              <w:spacing w:after="0"/>
              <w:rPr>
                <w:sz w:val="18"/>
                <w:szCs w:val="18"/>
                <w:color w:val="auto"/>
              </w:rPr>
            </w:pPr>
          </w:p>
        </w:tc>
      </w:tr>
      <w:tr>
        <w:trPr>
          <w:trHeight w:val="105"/>
        </w:trPr>
        <w:tc>
          <w:tcPr>
            <w:tcW w:w="3260" w:type="dxa"/>
            <w:vAlign w:val="bottom"/>
          </w:tcPr>
          <w:p>
            <w:pPr>
              <w:spacing w:after="0"/>
              <w:rPr>
                <w:sz w:val="9"/>
                <w:szCs w:val="9"/>
                <w:color w:val="auto"/>
              </w:rPr>
            </w:pPr>
          </w:p>
        </w:tc>
        <w:tc>
          <w:tcPr>
            <w:tcW w:w="2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r>
      <w:tr>
        <w:trPr>
          <w:trHeight w:val="61"/>
        </w:trPr>
        <w:tc>
          <w:tcPr>
            <w:tcW w:w="3260" w:type="dxa"/>
            <w:vAlign w:val="bottom"/>
          </w:tcPr>
          <w:p>
            <w:pPr>
              <w:spacing w:after="0"/>
              <w:rPr>
                <w:sz w:val="5"/>
                <w:szCs w:val="5"/>
                <w:color w:val="auto"/>
              </w:rPr>
            </w:pPr>
          </w:p>
        </w:tc>
        <w:tc>
          <w:tcPr>
            <w:tcW w:w="26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Minimum payments have not been reduced by minimum sublease rentals of $4.4 million due in the future under noncancelable subleases.</w:t>
      </w:r>
    </w:p>
    <w:p>
      <w:pPr>
        <w:spacing w:after="0" w:line="225"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Rent expense under operating leases included in operating costs was approximately $76.8 million, $60.7 million and $58.3 million in 2003, 2002 and 2001, respectively. Sublease income was approximately $0.6 million, $0.6 million and $1.5 million in 2003, 2002 and 2001, respectively.</w:t>
      </w:r>
    </w:p>
    <w:p>
      <w:pPr>
        <w:spacing w:after="0" w:line="13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Company’s broadcast subsidiaries are parties to certain agreements that commit them to purchase programming to be produced in future years. At December 28, 2003, such commitments amounted to approximately $55.3 million. If such programs are not produced, the Company’s commitment would expire without obligation.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ACQUISITIONS, EXCHANGES AND DISPOSITIONS</w:t>
      </w:r>
    </w:p>
    <w:p>
      <w:pPr>
        <w:spacing w:after="0" w:line="231" w:lineRule="exact"/>
        <w:rPr>
          <w:sz w:val="20"/>
          <w:szCs w:val="20"/>
          <w:color w:val="auto"/>
        </w:rPr>
      </w:pPr>
    </w:p>
    <w:p>
      <w:pPr>
        <w:jc w:val="both"/>
        <w:ind w:right="100"/>
        <w:spacing w:after="0" w:line="298" w:lineRule="auto"/>
        <w:rPr>
          <w:sz w:val="20"/>
          <w:szCs w:val="20"/>
          <w:color w:val="auto"/>
        </w:rPr>
      </w:pPr>
      <w:r>
        <w:rPr>
          <w:rFonts w:ascii="Arial" w:cs="Arial" w:eastAsia="Arial" w:hAnsi="Arial"/>
          <w:sz w:val="16"/>
          <w:szCs w:val="16"/>
          <w:color w:val="auto"/>
        </w:rPr>
        <w:t>The Company completed business acquisitions and exchanges totaling approximately $169.5 million in 2003, $90.5 million in 2002 and $422.8 million in 2001 (including estimated fair value of cable systems surrendered, assumed debt and related acquisition costs). All of these acquisitions were accounted for using the purchase method, and accordingly, the assets and liabilities of the companies acquired have been recorded at their estimated fair values at the date of acquisition. The purchase price allocations for these acquisitions mostly comprised goodwill and other intangibles and property, plant and equipment.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During 2003, Kaplan acquired 13 businesses in its higher education and professional divisions for a total of $166.8 million, financed through cash and debt, with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$36.7 million remaining to be paid. The largest of these was the March 2003 acquisition of the stock of Financial Training Company (FTC), for £55.3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($87.4 million). Headquartered in London, FTC provides test preparation services for accountants and financial services professionals, with 28 training centers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United Kingdom as well as operations in Asia. This acquisition was financed through cash and debt with $29.7 million remaining to be paid, primarily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employees of the business. In November 2003, Kaplan acquired Dublin Business School, Ireland’s largest private undergraduate institution, serving</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approximately 5,000 students. Most of the purchase price for the 2003 Kaplan acquisitions was allocated to goodwill and other intangibles and property, plant and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equipment.</w:t>
      </w:r>
    </w:p>
    <w:p>
      <w:pPr>
        <w:spacing w:after="0" w:line="219"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In addition, the cable division acquired three additional systems in 2003 for $2.8 million. Most of the purchase price for these acquisitions was allocated to franchise agreements, an indefinite-lived intangible asset.</w:t>
      </w:r>
    </w:p>
    <w:p>
      <w:pPr>
        <w:spacing w:after="0" w:line="18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On January 1, 2003, the Company sold its 50 percent interest in the International Herald Tribune for $65 million and the Company recorded an after-tax non-operating gain of $32.3 million ($3.38 per share) in the first quarter of 2003.</w:t>
      </w:r>
    </w:p>
    <w:p>
      <w:pPr>
        <w:spacing w:after="0" w:line="186"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During 2002, Kaplan acquired several businesses in its higher education and test preparation divisions for approximately $42.2 million. In November 2002, the Company completed a cable system exchange transaction with Time Warner Cable which consisted of the exchange by the Company of its cable system in Akron, Ohio serving about 15,500 subscribers, and $5.2 million to Time Warner Cable, for cable systems serving about 20,300 subscribers in Kansas. The Kansas systems acquired in the exchange transaction were recorded at their estimated fair value, as determined based on an appraisal completed by an independent third-party firm. The non-cash, non-operating gain resulting from the exchange transaction increased net income by $16.7 million, or $1.75 per share.</w:t>
      </w:r>
    </w:p>
    <w:p>
      <w:pPr>
        <w:spacing w:after="0" w:line="154"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 Company’s acquisitions in 2001 principally included the purchase of Southern Maryland Newspapers, a division of Chesapeake Publishing Corporation, and a cable system exchange with AT&amp;T Broadband. During 2001, the Company also acquired a provider of CFA® exam preparation services and a company that</w:t>
      </w:r>
    </w:p>
    <w:p>
      <w:pPr>
        <w:sectPr>
          <w:pgSz w:w="11900" w:h="16838" w:orient="portrait"/>
          <w:cols w:equalWidth="0" w:num="1">
            <w:col w:w="11400"/>
          </w:cols>
          <w:pgMar w:left="240" w:top="941" w:right="259" w:bottom="0" w:gutter="0" w:footer="0" w:header="0"/>
        </w:sectPr>
      </w:pPr>
    </w:p>
    <w:bookmarkStart w:id="68" w:name="page69"/>
    <w:bookmarkEnd w:id="68"/>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160655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74" w:right="1440"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provides pre-certification training for real estate, insurance and securities professionals.</w:t>
      </w:r>
    </w:p>
    <w:p>
      <w:pPr>
        <w:spacing w:after="0" w:line="22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Southern Maryland Newspapers publishes the Maryland Independent in Charles County, Maryland; The Enterprise in St. Mary’s County, Maryland; and The Calvert Recorder in Calvert County, Maryland, with a combined total paid circulation of approximately 50,000.</w:t>
      </w:r>
    </w:p>
    <w:p>
      <w:pPr>
        <w:spacing w:after="0" w:line="18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cable system exchange with AT&amp;T Broadband was completed in March 2001 and consisted of the exchange by the Company of its cable systems in Modesto and Santa Rosa, California, and approximately $42.0 million to AT&amp;T Broadband for cable systems serving approximately 155,000 subscribers principally located in Idaho. The Idaho systems acquired in the exchange transactions were recorded at their estimated fair value, as determined based on an appraisal completed by an independent third-party firm. In a related transaction in January 2001, the Company completed the sale of a cable system serving about 15,000 subscribers in Greenwood, Indiana, for $61.9 million. The gain resulting from the cable system sale and exchange transactions increased net income by $196.5 million, or $20.69 per share. For income tax purposes, substantial components of the cable system sale and exchange transactions qualify as like-kind exchanges and therefore, a large portion of these transactions does not result in a current tax liability.</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results of operations for each of the businesses acquired are included in the Consolidated Statements of Income from their respective dates of acquisition. Pro forma results of operations for 2003, 2002 and 2001, assuming the acquisitions and exchanges occurred at the beginning of 2001, are not materially different from reported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GOODWILL AND OTHER INTANGIBLE ASSETS</w:t>
      </w:r>
    </w:p>
    <w:p>
      <w:pPr>
        <w:spacing w:after="0" w:line="23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adopted Statement of Financial Accounting Standards No. 142 (SFAS 142), “Goodwill and Other Intangible Assets” effective on the first day of its 2002 fiscal year. As a result of the adoption of SFAS 142, the Company ceased most of the periodic charges previously recorded from the amortization of goodwill and other intangibles.</w:t>
      </w:r>
    </w:p>
    <w:p>
      <w:pPr>
        <w:spacing w:after="0" w:line="19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As required under SFAS 142, the Company completed its transitional impairment review of indefinite-lived intangible assets and goodwill in 2002. The expected future cash flows for PostNewsweek Tech Media (part of the magazine publishing segment), on a discounted basis, did not support the net carrying value of the related goodwill. Accordingly, an after-tax goodwill impairment loss of $12.1 million, or $1.27 per share, was recorded. The loss is included in the Company’s 2002 fiscal year results as a cumulative effect of change in accounting principle.</w:t>
      </w:r>
    </w:p>
    <w:p>
      <w:pPr>
        <w:spacing w:after="0" w:line="19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On a pro forma basis, the Company’s 2001 operating income would have been $298.3 million, if SFAS 142 had been adopted at the beginning of fiscal 2001, compared to $363.8 million and $377.6 million for 2003 and 2002, respectively.</w:t>
      </w:r>
    </w:p>
    <w:p>
      <w:pPr>
        <w:spacing w:after="0" w:line="18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Other pro forma results for the year ended December 30, 2001, to exclude amortization of goodwill and indefinite-lived intangible assets, were as follows (in thousands, except per share amounts):</w:t>
      </w:r>
    </w:p>
    <w:p>
      <w:pPr>
        <w:spacing w:after="0" w:line="396"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ind w:right="472"/>
              <w:spacing w:after="0"/>
              <w:rPr>
                <w:sz w:val="20"/>
                <w:szCs w:val="20"/>
                <w:color w:val="auto"/>
              </w:rPr>
            </w:pPr>
            <w:r>
              <w:rPr>
                <w:rFonts w:ascii="Arial" w:cs="Arial" w:eastAsia="Arial" w:hAnsi="Arial"/>
                <w:sz w:val="18"/>
                <w:szCs w:val="18"/>
                <w:b w:val="1"/>
                <w:bCs w:val="1"/>
                <w:color w:val="auto"/>
              </w:rPr>
              <w:t>2003</w:t>
            </w:r>
          </w:p>
        </w:tc>
        <w:tc>
          <w:tcPr>
            <w:tcW w:w="580" w:type="dxa"/>
            <w:vAlign w:val="bottom"/>
          </w:tcPr>
          <w:p>
            <w:pPr>
              <w:spacing w:after="0"/>
              <w:rPr>
                <w:sz w:val="19"/>
                <w:szCs w:val="19"/>
                <w:color w:val="auto"/>
              </w:rPr>
            </w:pPr>
          </w:p>
        </w:tc>
        <w:tc>
          <w:tcPr>
            <w:tcW w:w="1100" w:type="dxa"/>
            <w:vAlign w:val="bottom"/>
          </w:tcPr>
          <w:p>
            <w:pPr>
              <w:jc w:val="right"/>
              <w:ind w:right="432"/>
              <w:spacing w:after="0"/>
              <w:rPr>
                <w:sz w:val="20"/>
                <w:szCs w:val="20"/>
                <w:color w:val="auto"/>
              </w:rPr>
            </w:pPr>
            <w:r>
              <w:rPr>
                <w:rFonts w:ascii="Arial" w:cs="Arial" w:eastAsia="Arial" w:hAnsi="Arial"/>
                <w:sz w:val="18"/>
                <w:szCs w:val="18"/>
                <w:color w:val="auto"/>
              </w:rPr>
              <w:t>2002</w:t>
            </w:r>
          </w:p>
        </w:tc>
        <w:tc>
          <w:tcPr>
            <w:tcW w:w="540" w:type="dxa"/>
            <w:vAlign w:val="bottom"/>
          </w:tcPr>
          <w:p>
            <w:pPr>
              <w:spacing w:after="0"/>
              <w:rPr>
                <w:sz w:val="19"/>
                <w:szCs w:val="19"/>
                <w:color w:val="auto"/>
              </w:rPr>
            </w:pPr>
          </w:p>
        </w:tc>
        <w:tc>
          <w:tcPr>
            <w:tcW w:w="940" w:type="dxa"/>
            <w:vAlign w:val="bottom"/>
          </w:tcPr>
          <w:p>
            <w:pPr>
              <w:jc w:val="right"/>
              <w:ind w:right="272"/>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5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52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color w:val="auto"/>
              </w:rPr>
              <w:t>Income before cumulative effect of change in accounting principle,</w:t>
            </w:r>
          </w:p>
        </w:tc>
        <w:tc>
          <w:tcPr>
            <w:tcW w:w="440" w:type="dxa"/>
            <w:vAlign w:val="bottom"/>
            <w:vMerge w:val="restart"/>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vMerge w:val="restart"/>
            <w:shd w:val="clear" w:color="auto" w:fill="EEEEEE"/>
          </w:tcPr>
          <w:p>
            <w:pPr>
              <w:jc w:val="right"/>
              <w:ind w:right="472"/>
              <w:spacing w:after="0"/>
              <w:rPr>
                <w:sz w:val="20"/>
                <w:szCs w:val="20"/>
                <w:color w:val="auto"/>
              </w:rPr>
            </w:pPr>
            <w:r>
              <w:rPr>
                <w:rFonts w:ascii="Arial" w:cs="Arial" w:eastAsia="Arial" w:hAnsi="Arial"/>
                <w:sz w:val="18"/>
                <w:szCs w:val="18"/>
                <w:b w:val="1"/>
                <w:bCs w:val="1"/>
                <w:color w:val="auto"/>
                <w:w w:val="86"/>
              </w:rPr>
              <w:t>241,088</w:t>
            </w:r>
          </w:p>
        </w:tc>
        <w:tc>
          <w:tcPr>
            <w:tcW w:w="58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20" w:type="dxa"/>
            <w:vAlign w:val="bottom"/>
            <w:tcBorders>
              <w:right w:val="single" w:sz="8" w:color="EEEEEE"/>
            </w:tcBorders>
            <w:shd w:val="clear" w:color="auto" w:fill="EEEEEE"/>
          </w:tcPr>
          <w:p>
            <w:pPr>
              <w:ind w:left="120"/>
              <w:spacing w:after="0"/>
              <w:rPr>
                <w:sz w:val="20"/>
                <w:szCs w:val="20"/>
                <w:color w:val="auto"/>
              </w:rPr>
            </w:pPr>
            <w:r>
              <w:rPr>
                <w:rFonts w:ascii="Arial" w:cs="Arial" w:eastAsia="Arial" w:hAnsi="Arial"/>
                <w:sz w:val="18"/>
                <w:szCs w:val="18"/>
                <w:color w:val="auto"/>
              </w:rPr>
              <w:t>as reported</w:t>
            </w:r>
          </w:p>
        </w:tc>
        <w:tc>
          <w:tcPr>
            <w:tcW w:w="440" w:type="dxa"/>
            <w:vAlign w:val="bottom"/>
            <w:vMerge w:val="continue"/>
            <w:shd w:val="clear" w:color="auto" w:fill="EEEEEE"/>
          </w:tcPr>
          <w:p>
            <w:pPr>
              <w:spacing w:after="0"/>
              <w:rPr>
                <w:sz w:val="19"/>
                <w:szCs w:val="19"/>
                <w:color w:val="auto"/>
              </w:rPr>
            </w:pPr>
          </w:p>
        </w:tc>
        <w:tc>
          <w:tcPr>
            <w:tcW w:w="1140" w:type="dxa"/>
            <w:vAlign w:val="bottom"/>
            <w:vMerge w:val="continue"/>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w w:val="86"/>
              </w:rPr>
              <w:t>216,368</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w w:val="86"/>
              </w:rPr>
              <w:t>229,639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Amortization of goodwill and other intangibles, net of tax</w:t>
            </w:r>
          </w:p>
        </w:tc>
        <w:tc>
          <w:tcPr>
            <w:tcW w:w="440" w:type="dxa"/>
            <w:vAlign w:val="bottom"/>
          </w:tcPr>
          <w:p>
            <w:pPr>
              <w:spacing w:after="0"/>
              <w:rPr>
                <w:sz w:val="19"/>
                <w:szCs w:val="19"/>
                <w:color w:val="auto"/>
              </w:rPr>
            </w:pPr>
          </w:p>
        </w:tc>
        <w:tc>
          <w:tcPr>
            <w:tcW w:w="1140" w:type="dxa"/>
            <w:vAlign w:val="bottom"/>
          </w:tcPr>
          <w:p>
            <w:pPr>
              <w:jc w:val="right"/>
              <w:ind w:right="472"/>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19"/>
                <w:szCs w:val="19"/>
                <w:color w:val="auto"/>
              </w:rPr>
            </w:pPr>
          </w:p>
        </w:tc>
        <w:tc>
          <w:tcPr>
            <w:tcW w:w="110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940" w:type="dxa"/>
            <w:vAlign w:val="bottom"/>
          </w:tcPr>
          <w:p>
            <w:pPr>
              <w:jc w:val="right"/>
              <w:ind w:right="272"/>
              <w:spacing w:after="0"/>
              <w:rPr>
                <w:sz w:val="20"/>
                <w:szCs w:val="20"/>
                <w:color w:val="auto"/>
              </w:rPr>
            </w:pPr>
            <w:r>
              <w:rPr>
                <w:rFonts w:ascii="Arial" w:cs="Arial" w:eastAsia="Arial" w:hAnsi="Arial"/>
                <w:sz w:val="18"/>
                <w:szCs w:val="18"/>
                <w:color w:val="auto"/>
              </w:rPr>
              <w:t>54,989</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52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color w:val="auto"/>
              </w:rPr>
              <w:t>Pro forma income before cumulative effect of change in</w:t>
            </w:r>
          </w:p>
        </w:tc>
        <w:tc>
          <w:tcPr>
            <w:tcW w:w="440" w:type="dxa"/>
            <w:vAlign w:val="bottom"/>
            <w:shd w:val="clear" w:color="auto" w:fill="EEEEEE"/>
          </w:tcPr>
          <w:p>
            <w:pPr>
              <w:spacing w:after="0"/>
              <w:rPr>
                <w:sz w:val="18"/>
                <w:szCs w:val="18"/>
                <w:color w:val="auto"/>
              </w:rPr>
            </w:pPr>
          </w:p>
        </w:tc>
        <w:tc>
          <w:tcPr>
            <w:tcW w:w="1140" w:type="dxa"/>
            <w:vAlign w:val="bottom"/>
            <w:vMerge w:val="restart"/>
            <w:shd w:val="clear" w:color="auto" w:fill="EEEEEE"/>
          </w:tcPr>
          <w:p>
            <w:pPr>
              <w:jc w:val="right"/>
              <w:ind w:right="472"/>
              <w:spacing w:after="0"/>
              <w:rPr>
                <w:sz w:val="20"/>
                <w:szCs w:val="20"/>
                <w:color w:val="auto"/>
              </w:rPr>
            </w:pPr>
            <w:r>
              <w:rPr>
                <w:rFonts w:ascii="Arial" w:cs="Arial" w:eastAsia="Arial" w:hAnsi="Arial"/>
                <w:sz w:val="18"/>
                <w:szCs w:val="18"/>
                <w:b w:val="1"/>
                <w:bCs w:val="1"/>
                <w:color w:val="auto"/>
                <w:w w:val="86"/>
              </w:rPr>
              <w:t>241,088</w:t>
            </w:r>
          </w:p>
        </w:tc>
        <w:tc>
          <w:tcPr>
            <w:tcW w:w="58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20" w:type="dxa"/>
            <w:vAlign w:val="bottom"/>
            <w:tcBorders>
              <w:right w:val="single" w:sz="8" w:color="EEEEEE"/>
            </w:tcBorders>
            <w:shd w:val="clear" w:color="auto" w:fill="EEEEEE"/>
          </w:tcPr>
          <w:p>
            <w:pPr>
              <w:ind w:left="120"/>
              <w:spacing w:after="0"/>
              <w:rPr>
                <w:sz w:val="20"/>
                <w:szCs w:val="20"/>
                <w:color w:val="auto"/>
              </w:rPr>
            </w:pPr>
            <w:r>
              <w:rPr>
                <w:rFonts w:ascii="Arial" w:cs="Arial" w:eastAsia="Arial" w:hAnsi="Arial"/>
                <w:sz w:val="18"/>
                <w:szCs w:val="18"/>
                <w:color w:val="auto"/>
              </w:rPr>
              <w:t>accounting principle</w:t>
            </w:r>
          </w:p>
        </w:tc>
        <w:tc>
          <w:tcPr>
            <w:tcW w:w="440" w:type="dxa"/>
            <w:vAlign w:val="bottom"/>
            <w:shd w:val="clear" w:color="auto" w:fill="EEEEEE"/>
          </w:tcPr>
          <w:p>
            <w:pPr>
              <w:spacing w:after="0"/>
              <w:rPr>
                <w:sz w:val="19"/>
                <w:szCs w:val="19"/>
                <w:color w:val="auto"/>
              </w:rPr>
            </w:pPr>
          </w:p>
        </w:tc>
        <w:tc>
          <w:tcPr>
            <w:tcW w:w="1140" w:type="dxa"/>
            <w:vAlign w:val="bottom"/>
            <w:vMerge w:val="continue"/>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10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w w:val="86"/>
              </w:rPr>
              <w:t>216,368</w:t>
            </w:r>
          </w:p>
        </w:tc>
        <w:tc>
          <w:tcPr>
            <w:tcW w:w="540" w:type="dxa"/>
            <w:vAlign w:val="bottom"/>
            <w:shd w:val="clear" w:color="auto" w:fill="EEEEEE"/>
          </w:tcPr>
          <w:p>
            <w:pPr>
              <w:spacing w:after="0"/>
              <w:rPr>
                <w:sz w:val="19"/>
                <w:szCs w:val="19"/>
                <w:color w:val="auto"/>
              </w:rPr>
            </w:pPr>
          </w:p>
        </w:tc>
        <w:tc>
          <w:tcPr>
            <w:tcW w:w="94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w w:val="86"/>
              </w:rPr>
              <w:t>284,628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Cumulative effect of change in method of accounting for goodwill</w:t>
            </w:r>
          </w:p>
        </w:tc>
        <w:tc>
          <w:tcPr>
            <w:tcW w:w="440" w:type="dxa"/>
            <w:vAlign w:val="bottom"/>
          </w:tcPr>
          <w:p>
            <w:pPr>
              <w:spacing w:after="0"/>
              <w:rPr>
                <w:sz w:val="18"/>
                <w:szCs w:val="18"/>
                <w:color w:val="auto"/>
              </w:rPr>
            </w:pPr>
          </w:p>
        </w:tc>
        <w:tc>
          <w:tcPr>
            <w:tcW w:w="1140" w:type="dxa"/>
            <w:vAlign w:val="bottom"/>
            <w:vMerge w:val="restart"/>
          </w:tcPr>
          <w:p>
            <w:pPr>
              <w:jc w:val="right"/>
              <w:ind w:right="472"/>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ind w:left="120"/>
              <w:spacing w:after="0"/>
              <w:rPr>
                <w:sz w:val="20"/>
                <w:szCs w:val="20"/>
                <w:color w:val="auto"/>
              </w:rPr>
            </w:pPr>
            <w:r>
              <w:rPr>
                <w:rFonts w:ascii="Arial" w:cs="Arial" w:eastAsia="Arial" w:hAnsi="Arial"/>
                <w:sz w:val="18"/>
                <w:szCs w:val="18"/>
                <w:color w:val="auto"/>
              </w:rPr>
              <w:t>and other intangible assets, net of tax</w:t>
            </w:r>
          </w:p>
        </w:tc>
        <w:tc>
          <w:tcPr>
            <w:tcW w:w="4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ind w:right="372"/>
              <w:spacing w:after="0"/>
              <w:rPr>
                <w:sz w:val="20"/>
                <w:szCs w:val="20"/>
                <w:color w:val="auto"/>
              </w:rPr>
            </w:pPr>
            <w:r>
              <w:rPr>
                <w:rFonts w:ascii="Arial" w:cs="Arial" w:eastAsia="Arial" w:hAnsi="Arial"/>
                <w:sz w:val="18"/>
                <w:szCs w:val="18"/>
                <w:color w:val="auto"/>
                <w:w w:val="92"/>
              </w:rPr>
              <w:t>(12,100)</w:t>
            </w:r>
          </w:p>
        </w:tc>
        <w:tc>
          <w:tcPr>
            <w:tcW w:w="540" w:type="dxa"/>
            <w:vAlign w:val="bottom"/>
          </w:tcPr>
          <w:p>
            <w:pPr>
              <w:spacing w:after="0"/>
              <w:rPr>
                <w:sz w:val="19"/>
                <w:szCs w:val="19"/>
                <w:color w:val="auto"/>
              </w:rPr>
            </w:pPr>
          </w:p>
        </w:tc>
        <w:tc>
          <w:tcPr>
            <w:tcW w:w="9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2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color w:val="auto"/>
              </w:rPr>
              <w:t>Redeemable preferred stock dividends</w:t>
            </w:r>
          </w:p>
        </w:tc>
        <w:tc>
          <w:tcPr>
            <w:tcW w:w="440" w:type="dxa"/>
            <w:vAlign w:val="bottom"/>
            <w:shd w:val="clear" w:color="auto" w:fill="EEEEEE"/>
          </w:tcPr>
          <w:p>
            <w:pPr>
              <w:spacing w:after="0"/>
              <w:rPr>
                <w:sz w:val="18"/>
                <w:szCs w:val="18"/>
                <w:color w:val="auto"/>
              </w:rPr>
            </w:pPr>
          </w:p>
        </w:tc>
        <w:tc>
          <w:tcPr>
            <w:tcW w:w="1140" w:type="dxa"/>
            <w:vAlign w:val="bottom"/>
            <w:shd w:val="clear" w:color="auto" w:fill="EEEEEE"/>
          </w:tcPr>
          <w:p>
            <w:pPr>
              <w:jc w:val="right"/>
              <w:ind w:right="412"/>
              <w:spacing w:after="0"/>
              <w:rPr>
                <w:sz w:val="20"/>
                <w:szCs w:val="20"/>
                <w:color w:val="auto"/>
              </w:rPr>
            </w:pPr>
            <w:r>
              <w:rPr>
                <w:rFonts w:ascii="Arial" w:cs="Arial" w:eastAsia="Arial" w:hAnsi="Arial"/>
                <w:sz w:val="18"/>
                <w:szCs w:val="18"/>
                <w:b w:val="1"/>
                <w:bCs w:val="1"/>
                <w:color w:val="auto"/>
              </w:rPr>
              <w:t>(1,027)</w:t>
            </w:r>
          </w:p>
        </w:tc>
        <w:tc>
          <w:tcPr>
            <w:tcW w:w="58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372"/>
              <w:spacing w:after="0"/>
              <w:rPr>
                <w:sz w:val="20"/>
                <w:szCs w:val="20"/>
                <w:color w:val="auto"/>
              </w:rPr>
            </w:pPr>
            <w:r>
              <w:rPr>
                <w:rFonts w:ascii="Arial" w:cs="Arial" w:eastAsia="Arial" w:hAnsi="Arial"/>
                <w:sz w:val="18"/>
                <w:szCs w:val="18"/>
                <w:color w:val="auto"/>
              </w:rPr>
              <w:t>(1,033)</w:t>
            </w:r>
          </w:p>
        </w:tc>
        <w:tc>
          <w:tcPr>
            <w:tcW w:w="540" w:type="dxa"/>
            <w:vAlign w:val="bottom"/>
            <w:shd w:val="clear" w:color="auto" w:fill="EEEEEE"/>
          </w:tcPr>
          <w:p>
            <w:pPr>
              <w:spacing w:after="0"/>
              <w:rPr>
                <w:sz w:val="18"/>
                <w:szCs w:val="18"/>
                <w:color w:val="auto"/>
              </w:rPr>
            </w:pPr>
          </w:p>
        </w:tc>
        <w:tc>
          <w:tcPr>
            <w:tcW w:w="940" w:type="dxa"/>
            <w:vAlign w:val="bottom"/>
            <w:shd w:val="clear" w:color="auto" w:fill="EEEEEE"/>
          </w:tcPr>
          <w:p>
            <w:pPr>
              <w:jc w:val="right"/>
              <w:ind w:right="212"/>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108"/>
        </w:trPr>
        <w:tc>
          <w:tcPr>
            <w:tcW w:w="5540" w:type="dxa"/>
            <w:vAlign w:val="bottom"/>
            <w:gridSpan w:val="2"/>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tcBorders>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Pro forma net income available for common shares</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472"/>
              <w:spacing w:after="0"/>
              <w:rPr>
                <w:sz w:val="20"/>
                <w:szCs w:val="20"/>
                <w:color w:val="auto"/>
              </w:rPr>
            </w:pPr>
            <w:r>
              <w:rPr>
                <w:rFonts w:ascii="Arial" w:cs="Arial" w:eastAsia="Arial" w:hAnsi="Arial"/>
                <w:sz w:val="18"/>
                <w:szCs w:val="18"/>
                <w:b w:val="1"/>
                <w:bCs w:val="1"/>
                <w:color w:val="auto"/>
                <w:w w:val="86"/>
              </w:rPr>
              <w:t>240,061</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32"/>
              <w:spacing w:after="0"/>
              <w:rPr>
                <w:sz w:val="20"/>
                <w:szCs w:val="20"/>
                <w:color w:val="auto"/>
              </w:rPr>
            </w:pPr>
            <w:r>
              <w:rPr>
                <w:rFonts w:ascii="Arial" w:cs="Arial" w:eastAsia="Arial" w:hAnsi="Arial"/>
                <w:sz w:val="18"/>
                <w:szCs w:val="18"/>
                <w:color w:val="auto"/>
                <w:w w:val="86"/>
              </w:rPr>
              <w:t>203,235</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72"/>
              <w:spacing w:after="0"/>
              <w:rPr>
                <w:sz w:val="20"/>
                <w:szCs w:val="20"/>
                <w:color w:val="auto"/>
              </w:rPr>
            </w:pPr>
            <w:r>
              <w:rPr>
                <w:rFonts w:ascii="Arial" w:cs="Arial" w:eastAsia="Arial" w:hAnsi="Arial"/>
                <w:sz w:val="18"/>
                <w:szCs w:val="18"/>
                <w:color w:val="auto"/>
                <w:w w:val="86"/>
              </w:rPr>
              <w:t>283,576</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20" w:type="dxa"/>
            <w:vAlign w:val="bottom"/>
            <w:tcBorders>
              <w:right w:val="single" w:sz="8" w:color="808080"/>
            </w:tcBorders>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color w:val="auto"/>
              </w:rPr>
              <w:t>Basic earnings per share:</w:t>
            </w:r>
          </w:p>
        </w:tc>
        <w:tc>
          <w:tcPr>
            <w:tcW w:w="4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20"/>
              <w:spacing w:after="0"/>
              <w:rPr>
                <w:sz w:val="20"/>
                <w:szCs w:val="20"/>
                <w:color w:val="auto"/>
              </w:rPr>
            </w:pPr>
            <w:r>
              <w:rPr>
                <w:rFonts w:ascii="Arial" w:cs="Arial" w:eastAsia="Arial" w:hAnsi="Arial"/>
                <w:sz w:val="18"/>
                <w:szCs w:val="18"/>
                <w:color w:val="auto"/>
                <w:w w:val="93"/>
              </w:rPr>
              <w:t>Before cumulative effect of change in accounting principle, as reported</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472"/>
              <w:spacing w:after="0"/>
              <w:rPr>
                <w:sz w:val="20"/>
                <w:szCs w:val="20"/>
                <w:color w:val="auto"/>
              </w:rPr>
            </w:pPr>
            <w:r>
              <w:rPr>
                <w:rFonts w:ascii="Arial" w:cs="Arial" w:eastAsia="Arial" w:hAnsi="Arial"/>
                <w:sz w:val="18"/>
                <w:szCs w:val="18"/>
                <w:b w:val="1"/>
                <w:bCs w:val="1"/>
                <w:color w:val="auto"/>
              </w:rPr>
              <w:t>25.19</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32"/>
              <w:spacing w:after="0"/>
              <w:rPr>
                <w:sz w:val="20"/>
                <w:szCs w:val="20"/>
                <w:color w:val="auto"/>
              </w:rPr>
            </w:pPr>
            <w:r>
              <w:rPr>
                <w:rFonts w:ascii="Arial" w:cs="Arial" w:eastAsia="Arial" w:hAnsi="Arial"/>
                <w:sz w:val="18"/>
                <w:szCs w:val="18"/>
                <w:color w:val="auto"/>
              </w:rPr>
              <w:t>22.65</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272"/>
              <w:spacing w:after="0"/>
              <w:rPr>
                <w:sz w:val="20"/>
                <w:szCs w:val="20"/>
                <w:color w:val="auto"/>
              </w:rPr>
            </w:pPr>
            <w:r>
              <w:rPr>
                <w:rFonts w:ascii="Arial" w:cs="Arial" w:eastAsia="Arial" w:hAnsi="Arial"/>
                <w:sz w:val="18"/>
                <w:szCs w:val="18"/>
                <w:color w:val="auto"/>
              </w:rPr>
              <w:t>24.10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Borders>
              <w:right w:val="single" w:sz="8" w:color="EEEEEE"/>
            </w:tcBorders>
            <w:shd w:val="clear" w:color="auto" w:fill="EEEEEE"/>
          </w:tcPr>
          <w:p>
            <w:pPr>
              <w:ind w:left="220"/>
              <w:spacing w:after="0"/>
              <w:rPr>
                <w:sz w:val="20"/>
                <w:szCs w:val="20"/>
                <w:color w:val="auto"/>
              </w:rPr>
            </w:pPr>
            <w:r>
              <w:rPr>
                <w:rFonts w:ascii="Arial" w:cs="Arial" w:eastAsia="Arial" w:hAnsi="Arial"/>
                <w:sz w:val="18"/>
                <w:szCs w:val="18"/>
                <w:color w:val="auto"/>
              </w:rPr>
              <w:t>Cumulative effect of change in accounting principle</w:t>
            </w:r>
          </w:p>
        </w:tc>
        <w:tc>
          <w:tcPr>
            <w:tcW w:w="440" w:type="dxa"/>
            <w:vAlign w:val="bottom"/>
            <w:shd w:val="clear" w:color="auto" w:fill="EEEEEE"/>
          </w:tcPr>
          <w:p>
            <w:pPr>
              <w:spacing w:after="0"/>
              <w:rPr>
                <w:sz w:val="18"/>
                <w:szCs w:val="18"/>
                <w:color w:val="auto"/>
              </w:rPr>
            </w:pPr>
          </w:p>
        </w:tc>
        <w:tc>
          <w:tcPr>
            <w:tcW w:w="1140" w:type="dxa"/>
            <w:vAlign w:val="bottom"/>
            <w:shd w:val="clear" w:color="auto" w:fill="EEEEEE"/>
          </w:tcPr>
          <w:p>
            <w:pPr>
              <w:jc w:val="right"/>
              <w:ind w:right="472"/>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372"/>
              <w:spacing w:after="0"/>
              <w:rPr>
                <w:sz w:val="20"/>
                <w:szCs w:val="20"/>
                <w:color w:val="auto"/>
              </w:rPr>
            </w:pPr>
            <w:r>
              <w:rPr>
                <w:rFonts w:ascii="Arial" w:cs="Arial" w:eastAsia="Arial" w:hAnsi="Arial"/>
                <w:sz w:val="18"/>
                <w:szCs w:val="18"/>
                <w:color w:val="auto"/>
              </w:rPr>
              <w:t>(1.27)</w:t>
            </w:r>
          </w:p>
        </w:tc>
        <w:tc>
          <w:tcPr>
            <w:tcW w:w="540" w:type="dxa"/>
            <w:vAlign w:val="bottom"/>
            <w:shd w:val="clear" w:color="auto" w:fill="EEEEEE"/>
          </w:tcPr>
          <w:p>
            <w:pPr>
              <w:spacing w:after="0"/>
              <w:rPr>
                <w:sz w:val="18"/>
                <w:szCs w:val="18"/>
                <w:color w:val="auto"/>
              </w:rPr>
            </w:pPr>
          </w:p>
        </w:tc>
        <w:tc>
          <w:tcPr>
            <w:tcW w:w="94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20" w:type="dxa"/>
            <w:vAlign w:val="bottom"/>
          </w:tcPr>
          <w:p>
            <w:pPr>
              <w:ind w:left="220"/>
              <w:spacing w:after="0"/>
              <w:rPr>
                <w:sz w:val="20"/>
                <w:szCs w:val="20"/>
                <w:color w:val="auto"/>
              </w:rPr>
            </w:pPr>
            <w:r>
              <w:rPr>
                <w:rFonts w:ascii="Arial" w:cs="Arial" w:eastAsia="Arial" w:hAnsi="Arial"/>
                <w:sz w:val="18"/>
                <w:szCs w:val="18"/>
                <w:color w:val="auto"/>
              </w:rPr>
              <w:t>Amortization of goodwill and other intangibles</w:t>
            </w:r>
          </w:p>
        </w:tc>
        <w:tc>
          <w:tcPr>
            <w:tcW w:w="440" w:type="dxa"/>
            <w:vAlign w:val="bottom"/>
          </w:tcPr>
          <w:p>
            <w:pPr>
              <w:spacing w:after="0"/>
              <w:rPr>
                <w:sz w:val="19"/>
                <w:szCs w:val="19"/>
                <w:color w:val="auto"/>
              </w:rPr>
            </w:pPr>
          </w:p>
        </w:tc>
        <w:tc>
          <w:tcPr>
            <w:tcW w:w="1140" w:type="dxa"/>
            <w:vAlign w:val="bottom"/>
          </w:tcPr>
          <w:p>
            <w:pPr>
              <w:jc w:val="right"/>
              <w:ind w:right="472"/>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19"/>
                <w:szCs w:val="19"/>
                <w:color w:val="auto"/>
              </w:rPr>
            </w:pPr>
          </w:p>
        </w:tc>
        <w:tc>
          <w:tcPr>
            <w:tcW w:w="110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940" w:type="dxa"/>
            <w:vAlign w:val="bottom"/>
          </w:tcPr>
          <w:p>
            <w:pPr>
              <w:jc w:val="right"/>
              <w:ind w:right="272"/>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Borders>
              <w:right w:val="single" w:sz="8" w:color="EEEEEE"/>
            </w:tcBorders>
            <w:shd w:val="clear" w:color="auto" w:fill="EEEEEE"/>
          </w:tcPr>
          <w:p>
            <w:pPr>
              <w:ind w:left="220"/>
              <w:spacing w:after="0"/>
              <w:rPr>
                <w:sz w:val="20"/>
                <w:szCs w:val="20"/>
                <w:color w:val="auto"/>
              </w:rPr>
            </w:pPr>
            <w:r>
              <w:rPr>
                <w:rFonts w:ascii="Arial" w:cs="Arial" w:eastAsia="Arial" w:hAnsi="Arial"/>
                <w:sz w:val="18"/>
                <w:szCs w:val="18"/>
                <w:color w:val="auto"/>
              </w:rPr>
              <w:t>Pro forma net income available for common shares</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EEEEEE"/>
          </w:tcPr>
          <w:p>
            <w:pPr>
              <w:jc w:val="right"/>
              <w:ind w:right="472"/>
              <w:spacing w:after="0"/>
              <w:rPr>
                <w:sz w:val="20"/>
                <w:szCs w:val="20"/>
                <w:color w:val="auto"/>
              </w:rPr>
            </w:pPr>
            <w:r>
              <w:rPr>
                <w:rFonts w:ascii="Arial" w:cs="Arial" w:eastAsia="Arial" w:hAnsi="Arial"/>
                <w:sz w:val="18"/>
                <w:szCs w:val="18"/>
                <w:b w:val="1"/>
                <w:bCs w:val="1"/>
                <w:color w:val="auto"/>
              </w:rPr>
              <w:t>25.19</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rPr>
              <w:t>21.38</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rPr>
              <w:t>29.89</w:t>
            </w:r>
          </w:p>
        </w:tc>
        <w:tc>
          <w:tcPr>
            <w:tcW w:w="0" w:type="dxa"/>
            <w:vAlign w:val="bottom"/>
          </w:tcPr>
          <w:p>
            <w:pPr>
              <w:spacing w:after="0"/>
              <w:rPr>
                <w:sz w:val="1"/>
                <w:szCs w:val="1"/>
                <w:color w:val="auto"/>
              </w:rPr>
            </w:pPr>
          </w:p>
        </w:tc>
      </w:tr>
      <w:tr>
        <w:trPr>
          <w:trHeight w:val="105"/>
        </w:trPr>
        <w:tc>
          <w:tcPr>
            <w:tcW w:w="5540" w:type="dxa"/>
            <w:vAlign w:val="bottom"/>
            <w:gridSpan w:val="2"/>
          </w:tcPr>
          <w:p>
            <w:pPr>
              <w:spacing w:after="0"/>
              <w:rPr>
                <w:sz w:val="9"/>
                <w:szCs w:val="9"/>
                <w:color w:val="auto"/>
              </w:rPr>
            </w:pPr>
          </w:p>
        </w:tc>
        <w:tc>
          <w:tcPr>
            <w:tcW w:w="4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540" w:type="dxa"/>
            <w:vAlign w:val="bottom"/>
            <w:tcBorders>
              <w:right w:val="single" w:sz="8" w:color="808080"/>
            </w:tcBorders>
            <w:gridSpan w:val="2"/>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54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20" w:type="dxa"/>
            <w:vAlign w:val="bottom"/>
            <w:tcBorders>
              <w:right w:val="single" w:sz="8" w:color="EEEEEE"/>
            </w:tcBorders>
            <w:shd w:val="clear" w:color="auto" w:fill="EEEEEE"/>
          </w:tcPr>
          <w:p>
            <w:pPr>
              <w:ind w:left="220"/>
              <w:spacing w:after="0"/>
              <w:rPr>
                <w:sz w:val="20"/>
                <w:szCs w:val="20"/>
                <w:color w:val="auto"/>
              </w:rPr>
            </w:pPr>
            <w:r>
              <w:rPr>
                <w:rFonts w:ascii="Arial" w:cs="Arial" w:eastAsia="Arial" w:hAnsi="Arial"/>
                <w:sz w:val="18"/>
                <w:szCs w:val="18"/>
                <w:color w:val="auto"/>
                <w:w w:val="93"/>
              </w:rPr>
              <w:t>Before cumulative effect of change in accounting principle, as reported</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EEEEEE"/>
          </w:tcPr>
          <w:p>
            <w:pPr>
              <w:jc w:val="right"/>
              <w:ind w:right="472"/>
              <w:spacing w:after="0"/>
              <w:rPr>
                <w:sz w:val="20"/>
                <w:szCs w:val="20"/>
                <w:color w:val="auto"/>
              </w:rPr>
            </w:pPr>
            <w:r>
              <w:rPr>
                <w:rFonts w:ascii="Arial" w:cs="Arial" w:eastAsia="Arial" w:hAnsi="Arial"/>
                <w:sz w:val="18"/>
                <w:szCs w:val="18"/>
                <w:b w:val="1"/>
                <w:bCs w:val="1"/>
                <w:color w:val="auto"/>
              </w:rPr>
              <w:t>25.12</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rPr>
              <w:t>22.61</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rPr>
              <w:t>24.06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20"/>
              <w:spacing w:after="0"/>
              <w:rPr>
                <w:sz w:val="20"/>
                <w:szCs w:val="20"/>
                <w:color w:val="auto"/>
              </w:rPr>
            </w:pPr>
            <w:r>
              <w:rPr>
                <w:rFonts w:ascii="Arial" w:cs="Arial" w:eastAsia="Arial" w:hAnsi="Arial"/>
                <w:sz w:val="18"/>
                <w:szCs w:val="18"/>
                <w:color w:val="auto"/>
              </w:rPr>
              <w:t>Cumulative effect of change in accounting principle</w:t>
            </w:r>
          </w:p>
        </w:tc>
        <w:tc>
          <w:tcPr>
            <w:tcW w:w="440" w:type="dxa"/>
            <w:vAlign w:val="bottom"/>
          </w:tcPr>
          <w:p>
            <w:pPr>
              <w:spacing w:after="0"/>
              <w:rPr>
                <w:sz w:val="18"/>
                <w:szCs w:val="18"/>
                <w:color w:val="auto"/>
              </w:rPr>
            </w:pPr>
          </w:p>
        </w:tc>
        <w:tc>
          <w:tcPr>
            <w:tcW w:w="1140" w:type="dxa"/>
            <w:vAlign w:val="bottom"/>
          </w:tcPr>
          <w:p>
            <w:pPr>
              <w:jc w:val="right"/>
              <w:ind w:right="472"/>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18"/>
                <w:szCs w:val="18"/>
                <w:color w:val="auto"/>
              </w:rPr>
            </w:pPr>
          </w:p>
        </w:tc>
        <w:tc>
          <w:tcPr>
            <w:tcW w:w="1100" w:type="dxa"/>
            <w:vAlign w:val="bottom"/>
          </w:tcPr>
          <w:p>
            <w:pPr>
              <w:jc w:val="right"/>
              <w:ind w:right="372"/>
              <w:spacing w:after="0"/>
              <w:rPr>
                <w:sz w:val="20"/>
                <w:szCs w:val="20"/>
                <w:color w:val="auto"/>
              </w:rPr>
            </w:pPr>
            <w:r>
              <w:rPr>
                <w:rFonts w:ascii="Arial" w:cs="Arial" w:eastAsia="Arial" w:hAnsi="Arial"/>
                <w:sz w:val="18"/>
                <w:szCs w:val="18"/>
                <w:color w:val="auto"/>
              </w:rPr>
              <w:t>(1.27)</w:t>
            </w:r>
          </w:p>
        </w:tc>
        <w:tc>
          <w:tcPr>
            <w:tcW w:w="540" w:type="dxa"/>
            <w:vAlign w:val="bottom"/>
          </w:tcPr>
          <w:p>
            <w:pPr>
              <w:spacing w:after="0"/>
              <w:rPr>
                <w:sz w:val="18"/>
                <w:szCs w:val="18"/>
                <w:color w:val="auto"/>
              </w:rPr>
            </w:pPr>
          </w:p>
        </w:tc>
        <w:tc>
          <w:tcPr>
            <w:tcW w:w="9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Borders>
              <w:right w:val="single" w:sz="8" w:color="EEEEEE"/>
            </w:tcBorders>
            <w:shd w:val="clear" w:color="auto" w:fill="EEEEEE"/>
          </w:tcPr>
          <w:p>
            <w:pPr>
              <w:ind w:left="220"/>
              <w:spacing w:after="0"/>
              <w:rPr>
                <w:sz w:val="20"/>
                <w:szCs w:val="20"/>
                <w:color w:val="auto"/>
              </w:rPr>
            </w:pPr>
            <w:r>
              <w:rPr>
                <w:rFonts w:ascii="Arial" w:cs="Arial" w:eastAsia="Arial" w:hAnsi="Arial"/>
                <w:sz w:val="18"/>
                <w:szCs w:val="18"/>
                <w:color w:val="auto"/>
              </w:rPr>
              <w:t>Amortization of goodwill and other intangibles</w:t>
            </w:r>
          </w:p>
        </w:tc>
        <w:tc>
          <w:tcPr>
            <w:tcW w:w="440" w:type="dxa"/>
            <w:vAlign w:val="bottom"/>
            <w:shd w:val="clear" w:color="auto" w:fill="EEEEEE"/>
          </w:tcPr>
          <w:p>
            <w:pPr>
              <w:spacing w:after="0"/>
              <w:rPr>
                <w:sz w:val="18"/>
                <w:szCs w:val="18"/>
                <w:color w:val="auto"/>
              </w:rPr>
            </w:pPr>
          </w:p>
        </w:tc>
        <w:tc>
          <w:tcPr>
            <w:tcW w:w="1140" w:type="dxa"/>
            <w:vAlign w:val="bottom"/>
            <w:shd w:val="clear" w:color="auto" w:fill="EEEEEE"/>
          </w:tcPr>
          <w:p>
            <w:pPr>
              <w:jc w:val="right"/>
              <w:ind w:right="472"/>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rPr>
              <w:t>—</w:t>
            </w:r>
          </w:p>
        </w:tc>
        <w:tc>
          <w:tcPr>
            <w:tcW w:w="540" w:type="dxa"/>
            <w:vAlign w:val="bottom"/>
            <w:shd w:val="clear" w:color="auto" w:fill="EEEEEE"/>
          </w:tcPr>
          <w:p>
            <w:pPr>
              <w:spacing w:after="0"/>
              <w:rPr>
                <w:sz w:val="18"/>
                <w:szCs w:val="18"/>
                <w:color w:val="auto"/>
              </w:rPr>
            </w:pPr>
          </w:p>
        </w:tc>
        <w:tc>
          <w:tcPr>
            <w:tcW w:w="94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5520" w:type="dxa"/>
            <w:vAlign w:val="bottom"/>
          </w:tcPr>
          <w:p>
            <w:pPr>
              <w:ind w:left="220"/>
              <w:spacing w:after="0"/>
              <w:rPr>
                <w:sz w:val="20"/>
                <w:szCs w:val="20"/>
                <w:color w:val="auto"/>
              </w:rPr>
            </w:pPr>
            <w:r>
              <w:rPr>
                <w:rFonts w:ascii="Arial" w:cs="Arial" w:eastAsia="Arial" w:hAnsi="Arial"/>
                <w:sz w:val="18"/>
                <w:szCs w:val="18"/>
                <w:color w:val="auto"/>
              </w:rPr>
              <w:t>Pro forma net income available for common shares</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472"/>
              <w:spacing w:after="0"/>
              <w:rPr>
                <w:sz w:val="20"/>
                <w:szCs w:val="20"/>
                <w:color w:val="auto"/>
              </w:rPr>
            </w:pPr>
            <w:r>
              <w:rPr>
                <w:rFonts w:ascii="Arial" w:cs="Arial" w:eastAsia="Arial" w:hAnsi="Arial"/>
                <w:sz w:val="18"/>
                <w:szCs w:val="18"/>
                <w:b w:val="1"/>
                <w:bCs w:val="1"/>
                <w:color w:val="auto"/>
              </w:rPr>
              <w:t>25.12</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32"/>
              <w:spacing w:after="0"/>
              <w:rPr>
                <w:sz w:val="20"/>
                <w:szCs w:val="20"/>
                <w:color w:val="auto"/>
              </w:rPr>
            </w:pPr>
            <w:r>
              <w:rPr>
                <w:rFonts w:ascii="Arial" w:cs="Arial" w:eastAsia="Arial" w:hAnsi="Arial"/>
                <w:sz w:val="18"/>
                <w:szCs w:val="18"/>
                <w:color w:val="auto"/>
              </w:rPr>
              <w:t>21.34</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72"/>
              <w:spacing w:after="0"/>
              <w:rPr>
                <w:sz w:val="20"/>
                <w:szCs w:val="20"/>
                <w:color w:val="auto"/>
              </w:rPr>
            </w:pPr>
            <w:r>
              <w:rPr>
                <w:rFonts w:ascii="Arial" w:cs="Arial" w:eastAsia="Arial" w:hAnsi="Arial"/>
                <w:sz w:val="18"/>
                <w:szCs w:val="18"/>
                <w:color w:val="auto"/>
              </w:rPr>
              <w:t>29.85</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20" w:type="dxa"/>
            <w:vAlign w:val="bottom"/>
            <w:tcBorders>
              <w:right w:val="single" w:sz="8" w:color="808080"/>
            </w:tcBorders>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As part of the adoption of SFAS 142 in 2002, the Company reviewed its goodwill and other intangible assets and classified them in three categories (goodwill, indefinite-lived intangible assets and amortized intangible assets). The Company’s intangible assets with an indefinite life are principally from franchise agreements at its cable division, as the Company expects its cable franchise agreements to provide the Company with substantial benefit for a period that extends beyond the foreseeable horizon, and the Company’s cable division historically has obtained renewals and extensions of such agreements for nominal costs and</w:t>
      </w:r>
    </w:p>
    <w:p>
      <w:pPr>
        <w:sectPr>
          <w:pgSz w:w="11900" w:h="16838" w:orient="portrait"/>
          <w:cols w:equalWidth="0" w:num="1">
            <w:col w:w="11400"/>
          </w:cols>
          <w:pgMar w:left="240" w:top="941" w:right="259" w:bottom="0" w:gutter="0" w:footer="0" w:header="0"/>
        </w:sectPr>
      </w:pPr>
    </w:p>
    <w:bookmarkStart w:id="70" w:name="page71"/>
    <w:bookmarkEnd w:id="70"/>
    <w:p>
      <w:pPr>
        <w:spacing w:after="0" w:line="332" w:lineRule="auto"/>
        <w:rPr>
          <w:sz w:val="20"/>
          <w:szCs w:val="20"/>
          <w:color w:val="auto"/>
        </w:rPr>
      </w:pPr>
      <w:r>
        <w:rPr>
          <w:rFonts w:ascii="Arial" w:cs="Arial" w:eastAsia="Arial" w:hAnsi="Arial"/>
          <w:sz w:val="16"/>
          <w:szCs w:val="16"/>
          <w:color w:val="auto"/>
        </w:rPr>
        <w:t>without any material modifications to the agreements. Amortized intangible assets are primarily non-compete agreements, with amortization periods up to five years. Amortization expense was $1.4 million in 2003, and is estimated to be approximately $2 million in each of the next five years.</w:t>
      </w:r>
    </w:p>
    <w:p>
      <w:pPr>
        <w:spacing w:after="0" w:line="38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The Company’s goodwill and other intangible assets as of December 28, 2003 and December 29, 2002 were as follows (in thousands):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120" w:type="dxa"/>
            <w:vAlign w:val="bottom"/>
          </w:tcPr>
          <w:p>
            <w:pPr>
              <w:jc w:val="right"/>
              <w:ind w:right="532"/>
              <w:spacing w:after="0"/>
              <w:rPr>
                <w:sz w:val="20"/>
                <w:szCs w:val="20"/>
                <w:color w:val="auto"/>
              </w:rPr>
            </w:pPr>
            <w:r>
              <w:rPr>
                <w:rFonts w:ascii="Arial" w:cs="Arial" w:eastAsia="Arial" w:hAnsi="Arial"/>
                <w:sz w:val="18"/>
                <w:szCs w:val="18"/>
                <w:color w:val="auto"/>
              </w:rPr>
              <w:t>Accumulated</w:t>
            </w: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1680" w:type="dxa"/>
            <w:vAlign w:val="bottom"/>
          </w:tcPr>
          <w:p>
            <w:pPr>
              <w:jc w:val="right"/>
              <w:ind w:right="492"/>
              <w:spacing w:after="0"/>
              <w:rPr>
                <w:sz w:val="20"/>
                <w:szCs w:val="20"/>
                <w:color w:val="auto"/>
              </w:rPr>
            </w:pPr>
            <w:r>
              <w:rPr>
                <w:rFonts w:ascii="Arial" w:cs="Arial" w:eastAsia="Arial" w:hAnsi="Arial"/>
                <w:sz w:val="18"/>
                <w:szCs w:val="18"/>
                <w:color w:val="auto"/>
              </w:rPr>
              <w:t>Gross</w:t>
            </w:r>
          </w:p>
        </w:tc>
        <w:tc>
          <w:tcPr>
            <w:tcW w:w="2120" w:type="dxa"/>
            <w:vAlign w:val="bottom"/>
          </w:tcPr>
          <w:p>
            <w:pPr>
              <w:jc w:val="right"/>
              <w:ind w:right="472"/>
              <w:spacing w:after="0"/>
              <w:rPr>
                <w:sz w:val="20"/>
                <w:szCs w:val="20"/>
                <w:color w:val="auto"/>
              </w:rPr>
            </w:pPr>
            <w:r>
              <w:rPr>
                <w:rFonts w:ascii="Arial" w:cs="Arial" w:eastAsia="Arial" w:hAnsi="Arial"/>
                <w:sz w:val="18"/>
                <w:szCs w:val="18"/>
                <w:color w:val="auto"/>
              </w:rPr>
              <w:t>Amortization</w:t>
            </w:r>
          </w:p>
        </w:tc>
        <w:tc>
          <w:tcPr>
            <w:tcW w:w="640" w:type="dxa"/>
            <w:vAlign w:val="bottom"/>
          </w:tcPr>
          <w:p>
            <w:pPr>
              <w:spacing w:after="0"/>
              <w:rPr>
                <w:sz w:val="19"/>
                <w:szCs w:val="19"/>
                <w:color w:val="auto"/>
              </w:rPr>
            </w:pPr>
          </w:p>
        </w:tc>
        <w:tc>
          <w:tcPr>
            <w:tcW w:w="1080" w:type="dxa"/>
            <w:vAlign w:val="bottom"/>
          </w:tcPr>
          <w:p>
            <w:pPr>
              <w:jc w:val="right"/>
              <w:ind w:right="292"/>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88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1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EEEEEE"/>
          </w:tcPr>
          <w:p>
            <w:pPr>
              <w:jc w:val="right"/>
              <w:ind w:right="5392"/>
              <w:spacing w:after="0"/>
              <w:rPr>
                <w:sz w:val="20"/>
                <w:szCs w:val="20"/>
                <w:color w:val="auto"/>
              </w:rPr>
            </w:pPr>
            <w:r>
              <w:rPr>
                <w:rFonts w:ascii="Arial" w:cs="Arial" w:eastAsia="Arial" w:hAnsi="Arial"/>
                <w:sz w:val="18"/>
                <w:szCs w:val="18"/>
                <w:b w:val="1"/>
                <w:bCs w:val="1"/>
                <w:color w:val="auto"/>
                <w:w w:val="82"/>
              </w:rPr>
              <w:t>2003:</w:t>
            </w:r>
          </w:p>
        </w:tc>
        <w:tc>
          <w:tcPr>
            <w:tcW w:w="1680" w:type="dxa"/>
            <w:vAlign w:val="bottom"/>
            <w:shd w:val="clear" w:color="auto" w:fill="EEEEEE"/>
          </w:tcPr>
          <w:p>
            <w:pPr>
              <w:spacing w:after="0"/>
              <w:rPr>
                <w:sz w:val="18"/>
                <w:szCs w:val="18"/>
                <w:color w:val="auto"/>
              </w:rPr>
            </w:pPr>
          </w:p>
        </w:tc>
        <w:tc>
          <w:tcPr>
            <w:tcW w:w="21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60"/>
              <w:spacing w:after="0"/>
              <w:rPr>
                <w:sz w:val="20"/>
                <w:szCs w:val="20"/>
                <w:color w:val="auto"/>
              </w:rPr>
            </w:pPr>
            <w:r>
              <w:rPr>
                <w:rFonts w:ascii="Arial" w:cs="Arial" w:eastAsia="Arial" w:hAnsi="Arial"/>
                <w:sz w:val="18"/>
                <w:szCs w:val="18"/>
                <w:color w:val="auto"/>
              </w:rPr>
              <w:t>Goodwill</w:t>
            </w:r>
          </w:p>
        </w:tc>
        <w:tc>
          <w:tcPr>
            <w:tcW w:w="1680" w:type="dxa"/>
            <w:vAlign w:val="bottom"/>
          </w:tcPr>
          <w:p>
            <w:pPr>
              <w:jc w:val="right"/>
              <w:ind w:right="492"/>
              <w:spacing w:after="0"/>
              <w:rPr>
                <w:sz w:val="20"/>
                <w:szCs w:val="20"/>
                <w:color w:val="auto"/>
              </w:rPr>
            </w:pPr>
            <w:r>
              <w:rPr>
                <w:rFonts w:ascii="Arial" w:cs="Arial" w:eastAsia="Arial" w:hAnsi="Arial"/>
                <w:sz w:val="18"/>
                <w:szCs w:val="18"/>
                <w:color w:val="auto"/>
              </w:rPr>
              <w:t>$1,264,096</w:t>
            </w:r>
          </w:p>
        </w:tc>
        <w:tc>
          <w:tcPr>
            <w:tcW w:w="2120" w:type="dxa"/>
            <w:vAlign w:val="bottom"/>
          </w:tcPr>
          <w:p>
            <w:pPr>
              <w:jc w:val="right"/>
              <w:ind w:right="532"/>
              <w:spacing w:after="0"/>
              <w:rPr>
                <w:sz w:val="20"/>
                <w:szCs w:val="20"/>
                <w:color w:val="auto"/>
              </w:rPr>
            </w:pPr>
            <w:r>
              <w:rPr>
                <w:rFonts w:ascii="Arial" w:cs="Arial" w:eastAsia="Arial" w:hAnsi="Arial"/>
                <w:sz w:val="18"/>
                <w:szCs w:val="18"/>
                <w:color w:val="auto"/>
              </w:rPr>
              <w:t>$298,402</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92"/>
              <w:spacing w:after="0"/>
              <w:rPr>
                <w:sz w:val="20"/>
                <w:szCs w:val="20"/>
                <w:color w:val="auto"/>
              </w:rPr>
            </w:pPr>
            <w:r>
              <w:rPr>
                <w:rFonts w:ascii="Arial" w:cs="Arial" w:eastAsia="Arial" w:hAnsi="Arial"/>
                <w:sz w:val="18"/>
                <w:szCs w:val="18"/>
                <w:color w:val="auto"/>
              </w:rPr>
              <w:t>965,694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Indefinite-lived intangible assets</w:t>
            </w:r>
          </w:p>
        </w:tc>
        <w:tc>
          <w:tcPr>
            <w:tcW w:w="1680" w:type="dxa"/>
            <w:vAlign w:val="bottom"/>
            <w:shd w:val="clear" w:color="auto" w:fill="EEEEEE"/>
          </w:tcPr>
          <w:p>
            <w:pPr>
              <w:jc w:val="right"/>
              <w:ind w:right="492"/>
              <w:spacing w:after="0"/>
              <w:rPr>
                <w:sz w:val="20"/>
                <w:szCs w:val="20"/>
                <w:color w:val="auto"/>
              </w:rPr>
            </w:pPr>
            <w:r>
              <w:rPr>
                <w:rFonts w:ascii="Arial" w:cs="Arial" w:eastAsia="Arial" w:hAnsi="Arial"/>
                <w:sz w:val="18"/>
                <w:szCs w:val="18"/>
                <w:color w:val="auto"/>
              </w:rPr>
              <w:t>650,462</w:t>
            </w:r>
          </w:p>
        </w:tc>
        <w:tc>
          <w:tcPr>
            <w:tcW w:w="2120" w:type="dxa"/>
            <w:vAlign w:val="bottom"/>
            <w:shd w:val="clear" w:color="auto" w:fill="EEEEEE"/>
          </w:tcPr>
          <w:p>
            <w:pPr>
              <w:jc w:val="right"/>
              <w:ind w:right="532"/>
              <w:spacing w:after="0"/>
              <w:rPr>
                <w:sz w:val="20"/>
                <w:szCs w:val="20"/>
                <w:color w:val="auto"/>
              </w:rPr>
            </w:pPr>
            <w:r>
              <w:rPr>
                <w:rFonts w:ascii="Arial" w:cs="Arial" w:eastAsia="Arial" w:hAnsi="Arial"/>
                <w:sz w:val="18"/>
                <w:szCs w:val="18"/>
                <w:color w:val="auto"/>
              </w:rPr>
              <w:t>163,806</w:t>
            </w:r>
          </w:p>
        </w:tc>
        <w:tc>
          <w:tcPr>
            <w:tcW w:w="64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486,656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ind w:left="260"/>
              <w:spacing w:after="0"/>
              <w:rPr>
                <w:sz w:val="20"/>
                <w:szCs w:val="20"/>
                <w:color w:val="auto"/>
              </w:rPr>
            </w:pPr>
            <w:r>
              <w:rPr>
                <w:rFonts w:ascii="Arial" w:cs="Arial" w:eastAsia="Arial" w:hAnsi="Arial"/>
                <w:sz w:val="18"/>
                <w:szCs w:val="18"/>
                <w:color w:val="auto"/>
              </w:rPr>
              <w:t>Amortized intangible assets</w:t>
            </w:r>
          </w:p>
        </w:tc>
        <w:tc>
          <w:tcPr>
            <w:tcW w:w="1680" w:type="dxa"/>
            <w:vAlign w:val="bottom"/>
          </w:tcPr>
          <w:p>
            <w:pPr>
              <w:jc w:val="right"/>
              <w:ind w:right="492"/>
              <w:spacing w:after="0"/>
              <w:rPr>
                <w:sz w:val="20"/>
                <w:szCs w:val="20"/>
                <w:color w:val="auto"/>
              </w:rPr>
            </w:pPr>
            <w:r>
              <w:rPr>
                <w:rFonts w:ascii="Arial" w:cs="Arial" w:eastAsia="Arial" w:hAnsi="Arial"/>
                <w:sz w:val="18"/>
                <w:szCs w:val="18"/>
                <w:color w:val="auto"/>
              </w:rPr>
              <w:t>8,034</w:t>
            </w:r>
          </w:p>
        </w:tc>
        <w:tc>
          <w:tcPr>
            <w:tcW w:w="2120" w:type="dxa"/>
            <w:vAlign w:val="bottom"/>
          </w:tcPr>
          <w:p>
            <w:pPr>
              <w:jc w:val="right"/>
              <w:ind w:right="532"/>
              <w:spacing w:after="0"/>
              <w:rPr>
                <w:sz w:val="20"/>
                <w:szCs w:val="20"/>
                <w:color w:val="auto"/>
              </w:rPr>
            </w:pPr>
            <w:r>
              <w:rPr>
                <w:rFonts w:ascii="Arial" w:cs="Arial" w:eastAsia="Arial" w:hAnsi="Arial"/>
                <w:sz w:val="18"/>
                <w:szCs w:val="18"/>
                <w:color w:val="auto"/>
              </w:rPr>
              <w:t>2,808</w:t>
            </w:r>
          </w:p>
        </w:tc>
        <w:tc>
          <w:tcPr>
            <w:tcW w:w="640" w:type="dxa"/>
            <w:vAlign w:val="bottom"/>
          </w:tcPr>
          <w:p>
            <w:pPr>
              <w:spacing w:after="0"/>
              <w:rPr>
                <w:sz w:val="19"/>
                <w:szCs w:val="19"/>
                <w:color w:val="auto"/>
              </w:rPr>
            </w:pPr>
          </w:p>
        </w:tc>
        <w:tc>
          <w:tcPr>
            <w:tcW w:w="1080" w:type="dxa"/>
            <w:vAlign w:val="bottom"/>
          </w:tcPr>
          <w:p>
            <w:pPr>
              <w:jc w:val="right"/>
              <w:ind w:right="292"/>
              <w:spacing w:after="0"/>
              <w:rPr>
                <w:sz w:val="20"/>
                <w:szCs w:val="20"/>
                <w:color w:val="auto"/>
              </w:rPr>
            </w:pPr>
            <w:r>
              <w:rPr>
                <w:rFonts w:ascii="Arial" w:cs="Arial" w:eastAsia="Arial" w:hAnsi="Arial"/>
                <w:sz w:val="18"/>
                <w:szCs w:val="18"/>
                <w:color w:val="auto"/>
              </w:rPr>
              <w:t>5,226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21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EEEEEE"/>
          </w:tcPr>
          <w:p>
            <w:pPr>
              <w:spacing w:after="0"/>
              <w:rPr>
                <w:sz w:val="18"/>
                <w:szCs w:val="18"/>
                <w:color w:val="auto"/>
              </w:rPr>
            </w:pPr>
          </w:p>
        </w:tc>
        <w:tc>
          <w:tcPr>
            <w:tcW w:w="1680" w:type="dxa"/>
            <w:vAlign w:val="bottom"/>
            <w:shd w:val="clear" w:color="auto" w:fill="EEEEEE"/>
          </w:tcPr>
          <w:p>
            <w:pPr>
              <w:jc w:val="right"/>
              <w:ind w:right="492"/>
              <w:spacing w:after="0"/>
              <w:rPr>
                <w:sz w:val="20"/>
                <w:szCs w:val="20"/>
                <w:color w:val="auto"/>
              </w:rPr>
            </w:pPr>
            <w:r>
              <w:rPr>
                <w:rFonts w:ascii="Arial" w:cs="Arial" w:eastAsia="Arial" w:hAnsi="Arial"/>
                <w:sz w:val="18"/>
                <w:szCs w:val="18"/>
                <w:color w:val="auto"/>
              </w:rPr>
              <w:t>$1,922,592</w:t>
            </w:r>
          </w:p>
        </w:tc>
        <w:tc>
          <w:tcPr>
            <w:tcW w:w="2120" w:type="dxa"/>
            <w:vAlign w:val="bottom"/>
            <w:shd w:val="clear" w:color="auto" w:fill="EEEEEE"/>
          </w:tcPr>
          <w:p>
            <w:pPr>
              <w:jc w:val="right"/>
              <w:ind w:right="532"/>
              <w:spacing w:after="0"/>
              <w:rPr>
                <w:sz w:val="20"/>
                <w:szCs w:val="20"/>
                <w:color w:val="auto"/>
              </w:rPr>
            </w:pPr>
            <w:r>
              <w:rPr>
                <w:rFonts w:ascii="Arial" w:cs="Arial" w:eastAsia="Arial" w:hAnsi="Arial"/>
                <w:sz w:val="18"/>
                <w:szCs w:val="18"/>
                <w:color w:val="auto"/>
              </w:rPr>
              <w:t>$465,016</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w w:val="84"/>
              </w:rPr>
              <w:t>1,457,576</w:t>
            </w:r>
          </w:p>
        </w:tc>
        <w:tc>
          <w:tcPr>
            <w:tcW w:w="0" w:type="dxa"/>
            <w:vAlign w:val="bottom"/>
          </w:tcPr>
          <w:p>
            <w:pPr>
              <w:spacing w:after="0"/>
              <w:rPr>
                <w:sz w:val="1"/>
                <w:szCs w:val="1"/>
                <w:color w:val="auto"/>
              </w:rPr>
            </w:pPr>
          </w:p>
        </w:tc>
      </w:tr>
      <w:tr>
        <w:trPr>
          <w:trHeight w:val="105"/>
        </w:trPr>
        <w:tc>
          <w:tcPr>
            <w:tcW w:w="5900" w:type="dxa"/>
            <w:vAlign w:val="bottom"/>
            <w:gridSpan w:val="2"/>
            <w:vMerge w:val="restart"/>
          </w:tcPr>
          <w:p>
            <w:pPr>
              <w:jc w:val="right"/>
              <w:ind w:right="5392"/>
              <w:spacing w:after="0"/>
              <w:rPr>
                <w:sz w:val="20"/>
                <w:szCs w:val="20"/>
                <w:color w:val="auto"/>
              </w:rPr>
            </w:pPr>
            <w:r>
              <w:rPr>
                <w:rFonts w:ascii="Arial" w:cs="Arial" w:eastAsia="Arial" w:hAnsi="Arial"/>
                <w:sz w:val="18"/>
                <w:szCs w:val="18"/>
                <w:b w:val="1"/>
                <w:bCs w:val="1"/>
                <w:color w:val="auto"/>
                <w:w w:val="86"/>
              </w:rPr>
              <w:t>2002:</w:t>
            </w:r>
          </w:p>
        </w:tc>
        <w:tc>
          <w:tcPr>
            <w:tcW w:w="16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900" w:type="dxa"/>
            <w:vAlign w:val="bottom"/>
            <w:gridSpan w:val="2"/>
            <w:vMerge w:val="continue"/>
          </w:tcPr>
          <w:p>
            <w:pPr>
              <w:spacing w:after="0"/>
              <w:rPr>
                <w:sz w:val="5"/>
                <w:szCs w:val="5"/>
                <w:color w:val="auto"/>
              </w:rPr>
            </w:pPr>
          </w:p>
        </w:tc>
        <w:tc>
          <w:tcPr>
            <w:tcW w:w="1680" w:type="dxa"/>
            <w:vAlign w:val="bottom"/>
            <w:shd w:val="clear" w:color="auto" w:fill="808080"/>
          </w:tcPr>
          <w:p>
            <w:pPr>
              <w:spacing w:after="0"/>
              <w:rPr>
                <w:sz w:val="5"/>
                <w:szCs w:val="5"/>
                <w:color w:val="auto"/>
              </w:rPr>
            </w:pPr>
          </w:p>
        </w:tc>
        <w:tc>
          <w:tcPr>
            <w:tcW w:w="212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900" w:type="dxa"/>
            <w:vAlign w:val="bottom"/>
            <w:gridSpan w:val="2"/>
            <w:vMerge w:val="continue"/>
          </w:tcPr>
          <w:p>
            <w:pPr>
              <w:spacing w:after="0"/>
              <w:rPr>
                <w:sz w:val="24"/>
                <w:szCs w:val="24"/>
                <w:color w:val="auto"/>
              </w:rPr>
            </w:pPr>
          </w:p>
        </w:tc>
        <w:tc>
          <w:tcPr>
            <w:tcW w:w="16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Goodwill</w:t>
            </w:r>
          </w:p>
        </w:tc>
        <w:tc>
          <w:tcPr>
            <w:tcW w:w="1680" w:type="dxa"/>
            <w:vAlign w:val="bottom"/>
            <w:shd w:val="clear" w:color="auto" w:fill="EEEEEE"/>
          </w:tcPr>
          <w:p>
            <w:pPr>
              <w:jc w:val="right"/>
              <w:ind w:right="492"/>
              <w:spacing w:after="0"/>
              <w:rPr>
                <w:sz w:val="20"/>
                <w:szCs w:val="20"/>
                <w:color w:val="auto"/>
              </w:rPr>
            </w:pPr>
            <w:r>
              <w:rPr>
                <w:rFonts w:ascii="Arial" w:cs="Arial" w:eastAsia="Arial" w:hAnsi="Arial"/>
                <w:sz w:val="18"/>
                <w:szCs w:val="18"/>
                <w:color w:val="auto"/>
              </w:rPr>
              <w:t>$1,069,263</w:t>
            </w:r>
          </w:p>
        </w:tc>
        <w:tc>
          <w:tcPr>
            <w:tcW w:w="2120" w:type="dxa"/>
            <w:vAlign w:val="bottom"/>
            <w:shd w:val="clear" w:color="auto" w:fill="EEEEEE"/>
          </w:tcPr>
          <w:p>
            <w:pPr>
              <w:jc w:val="right"/>
              <w:ind w:right="532"/>
              <w:spacing w:after="0"/>
              <w:rPr>
                <w:sz w:val="20"/>
                <w:szCs w:val="20"/>
                <w:color w:val="auto"/>
              </w:rPr>
            </w:pPr>
            <w:r>
              <w:rPr>
                <w:rFonts w:ascii="Arial" w:cs="Arial" w:eastAsia="Arial" w:hAnsi="Arial"/>
                <w:sz w:val="18"/>
                <w:szCs w:val="18"/>
                <w:color w:val="auto"/>
              </w:rPr>
              <w:t>$298,402</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770,861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60"/>
              <w:spacing w:after="0"/>
              <w:rPr>
                <w:sz w:val="20"/>
                <w:szCs w:val="20"/>
                <w:color w:val="auto"/>
              </w:rPr>
            </w:pPr>
            <w:r>
              <w:rPr>
                <w:rFonts w:ascii="Arial" w:cs="Arial" w:eastAsia="Arial" w:hAnsi="Arial"/>
                <w:sz w:val="18"/>
                <w:szCs w:val="18"/>
                <w:color w:val="auto"/>
              </w:rPr>
              <w:t>Indefinite-lived intangible assets</w:t>
            </w:r>
          </w:p>
        </w:tc>
        <w:tc>
          <w:tcPr>
            <w:tcW w:w="1680" w:type="dxa"/>
            <w:vAlign w:val="bottom"/>
          </w:tcPr>
          <w:p>
            <w:pPr>
              <w:jc w:val="right"/>
              <w:ind w:right="492"/>
              <w:spacing w:after="0"/>
              <w:rPr>
                <w:sz w:val="20"/>
                <w:szCs w:val="20"/>
                <w:color w:val="auto"/>
              </w:rPr>
            </w:pPr>
            <w:r>
              <w:rPr>
                <w:rFonts w:ascii="Arial" w:cs="Arial" w:eastAsia="Arial" w:hAnsi="Arial"/>
                <w:sz w:val="18"/>
                <w:szCs w:val="18"/>
                <w:color w:val="auto"/>
              </w:rPr>
              <w:t>646,225</w:t>
            </w:r>
          </w:p>
        </w:tc>
        <w:tc>
          <w:tcPr>
            <w:tcW w:w="2120" w:type="dxa"/>
            <w:vAlign w:val="bottom"/>
          </w:tcPr>
          <w:p>
            <w:pPr>
              <w:jc w:val="right"/>
              <w:ind w:right="532"/>
              <w:spacing w:after="0"/>
              <w:rPr>
                <w:sz w:val="20"/>
                <w:szCs w:val="20"/>
                <w:color w:val="auto"/>
              </w:rPr>
            </w:pPr>
            <w:r>
              <w:rPr>
                <w:rFonts w:ascii="Arial" w:cs="Arial" w:eastAsia="Arial" w:hAnsi="Arial"/>
                <w:sz w:val="18"/>
                <w:szCs w:val="18"/>
                <w:color w:val="auto"/>
              </w:rPr>
              <w:t>163,806</w:t>
            </w:r>
          </w:p>
        </w:tc>
        <w:tc>
          <w:tcPr>
            <w:tcW w:w="640" w:type="dxa"/>
            <w:vAlign w:val="bottom"/>
          </w:tcPr>
          <w:p>
            <w:pPr>
              <w:spacing w:after="0"/>
              <w:rPr>
                <w:sz w:val="18"/>
                <w:szCs w:val="18"/>
                <w:color w:val="auto"/>
              </w:rPr>
            </w:pPr>
          </w:p>
        </w:tc>
        <w:tc>
          <w:tcPr>
            <w:tcW w:w="1080" w:type="dxa"/>
            <w:vAlign w:val="bottom"/>
          </w:tcPr>
          <w:p>
            <w:pPr>
              <w:jc w:val="right"/>
              <w:ind w:right="292"/>
              <w:spacing w:after="0"/>
              <w:rPr>
                <w:sz w:val="20"/>
                <w:szCs w:val="20"/>
                <w:color w:val="auto"/>
              </w:rPr>
            </w:pPr>
            <w:r>
              <w:rPr>
                <w:rFonts w:ascii="Arial" w:cs="Arial" w:eastAsia="Arial" w:hAnsi="Arial"/>
                <w:sz w:val="18"/>
                <w:szCs w:val="18"/>
                <w:color w:val="auto"/>
              </w:rPr>
              <w:t>482,419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Amortized intangible assets</w:t>
            </w:r>
          </w:p>
        </w:tc>
        <w:tc>
          <w:tcPr>
            <w:tcW w:w="1680" w:type="dxa"/>
            <w:vAlign w:val="bottom"/>
            <w:shd w:val="clear" w:color="auto" w:fill="EEEEEE"/>
          </w:tcPr>
          <w:p>
            <w:pPr>
              <w:jc w:val="right"/>
              <w:ind w:right="492"/>
              <w:spacing w:after="0"/>
              <w:rPr>
                <w:sz w:val="20"/>
                <w:szCs w:val="20"/>
                <w:color w:val="auto"/>
              </w:rPr>
            </w:pPr>
            <w:r>
              <w:rPr>
                <w:rFonts w:ascii="Arial" w:cs="Arial" w:eastAsia="Arial" w:hAnsi="Arial"/>
                <w:sz w:val="18"/>
                <w:szCs w:val="18"/>
                <w:color w:val="auto"/>
              </w:rPr>
              <w:t>3,525</w:t>
            </w:r>
          </w:p>
        </w:tc>
        <w:tc>
          <w:tcPr>
            <w:tcW w:w="2120" w:type="dxa"/>
            <w:vAlign w:val="bottom"/>
            <w:shd w:val="clear" w:color="auto" w:fill="EEEEEE"/>
          </w:tcPr>
          <w:p>
            <w:pPr>
              <w:jc w:val="right"/>
              <w:ind w:right="532"/>
              <w:spacing w:after="0"/>
              <w:rPr>
                <w:sz w:val="20"/>
                <w:szCs w:val="20"/>
                <w:color w:val="auto"/>
              </w:rPr>
            </w:pPr>
            <w:r>
              <w:rPr>
                <w:rFonts w:ascii="Arial" w:cs="Arial" w:eastAsia="Arial" w:hAnsi="Arial"/>
                <w:sz w:val="18"/>
                <w:szCs w:val="18"/>
                <w:color w:val="auto"/>
              </w:rPr>
              <w:t>1,372</w:t>
            </w:r>
          </w:p>
        </w:tc>
        <w:tc>
          <w:tcPr>
            <w:tcW w:w="64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2,153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1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680" w:type="dxa"/>
            <w:vAlign w:val="bottom"/>
          </w:tcPr>
          <w:p>
            <w:pPr>
              <w:jc w:val="right"/>
              <w:ind w:right="492"/>
              <w:spacing w:after="0"/>
              <w:rPr>
                <w:sz w:val="20"/>
                <w:szCs w:val="20"/>
                <w:color w:val="auto"/>
              </w:rPr>
            </w:pPr>
            <w:r>
              <w:rPr>
                <w:rFonts w:ascii="Arial" w:cs="Arial" w:eastAsia="Arial" w:hAnsi="Arial"/>
                <w:sz w:val="18"/>
                <w:szCs w:val="18"/>
                <w:color w:val="auto"/>
              </w:rPr>
              <w:t>$1,719,013</w:t>
            </w:r>
          </w:p>
        </w:tc>
        <w:tc>
          <w:tcPr>
            <w:tcW w:w="2120" w:type="dxa"/>
            <w:vAlign w:val="bottom"/>
          </w:tcPr>
          <w:p>
            <w:pPr>
              <w:jc w:val="right"/>
              <w:ind w:right="532"/>
              <w:spacing w:after="0"/>
              <w:rPr>
                <w:sz w:val="20"/>
                <w:szCs w:val="20"/>
                <w:color w:val="auto"/>
              </w:rPr>
            </w:pPr>
            <w:r>
              <w:rPr>
                <w:rFonts w:ascii="Arial" w:cs="Arial" w:eastAsia="Arial" w:hAnsi="Arial"/>
                <w:sz w:val="18"/>
                <w:szCs w:val="18"/>
                <w:color w:val="auto"/>
              </w:rPr>
              <w:t>$463,580</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92"/>
              <w:spacing w:after="0"/>
              <w:rPr>
                <w:sz w:val="20"/>
                <w:szCs w:val="20"/>
                <w:color w:val="auto"/>
              </w:rPr>
            </w:pPr>
            <w:r>
              <w:rPr>
                <w:rFonts w:ascii="Arial" w:cs="Arial" w:eastAsia="Arial" w:hAnsi="Arial"/>
                <w:sz w:val="18"/>
                <w:szCs w:val="18"/>
                <w:color w:val="auto"/>
                <w:w w:val="84"/>
              </w:rPr>
              <w:t>1,255,433</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880" w:type="dxa"/>
            <w:vAlign w:val="bottom"/>
          </w:tcPr>
          <w:p>
            <w:pPr>
              <w:spacing w:after="0"/>
              <w:rPr>
                <w:sz w:val="5"/>
                <w:szCs w:val="5"/>
                <w:color w:val="auto"/>
              </w:rPr>
            </w:pPr>
          </w:p>
        </w:tc>
        <w:tc>
          <w:tcPr>
            <w:tcW w:w="1680" w:type="dxa"/>
            <w:vAlign w:val="bottom"/>
            <w:shd w:val="clear" w:color="auto" w:fill="808080"/>
          </w:tcPr>
          <w:p>
            <w:pPr>
              <w:spacing w:after="0"/>
              <w:rPr>
                <w:sz w:val="5"/>
                <w:szCs w:val="5"/>
                <w:color w:val="auto"/>
              </w:rPr>
            </w:pPr>
          </w:p>
        </w:tc>
        <w:tc>
          <w:tcPr>
            <w:tcW w:w="212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the Company’s goodwill and intangible assets during 2003 was as follows (in thousands):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20" w:type="dxa"/>
            <w:vAlign w:val="bottom"/>
            <w:gridSpan w:val="2"/>
          </w:tcPr>
          <w:p>
            <w:pPr>
              <w:jc w:val="right"/>
              <w:ind w:right="352"/>
              <w:spacing w:after="0"/>
              <w:rPr>
                <w:sz w:val="20"/>
                <w:szCs w:val="20"/>
                <w:color w:val="auto"/>
              </w:rPr>
            </w:pPr>
            <w:r>
              <w:rPr>
                <w:rFonts w:ascii="Arial" w:cs="Arial" w:eastAsia="Arial" w:hAnsi="Arial"/>
                <w:sz w:val="18"/>
                <w:szCs w:val="18"/>
                <w:color w:val="auto"/>
              </w:rPr>
              <w:t>Newspaper</w:t>
            </w:r>
          </w:p>
        </w:tc>
        <w:tc>
          <w:tcPr>
            <w:tcW w:w="1800" w:type="dxa"/>
            <w:vAlign w:val="bottom"/>
          </w:tcPr>
          <w:p>
            <w:pPr>
              <w:ind w:left="540"/>
              <w:spacing w:after="0"/>
              <w:rPr>
                <w:sz w:val="20"/>
                <w:szCs w:val="20"/>
                <w:color w:val="auto"/>
              </w:rPr>
            </w:pPr>
            <w:r>
              <w:rPr>
                <w:rFonts w:ascii="Arial" w:cs="Arial" w:eastAsia="Arial" w:hAnsi="Arial"/>
                <w:sz w:val="18"/>
                <w:szCs w:val="18"/>
                <w:color w:val="auto"/>
              </w:rPr>
              <w:t>Television</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Magazine</w:t>
            </w:r>
          </w:p>
        </w:tc>
        <w:tc>
          <w:tcPr>
            <w:tcW w:w="540" w:type="dxa"/>
            <w:vAlign w:val="bottom"/>
          </w:tcPr>
          <w:p>
            <w:pPr>
              <w:spacing w:after="0"/>
              <w:rPr>
                <w:sz w:val="18"/>
                <w:szCs w:val="18"/>
                <w:color w:val="auto"/>
              </w:rPr>
            </w:pPr>
          </w:p>
        </w:tc>
        <w:tc>
          <w:tcPr>
            <w:tcW w:w="1000" w:type="dxa"/>
            <w:vAlign w:val="bottom"/>
          </w:tcPr>
          <w:p>
            <w:pPr>
              <w:jc w:val="right"/>
              <w:ind w:right="472"/>
              <w:spacing w:after="0"/>
              <w:rPr>
                <w:sz w:val="20"/>
                <w:szCs w:val="20"/>
                <w:color w:val="auto"/>
              </w:rPr>
            </w:pPr>
            <w:r>
              <w:rPr>
                <w:rFonts w:ascii="Arial" w:cs="Arial" w:eastAsia="Arial" w:hAnsi="Arial"/>
                <w:sz w:val="18"/>
                <w:szCs w:val="18"/>
                <w:color w:val="auto"/>
                <w:w w:val="89"/>
              </w:rPr>
              <w:t>Cable</w:t>
            </w: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520" w:type="dxa"/>
            <w:vAlign w:val="bottom"/>
            <w:gridSpan w:val="2"/>
          </w:tcPr>
          <w:p>
            <w:pPr>
              <w:jc w:val="right"/>
              <w:ind w:right="372"/>
              <w:spacing w:after="0"/>
              <w:rPr>
                <w:sz w:val="20"/>
                <w:szCs w:val="20"/>
                <w:color w:val="auto"/>
              </w:rPr>
            </w:pPr>
            <w:r>
              <w:rPr>
                <w:rFonts w:ascii="Arial" w:cs="Arial" w:eastAsia="Arial" w:hAnsi="Arial"/>
                <w:sz w:val="18"/>
                <w:szCs w:val="18"/>
                <w:color w:val="auto"/>
              </w:rPr>
              <w:t>Publishing</w:t>
            </w:r>
          </w:p>
        </w:tc>
        <w:tc>
          <w:tcPr>
            <w:tcW w:w="1800" w:type="dxa"/>
            <w:vAlign w:val="bottom"/>
          </w:tcPr>
          <w:p>
            <w:pPr>
              <w:ind w:left="440"/>
              <w:spacing w:after="0"/>
              <w:rPr>
                <w:sz w:val="20"/>
                <w:szCs w:val="20"/>
                <w:color w:val="auto"/>
              </w:rPr>
            </w:pPr>
            <w:r>
              <w:rPr>
                <w:rFonts w:ascii="Arial" w:cs="Arial" w:eastAsia="Arial" w:hAnsi="Arial"/>
                <w:sz w:val="18"/>
                <w:szCs w:val="18"/>
                <w:color w:val="auto"/>
              </w:rPr>
              <w:t>Broadcasting</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Publishing</w:t>
            </w:r>
          </w:p>
        </w:tc>
        <w:tc>
          <w:tcPr>
            <w:tcW w:w="1540" w:type="dxa"/>
            <w:vAlign w:val="bottom"/>
            <w:gridSpan w:val="2"/>
          </w:tcPr>
          <w:p>
            <w:pPr>
              <w:jc w:val="right"/>
              <w:ind w:right="312"/>
              <w:spacing w:after="0"/>
              <w:rPr>
                <w:sz w:val="20"/>
                <w:szCs w:val="20"/>
                <w:color w:val="auto"/>
              </w:rPr>
            </w:pPr>
            <w:r>
              <w:rPr>
                <w:rFonts w:ascii="Arial" w:cs="Arial" w:eastAsia="Arial" w:hAnsi="Arial"/>
                <w:sz w:val="18"/>
                <w:szCs w:val="18"/>
                <w:color w:val="auto"/>
              </w:rPr>
              <w:t>Television</w:t>
            </w:r>
          </w:p>
        </w:tc>
        <w:tc>
          <w:tcPr>
            <w:tcW w:w="1460" w:type="dxa"/>
            <w:vAlign w:val="bottom"/>
            <w:gridSpan w:val="2"/>
          </w:tcPr>
          <w:p>
            <w:pPr>
              <w:ind w:left="400"/>
              <w:spacing w:after="0"/>
              <w:rPr>
                <w:sz w:val="20"/>
                <w:szCs w:val="20"/>
                <w:color w:val="auto"/>
              </w:rPr>
            </w:pPr>
            <w:r>
              <w:rPr>
                <w:rFonts w:ascii="Arial" w:cs="Arial" w:eastAsia="Arial" w:hAnsi="Arial"/>
                <w:sz w:val="18"/>
                <w:szCs w:val="18"/>
                <w:color w:val="auto"/>
              </w:rPr>
              <w:t>Education</w:t>
            </w:r>
          </w:p>
        </w:tc>
        <w:tc>
          <w:tcPr>
            <w:tcW w:w="420" w:type="dxa"/>
            <w:vAlign w:val="bottom"/>
          </w:tcPr>
          <w:p>
            <w:pPr>
              <w:spacing w:after="0"/>
              <w:rPr>
                <w:sz w:val="19"/>
                <w:szCs w:val="19"/>
                <w:color w:val="auto"/>
              </w:rPr>
            </w:pPr>
          </w:p>
        </w:tc>
        <w:tc>
          <w:tcPr>
            <w:tcW w:w="740" w:type="dxa"/>
            <w:vAlign w:val="bottom"/>
          </w:tcPr>
          <w:p>
            <w:pPr>
              <w:jc w:val="right"/>
              <w:ind w:right="232"/>
              <w:spacing w:after="0"/>
              <w:rPr>
                <w:sz w:val="20"/>
                <w:szCs w:val="20"/>
                <w:color w:val="auto"/>
              </w:rPr>
            </w:pPr>
            <w:r>
              <w:rPr>
                <w:rFonts w:ascii="Arial" w:cs="Arial" w:eastAsia="Arial" w:hAnsi="Arial"/>
                <w:sz w:val="18"/>
                <w:szCs w:val="18"/>
                <w:color w:val="auto"/>
                <w:w w:val="99"/>
              </w:rPr>
              <w:t>Total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3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Goodwill, Net</w:t>
            </w:r>
          </w:p>
        </w:tc>
        <w:tc>
          <w:tcPr>
            <w:tcW w:w="5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200"/>
              <w:spacing w:after="0"/>
              <w:rPr>
                <w:sz w:val="20"/>
                <w:szCs w:val="20"/>
                <w:color w:val="auto"/>
              </w:rPr>
            </w:pPr>
            <w:r>
              <w:rPr>
                <w:rFonts w:ascii="Arial" w:cs="Arial" w:eastAsia="Arial" w:hAnsi="Arial"/>
                <w:sz w:val="18"/>
                <w:szCs w:val="18"/>
                <w:color w:val="auto"/>
              </w:rPr>
              <w:t>Beginning of year</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432"/>
              <w:spacing w:after="0"/>
              <w:rPr>
                <w:sz w:val="20"/>
                <w:szCs w:val="20"/>
                <w:color w:val="auto"/>
              </w:rPr>
            </w:pPr>
            <w:r>
              <w:rPr>
                <w:rFonts w:ascii="Arial" w:cs="Arial" w:eastAsia="Arial" w:hAnsi="Arial"/>
                <w:sz w:val="18"/>
                <w:szCs w:val="18"/>
                <w:color w:val="auto"/>
                <w:w w:val="87"/>
              </w:rPr>
              <w:t>72,738</w:t>
            </w:r>
          </w:p>
        </w:tc>
        <w:tc>
          <w:tcPr>
            <w:tcW w:w="1800" w:type="dxa"/>
            <w:vAlign w:val="bottom"/>
          </w:tcPr>
          <w:p>
            <w:pPr>
              <w:ind w:left="520"/>
              <w:spacing w:after="0"/>
              <w:rPr>
                <w:sz w:val="20"/>
                <w:szCs w:val="20"/>
                <w:color w:val="auto"/>
              </w:rPr>
            </w:pPr>
            <w:r>
              <w:rPr>
                <w:rFonts w:ascii="Arial" w:cs="Arial" w:eastAsia="Arial" w:hAnsi="Arial"/>
                <w:sz w:val="18"/>
                <w:szCs w:val="18"/>
                <w:color w:val="auto"/>
              </w:rPr>
              <w:t>$203,165</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$69,556</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52"/>
              <w:spacing w:after="0"/>
              <w:rPr>
                <w:sz w:val="20"/>
                <w:szCs w:val="20"/>
                <w:color w:val="auto"/>
              </w:rPr>
            </w:pPr>
            <w:r>
              <w:rPr>
                <w:rFonts w:ascii="Arial" w:cs="Arial" w:eastAsia="Arial" w:hAnsi="Arial"/>
                <w:sz w:val="18"/>
                <w:szCs w:val="18"/>
                <w:color w:val="auto"/>
                <w:w w:val="98"/>
              </w:rPr>
              <w:t>85,666</w:t>
            </w:r>
          </w:p>
        </w:tc>
        <w:tc>
          <w:tcPr>
            <w:tcW w:w="500" w:type="dxa"/>
            <w:vAlign w:val="bottom"/>
          </w:tcPr>
          <w:p>
            <w:pPr>
              <w:ind w:left="420"/>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292"/>
              <w:spacing w:after="0"/>
              <w:rPr>
                <w:sz w:val="20"/>
                <w:szCs w:val="20"/>
                <w:color w:val="auto"/>
              </w:rPr>
            </w:pPr>
            <w:r>
              <w:rPr>
                <w:rFonts w:ascii="Arial" w:cs="Arial" w:eastAsia="Arial" w:hAnsi="Arial"/>
                <w:sz w:val="18"/>
                <w:szCs w:val="18"/>
                <w:color w:val="auto"/>
                <w:w w:val="86"/>
              </w:rPr>
              <w:t>339,736</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2"/>
              <w:spacing w:after="0"/>
              <w:rPr>
                <w:sz w:val="20"/>
                <w:szCs w:val="20"/>
                <w:color w:val="auto"/>
              </w:rPr>
            </w:pPr>
            <w:r>
              <w:rPr>
                <w:rFonts w:ascii="Arial" w:cs="Arial" w:eastAsia="Arial" w:hAnsi="Arial"/>
                <w:sz w:val="18"/>
                <w:szCs w:val="18"/>
                <w:color w:val="auto"/>
                <w:w w:val="86"/>
              </w:rPr>
              <w:t>770,861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Acquisitions</w:t>
            </w:r>
          </w:p>
        </w:tc>
        <w:tc>
          <w:tcPr>
            <w:tcW w:w="5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w w:val="86"/>
              </w:rPr>
              <w:t>184,075</w:t>
            </w:r>
          </w:p>
        </w:tc>
        <w:tc>
          <w:tcPr>
            <w:tcW w:w="420" w:type="dxa"/>
            <w:vAlign w:val="bottom"/>
            <w:shd w:val="clear" w:color="auto" w:fill="EEEEEE"/>
          </w:tcPr>
          <w:p>
            <w:pPr>
              <w:spacing w:after="0"/>
              <w:rPr>
                <w:sz w:val="18"/>
                <w:szCs w:val="18"/>
                <w:color w:val="auto"/>
              </w:rPr>
            </w:pPr>
          </w:p>
        </w:tc>
        <w:tc>
          <w:tcPr>
            <w:tcW w:w="740" w:type="dxa"/>
            <w:vAlign w:val="bottom"/>
            <w:shd w:val="clear" w:color="auto" w:fill="EEEEEE"/>
          </w:tcPr>
          <w:p>
            <w:pPr>
              <w:jc w:val="right"/>
              <w:ind w:right="72"/>
              <w:spacing w:after="0"/>
              <w:rPr>
                <w:sz w:val="20"/>
                <w:szCs w:val="20"/>
                <w:color w:val="auto"/>
              </w:rPr>
            </w:pPr>
            <w:r>
              <w:rPr>
                <w:rFonts w:ascii="Arial" w:cs="Arial" w:eastAsia="Arial" w:hAnsi="Arial"/>
                <w:sz w:val="18"/>
                <w:szCs w:val="18"/>
                <w:color w:val="auto"/>
                <w:w w:val="86"/>
              </w:rPr>
              <w:t>184,075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200"/>
              <w:spacing w:after="0"/>
              <w:rPr>
                <w:sz w:val="20"/>
                <w:szCs w:val="20"/>
                <w:color w:val="auto"/>
              </w:rPr>
            </w:pPr>
            <w:r>
              <w:rPr>
                <w:rFonts w:ascii="Arial" w:cs="Arial" w:eastAsia="Arial" w:hAnsi="Arial"/>
                <w:sz w:val="18"/>
                <w:szCs w:val="18"/>
                <w:color w:val="auto"/>
              </w:rPr>
              <w:t>Disposition</w:t>
            </w:r>
          </w:p>
        </w:tc>
        <w:tc>
          <w:tcPr>
            <w:tcW w:w="500" w:type="dxa"/>
            <w:vAlign w:val="bottom"/>
          </w:tcPr>
          <w:p>
            <w:pPr>
              <w:spacing w:after="0"/>
              <w:rPr>
                <w:sz w:val="18"/>
                <w:szCs w:val="18"/>
                <w:color w:val="auto"/>
              </w:rPr>
            </w:pPr>
          </w:p>
        </w:tc>
        <w:tc>
          <w:tcPr>
            <w:tcW w:w="1020" w:type="dxa"/>
            <w:vAlign w:val="bottom"/>
          </w:tcPr>
          <w:p>
            <w:pPr>
              <w:jc w:val="right"/>
              <w:ind w:right="392"/>
              <w:spacing w:after="0"/>
              <w:rPr>
                <w:sz w:val="20"/>
                <w:szCs w:val="20"/>
                <w:color w:val="auto"/>
              </w:rPr>
            </w:pPr>
            <w:r>
              <w:rPr>
                <w:rFonts w:ascii="Arial" w:cs="Arial" w:eastAsia="Arial" w:hAnsi="Arial"/>
                <w:sz w:val="18"/>
                <w:szCs w:val="18"/>
                <w:color w:val="auto"/>
                <w:w w:val="91"/>
              </w:rPr>
              <w:t>(1,461)</w:t>
            </w:r>
          </w:p>
        </w:tc>
        <w:tc>
          <w:tcPr>
            <w:tcW w:w="18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3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Foreign currency</w:t>
            </w:r>
          </w:p>
        </w:tc>
        <w:tc>
          <w:tcPr>
            <w:tcW w:w="5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320" w:type="dxa"/>
            <w:vAlign w:val="bottom"/>
            <w:shd w:val="clear" w:color="auto" w:fill="EEEEEE"/>
          </w:tcPr>
          <w:p>
            <w:pPr>
              <w:ind w:left="340"/>
              <w:spacing w:after="0"/>
              <w:rPr>
                <w:sz w:val="20"/>
                <w:szCs w:val="20"/>
                <w:color w:val="auto"/>
              </w:rPr>
            </w:pPr>
            <w:r>
              <w:rPr>
                <w:rFonts w:ascii="Arial" w:cs="Arial" w:eastAsia="Arial" w:hAnsi="Arial"/>
                <w:sz w:val="18"/>
                <w:szCs w:val="18"/>
                <w:color w:val="auto"/>
              </w:rPr>
              <w:t>exchange rate</w:t>
            </w:r>
          </w:p>
        </w:tc>
        <w:tc>
          <w:tcPr>
            <w:tcW w:w="500" w:type="dxa"/>
            <w:vAlign w:val="bottom"/>
            <w:shd w:val="clear" w:color="auto" w:fill="EEEEEE"/>
          </w:tcPr>
          <w:p>
            <w:pPr>
              <w:spacing w:after="0"/>
              <w:rPr>
                <w:sz w:val="19"/>
                <w:szCs w:val="19"/>
                <w:color w:val="auto"/>
              </w:rPr>
            </w:pPr>
          </w:p>
        </w:tc>
        <w:tc>
          <w:tcPr>
            <w:tcW w:w="1020" w:type="dxa"/>
            <w:vAlign w:val="bottom"/>
            <w:shd w:val="clear" w:color="auto" w:fill="EEEEEE"/>
          </w:tcPr>
          <w:p>
            <w:pPr>
              <w:spacing w:after="0"/>
              <w:rPr>
                <w:sz w:val="19"/>
                <w:szCs w:val="19"/>
                <w:color w:val="auto"/>
              </w:rPr>
            </w:pPr>
          </w:p>
        </w:tc>
        <w:tc>
          <w:tcPr>
            <w:tcW w:w="1800" w:type="dxa"/>
            <w:vAlign w:val="bottom"/>
            <w:shd w:val="clear" w:color="auto" w:fill="EEEEEE"/>
          </w:tcPr>
          <w:p>
            <w:pPr>
              <w:spacing w:after="0"/>
              <w:rPr>
                <w:sz w:val="19"/>
                <w:szCs w:val="19"/>
                <w:color w:val="auto"/>
              </w:rPr>
            </w:pPr>
          </w:p>
        </w:tc>
        <w:tc>
          <w:tcPr>
            <w:tcW w:w="160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1000" w:type="dxa"/>
            <w:vAlign w:val="bottom"/>
            <w:shd w:val="clear" w:color="auto" w:fill="EEEEEE"/>
          </w:tcPr>
          <w:p>
            <w:pPr>
              <w:spacing w:after="0"/>
              <w:rPr>
                <w:sz w:val="19"/>
                <w:szCs w:val="19"/>
                <w:color w:val="auto"/>
              </w:rPr>
            </w:pPr>
          </w:p>
        </w:tc>
        <w:tc>
          <w:tcPr>
            <w:tcW w:w="500" w:type="dxa"/>
            <w:vAlign w:val="bottom"/>
            <w:shd w:val="clear" w:color="auto" w:fill="EEEEEE"/>
          </w:tcPr>
          <w:p>
            <w:pPr>
              <w:spacing w:after="0"/>
              <w:rPr>
                <w:sz w:val="19"/>
                <w:szCs w:val="19"/>
                <w:color w:val="auto"/>
              </w:rPr>
            </w:pPr>
          </w:p>
        </w:tc>
        <w:tc>
          <w:tcPr>
            <w:tcW w:w="96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12,219</w:t>
            </w:r>
          </w:p>
        </w:tc>
        <w:tc>
          <w:tcPr>
            <w:tcW w:w="420" w:type="dxa"/>
            <w:vAlign w:val="bottom"/>
            <w:shd w:val="clear" w:color="auto" w:fill="EEEEEE"/>
          </w:tcPr>
          <w:p>
            <w:pPr>
              <w:spacing w:after="0"/>
              <w:rPr>
                <w:sz w:val="19"/>
                <w:szCs w:val="19"/>
                <w:color w:val="auto"/>
              </w:rPr>
            </w:pPr>
          </w:p>
        </w:tc>
        <w:tc>
          <w:tcPr>
            <w:tcW w:w="740" w:type="dxa"/>
            <w:vAlign w:val="bottom"/>
            <w:shd w:val="clear" w:color="auto" w:fill="EEEEEE"/>
          </w:tcPr>
          <w:p>
            <w:pPr>
              <w:jc w:val="right"/>
              <w:ind w:right="72"/>
              <w:spacing w:after="0"/>
              <w:rPr>
                <w:sz w:val="20"/>
                <w:szCs w:val="20"/>
                <w:color w:val="auto"/>
              </w:rPr>
            </w:pPr>
            <w:r>
              <w:rPr>
                <w:rFonts w:ascii="Arial" w:cs="Arial" w:eastAsia="Arial" w:hAnsi="Arial"/>
                <w:sz w:val="18"/>
                <w:szCs w:val="18"/>
                <w:color w:val="auto"/>
              </w:rPr>
              <w:t>12,219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End of year</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w w:val="87"/>
              </w:rPr>
              <w:t>71,277</w:t>
            </w:r>
          </w:p>
        </w:tc>
        <w:tc>
          <w:tcPr>
            <w:tcW w:w="1800" w:type="dxa"/>
            <w:vAlign w:val="bottom"/>
            <w:shd w:val="clear" w:color="auto" w:fill="EEEEEE"/>
          </w:tcPr>
          <w:p>
            <w:pPr>
              <w:ind w:left="520"/>
              <w:spacing w:after="0"/>
              <w:rPr>
                <w:sz w:val="20"/>
                <w:szCs w:val="20"/>
                <w:color w:val="auto"/>
              </w:rPr>
            </w:pPr>
            <w:r>
              <w:rPr>
                <w:rFonts w:ascii="Arial" w:cs="Arial" w:eastAsia="Arial" w:hAnsi="Arial"/>
                <w:sz w:val="18"/>
                <w:szCs w:val="18"/>
                <w:color w:val="auto"/>
              </w:rPr>
              <w:t>$203,165</w:t>
            </w:r>
          </w:p>
        </w:tc>
        <w:tc>
          <w:tcPr>
            <w:tcW w:w="16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$69,556</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w w:val="98"/>
              </w:rPr>
              <w:t>85,666</w:t>
            </w:r>
          </w:p>
        </w:tc>
        <w:tc>
          <w:tcPr>
            <w:tcW w:w="500" w:type="dxa"/>
            <w:vAlign w:val="bottom"/>
            <w:shd w:val="clear" w:color="auto" w:fill="EEEEEE"/>
          </w:tcPr>
          <w:p>
            <w:pPr>
              <w:ind w:left="420"/>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w w:val="86"/>
              </w:rPr>
              <w:t>536,030</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ind w:right="72"/>
              <w:spacing w:after="0"/>
              <w:rPr>
                <w:sz w:val="20"/>
                <w:szCs w:val="20"/>
                <w:color w:val="auto"/>
              </w:rPr>
            </w:pPr>
            <w:r>
              <w:rPr>
                <w:rFonts w:ascii="Arial" w:cs="Arial" w:eastAsia="Arial" w:hAnsi="Arial"/>
                <w:sz w:val="18"/>
                <w:szCs w:val="18"/>
                <w:color w:val="auto"/>
                <w:w w:val="86"/>
              </w:rPr>
              <w:t>965,694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800" w:type="dxa"/>
            <w:vAlign w:val="bottom"/>
            <w:shd w:val="clear" w:color="auto" w:fill="808080"/>
          </w:tcPr>
          <w:p>
            <w:pPr>
              <w:spacing w:after="0"/>
              <w:rPr>
                <w:sz w:val="5"/>
                <w:szCs w:val="5"/>
                <w:color w:val="auto"/>
              </w:rPr>
            </w:pPr>
          </w:p>
        </w:tc>
        <w:tc>
          <w:tcPr>
            <w:tcW w:w="160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320" w:type="dxa"/>
            <w:vAlign w:val="bottom"/>
            <w:shd w:val="clear" w:color="auto" w:fill="EEEEEE"/>
          </w:tcPr>
          <w:p>
            <w:pPr>
              <w:spacing w:after="0" w:line="201" w:lineRule="exact"/>
              <w:rPr>
                <w:sz w:val="20"/>
                <w:szCs w:val="20"/>
                <w:color w:val="auto"/>
              </w:rPr>
            </w:pPr>
            <w:r>
              <w:rPr>
                <w:rFonts w:ascii="Arial" w:cs="Arial" w:eastAsia="Arial" w:hAnsi="Arial"/>
                <w:sz w:val="18"/>
                <w:szCs w:val="18"/>
                <w:b w:val="1"/>
                <w:bCs w:val="1"/>
                <w:color w:val="auto"/>
              </w:rPr>
              <w:t>Indefinite-Lived Intangible</w:t>
            </w:r>
          </w:p>
        </w:tc>
        <w:tc>
          <w:tcPr>
            <w:tcW w:w="50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1800" w:type="dxa"/>
            <w:vAlign w:val="bottom"/>
            <w:shd w:val="clear" w:color="auto" w:fill="EEEEEE"/>
          </w:tcPr>
          <w:p>
            <w:pPr>
              <w:spacing w:after="0"/>
              <w:rPr>
                <w:sz w:val="17"/>
                <w:szCs w:val="17"/>
                <w:color w:val="auto"/>
              </w:rPr>
            </w:pPr>
          </w:p>
        </w:tc>
        <w:tc>
          <w:tcPr>
            <w:tcW w:w="160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shd w:val="clear" w:color="auto" w:fill="EEEEEE"/>
          </w:tcPr>
          <w:p>
            <w:pPr>
              <w:ind w:left="120"/>
              <w:spacing w:after="0"/>
              <w:rPr>
                <w:sz w:val="20"/>
                <w:szCs w:val="20"/>
                <w:color w:val="auto"/>
              </w:rPr>
            </w:pPr>
            <w:r>
              <w:rPr>
                <w:rFonts w:ascii="Arial" w:cs="Arial" w:eastAsia="Arial" w:hAnsi="Arial"/>
                <w:sz w:val="18"/>
                <w:szCs w:val="18"/>
                <w:b w:val="1"/>
                <w:bCs w:val="1"/>
                <w:color w:val="auto"/>
              </w:rPr>
              <w:t>Assets, Net</w:t>
            </w:r>
          </w:p>
        </w:tc>
        <w:tc>
          <w:tcPr>
            <w:tcW w:w="500" w:type="dxa"/>
            <w:vAlign w:val="bottom"/>
            <w:shd w:val="clear" w:color="auto" w:fill="EEEEEE"/>
          </w:tcPr>
          <w:p>
            <w:pPr>
              <w:spacing w:after="0"/>
              <w:rPr>
                <w:sz w:val="20"/>
                <w:szCs w:val="20"/>
                <w:color w:val="auto"/>
              </w:rPr>
            </w:pPr>
          </w:p>
        </w:tc>
        <w:tc>
          <w:tcPr>
            <w:tcW w:w="1020" w:type="dxa"/>
            <w:vAlign w:val="bottom"/>
            <w:shd w:val="clear" w:color="auto" w:fill="EEEEEE"/>
          </w:tcPr>
          <w:p>
            <w:pPr>
              <w:spacing w:after="0"/>
              <w:rPr>
                <w:sz w:val="20"/>
                <w:szCs w:val="20"/>
                <w:color w:val="auto"/>
              </w:rPr>
            </w:pPr>
          </w:p>
        </w:tc>
        <w:tc>
          <w:tcPr>
            <w:tcW w:w="1800" w:type="dxa"/>
            <w:vAlign w:val="bottom"/>
            <w:shd w:val="clear" w:color="auto" w:fill="EEEEEE"/>
          </w:tcPr>
          <w:p>
            <w:pPr>
              <w:spacing w:after="0"/>
              <w:rPr>
                <w:sz w:val="20"/>
                <w:szCs w:val="20"/>
                <w:color w:val="auto"/>
              </w:rPr>
            </w:pPr>
          </w:p>
        </w:tc>
        <w:tc>
          <w:tcPr>
            <w:tcW w:w="1600" w:type="dxa"/>
            <w:vAlign w:val="bottom"/>
            <w:shd w:val="clear" w:color="auto" w:fill="EEEEEE"/>
          </w:tcPr>
          <w:p>
            <w:pPr>
              <w:spacing w:after="0"/>
              <w:rPr>
                <w:sz w:val="20"/>
                <w:szCs w:val="20"/>
                <w:color w:val="auto"/>
              </w:rPr>
            </w:pPr>
          </w:p>
        </w:tc>
        <w:tc>
          <w:tcPr>
            <w:tcW w:w="540" w:type="dxa"/>
            <w:vAlign w:val="bottom"/>
            <w:shd w:val="clear" w:color="auto" w:fill="EEEEEE"/>
          </w:tcPr>
          <w:p>
            <w:pPr>
              <w:spacing w:after="0"/>
              <w:rPr>
                <w:sz w:val="20"/>
                <w:szCs w:val="20"/>
                <w:color w:val="auto"/>
              </w:rPr>
            </w:pPr>
          </w:p>
        </w:tc>
        <w:tc>
          <w:tcPr>
            <w:tcW w:w="1000" w:type="dxa"/>
            <w:vAlign w:val="bottom"/>
            <w:shd w:val="clear" w:color="auto" w:fill="EEEEEE"/>
          </w:tcPr>
          <w:p>
            <w:pPr>
              <w:spacing w:after="0"/>
              <w:rPr>
                <w:sz w:val="20"/>
                <w:szCs w:val="20"/>
                <w:color w:val="auto"/>
              </w:rPr>
            </w:pPr>
          </w:p>
        </w:tc>
        <w:tc>
          <w:tcPr>
            <w:tcW w:w="50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420" w:type="dxa"/>
            <w:vAlign w:val="bottom"/>
            <w:shd w:val="clear" w:color="auto" w:fill="EEEEEE"/>
          </w:tcPr>
          <w:p>
            <w:pPr>
              <w:spacing w:after="0"/>
              <w:rPr>
                <w:sz w:val="20"/>
                <w:szCs w:val="20"/>
                <w:color w:val="auto"/>
              </w:rPr>
            </w:pPr>
          </w:p>
        </w:tc>
        <w:tc>
          <w:tcPr>
            <w:tcW w:w="74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200"/>
              <w:spacing w:after="0"/>
              <w:rPr>
                <w:sz w:val="20"/>
                <w:szCs w:val="20"/>
                <w:color w:val="auto"/>
              </w:rPr>
            </w:pPr>
            <w:r>
              <w:rPr>
                <w:rFonts w:ascii="Arial" w:cs="Arial" w:eastAsia="Arial" w:hAnsi="Arial"/>
                <w:sz w:val="18"/>
                <w:szCs w:val="18"/>
                <w:color w:val="auto"/>
              </w:rPr>
              <w:t>Beginning of year</w:t>
            </w: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52"/>
              <w:spacing w:after="0"/>
              <w:rPr>
                <w:sz w:val="20"/>
                <w:szCs w:val="20"/>
                <w:color w:val="auto"/>
              </w:rPr>
            </w:pPr>
            <w:r>
              <w:rPr>
                <w:rFonts w:ascii="Arial" w:cs="Arial" w:eastAsia="Arial" w:hAnsi="Arial"/>
                <w:sz w:val="18"/>
                <w:szCs w:val="18"/>
                <w:color w:val="auto"/>
                <w:w w:val="82"/>
              </w:rPr>
              <w:t>482,419</w:t>
            </w: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2"/>
              <w:spacing w:after="0"/>
              <w:rPr>
                <w:sz w:val="20"/>
                <w:szCs w:val="20"/>
                <w:color w:val="auto"/>
              </w:rPr>
            </w:pPr>
            <w:r>
              <w:rPr>
                <w:rFonts w:ascii="Arial" w:cs="Arial" w:eastAsia="Arial" w:hAnsi="Arial"/>
                <w:sz w:val="18"/>
                <w:szCs w:val="18"/>
                <w:color w:val="auto"/>
                <w:w w:val="86"/>
              </w:rPr>
              <w:t>482,419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Acquisitions</w:t>
            </w:r>
          </w:p>
        </w:tc>
        <w:tc>
          <w:tcPr>
            <w:tcW w:w="5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2,137</w:t>
            </w:r>
          </w:p>
        </w:tc>
        <w:tc>
          <w:tcPr>
            <w:tcW w:w="500" w:type="dxa"/>
            <w:vAlign w:val="bottom"/>
            <w:shd w:val="clear" w:color="auto" w:fill="EEEEEE"/>
          </w:tcPr>
          <w:p>
            <w:pPr>
              <w:ind w:left="420"/>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2,100</w:t>
            </w:r>
          </w:p>
        </w:tc>
        <w:tc>
          <w:tcPr>
            <w:tcW w:w="420" w:type="dxa"/>
            <w:vAlign w:val="bottom"/>
            <w:shd w:val="clear" w:color="auto" w:fill="EEEEEE"/>
          </w:tcPr>
          <w:p>
            <w:pPr>
              <w:spacing w:after="0"/>
              <w:rPr>
                <w:sz w:val="18"/>
                <w:szCs w:val="18"/>
                <w:color w:val="auto"/>
              </w:rPr>
            </w:pPr>
          </w:p>
        </w:tc>
        <w:tc>
          <w:tcPr>
            <w:tcW w:w="740" w:type="dxa"/>
            <w:vAlign w:val="bottom"/>
            <w:shd w:val="clear" w:color="auto" w:fill="EEEEEE"/>
          </w:tcPr>
          <w:p>
            <w:pPr>
              <w:jc w:val="right"/>
              <w:ind w:right="72"/>
              <w:spacing w:after="0"/>
              <w:rPr>
                <w:sz w:val="20"/>
                <w:szCs w:val="20"/>
                <w:color w:val="auto"/>
              </w:rPr>
            </w:pPr>
            <w:r>
              <w:rPr>
                <w:rFonts w:ascii="Arial" w:cs="Arial" w:eastAsia="Arial" w:hAnsi="Arial"/>
                <w:sz w:val="18"/>
                <w:szCs w:val="18"/>
                <w:color w:val="auto"/>
              </w:rPr>
              <w:t>4,237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End of year</w:t>
            </w:r>
          </w:p>
        </w:tc>
        <w:tc>
          <w:tcPr>
            <w:tcW w:w="5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w w:val="82"/>
              </w:rPr>
              <w:t>484,556</w:t>
            </w:r>
          </w:p>
        </w:tc>
        <w:tc>
          <w:tcPr>
            <w:tcW w:w="500" w:type="dxa"/>
            <w:vAlign w:val="bottom"/>
            <w:shd w:val="clear" w:color="auto" w:fill="EEEEEE"/>
          </w:tcPr>
          <w:p>
            <w:pPr>
              <w:ind w:left="420"/>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2,100</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ind w:right="72"/>
              <w:spacing w:after="0"/>
              <w:rPr>
                <w:sz w:val="20"/>
                <w:szCs w:val="20"/>
                <w:color w:val="auto"/>
              </w:rPr>
            </w:pPr>
            <w:r>
              <w:rPr>
                <w:rFonts w:ascii="Arial" w:cs="Arial" w:eastAsia="Arial" w:hAnsi="Arial"/>
                <w:sz w:val="18"/>
                <w:szCs w:val="18"/>
                <w:color w:val="auto"/>
                <w:w w:val="86"/>
              </w:rPr>
              <w:t>486,656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800" w:type="dxa"/>
            <w:vAlign w:val="bottom"/>
            <w:shd w:val="clear" w:color="auto" w:fill="808080"/>
          </w:tcPr>
          <w:p>
            <w:pPr>
              <w:spacing w:after="0"/>
              <w:rPr>
                <w:sz w:val="5"/>
                <w:szCs w:val="5"/>
                <w:color w:val="auto"/>
              </w:rPr>
            </w:pPr>
          </w:p>
        </w:tc>
        <w:tc>
          <w:tcPr>
            <w:tcW w:w="160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320" w:type="dxa"/>
            <w:vAlign w:val="bottom"/>
            <w:shd w:val="clear" w:color="auto" w:fill="EEEEEE"/>
          </w:tcPr>
          <w:p>
            <w:pPr>
              <w:spacing w:after="0" w:line="201" w:lineRule="exact"/>
              <w:rPr>
                <w:sz w:val="20"/>
                <w:szCs w:val="20"/>
                <w:color w:val="auto"/>
              </w:rPr>
            </w:pPr>
            <w:r>
              <w:rPr>
                <w:rFonts w:ascii="Arial" w:cs="Arial" w:eastAsia="Arial" w:hAnsi="Arial"/>
                <w:sz w:val="18"/>
                <w:szCs w:val="18"/>
                <w:b w:val="1"/>
                <w:bCs w:val="1"/>
                <w:color w:val="auto"/>
              </w:rPr>
              <w:t>Amortized Intangible</w:t>
            </w:r>
          </w:p>
        </w:tc>
        <w:tc>
          <w:tcPr>
            <w:tcW w:w="50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1800" w:type="dxa"/>
            <w:vAlign w:val="bottom"/>
            <w:shd w:val="clear" w:color="auto" w:fill="EEEEEE"/>
          </w:tcPr>
          <w:p>
            <w:pPr>
              <w:spacing w:after="0"/>
              <w:rPr>
                <w:sz w:val="17"/>
                <w:szCs w:val="17"/>
                <w:color w:val="auto"/>
              </w:rPr>
            </w:pPr>
          </w:p>
        </w:tc>
        <w:tc>
          <w:tcPr>
            <w:tcW w:w="160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shd w:val="clear" w:color="auto" w:fill="EEEEEE"/>
          </w:tcPr>
          <w:p>
            <w:pPr>
              <w:ind w:left="120"/>
              <w:spacing w:after="0"/>
              <w:rPr>
                <w:sz w:val="20"/>
                <w:szCs w:val="20"/>
                <w:color w:val="auto"/>
              </w:rPr>
            </w:pPr>
            <w:r>
              <w:rPr>
                <w:rFonts w:ascii="Arial" w:cs="Arial" w:eastAsia="Arial" w:hAnsi="Arial"/>
                <w:sz w:val="18"/>
                <w:szCs w:val="18"/>
                <w:b w:val="1"/>
                <w:bCs w:val="1"/>
                <w:color w:val="auto"/>
              </w:rPr>
              <w:t>Assets, Net</w:t>
            </w:r>
          </w:p>
        </w:tc>
        <w:tc>
          <w:tcPr>
            <w:tcW w:w="500" w:type="dxa"/>
            <w:vAlign w:val="bottom"/>
            <w:shd w:val="clear" w:color="auto" w:fill="EEEEEE"/>
          </w:tcPr>
          <w:p>
            <w:pPr>
              <w:spacing w:after="0"/>
              <w:rPr>
                <w:sz w:val="20"/>
                <w:szCs w:val="20"/>
                <w:color w:val="auto"/>
              </w:rPr>
            </w:pPr>
          </w:p>
        </w:tc>
        <w:tc>
          <w:tcPr>
            <w:tcW w:w="1020" w:type="dxa"/>
            <w:vAlign w:val="bottom"/>
            <w:shd w:val="clear" w:color="auto" w:fill="EEEEEE"/>
          </w:tcPr>
          <w:p>
            <w:pPr>
              <w:spacing w:after="0"/>
              <w:rPr>
                <w:sz w:val="20"/>
                <w:szCs w:val="20"/>
                <w:color w:val="auto"/>
              </w:rPr>
            </w:pPr>
          </w:p>
        </w:tc>
        <w:tc>
          <w:tcPr>
            <w:tcW w:w="1800" w:type="dxa"/>
            <w:vAlign w:val="bottom"/>
            <w:shd w:val="clear" w:color="auto" w:fill="EEEEEE"/>
          </w:tcPr>
          <w:p>
            <w:pPr>
              <w:spacing w:after="0"/>
              <w:rPr>
                <w:sz w:val="20"/>
                <w:szCs w:val="20"/>
                <w:color w:val="auto"/>
              </w:rPr>
            </w:pPr>
          </w:p>
        </w:tc>
        <w:tc>
          <w:tcPr>
            <w:tcW w:w="1600" w:type="dxa"/>
            <w:vAlign w:val="bottom"/>
            <w:shd w:val="clear" w:color="auto" w:fill="EEEEEE"/>
          </w:tcPr>
          <w:p>
            <w:pPr>
              <w:spacing w:after="0"/>
              <w:rPr>
                <w:sz w:val="20"/>
                <w:szCs w:val="20"/>
                <w:color w:val="auto"/>
              </w:rPr>
            </w:pPr>
          </w:p>
        </w:tc>
        <w:tc>
          <w:tcPr>
            <w:tcW w:w="540" w:type="dxa"/>
            <w:vAlign w:val="bottom"/>
            <w:shd w:val="clear" w:color="auto" w:fill="EEEEEE"/>
          </w:tcPr>
          <w:p>
            <w:pPr>
              <w:spacing w:after="0"/>
              <w:rPr>
                <w:sz w:val="20"/>
                <w:szCs w:val="20"/>
                <w:color w:val="auto"/>
              </w:rPr>
            </w:pPr>
          </w:p>
        </w:tc>
        <w:tc>
          <w:tcPr>
            <w:tcW w:w="1000" w:type="dxa"/>
            <w:vAlign w:val="bottom"/>
            <w:shd w:val="clear" w:color="auto" w:fill="EEEEEE"/>
          </w:tcPr>
          <w:p>
            <w:pPr>
              <w:spacing w:after="0"/>
              <w:rPr>
                <w:sz w:val="20"/>
                <w:szCs w:val="20"/>
                <w:color w:val="auto"/>
              </w:rPr>
            </w:pPr>
          </w:p>
        </w:tc>
        <w:tc>
          <w:tcPr>
            <w:tcW w:w="50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420" w:type="dxa"/>
            <w:vAlign w:val="bottom"/>
            <w:shd w:val="clear" w:color="auto" w:fill="EEEEEE"/>
          </w:tcPr>
          <w:p>
            <w:pPr>
              <w:spacing w:after="0"/>
              <w:rPr>
                <w:sz w:val="20"/>
                <w:szCs w:val="20"/>
                <w:color w:val="auto"/>
              </w:rPr>
            </w:pPr>
          </w:p>
        </w:tc>
        <w:tc>
          <w:tcPr>
            <w:tcW w:w="74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200"/>
              <w:spacing w:after="0"/>
              <w:rPr>
                <w:sz w:val="20"/>
                <w:szCs w:val="20"/>
                <w:color w:val="auto"/>
              </w:rPr>
            </w:pPr>
            <w:r>
              <w:rPr>
                <w:rFonts w:ascii="Arial" w:cs="Arial" w:eastAsia="Arial" w:hAnsi="Arial"/>
                <w:sz w:val="18"/>
                <w:szCs w:val="18"/>
                <w:color w:val="auto"/>
              </w:rPr>
              <w:t>Beginning of year</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432"/>
              <w:spacing w:after="0"/>
              <w:rPr>
                <w:sz w:val="20"/>
                <w:szCs w:val="20"/>
                <w:color w:val="auto"/>
              </w:rPr>
            </w:pPr>
            <w:r>
              <w:rPr>
                <w:rFonts w:ascii="Arial" w:cs="Arial" w:eastAsia="Arial" w:hAnsi="Arial"/>
                <w:sz w:val="18"/>
                <w:szCs w:val="18"/>
                <w:color w:val="auto"/>
              </w:rPr>
              <w:t>45</w:t>
            </w:r>
          </w:p>
        </w:tc>
        <w:tc>
          <w:tcPr>
            <w:tcW w:w="18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52"/>
              <w:spacing w:after="0"/>
              <w:rPr>
                <w:sz w:val="20"/>
                <w:szCs w:val="20"/>
                <w:color w:val="auto"/>
              </w:rPr>
            </w:pPr>
            <w:r>
              <w:rPr>
                <w:rFonts w:ascii="Arial" w:cs="Arial" w:eastAsia="Arial" w:hAnsi="Arial"/>
                <w:sz w:val="18"/>
                <w:szCs w:val="18"/>
                <w:color w:val="auto"/>
              </w:rPr>
              <w:t>1,232</w:t>
            </w:r>
          </w:p>
        </w:tc>
        <w:tc>
          <w:tcPr>
            <w:tcW w:w="500" w:type="dxa"/>
            <w:vAlign w:val="bottom"/>
          </w:tcPr>
          <w:p>
            <w:pPr>
              <w:ind w:left="420"/>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292"/>
              <w:spacing w:after="0"/>
              <w:rPr>
                <w:sz w:val="20"/>
                <w:szCs w:val="20"/>
                <w:color w:val="auto"/>
              </w:rPr>
            </w:pPr>
            <w:r>
              <w:rPr>
                <w:rFonts w:ascii="Arial" w:cs="Arial" w:eastAsia="Arial" w:hAnsi="Arial"/>
                <w:sz w:val="18"/>
                <w:szCs w:val="18"/>
                <w:color w:val="auto"/>
              </w:rPr>
              <w:t>876</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2,153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Acquisitions</w:t>
            </w:r>
          </w:p>
        </w:tc>
        <w:tc>
          <w:tcPr>
            <w:tcW w:w="5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4,463</w:t>
            </w:r>
          </w:p>
        </w:tc>
        <w:tc>
          <w:tcPr>
            <w:tcW w:w="420" w:type="dxa"/>
            <w:vAlign w:val="bottom"/>
            <w:shd w:val="clear" w:color="auto" w:fill="EEEEEE"/>
          </w:tcPr>
          <w:p>
            <w:pPr>
              <w:spacing w:after="0"/>
              <w:rPr>
                <w:sz w:val="18"/>
                <w:szCs w:val="18"/>
                <w:color w:val="auto"/>
              </w:rPr>
            </w:pPr>
          </w:p>
        </w:tc>
        <w:tc>
          <w:tcPr>
            <w:tcW w:w="740" w:type="dxa"/>
            <w:vAlign w:val="bottom"/>
            <w:shd w:val="clear" w:color="auto" w:fill="EEEEEE"/>
          </w:tcPr>
          <w:p>
            <w:pPr>
              <w:jc w:val="right"/>
              <w:ind w:right="72"/>
              <w:spacing w:after="0"/>
              <w:rPr>
                <w:sz w:val="20"/>
                <w:szCs w:val="20"/>
                <w:color w:val="auto"/>
              </w:rPr>
            </w:pPr>
            <w:r>
              <w:rPr>
                <w:rFonts w:ascii="Arial" w:cs="Arial" w:eastAsia="Arial" w:hAnsi="Arial"/>
                <w:sz w:val="18"/>
                <w:szCs w:val="18"/>
                <w:color w:val="auto"/>
              </w:rPr>
              <w:t>4,463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500" w:type="dxa"/>
            <w:vAlign w:val="bottom"/>
          </w:tcPr>
          <w:p>
            <w:pPr>
              <w:spacing w:after="0"/>
              <w:rPr>
                <w:sz w:val="18"/>
                <w:szCs w:val="18"/>
                <w:color w:val="auto"/>
              </w:rPr>
            </w:pPr>
          </w:p>
        </w:tc>
        <w:tc>
          <w:tcPr>
            <w:tcW w:w="1020" w:type="dxa"/>
            <w:vAlign w:val="bottom"/>
          </w:tcPr>
          <w:p>
            <w:pPr>
              <w:jc w:val="right"/>
              <w:ind w:right="392"/>
              <w:spacing w:after="0"/>
              <w:rPr>
                <w:sz w:val="20"/>
                <w:szCs w:val="20"/>
                <w:color w:val="auto"/>
              </w:rPr>
            </w:pPr>
            <w:r>
              <w:rPr>
                <w:rFonts w:ascii="Arial" w:cs="Arial" w:eastAsia="Arial" w:hAnsi="Arial"/>
                <w:sz w:val="18"/>
                <w:szCs w:val="18"/>
                <w:color w:val="auto"/>
              </w:rPr>
              <w:t>(15)</w:t>
            </w:r>
          </w:p>
        </w:tc>
        <w:tc>
          <w:tcPr>
            <w:tcW w:w="18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ind w:right="292"/>
              <w:spacing w:after="0"/>
              <w:rPr>
                <w:sz w:val="20"/>
                <w:szCs w:val="20"/>
                <w:color w:val="auto"/>
              </w:rPr>
            </w:pPr>
            <w:r>
              <w:rPr>
                <w:rFonts w:ascii="Arial" w:cs="Arial" w:eastAsia="Arial" w:hAnsi="Arial"/>
                <w:sz w:val="18"/>
                <w:szCs w:val="18"/>
                <w:color w:val="auto"/>
              </w:rPr>
              <w:t>(151)</w:t>
            </w:r>
          </w:p>
        </w:tc>
        <w:tc>
          <w:tcPr>
            <w:tcW w:w="500" w:type="dxa"/>
            <w:vAlign w:val="bottom"/>
          </w:tcPr>
          <w:p>
            <w:pPr>
              <w:spacing w:after="0"/>
              <w:rPr>
                <w:sz w:val="18"/>
                <w:szCs w:val="18"/>
                <w:color w:val="auto"/>
              </w:rPr>
            </w:pPr>
          </w:p>
        </w:tc>
        <w:tc>
          <w:tcPr>
            <w:tcW w:w="960" w:type="dxa"/>
            <w:vAlign w:val="bottom"/>
          </w:tcPr>
          <w:p>
            <w:pPr>
              <w:jc w:val="right"/>
              <w:ind w:right="232"/>
              <w:spacing w:after="0"/>
              <w:rPr>
                <w:sz w:val="20"/>
                <w:szCs w:val="20"/>
                <w:color w:val="auto"/>
              </w:rPr>
            </w:pPr>
            <w:r>
              <w:rPr>
                <w:rFonts w:ascii="Arial" w:cs="Arial" w:eastAsia="Arial" w:hAnsi="Arial"/>
                <w:sz w:val="18"/>
                <w:szCs w:val="18"/>
                <w:color w:val="auto"/>
              </w:rPr>
              <w:t>(1,270)</w:t>
            </w:r>
          </w:p>
        </w:tc>
        <w:tc>
          <w:tcPr>
            <w:tcW w:w="420" w:type="dxa"/>
            <w:vAlign w:val="bottom"/>
          </w:tcPr>
          <w:p>
            <w:pPr>
              <w:spacing w:after="0"/>
              <w:rPr>
                <w:sz w:val="18"/>
                <w:szCs w:val="18"/>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3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Foreign currency</w:t>
            </w:r>
          </w:p>
        </w:tc>
        <w:tc>
          <w:tcPr>
            <w:tcW w:w="5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320" w:type="dxa"/>
            <w:vAlign w:val="bottom"/>
            <w:shd w:val="clear" w:color="auto" w:fill="EEEEEE"/>
          </w:tcPr>
          <w:p>
            <w:pPr>
              <w:ind w:left="340"/>
              <w:spacing w:after="0"/>
              <w:rPr>
                <w:sz w:val="20"/>
                <w:szCs w:val="20"/>
                <w:color w:val="auto"/>
              </w:rPr>
            </w:pPr>
            <w:r>
              <w:rPr>
                <w:rFonts w:ascii="Arial" w:cs="Arial" w:eastAsia="Arial" w:hAnsi="Arial"/>
                <w:sz w:val="18"/>
                <w:szCs w:val="18"/>
                <w:color w:val="auto"/>
              </w:rPr>
              <w:t>exchange rate</w:t>
            </w:r>
          </w:p>
        </w:tc>
        <w:tc>
          <w:tcPr>
            <w:tcW w:w="500" w:type="dxa"/>
            <w:vAlign w:val="bottom"/>
            <w:shd w:val="clear" w:color="auto" w:fill="EEEEEE"/>
          </w:tcPr>
          <w:p>
            <w:pPr>
              <w:spacing w:after="0"/>
              <w:rPr>
                <w:sz w:val="19"/>
                <w:szCs w:val="19"/>
                <w:color w:val="auto"/>
              </w:rPr>
            </w:pPr>
          </w:p>
        </w:tc>
        <w:tc>
          <w:tcPr>
            <w:tcW w:w="1020" w:type="dxa"/>
            <w:vAlign w:val="bottom"/>
            <w:shd w:val="clear" w:color="auto" w:fill="EEEEEE"/>
          </w:tcPr>
          <w:p>
            <w:pPr>
              <w:spacing w:after="0"/>
              <w:rPr>
                <w:sz w:val="19"/>
                <w:szCs w:val="19"/>
                <w:color w:val="auto"/>
              </w:rPr>
            </w:pPr>
          </w:p>
        </w:tc>
        <w:tc>
          <w:tcPr>
            <w:tcW w:w="1800" w:type="dxa"/>
            <w:vAlign w:val="bottom"/>
            <w:shd w:val="clear" w:color="auto" w:fill="EEEEEE"/>
          </w:tcPr>
          <w:p>
            <w:pPr>
              <w:spacing w:after="0"/>
              <w:rPr>
                <w:sz w:val="19"/>
                <w:szCs w:val="19"/>
                <w:color w:val="auto"/>
              </w:rPr>
            </w:pPr>
          </w:p>
        </w:tc>
        <w:tc>
          <w:tcPr>
            <w:tcW w:w="160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1000" w:type="dxa"/>
            <w:vAlign w:val="bottom"/>
            <w:shd w:val="clear" w:color="auto" w:fill="EEEEEE"/>
          </w:tcPr>
          <w:p>
            <w:pPr>
              <w:spacing w:after="0"/>
              <w:rPr>
                <w:sz w:val="19"/>
                <w:szCs w:val="19"/>
                <w:color w:val="auto"/>
              </w:rPr>
            </w:pPr>
          </w:p>
        </w:tc>
        <w:tc>
          <w:tcPr>
            <w:tcW w:w="500" w:type="dxa"/>
            <w:vAlign w:val="bottom"/>
            <w:shd w:val="clear" w:color="auto" w:fill="EEEEEE"/>
          </w:tcPr>
          <w:p>
            <w:pPr>
              <w:spacing w:after="0"/>
              <w:rPr>
                <w:sz w:val="19"/>
                <w:szCs w:val="19"/>
                <w:color w:val="auto"/>
              </w:rPr>
            </w:pPr>
          </w:p>
        </w:tc>
        <w:tc>
          <w:tcPr>
            <w:tcW w:w="96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46</w:t>
            </w:r>
          </w:p>
        </w:tc>
        <w:tc>
          <w:tcPr>
            <w:tcW w:w="420" w:type="dxa"/>
            <w:vAlign w:val="bottom"/>
            <w:shd w:val="clear" w:color="auto" w:fill="EEEEEE"/>
          </w:tcPr>
          <w:p>
            <w:pPr>
              <w:spacing w:after="0"/>
              <w:rPr>
                <w:sz w:val="19"/>
                <w:szCs w:val="19"/>
                <w:color w:val="auto"/>
              </w:rPr>
            </w:pPr>
          </w:p>
        </w:tc>
        <w:tc>
          <w:tcPr>
            <w:tcW w:w="740" w:type="dxa"/>
            <w:vAlign w:val="bottom"/>
            <w:shd w:val="clear" w:color="auto" w:fill="EEEEEE"/>
          </w:tcPr>
          <w:p>
            <w:pPr>
              <w:jc w:val="right"/>
              <w:ind w:right="72"/>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End of year</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rPr>
              <w:t>30</w:t>
            </w:r>
          </w:p>
        </w:tc>
        <w:tc>
          <w:tcPr>
            <w:tcW w:w="180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1,081</w:t>
            </w:r>
          </w:p>
        </w:tc>
        <w:tc>
          <w:tcPr>
            <w:tcW w:w="500" w:type="dxa"/>
            <w:vAlign w:val="bottom"/>
            <w:shd w:val="clear" w:color="auto" w:fill="EEEEEE"/>
          </w:tcPr>
          <w:p>
            <w:pPr>
              <w:ind w:left="420"/>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4,115</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ind w:right="72"/>
              <w:spacing w:after="0"/>
              <w:rPr>
                <w:sz w:val="20"/>
                <w:szCs w:val="20"/>
                <w:color w:val="auto"/>
              </w:rPr>
            </w:pPr>
            <w:r>
              <w:rPr>
                <w:rFonts w:ascii="Arial" w:cs="Arial" w:eastAsia="Arial" w:hAnsi="Arial"/>
                <w:sz w:val="18"/>
                <w:szCs w:val="18"/>
                <w:color w:val="auto"/>
              </w:rPr>
              <w:t>5,226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800" w:type="dxa"/>
            <w:vAlign w:val="bottom"/>
            <w:shd w:val="clear" w:color="auto" w:fill="808080"/>
          </w:tcPr>
          <w:p>
            <w:pPr>
              <w:spacing w:after="0"/>
              <w:rPr>
                <w:sz w:val="5"/>
                <w:szCs w:val="5"/>
                <w:color w:val="auto"/>
              </w:rPr>
            </w:pPr>
          </w:p>
        </w:tc>
        <w:tc>
          <w:tcPr>
            <w:tcW w:w="160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the Company’s goodwill and intangible assets during 2002 was as follows (in thousands):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500" w:type="dxa"/>
            <w:vAlign w:val="bottom"/>
          </w:tcPr>
          <w:p>
            <w:pPr>
              <w:jc w:val="center"/>
              <w:ind w:right="52"/>
              <w:spacing w:after="0"/>
              <w:rPr>
                <w:sz w:val="20"/>
                <w:szCs w:val="20"/>
                <w:color w:val="auto"/>
              </w:rPr>
            </w:pPr>
            <w:r>
              <w:rPr>
                <w:rFonts w:ascii="Arial" w:cs="Arial" w:eastAsia="Arial" w:hAnsi="Arial"/>
                <w:sz w:val="18"/>
                <w:szCs w:val="18"/>
                <w:color w:val="auto"/>
                <w:w w:val="87"/>
              </w:rPr>
              <w:t>Newspaper</w:t>
            </w:r>
          </w:p>
        </w:tc>
        <w:tc>
          <w:tcPr>
            <w:tcW w:w="1820" w:type="dxa"/>
            <w:vAlign w:val="bottom"/>
          </w:tcPr>
          <w:p>
            <w:pPr>
              <w:ind w:left="540"/>
              <w:spacing w:after="0"/>
              <w:rPr>
                <w:sz w:val="20"/>
                <w:szCs w:val="20"/>
                <w:color w:val="auto"/>
              </w:rPr>
            </w:pPr>
            <w:r>
              <w:rPr>
                <w:rFonts w:ascii="Arial" w:cs="Arial" w:eastAsia="Arial" w:hAnsi="Arial"/>
                <w:sz w:val="18"/>
                <w:szCs w:val="18"/>
                <w:color w:val="auto"/>
              </w:rPr>
              <w:t>Television</w:t>
            </w:r>
          </w:p>
        </w:tc>
        <w:tc>
          <w:tcPr>
            <w:tcW w:w="1640" w:type="dxa"/>
            <w:vAlign w:val="bottom"/>
          </w:tcPr>
          <w:p>
            <w:pPr>
              <w:jc w:val="right"/>
              <w:ind w:right="372"/>
              <w:spacing w:after="0"/>
              <w:rPr>
                <w:sz w:val="20"/>
                <w:szCs w:val="20"/>
                <w:color w:val="auto"/>
              </w:rPr>
            </w:pPr>
            <w:r>
              <w:rPr>
                <w:rFonts w:ascii="Arial" w:cs="Arial" w:eastAsia="Arial" w:hAnsi="Arial"/>
                <w:sz w:val="18"/>
                <w:szCs w:val="18"/>
                <w:color w:val="auto"/>
              </w:rPr>
              <w:t>Magazine</w:t>
            </w:r>
          </w:p>
        </w:tc>
        <w:tc>
          <w:tcPr>
            <w:tcW w:w="560" w:type="dxa"/>
            <w:vAlign w:val="bottom"/>
          </w:tcPr>
          <w:p>
            <w:pPr>
              <w:spacing w:after="0"/>
              <w:rPr>
                <w:sz w:val="18"/>
                <w:szCs w:val="18"/>
                <w:color w:val="auto"/>
              </w:rPr>
            </w:pPr>
          </w:p>
        </w:tc>
        <w:tc>
          <w:tcPr>
            <w:tcW w:w="980" w:type="dxa"/>
            <w:vAlign w:val="bottom"/>
          </w:tcPr>
          <w:p>
            <w:pPr>
              <w:jc w:val="right"/>
              <w:ind w:right="472"/>
              <w:spacing w:after="0"/>
              <w:rPr>
                <w:sz w:val="20"/>
                <w:szCs w:val="20"/>
                <w:color w:val="auto"/>
              </w:rPr>
            </w:pPr>
            <w:r>
              <w:rPr>
                <w:rFonts w:ascii="Arial" w:cs="Arial" w:eastAsia="Arial" w:hAnsi="Arial"/>
                <w:sz w:val="18"/>
                <w:szCs w:val="18"/>
                <w:color w:val="auto"/>
                <w:w w:val="84"/>
              </w:rPr>
              <w:t>Cable</w:t>
            </w:r>
          </w:p>
        </w:tc>
        <w:tc>
          <w:tcPr>
            <w:tcW w:w="1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500" w:type="dxa"/>
            <w:vAlign w:val="bottom"/>
          </w:tcPr>
          <w:p>
            <w:pPr>
              <w:jc w:val="center"/>
              <w:ind w:right="52"/>
              <w:spacing w:after="0"/>
              <w:rPr>
                <w:sz w:val="20"/>
                <w:szCs w:val="20"/>
                <w:color w:val="auto"/>
              </w:rPr>
            </w:pPr>
            <w:r>
              <w:rPr>
                <w:rFonts w:ascii="Arial" w:cs="Arial" w:eastAsia="Arial" w:hAnsi="Arial"/>
                <w:sz w:val="18"/>
                <w:szCs w:val="18"/>
                <w:color w:val="auto"/>
                <w:w w:val="91"/>
              </w:rPr>
              <w:t>Publishing</w:t>
            </w:r>
          </w:p>
        </w:tc>
        <w:tc>
          <w:tcPr>
            <w:tcW w:w="1820" w:type="dxa"/>
            <w:vAlign w:val="bottom"/>
          </w:tcPr>
          <w:p>
            <w:pPr>
              <w:ind w:left="440"/>
              <w:spacing w:after="0"/>
              <w:rPr>
                <w:sz w:val="20"/>
                <w:szCs w:val="20"/>
                <w:color w:val="auto"/>
              </w:rPr>
            </w:pPr>
            <w:r>
              <w:rPr>
                <w:rFonts w:ascii="Arial" w:cs="Arial" w:eastAsia="Arial" w:hAnsi="Arial"/>
                <w:sz w:val="18"/>
                <w:szCs w:val="18"/>
                <w:color w:val="auto"/>
              </w:rPr>
              <w:t>Broadcasting</w:t>
            </w:r>
          </w:p>
        </w:tc>
        <w:tc>
          <w:tcPr>
            <w:tcW w:w="1640" w:type="dxa"/>
            <w:vAlign w:val="bottom"/>
          </w:tcPr>
          <w:p>
            <w:pPr>
              <w:jc w:val="right"/>
              <w:ind w:right="332"/>
              <w:spacing w:after="0"/>
              <w:rPr>
                <w:sz w:val="20"/>
                <w:szCs w:val="20"/>
                <w:color w:val="auto"/>
              </w:rPr>
            </w:pPr>
            <w:r>
              <w:rPr>
                <w:rFonts w:ascii="Arial" w:cs="Arial" w:eastAsia="Arial" w:hAnsi="Arial"/>
                <w:sz w:val="18"/>
                <w:szCs w:val="18"/>
                <w:color w:val="auto"/>
              </w:rPr>
              <w:t>Publishing</w:t>
            </w:r>
          </w:p>
        </w:tc>
        <w:tc>
          <w:tcPr>
            <w:tcW w:w="1540" w:type="dxa"/>
            <w:vAlign w:val="bottom"/>
            <w:gridSpan w:val="2"/>
          </w:tcPr>
          <w:p>
            <w:pPr>
              <w:jc w:val="right"/>
              <w:ind w:right="312"/>
              <w:spacing w:after="0"/>
              <w:rPr>
                <w:sz w:val="20"/>
                <w:szCs w:val="20"/>
                <w:color w:val="auto"/>
              </w:rPr>
            </w:pPr>
            <w:r>
              <w:rPr>
                <w:rFonts w:ascii="Arial" w:cs="Arial" w:eastAsia="Arial" w:hAnsi="Arial"/>
                <w:sz w:val="18"/>
                <w:szCs w:val="18"/>
                <w:color w:val="auto"/>
              </w:rPr>
              <w:t>Television</w:t>
            </w: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Education</w:t>
            </w:r>
          </w:p>
        </w:tc>
        <w:tc>
          <w:tcPr>
            <w:tcW w:w="1160" w:type="dxa"/>
            <w:vAlign w:val="bottom"/>
          </w:tcPr>
          <w:p>
            <w:pPr>
              <w:jc w:val="right"/>
              <w:ind w:right="232"/>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32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Goodwill, Net</w:t>
            </w:r>
          </w:p>
        </w:tc>
        <w:tc>
          <w:tcPr>
            <w:tcW w:w="1500" w:type="dxa"/>
            <w:vAlign w:val="bottom"/>
            <w:shd w:val="clear" w:color="auto" w:fill="EEEEEE"/>
          </w:tcPr>
          <w:p>
            <w:pPr>
              <w:spacing w:after="0"/>
              <w:rPr>
                <w:sz w:val="18"/>
                <w:szCs w:val="18"/>
                <w:color w:val="auto"/>
              </w:rPr>
            </w:pPr>
          </w:p>
        </w:tc>
        <w:tc>
          <w:tcPr>
            <w:tcW w:w="1820" w:type="dxa"/>
            <w:vAlign w:val="bottom"/>
            <w:shd w:val="clear" w:color="auto" w:fill="EEEEEE"/>
          </w:tcPr>
          <w:p>
            <w:pPr>
              <w:spacing w:after="0"/>
              <w:rPr>
                <w:sz w:val="18"/>
                <w:szCs w:val="18"/>
                <w:color w:val="auto"/>
              </w:rPr>
            </w:pPr>
          </w:p>
        </w:tc>
        <w:tc>
          <w:tcPr>
            <w:tcW w:w="16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200"/>
              <w:spacing w:after="0"/>
              <w:rPr>
                <w:sz w:val="20"/>
                <w:szCs w:val="20"/>
                <w:color w:val="auto"/>
              </w:rPr>
            </w:pPr>
            <w:r>
              <w:rPr>
                <w:rFonts w:ascii="Arial" w:cs="Arial" w:eastAsia="Arial" w:hAnsi="Arial"/>
                <w:sz w:val="18"/>
                <w:szCs w:val="18"/>
                <w:color w:val="auto"/>
              </w:rPr>
              <w:t>Beginning of year</w:t>
            </w:r>
          </w:p>
        </w:tc>
        <w:tc>
          <w:tcPr>
            <w:tcW w:w="1500" w:type="dxa"/>
            <w:vAlign w:val="bottom"/>
          </w:tcPr>
          <w:p>
            <w:pPr>
              <w:jc w:val="center"/>
              <w:ind w:right="32"/>
              <w:spacing w:after="0"/>
              <w:rPr>
                <w:sz w:val="20"/>
                <w:szCs w:val="20"/>
                <w:color w:val="auto"/>
              </w:rPr>
            </w:pPr>
            <w:r>
              <w:rPr>
                <w:rFonts w:ascii="Arial" w:cs="Arial" w:eastAsia="Arial" w:hAnsi="Arial"/>
                <w:sz w:val="18"/>
                <w:szCs w:val="18"/>
                <w:color w:val="auto"/>
                <w:w w:val="89"/>
              </w:rPr>
              <w:t>$72,738</w:t>
            </w:r>
          </w:p>
        </w:tc>
        <w:tc>
          <w:tcPr>
            <w:tcW w:w="1820" w:type="dxa"/>
            <w:vAlign w:val="bottom"/>
          </w:tcPr>
          <w:p>
            <w:pPr>
              <w:ind w:left="520"/>
              <w:spacing w:after="0"/>
              <w:rPr>
                <w:sz w:val="20"/>
                <w:szCs w:val="20"/>
                <w:color w:val="auto"/>
              </w:rPr>
            </w:pPr>
            <w:r>
              <w:rPr>
                <w:rFonts w:ascii="Arial" w:cs="Arial" w:eastAsia="Arial" w:hAnsi="Arial"/>
                <w:sz w:val="18"/>
                <w:szCs w:val="18"/>
                <w:color w:val="auto"/>
              </w:rPr>
              <w:t>$203,165</w:t>
            </w:r>
          </w:p>
        </w:tc>
        <w:tc>
          <w:tcPr>
            <w:tcW w:w="1640" w:type="dxa"/>
            <w:vAlign w:val="bottom"/>
          </w:tcPr>
          <w:p>
            <w:pPr>
              <w:jc w:val="right"/>
              <w:ind w:right="392"/>
              <w:spacing w:after="0"/>
              <w:rPr>
                <w:sz w:val="20"/>
                <w:szCs w:val="20"/>
                <w:color w:val="auto"/>
              </w:rPr>
            </w:pPr>
            <w:r>
              <w:rPr>
                <w:rFonts w:ascii="Arial" w:cs="Arial" w:eastAsia="Arial" w:hAnsi="Arial"/>
                <w:sz w:val="18"/>
                <w:szCs w:val="18"/>
                <w:color w:val="auto"/>
              </w:rPr>
              <w:t>$ 88,556</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52"/>
              <w:spacing w:after="0"/>
              <w:rPr>
                <w:sz w:val="20"/>
                <w:szCs w:val="20"/>
                <w:color w:val="auto"/>
              </w:rPr>
            </w:pPr>
            <w:r>
              <w:rPr>
                <w:rFonts w:ascii="Arial" w:cs="Arial" w:eastAsia="Arial" w:hAnsi="Arial"/>
                <w:sz w:val="18"/>
                <w:szCs w:val="18"/>
                <w:color w:val="auto"/>
                <w:w w:val="94"/>
              </w:rPr>
              <w:t>88,197</w:t>
            </w:r>
          </w:p>
        </w:tc>
        <w:tc>
          <w:tcPr>
            <w:tcW w:w="1420" w:type="dxa"/>
            <w:vAlign w:val="bottom"/>
          </w:tcPr>
          <w:p>
            <w:pPr>
              <w:jc w:val="right"/>
              <w:ind w:right="272"/>
              <w:spacing w:after="0"/>
              <w:rPr>
                <w:sz w:val="20"/>
                <w:szCs w:val="20"/>
                <w:color w:val="auto"/>
              </w:rPr>
            </w:pPr>
            <w:r>
              <w:rPr>
                <w:rFonts w:ascii="Arial" w:cs="Arial" w:eastAsia="Arial" w:hAnsi="Arial"/>
                <w:sz w:val="18"/>
                <w:szCs w:val="18"/>
                <w:color w:val="auto"/>
              </w:rPr>
              <w:t>$301,898</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$754,554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Borders>
              <w:right w:val="single" w:sz="8" w:color="EEEEEE"/>
            </w:tcBorders>
            <w:shd w:val="clear" w:color="auto" w:fill="EEEEEE"/>
          </w:tcPr>
          <w:p>
            <w:pPr>
              <w:ind w:left="200"/>
              <w:spacing w:after="0"/>
              <w:rPr>
                <w:sz w:val="20"/>
                <w:szCs w:val="20"/>
                <w:color w:val="auto"/>
              </w:rPr>
            </w:pPr>
            <w:r>
              <w:rPr>
                <w:rFonts w:ascii="Arial" w:cs="Arial" w:eastAsia="Arial" w:hAnsi="Arial"/>
                <w:sz w:val="18"/>
                <w:szCs w:val="18"/>
                <w:color w:val="auto"/>
              </w:rPr>
              <w:t>Acquisitions</w:t>
            </w:r>
          </w:p>
        </w:tc>
        <w:tc>
          <w:tcPr>
            <w:tcW w:w="1500" w:type="dxa"/>
            <w:vAlign w:val="bottom"/>
            <w:shd w:val="clear" w:color="auto" w:fill="EEEEEE"/>
          </w:tcPr>
          <w:p>
            <w:pPr>
              <w:spacing w:after="0"/>
              <w:rPr>
                <w:sz w:val="18"/>
                <w:szCs w:val="18"/>
                <w:color w:val="auto"/>
              </w:rPr>
            </w:pPr>
          </w:p>
        </w:tc>
        <w:tc>
          <w:tcPr>
            <w:tcW w:w="1820" w:type="dxa"/>
            <w:vAlign w:val="bottom"/>
            <w:shd w:val="clear" w:color="auto" w:fill="EEEEEE"/>
          </w:tcPr>
          <w:p>
            <w:pPr>
              <w:spacing w:after="0"/>
              <w:rPr>
                <w:sz w:val="18"/>
                <w:szCs w:val="18"/>
                <w:color w:val="auto"/>
              </w:rPr>
            </w:pPr>
          </w:p>
        </w:tc>
        <w:tc>
          <w:tcPr>
            <w:tcW w:w="16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42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rPr>
              <w:t>37,838</w:t>
            </w:r>
          </w:p>
        </w:tc>
        <w:tc>
          <w:tcPr>
            <w:tcW w:w="1160" w:type="dxa"/>
            <w:vAlign w:val="bottom"/>
            <w:shd w:val="clear" w:color="auto" w:fill="EEEEEE"/>
          </w:tcPr>
          <w:p>
            <w:pPr>
              <w:jc w:val="right"/>
              <w:ind w:right="72"/>
              <w:spacing w:after="0"/>
              <w:rPr>
                <w:sz w:val="20"/>
                <w:szCs w:val="20"/>
                <w:color w:val="auto"/>
              </w:rPr>
            </w:pPr>
            <w:r>
              <w:rPr>
                <w:rFonts w:ascii="Arial" w:cs="Arial" w:eastAsia="Arial" w:hAnsi="Arial"/>
                <w:sz w:val="18"/>
                <w:szCs w:val="18"/>
                <w:color w:val="auto"/>
              </w:rPr>
              <w:t>37,838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200"/>
              <w:spacing w:after="0"/>
              <w:rPr>
                <w:sz w:val="20"/>
                <w:szCs w:val="20"/>
                <w:color w:val="auto"/>
              </w:rPr>
            </w:pPr>
            <w:r>
              <w:rPr>
                <w:rFonts w:ascii="Arial" w:cs="Arial" w:eastAsia="Arial" w:hAnsi="Arial"/>
                <w:sz w:val="18"/>
                <w:szCs w:val="18"/>
                <w:color w:val="auto"/>
              </w:rPr>
              <w:t>Disposition</w:t>
            </w:r>
          </w:p>
        </w:tc>
        <w:tc>
          <w:tcPr>
            <w:tcW w:w="15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ind w:right="292"/>
              <w:spacing w:after="0"/>
              <w:rPr>
                <w:sz w:val="20"/>
                <w:szCs w:val="20"/>
                <w:color w:val="auto"/>
              </w:rPr>
            </w:pPr>
            <w:r>
              <w:rPr>
                <w:rFonts w:ascii="Arial" w:cs="Arial" w:eastAsia="Arial" w:hAnsi="Arial"/>
                <w:sz w:val="18"/>
                <w:szCs w:val="18"/>
                <w:color w:val="auto"/>
              </w:rPr>
              <w:t>(2,531)</w:t>
            </w:r>
          </w:p>
        </w:tc>
        <w:tc>
          <w:tcPr>
            <w:tcW w:w="1420" w:type="dxa"/>
            <w:vAlign w:val="bottom"/>
          </w:tcPr>
          <w:p>
            <w:pPr>
              <w:spacing w:after="0"/>
              <w:rPr>
                <w:sz w:val="18"/>
                <w:szCs w:val="18"/>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Borders>
              <w:right w:val="single" w:sz="8" w:color="EEEEEE"/>
            </w:tcBorders>
            <w:shd w:val="clear" w:color="auto" w:fill="EEEEEE"/>
          </w:tcPr>
          <w:p>
            <w:pPr>
              <w:ind w:left="200"/>
              <w:spacing w:after="0"/>
              <w:rPr>
                <w:sz w:val="20"/>
                <w:szCs w:val="20"/>
                <w:color w:val="auto"/>
              </w:rPr>
            </w:pPr>
            <w:r>
              <w:rPr>
                <w:rFonts w:ascii="Arial" w:cs="Arial" w:eastAsia="Arial" w:hAnsi="Arial"/>
                <w:sz w:val="18"/>
                <w:szCs w:val="18"/>
                <w:color w:val="auto"/>
              </w:rPr>
              <w:t>Impairment</w:t>
            </w:r>
          </w:p>
        </w:tc>
        <w:tc>
          <w:tcPr>
            <w:tcW w:w="1500" w:type="dxa"/>
            <w:vAlign w:val="bottom"/>
            <w:shd w:val="clear" w:color="auto" w:fill="EEEEEE"/>
          </w:tcPr>
          <w:p>
            <w:pPr>
              <w:spacing w:after="0"/>
              <w:rPr>
                <w:sz w:val="18"/>
                <w:szCs w:val="18"/>
                <w:color w:val="auto"/>
              </w:rPr>
            </w:pPr>
          </w:p>
        </w:tc>
        <w:tc>
          <w:tcPr>
            <w:tcW w:w="1820" w:type="dxa"/>
            <w:vAlign w:val="bottom"/>
            <w:shd w:val="clear" w:color="auto" w:fill="EEEEEE"/>
          </w:tcPr>
          <w:p>
            <w:pPr>
              <w:spacing w:after="0"/>
              <w:rPr>
                <w:sz w:val="18"/>
                <w:szCs w:val="18"/>
                <w:color w:val="auto"/>
              </w:rPr>
            </w:pPr>
          </w:p>
        </w:tc>
        <w:tc>
          <w:tcPr>
            <w:tcW w:w="1640" w:type="dxa"/>
            <w:vAlign w:val="bottom"/>
            <w:shd w:val="clear" w:color="auto" w:fill="EEEEEE"/>
          </w:tcPr>
          <w:p>
            <w:pPr>
              <w:jc w:val="right"/>
              <w:ind w:right="332"/>
              <w:spacing w:after="0"/>
              <w:rPr>
                <w:sz w:val="20"/>
                <w:szCs w:val="20"/>
                <w:color w:val="auto"/>
              </w:rPr>
            </w:pPr>
            <w:r>
              <w:rPr>
                <w:rFonts w:ascii="Arial" w:cs="Arial" w:eastAsia="Arial" w:hAnsi="Arial"/>
                <w:sz w:val="18"/>
                <w:szCs w:val="18"/>
                <w:color w:val="auto"/>
              </w:rPr>
              <w:t>(19,000)</w:t>
            </w:r>
          </w:p>
        </w:tc>
        <w:tc>
          <w:tcPr>
            <w:tcW w:w="5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(19,000)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Borders>
              <w:right w:val="single" w:sz="8" w:color="EEEEEE"/>
            </w:tcBorders>
            <w:shd w:val="clear" w:color="auto" w:fill="EEEEEE"/>
          </w:tcPr>
          <w:p>
            <w:pPr>
              <w:ind w:left="200"/>
              <w:spacing w:after="0"/>
              <w:rPr>
                <w:sz w:val="20"/>
                <w:szCs w:val="20"/>
                <w:color w:val="auto"/>
              </w:rPr>
            </w:pPr>
            <w:r>
              <w:rPr>
                <w:rFonts w:ascii="Arial" w:cs="Arial" w:eastAsia="Arial" w:hAnsi="Arial"/>
                <w:sz w:val="18"/>
                <w:szCs w:val="18"/>
                <w:color w:val="auto"/>
              </w:rPr>
              <w:t>End of year</w:t>
            </w:r>
          </w:p>
        </w:tc>
        <w:tc>
          <w:tcPr>
            <w:tcW w:w="1500" w:type="dxa"/>
            <w:vAlign w:val="bottom"/>
            <w:shd w:val="clear" w:color="auto" w:fill="EEEEEE"/>
          </w:tcPr>
          <w:p>
            <w:pPr>
              <w:jc w:val="center"/>
              <w:ind w:right="32"/>
              <w:spacing w:after="0"/>
              <w:rPr>
                <w:sz w:val="20"/>
                <w:szCs w:val="20"/>
                <w:color w:val="auto"/>
              </w:rPr>
            </w:pPr>
            <w:r>
              <w:rPr>
                <w:rFonts w:ascii="Arial" w:cs="Arial" w:eastAsia="Arial" w:hAnsi="Arial"/>
                <w:sz w:val="18"/>
                <w:szCs w:val="18"/>
                <w:color w:val="auto"/>
                <w:w w:val="89"/>
              </w:rPr>
              <w:t>$72,738</w:t>
            </w:r>
          </w:p>
        </w:tc>
        <w:tc>
          <w:tcPr>
            <w:tcW w:w="1820" w:type="dxa"/>
            <w:vAlign w:val="bottom"/>
            <w:shd w:val="clear" w:color="auto" w:fill="EEEEEE"/>
          </w:tcPr>
          <w:p>
            <w:pPr>
              <w:ind w:left="520"/>
              <w:spacing w:after="0"/>
              <w:rPr>
                <w:sz w:val="20"/>
                <w:szCs w:val="20"/>
                <w:color w:val="auto"/>
              </w:rPr>
            </w:pPr>
            <w:r>
              <w:rPr>
                <w:rFonts w:ascii="Arial" w:cs="Arial" w:eastAsia="Arial" w:hAnsi="Arial"/>
                <w:sz w:val="18"/>
                <w:szCs w:val="18"/>
                <w:color w:val="auto"/>
              </w:rPr>
              <w:t>$203,165</w:t>
            </w:r>
          </w:p>
        </w:tc>
        <w:tc>
          <w:tcPr>
            <w:tcW w:w="1640" w:type="dxa"/>
            <w:vAlign w:val="bottom"/>
            <w:shd w:val="clear" w:color="auto" w:fill="EEEEEE"/>
          </w:tcPr>
          <w:p>
            <w:pPr>
              <w:jc w:val="right"/>
              <w:ind w:right="392"/>
              <w:spacing w:after="0"/>
              <w:rPr>
                <w:sz w:val="20"/>
                <w:szCs w:val="20"/>
                <w:color w:val="auto"/>
              </w:rPr>
            </w:pPr>
            <w:r>
              <w:rPr>
                <w:rFonts w:ascii="Arial" w:cs="Arial" w:eastAsia="Arial" w:hAnsi="Arial"/>
                <w:sz w:val="18"/>
                <w:szCs w:val="18"/>
                <w:color w:val="auto"/>
              </w:rPr>
              <w:t>$ 69,556</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w w:val="94"/>
              </w:rPr>
              <w:t>85,666</w:t>
            </w:r>
          </w:p>
        </w:tc>
        <w:tc>
          <w:tcPr>
            <w:tcW w:w="142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rPr>
              <w:t>$339,736</w:t>
            </w:r>
          </w:p>
        </w:tc>
        <w:tc>
          <w:tcPr>
            <w:tcW w:w="1160" w:type="dxa"/>
            <w:vAlign w:val="bottom"/>
            <w:shd w:val="clear" w:color="auto" w:fill="EEEEEE"/>
          </w:tcPr>
          <w:p>
            <w:pPr>
              <w:jc w:val="right"/>
              <w:ind w:right="72"/>
              <w:spacing w:after="0"/>
              <w:rPr>
                <w:sz w:val="20"/>
                <w:szCs w:val="20"/>
                <w:color w:val="auto"/>
              </w:rPr>
            </w:pPr>
            <w:r>
              <w:rPr>
                <w:rFonts w:ascii="Arial" w:cs="Arial" w:eastAsia="Arial" w:hAnsi="Arial"/>
                <w:sz w:val="18"/>
                <w:szCs w:val="18"/>
                <w:color w:val="auto"/>
              </w:rPr>
              <w:t>$770,861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20" w:type="dxa"/>
            <w:vAlign w:val="bottom"/>
            <w:tcBorders>
              <w:right w:val="single" w:sz="8" w:color="808080"/>
            </w:tcBorders>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1820" w:type="dxa"/>
            <w:vAlign w:val="bottom"/>
            <w:shd w:val="clear" w:color="auto" w:fill="808080"/>
          </w:tcPr>
          <w:p>
            <w:pPr>
              <w:spacing w:after="0"/>
              <w:rPr>
                <w:sz w:val="5"/>
                <w:szCs w:val="5"/>
                <w:color w:val="auto"/>
              </w:rPr>
            </w:pPr>
          </w:p>
        </w:tc>
        <w:tc>
          <w:tcPr>
            <w:tcW w:w="164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Indefinite-Lived Intangible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2743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Assets, Net</w:t>
      </w:r>
    </w:p>
    <w:p>
      <w:pPr>
        <w:sectPr>
          <w:pgSz w:w="11900" w:h="16838" w:orient="portrait"/>
          <w:cols w:equalWidth="0" w:num="1">
            <w:col w:w="11420"/>
          </w:cols>
          <w:pgMar w:left="240" w:top="941" w:right="239" w:bottom="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23"/>
        </w:trPr>
        <w:tc>
          <w:tcPr>
            <w:tcW w:w="2340" w:type="dxa"/>
            <w:vAlign w:val="bottom"/>
          </w:tcPr>
          <w:p>
            <w:pPr>
              <w:ind w:left="220"/>
              <w:spacing w:after="0"/>
              <w:rPr>
                <w:sz w:val="20"/>
                <w:szCs w:val="20"/>
                <w:color w:val="auto"/>
              </w:rPr>
            </w:pPr>
            <w:r>
              <w:rPr>
                <w:rFonts w:ascii="Arial" w:cs="Arial" w:eastAsia="Arial" w:hAnsi="Arial"/>
                <w:sz w:val="18"/>
                <w:szCs w:val="18"/>
                <w:color w:val="auto"/>
              </w:rPr>
              <w:t>Beginning of year</w:t>
            </w:r>
          </w:p>
        </w:tc>
        <w:tc>
          <w:tcPr>
            <w:tcW w:w="6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72"/>
              <w:spacing w:after="0"/>
              <w:rPr>
                <w:sz w:val="20"/>
                <w:szCs w:val="20"/>
                <w:color w:val="auto"/>
              </w:rPr>
            </w:pPr>
            <w:r>
              <w:rPr>
                <w:rFonts w:ascii="Arial" w:cs="Arial" w:eastAsia="Arial" w:hAnsi="Arial"/>
                <w:sz w:val="18"/>
                <w:szCs w:val="18"/>
                <w:color w:val="auto"/>
                <w:w w:val="82"/>
              </w:rPr>
              <w:t>450,759</w:t>
            </w: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2"/>
              <w:spacing w:after="0"/>
              <w:rPr>
                <w:sz w:val="20"/>
                <w:szCs w:val="20"/>
                <w:color w:val="auto"/>
              </w:rPr>
            </w:pPr>
            <w:r>
              <w:rPr>
                <w:rFonts w:ascii="Arial" w:cs="Arial" w:eastAsia="Arial" w:hAnsi="Arial"/>
                <w:sz w:val="18"/>
                <w:szCs w:val="18"/>
                <w:color w:val="auto"/>
                <w:w w:val="86"/>
              </w:rPr>
              <w:t>450,759</w:t>
            </w:r>
          </w:p>
        </w:tc>
      </w:tr>
      <w:tr>
        <w:trPr>
          <w:trHeight w:val="217"/>
        </w:trPr>
        <w:tc>
          <w:tcPr>
            <w:tcW w:w="2340" w:type="dxa"/>
            <w:vAlign w:val="bottom"/>
            <w:tcBorders>
              <w:right w:val="single" w:sz="8" w:color="EEEEEE"/>
            </w:tcBorders>
            <w:shd w:val="clear" w:color="auto" w:fill="EEEEEE"/>
          </w:tcPr>
          <w:p>
            <w:pPr>
              <w:ind w:left="220"/>
              <w:spacing w:after="0"/>
              <w:rPr>
                <w:sz w:val="20"/>
                <w:szCs w:val="20"/>
                <w:color w:val="auto"/>
              </w:rPr>
            </w:pPr>
            <w:r>
              <w:rPr>
                <w:rFonts w:ascii="Arial" w:cs="Arial" w:eastAsia="Arial" w:hAnsi="Arial"/>
                <w:sz w:val="18"/>
                <w:szCs w:val="18"/>
                <w:color w:val="auto"/>
              </w:rPr>
              <w:t>Acquisitions</w:t>
            </w:r>
          </w:p>
        </w:tc>
        <w:tc>
          <w:tcPr>
            <w:tcW w:w="620" w:type="dxa"/>
            <w:vAlign w:val="bottom"/>
            <w:shd w:val="clear" w:color="auto" w:fill="EEEEEE"/>
          </w:tcPr>
          <w:p>
            <w:pPr>
              <w:spacing w:after="0"/>
              <w:rPr>
                <w:sz w:val="18"/>
                <w:szCs w:val="18"/>
                <w:color w:val="auto"/>
              </w:rPr>
            </w:pPr>
          </w:p>
        </w:tc>
        <w:tc>
          <w:tcPr>
            <w:tcW w:w="2600" w:type="dxa"/>
            <w:vAlign w:val="bottom"/>
            <w:shd w:val="clear" w:color="auto" w:fill="EEEEEE"/>
          </w:tcPr>
          <w:p>
            <w:pPr>
              <w:spacing w:after="0"/>
              <w:rPr>
                <w:sz w:val="18"/>
                <w:szCs w:val="18"/>
                <w:color w:val="auto"/>
              </w:rPr>
            </w:pPr>
          </w:p>
        </w:tc>
        <w:tc>
          <w:tcPr>
            <w:tcW w:w="228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372"/>
              <w:spacing w:after="0"/>
              <w:rPr>
                <w:sz w:val="20"/>
                <w:szCs w:val="20"/>
                <w:color w:val="auto"/>
              </w:rPr>
            </w:pPr>
            <w:r>
              <w:rPr>
                <w:rFonts w:ascii="Arial" w:cs="Arial" w:eastAsia="Arial" w:hAnsi="Arial"/>
                <w:sz w:val="18"/>
                <w:szCs w:val="18"/>
                <w:color w:val="auto"/>
                <w:w w:val="98"/>
              </w:rPr>
              <w:t>32,160</w:t>
            </w:r>
          </w:p>
        </w:tc>
        <w:tc>
          <w:tcPr>
            <w:tcW w:w="5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740" w:type="dxa"/>
            <w:vAlign w:val="bottom"/>
            <w:shd w:val="clear" w:color="auto" w:fill="EEEEEE"/>
          </w:tcPr>
          <w:p>
            <w:pPr>
              <w:jc w:val="right"/>
              <w:ind w:right="72"/>
              <w:spacing w:after="0"/>
              <w:rPr>
                <w:sz w:val="20"/>
                <w:szCs w:val="20"/>
                <w:color w:val="auto"/>
              </w:rPr>
            </w:pPr>
            <w:r>
              <w:rPr>
                <w:rFonts w:ascii="Arial" w:cs="Arial" w:eastAsia="Arial" w:hAnsi="Arial"/>
                <w:sz w:val="18"/>
                <w:szCs w:val="18"/>
                <w:color w:val="auto"/>
              </w:rPr>
              <w:t>32,160</w:t>
            </w:r>
          </w:p>
        </w:tc>
      </w:tr>
      <w:tr>
        <w:trPr>
          <w:trHeight w:val="222"/>
        </w:trPr>
        <w:tc>
          <w:tcPr>
            <w:tcW w:w="2340" w:type="dxa"/>
            <w:vAlign w:val="bottom"/>
          </w:tcPr>
          <w:p>
            <w:pPr>
              <w:ind w:left="220"/>
              <w:spacing w:after="0"/>
              <w:rPr>
                <w:sz w:val="20"/>
                <w:szCs w:val="20"/>
                <w:color w:val="auto"/>
              </w:rPr>
            </w:pPr>
            <w:r>
              <w:rPr>
                <w:rFonts w:ascii="Arial" w:cs="Arial" w:eastAsia="Arial" w:hAnsi="Arial"/>
                <w:sz w:val="18"/>
                <w:szCs w:val="18"/>
                <w:color w:val="auto"/>
              </w:rPr>
              <w:t>Disposition</w:t>
            </w:r>
          </w:p>
        </w:tc>
        <w:tc>
          <w:tcPr>
            <w:tcW w:w="6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(500)</w:t>
            </w: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(500)</w:t>
            </w:r>
          </w:p>
        </w:tc>
      </w:tr>
      <w:tr>
        <w:trPr>
          <w:trHeight w:val="102"/>
        </w:trPr>
        <w:tc>
          <w:tcPr>
            <w:tcW w:w="234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600" w:type="dxa"/>
            <w:vAlign w:val="bottom"/>
            <w:tcBorders>
              <w:bottom w:val="single" w:sz="8" w:color="808080"/>
            </w:tcBorders>
          </w:tcPr>
          <w:p>
            <w:pPr>
              <w:spacing w:after="0"/>
              <w:rPr>
                <w:sz w:val="8"/>
                <w:szCs w:val="8"/>
                <w:color w:val="auto"/>
              </w:rPr>
            </w:pPr>
          </w:p>
        </w:tc>
        <w:tc>
          <w:tcPr>
            <w:tcW w:w="22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r>
      <w:tr>
        <w:trPr>
          <w:trHeight w:val="316"/>
        </w:trPr>
        <w:tc>
          <w:tcPr>
            <w:tcW w:w="2340" w:type="dxa"/>
            <w:vAlign w:val="bottom"/>
          </w:tcPr>
          <w:p>
            <w:pPr>
              <w:ind w:left="220"/>
              <w:spacing w:after="0"/>
              <w:rPr>
                <w:sz w:val="20"/>
                <w:szCs w:val="20"/>
                <w:color w:val="auto"/>
              </w:rPr>
            </w:pPr>
            <w:r>
              <w:rPr>
                <w:rFonts w:ascii="Arial" w:cs="Arial" w:eastAsia="Arial" w:hAnsi="Arial"/>
                <w:sz w:val="18"/>
                <w:szCs w:val="18"/>
                <w:color w:val="auto"/>
              </w:rPr>
              <w:t>End of year</w:t>
            </w:r>
          </w:p>
        </w:tc>
        <w:tc>
          <w:tcPr>
            <w:tcW w:w="6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72"/>
              <w:spacing w:after="0"/>
              <w:rPr>
                <w:sz w:val="20"/>
                <w:szCs w:val="20"/>
                <w:color w:val="auto"/>
              </w:rPr>
            </w:pPr>
            <w:r>
              <w:rPr>
                <w:rFonts w:ascii="Arial" w:cs="Arial" w:eastAsia="Arial" w:hAnsi="Arial"/>
                <w:sz w:val="18"/>
                <w:szCs w:val="18"/>
                <w:color w:val="auto"/>
                <w:w w:val="82"/>
              </w:rPr>
              <w:t>482,419</w:t>
            </w: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2"/>
              <w:spacing w:after="0"/>
              <w:rPr>
                <w:sz w:val="20"/>
                <w:szCs w:val="20"/>
                <w:color w:val="auto"/>
              </w:rPr>
            </w:pPr>
            <w:r>
              <w:rPr>
                <w:rFonts w:ascii="Arial" w:cs="Arial" w:eastAsia="Arial" w:hAnsi="Arial"/>
                <w:sz w:val="18"/>
                <w:szCs w:val="18"/>
                <w:color w:val="auto"/>
                <w:w w:val="86"/>
              </w:rPr>
              <w:t>482,419</w:t>
            </w:r>
          </w:p>
        </w:tc>
      </w:tr>
      <w:tr>
        <w:trPr>
          <w:trHeight w:val="107"/>
        </w:trPr>
        <w:tc>
          <w:tcPr>
            <w:tcW w:w="2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61"/>
        </w:trPr>
        <w:tc>
          <w:tcPr>
            <w:tcW w:w="2340" w:type="dxa"/>
            <w:vAlign w:val="bottom"/>
            <w:tcBorders>
              <w:right w:val="single" w:sz="8" w:color="808080"/>
            </w:tcBorders>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600" w:type="dxa"/>
            <w:vAlign w:val="bottom"/>
            <w:shd w:val="clear" w:color="auto" w:fill="808080"/>
          </w:tcPr>
          <w:p>
            <w:pPr>
              <w:spacing w:after="0"/>
              <w:rPr>
                <w:sz w:val="5"/>
                <w:szCs w:val="5"/>
                <w:color w:val="auto"/>
              </w:rPr>
            </w:pPr>
          </w:p>
        </w:tc>
        <w:tc>
          <w:tcPr>
            <w:tcW w:w="228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r>
      <w:tr>
        <w:trPr>
          <w:trHeight w:val="307"/>
        </w:trPr>
        <w:tc>
          <w:tcPr>
            <w:tcW w:w="2340" w:type="dxa"/>
            <w:vAlign w:val="bottom"/>
          </w:tcPr>
          <w:p>
            <w:pPr>
              <w:spacing w:after="0"/>
              <w:rPr>
                <w:sz w:val="20"/>
                <w:szCs w:val="20"/>
                <w:color w:val="auto"/>
              </w:rPr>
            </w:pPr>
            <w:r>
              <w:rPr>
                <w:rFonts w:ascii="Arial" w:cs="Arial" w:eastAsia="Arial" w:hAnsi="Arial"/>
                <w:sz w:val="18"/>
                <w:szCs w:val="18"/>
                <w:b w:val="1"/>
                <w:bCs w:val="1"/>
                <w:color w:val="auto"/>
              </w:rPr>
              <w:t>Amortized Intangible</w:t>
            </w:r>
          </w:p>
        </w:tc>
        <w:tc>
          <w:tcPr>
            <w:tcW w:w="6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29"/>
        </w:trPr>
        <w:tc>
          <w:tcPr>
            <w:tcW w:w="2340" w:type="dxa"/>
            <w:vAlign w:val="bottom"/>
          </w:tcPr>
          <w:p>
            <w:pPr>
              <w:ind w:left="140"/>
              <w:spacing w:after="0"/>
              <w:rPr>
                <w:sz w:val="20"/>
                <w:szCs w:val="20"/>
                <w:color w:val="auto"/>
              </w:rPr>
            </w:pPr>
            <w:r>
              <w:rPr>
                <w:rFonts w:ascii="Arial" w:cs="Arial" w:eastAsia="Arial" w:hAnsi="Arial"/>
                <w:sz w:val="18"/>
                <w:szCs w:val="18"/>
                <w:b w:val="1"/>
                <w:bCs w:val="1"/>
                <w:color w:val="auto"/>
              </w:rPr>
              <w:t>Assets, Net</w:t>
            </w:r>
          </w:p>
        </w:tc>
        <w:tc>
          <w:tcPr>
            <w:tcW w:w="6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17"/>
        </w:trPr>
        <w:tc>
          <w:tcPr>
            <w:tcW w:w="2340" w:type="dxa"/>
            <w:vAlign w:val="bottom"/>
            <w:tcBorders>
              <w:right w:val="single" w:sz="8" w:color="EEEEEE"/>
            </w:tcBorders>
            <w:shd w:val="clear" w:color="auto" w:fill="EEEEEE"/>
          </w:tcPr>
          <w:p>
            <w:pPr>
              <w:ind w:left="220"/>
              <w:spacing w:after="0"/>
              <w:rPr>
                <w:sz w:val="20"/>
                <w:szCs w:val="20"/>
                <w:color w:val="auto"/>
              </w:rPr>
            </w:pPr>
            <w:r>
              <w:rPr>
                <w:rFonts w:ascii="Arial" w:cs="Arial" w:eastAsia="Arial" w:hAnsi="Arial"/>
                <w:sz w:val="18"/>
                <w:szCs w:val="18"/>
                <w:color w:val="auto"/>
              </w:rPr>
              <w:t>Beginning of year</w:t>
            </w:r>
          </w:p>
        </w:tc>
        <w:tc>
          <w:tcPr>
            <w:tcW w:w="620" w:type="dxa"/>
            <w:vAlign w:val="bottom"/>
            <w:shd w:val="clear" w:color="auto" w:fill="EEEEEE"/>
          </w:tcPr>
          <w:p>
            <w:pPr>
              <w:jc w:val="right"/>
              <w:ind w:right="32"/>
              <w:spacing w:after="0"/>
              <w:rPr>
                <w:sz w:val="20"/>
                <w:szCs w:val="20"/>
                <w:color w:val="auto"/>
              </w:rPr>
            </w:pPr>
            <w:r>
              <w:rPr>
                <w:rFonts w:ascii="Arial" w:cs="Arial" w:eastAsia="Arial" w:hAnsi="Arial"/>
                <w:sz w:val="18"/>
                <w:szCs w:val="18"/>
                <w:color w:val="auto"/>
              </w:rPr>
              <w:t>$</w:t>
            </w:r>
          </w:p>
        </w:tc>
        <w:tc>
          <w:tcPr>
            <w:tcW w:w="2600" w:type="dxa"/>
            <w:vAlign w:val="bottom"/>
            <w:shd w:val="clear" w:color="auto" w:fill="EEEEEE"/>
          </w:tcPr>
          <w:p>
            <w:pPr>
              <w:jc w:val="right"/>
              <w:ind w:right="2152"/>
              <w:spacing w:after="0"/>
              <w:rPr>
                <w:sz w:val="20"/>
                <w:szCs w:val="20"/>
                <w:color w:val="auto"/>
              </w:rPr>
            </w:pPr>
            <w:r>
              <w:rPr>
                <w:rFonts w:ascii="Arial" w:cs="Arial" w:eastAsia="Arial" w:hAnsi="Arial"/>
                <w:sz w:val="18"/>
                <w:szCs w:val="18"/>
                <w:color w:val="auto"/>
              </w:rPr>
              <w:t>60</w:t>
            </w:r>
          </w:p>
        </w:tc>
        <w:tc>
          <w:tcPr>
            <w:tcW w:w="2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EEEEE"/>
          </w:tcPr>
          <w:p>
            <w:pPr>
              <w:jc w:val="right"/>
              <w:ind w:right="372"/>
              <w:spacing w:after="0"/>
              <w:rPr>
                <w:sz w:val="20"/>
                <w:szCs w:val="20"/>
                <w:color w:val="auto"/>
              </w:rPr>
            </w:pPr>
            <w:r>
              <w:rPr>
                <w:rFonts w:ascii="Arial" w:cs="Arial" w:eastAsia="Arial" w:hAnsi="Arial"/>
                <w:sz w:val="18"/>
                <w:szCs w:val="18"/>
                <w:color w:val="auto"/>
              </w:rPr>
              <w:t>1,377</w:t>
            </w:r>
          </w:p>
        </w:tc>
        <w:tc>
          <w:tcPr>
            <w:tcW w:w="56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11</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ind w:right="72"/>
              <w:spacing w:after="0"/>
              <w:rPr>
                <w:sz w:val="20"/>
                <w:szCs w:val="20"/>
                <w:color w:val="auto"/>
              </w:rPr>
            </w:pPr>
            <w:r>
              <w:rPr>
                <w:rFonts w:ascii="Arial" w:cs="Arial" w:eastAsia="Arial" w:hAnsi="Arial"/>
                <w:sz w:val="18"/>
                <w:szCs w:val="18"/>
                <w:color w:val="auto"/>
              </w:rPr>
              <w:t>1,448</w:t>
            </w:r>
          </w:p>
        </w:tc>
      </w:tr>
      <w:tr>
        <w:trPr>
          <w:trHeight w:val="216"/>
        </w:trPr>
        <w:tc>
          <w:tcPr>
            <w:tcW w:w="2340" w:type="dxa"/>
            <w:vAlign w:val="bottom"/>
          </w:tcPr>
          <w:p>
            <w:pPr>
              <w:ind w:left="220"/>
              <w:spacing w:after="0"/>
              <w:rPr>
                <w:sz w:val="20"/>
                <w:szCs w:val="20"/>
                <w:color w:val="auto"/>
              </w:rPr>
            </w:pPr>
            <w:r>
              <w:rPr>
                <w:rFonts w:ascii="Arial" w:cs="Arial" w:eastAsia="Arial" w:hAnsi="Arial"/>
                <w:sz w:val="18"/>
                <w:szCs w:val="18"/>
                <w:color w:val="auto"/>
              </w:rPr>
              <w:t>Acquisitions</w:t>
            </w:r>
          </w:p>
        </w:tc>
        <w:tc>
          <w:tcPr>
            <w:tcW w:w="6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20" w:type="dxa"/>
            <w:vAlign w:val="bottom"/>
          </w:tcPr>
          <w:p>
            <w:pPr>
              <w:jc w:val="right"/>
              <w:ind w:right="372"/>
              <w:spacing w:after="0"/>
              <w:rPr>
                <w:sz w:val="20"/>
                <w:szCs w:val="20"/>
                <w:color w:val="auto"/>
              </w:rPr>
            </w:pPr>
            <w:r>
              <w:rPr>
                <w:rFonts w:ascii="Arial" w:cs="Arial" w:eastAsia="Arial" w:hAnsi="Arial"/>
                <w:sz w:val="18"/>
                <w:szCs w:val="18"/>
                <w:color w:val="auto"/>
              </w:rPr>
              <w:t>10</w:t>
            </w:r>
          </w:p>
        </w:tc>
        <w:tc>
          <w:tcPr>
            <w:tcW w:w="560" w:type="dxa"/>
            <w:vAlign w:val="bottom"/>
          </w:tcPr>
          <w:p>
            <w:pPr>
              <w:spacing w:after="0"/>
              <w:rPr>
                <w:sz w:val="18"/>
                <w:szCs w:val="18"/>
                <w:color w:val="auto"/>
              </w:rPr>
            </w:pPr>
          </w:p>
        </w:tc>
        <w:tc>
          <w:tcPr>
            <w:tcW w:w="860" w:type="dxa"/>
            <w:vAlign w:val="bottom"/>
          </w:tcPr>
          <w:p>
            <w:pPr>
              <w:jc w:val="right"/>
              <w:ind w:right="292"/>
              <w:spacing w:after="0"/>
              <w:rPr>
                <w:sz w:val="20"/>
                <w:szCs w:val="20"/>
                <w:color w:val="auto"/>
              </w:rPr>
            </w:pPr>
            <w:r>
              <w:rPr>
                <w:rFonts w:ascii="Arial" w:cs="Arial" w:eastAsia="Arial" w:hAnsi="Arial"/>
                <w:sz w:val="18"/>
                <w:szCs w:val="18"/>
                <w:color w:val="auto"/>
              </w:rPr>
              <w:t>1,350</w:t>
            </w:r>
          </w:p>
        </w:tc>
        <w:tc>
          <w:tcPr>
            <w:tcW w:w="400" w:type="dxa"/>
            <w:vAlign w:val="bottom"/>
          </w:tcPr>
          <w:p>
            <w:pPr>
              <w:spacing w:after="0"/>
              <w:rPr>
                <w:sz w:val="18"/>
                <w:szCs w:val="18"/>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1,360</w:t>
            </w:r>
          </w:p>
        </w:tc>
      </w:tr>
      <w:tr>
        <w:trPr>
          <w:trHeight w:val="216"/>
        </w:trPr>
        <w:tc>
          <w:tcPr>
            <w:tcW w:w="2340" w:type="dxa"/>
            <w:vAlign w:val="bottom"/>
            <w:tcBorders>
              <w:right w:val="single" w:sz="8" w:color="EEEEEE"/>
            </w:tcBorders>
            <w:shd w:val="clear" w:color="auto" w:fill="EEEEEE"/>
          </w:tcPr>
          <w:p>
            <w:pPr>
              <w:ind w:left="220"/>
              <w:spacing w:after="0"/>
              <w:rPr>
                <w:sz w:val="20"/>
                <w:szCs w:val="20"/>
                <w:color w:val="auto"/>
              </w:rPr>
            </w:pPr>
            <w:r>
              <w:rPr>
                <w:rFonts w:ascii="Arial" w:cs="Arial" w:eastAsia="Arial" w:hAnsi="Arial"/>
                <w:sz w:val="18"/>
                <w:szCs w:val="18"/>
                <w:color w:val="auto"/>
              </w:rPr>
              <w:t>Amortization</w:t>
            </w:r>
          </w:p>
        </w:tc>
        <w:tc>
          <w:tcPr>
            <w:tcW w:w="620" w:type="dxa"/>
            <w:vAlign w:val="bottom"/>
            <w:shd w:val="clear" w:color="auto" w:fill="EEEEEE"/>
          </w:tcPr>
          <w:p>
            <w:pPr>
              <w:spacing w:after="0"/>
              <w:rPr>
                <w:sz w:val="18"/>
                <w:szCs w:val="18"/>
                <w:color w:val="auto"/>
              </w:rPr>
            </w:pPr>
          </w:p>
        </w:tc>
        <w:tc>
          <w:tcPr>
            <w:tcW w:w="2600" w:type="dxa"/>
            <w:vAlign w:val="bottom"/>
            <w:shd w:val="clear" w:color="auto" w:fill="EEEEEE"/>
          </w:tcPr>
          <w:p>
            <w:pPr>
              <w:jc w:val="right"/>
              <w:ind w:right="2092"/>
              <w:spacing w:after="0"/>
              <w:rPr>
                <w:sz w:val="20"/>
                <w:szCs w:val="20"/>
                <w:color w:val="auto"/>
              </w:rPr>
            </w:pPr>
            <w:r>
              <w:rPr>
                <w:rFonts w:ascii="Arial" w:cs="Arial" w:eastAsia="Arial" w:hAnsi="Arial"/>
                <w:sz w:val="18"/>
                <w:szCs w:val="18"/>
                <w:color w:val="auto"/>
              </w:rPr>
              <w:t>(15)</w:t>
            </w:r>
          </w:p>
        </w:tc>
        <w:tc>
          <w:tcPr>
            <w:tcW w:w="228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(155)</w:t>
            </w:r>
          </w:p>
        </w:tc>
        <w:tc>
          <w:tcPr>
            <w:tcW w:w="56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rPr>
              <w:t>(485)</w:t>
            </w:r>
          </w:p>
        </w:tc>
        <w:tc>
          <w:tcPr>
            <w:tcW w:w="400" w:type="dxa"/>
            <w:vAlign w:val="bottom"/>
            <w:shd w:val="clear" w:color="auto" w:fill="EEEEEE"/>
          </w:tcPr>
          <w:p>
            <w:pPr>
              <w:spacing w:after="0"/>
              <w:rPr>
                <w:sz w:val="18"/>
                <w:szCs w:val="18"/>
                <w:color w:val="auto"/>
              </w:rPr>
            </w:pPr>
          </w:p>
        </w:tc>
        <w:tc>
          <w:tcPr>
            <w:tcW w:w="74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(655)</w:t>
            </w:r>
          </w:p>
        </w:tc>
      </w:tr>
      <w:tr>
        <w:trPr>
          <w:trHeight w:val="108"/>
        </w:trPr>
        <w:tc>
          <w:tcPr>
            <w:tcW w:w="234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600" w:type="dxa"/>
            <w:vAlign w:val="bottom"/>
            <w:tcBorders>
              <w:bottom w:val="single" w:sz="8" w:color="808080"/>
            </w:tcBorders>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r>
      <w:tr>
        <w:trPr>
          <w:trHeight w:val="318"/>
        </w:trPr>
        <w:tc>
          <w:tcPr>
            <w:tcW w:w="2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6"/>
        </w:trPr>
        <w:tc>
          <w:tcPr>
            <w:tcW w:w="2340" w:type="dxa"/>
            <w:vAlign w:val="bottom"/>
            <w:tcBorders>
              <w:right w:val="single" w:sz="8" w:color="EEEEEE"/>
            </w:tcBorders>
            <w:shd w:val="clear" w:color="auto" w:fill="EEEEEE"/>
          </w:tcPr>
          <w:p>
            <w:pPr>
              <w:ind w:left="220"/>
              <w:spacing w:after="0"/>
              <w:rPr>
                <w:sz w:val="20"/>
                <w:szCs w:val="20"/>
                <w:color w:val="auto"/>
              </w:rPr>
            </w:pPr>
            <w:r>
              <w:rPr>
                <w:rFonts w:ascii="Arial" w:cs="Arial" w:eastAsia="Arial" w:hAnsi="Arial"/>
                <w:sz w:val="18"/>
                <w:szCs w:val="18"/>
                <w:color w:val="auto"/>
              </w:rPr>
              <w:t>End of year</w:t>
            </w:r>
          </w:p>
        </w:tc>
        <w:tc>
          <w:tcPr>
            <w:tcW w:w="620" w:type="dxa"/>
            <w:vAlign w:val="bottom"/>
            <w:shd w:val="clear" w:color="auto" w:fill="EEEEEE"/>
          </w:tcPr>
          <w:p>
            <w:pPr>
              <w:jc w:val="right"/>
              <w:ind w:right="32"/>
              <w:spacing w:after="0"/>
              <w:rPr>
                <w:sz w:val="20"/>
                <w:szCs w:val="20"/>
                <w:color w:val="auto"/>
              </w:rPr>
            </w:pPr>
            <w:r>
              <w:rPr>
                <w:rFonts w:ascii="Arial" w:cs="Arial" w:eastAsia="Arial" w:hAnsi="Arial"/>
                <w:sz w:val="18"/>
                <w:szCs w:val="18"/>
                <w:color w:val="auto"/>
              </w:rPr>
              <w:t>$</w:t>
            </w:r>
          </w:p>
        </w:tc>
        <w:tc>
          <w:tcPr>
            <w:tcW w:w="2600" w:type="dxa"/>
            <w:vAlign w:val="bottom"/>
            <w:shd w:val="clear" w:color="auto" w:fill="EEEEEE"/>
          </w:tcPr>
          <w:p>
            <w:pPr>
              <w:jc w:val="right"/>
              <w:ind w:right="2152"/>
              <w:spacing w:after="0"/>
              <w:rPr>
                <w:sz w:val="20"/>
                <w:szCs w:val="20"/>
                <w:color w:val="auto"/>
              </w:rPr>
            </w:pPr>
            <w:r>
              <w:rPr>
                <w:rFonts w:ascii="Arial" w:cs="Arial" w:eastAsia="Arial" w:hAnsi="Arial"/>
                <w:sz w:val="18"/>
                <w:szCs w:val="18"/>
                <w:color w:val="auto"/>
              </w:rPr>
              <w:t>45</w:t>
            </w:r>
          </w:p>
        </w:tc>
        <w:tc>
          <w:tcPr>
            <w:tcW w:w="2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EEEEE"/>
          </w:tcPr>
          <w:p>
            <w:pPr>
              <w:jc w:val="right"/>
              <w:ind w:right="372"/>
              <w:spacing w:after="0"/>
              <w:rPr>
                <w:sz w:val="20"/>
                <w:szCs w:val="20"/>
                <w:color w:val="auto"/>
              </w:rPr>
            </w:pPr>
            <w:r>
              <w:rPr>
                <w:rFonts w:ascii="Arial" w:cs="Arial" w:eastAsia="Arial" w:hAnsi="Arial"/>
                <w:sz w:val="18"/>
                <w:szCs w:val="18"/>
                <w:color w:val="auto"/>
              </w:rPr>
              <w:t>1,232</w:t>
            </w:r>
          </w:p>
        </w:tc>
        <w:tc>
          <w:tcPr>
            <w:tcW w:w="56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876</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ind w:right="72"/>
              <w:spacing w:after="0"/>
              <w:rPr>
                <w:sz w:val="20"/>
                <w:szCs w:val="20"/>
                <w:color w:val="auto"/>
              </w:rPr>
            </w:pPr>
            <w:r>
              <w:rPr>
                <w:rFonts w:ascii="Arial" w:cs="Arial" w:eastAsia="Arial" w:hAnsi="Arial"/>
                <w:sz w:val="18"/>
                <w:szCs w:val="18"/>
                <w:color w:val="auto"/>
              </w:rPr>
              <w:t>2,153</w:t>
            </w:r>
          </w:p>
        </w:tc>
      </w:tr>
      <w:tr>
        <w:trPr>
          <w:trHeight w:val="105"/>
        </w:trPr>
        <w:tc>
          <w:tcPr>
            <w:tcW w:w="2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r>
      <w:tr>
        <w:trPr>
          <w:trHeight w:val="61"/>
        </w:trPr>
        <w:tc>
          <w:tcPr>
            <w:tcW w:w="2340" w:type="dxa"/>
            <w:vAlign w:val="bottom"/>
            <w:tcBorders>
              <w:right w:val="single" w:sz="8" w:color="808080"/>
            </w:tcBorders>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600" w:type="dxa"/>
            <w:vAlign w:val="bottom"/>
            <w:shd w:val="clear" w:color="auto" w:fill="808080"/>
          </w:tcPr>
          <w:p>
            <w:pPr>
              <w:spacing w:after="0"/>
              <w:rPr>
                <w:sz w:val="5"/>
                <w:szCs w:val="5"/>
                <w:color w:val="auto"/>
              </w:rPr>
            </w:pPr>
          </w:p>
        </w:tc>
        <w:tc>
          <w:tcPr>
            <w:tcW w:w="228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 OTHER NON-OPERATING INCOME (EXPENSE)</w:t>
      </w:r>
    </w:p>
    <w:p>
      <w:pPr>
        <w:spacing w:after="0" w:line="23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Company recorded other non-operating income, net, of $55.4 million in 2003, $28.9 million in 2002, and $283.7 million in 2001. The 2003 non-operating income, net, mostly comprises a $49.8 million pre-tax gain from the sale of the Company’s 50 percent interest in the International Herald Tribune. The 2002 non-operating income, net, includes a pre-tax gain of $27.8 million on the exchange of certain cable systems in the fourth quarter of 2002 and a gain on the sale of marketable securities, offset by write-downs recorded on certain investments. The 2001 non-operating income mostly comprised gains arising from the sale and exchange of certain cable systems completed in the first quarter of 2001, offset by write-downs recorded on certain investments and a parcel of non-operating land to their estimated fair value.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A summary of non-operating income (expense) for the years ended December 28, 2003, December 29, 2002 and December 30, 2001, follows (in millions):</w:t>
      </w:r>
    </w:p>
    <w:p>
      <w:pPr>
        <w:spacing w:after="0" w:line="200" w:lineRule="exact"/>
        <w:rPr>
          <w:sz w:val="20"/>
          <w:szCs w:val="20"/>
          <w:color w:val="auto"/>
        </w:rPr>
      </w:pPr>
    </w:p>
    <w:p>
      <w:pPr>
        <w:spacing w:after="0" w:line="258"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300" w:type="dxa"/>
            <w:vAlign w:val="bottom"/>
          </w:tcPr>
          <w:p>
            <w:pPr>
              <w:jc w:val="right"/>
              <w:ind w:right="432"/>
              <w:spacing w:after="0"/>
              <w:rPr>
                <w:sz w:val="20"/>
                <w:szCs w:val="20"/>
                <w:color w:val="auto"/>
              </w:rPr>
            </w:pPr>
            <w:r>
              <w:rPr>
                <w:rFonts w:ascii="Arial" w:cs="Arial" w:eastAsia="Arial" w:hAnsi="Arial"/>
                <w:sz w:val="18"/>
                <w:szCs w:val="18"/>
                <w:b w:val="1"/>
                <w:bCs w:val="1"/>
                <w:color w:val="auto"/>
              </w:rPr>
              <w:t>2003</w:t>
            </w:r>
          </w:p>
        </w:tc>
        <w:tc>
          <w:tcPr>
            <w:tcW w:w="540" w:type="dxa"/>
            <w:vAlign w:val="bottom"/>
          </w:tcPr>
          <w:p>
            <w:pPr>
              <w:spacing w:after="0"/>
              <w:rPr>
                <w:sz w:val="19"/>
                <w:szCs w:val="19"/>
                <w:color w:val="auto"/>
              </w:rPr>
            </w:pPr>
          </w:p>
        </w:tc>
        <w:tc>
          <w:tcPr>
            <w:tcW w:w="880" w:type="dxa"/>
            <w:vAlign w:val="bottom"/>
          </w:tcPr>
          <w:p>
            <w:pPr>
              <w:jc w:val="right"/>
              <w:ind w:right="432"/>
              <w:spacing w:after="0"/>
              <w:rPr>
                <w:sz w:val="20"/>
                <w:szCs w:val="20"/>
                <w:color w:val="auto"/>
              </w:rPr>
            </w:pPr>
            <w:r>
              <w:rPr>
                <w:rFonts w:ascii="Arial" w:cs="Arial" w:eastAsia="Arial" w:hAnsi="Arial"/>
                <w:sz w:val="18"/>
                <w:szCs w:val="18"/>
                <w:color w:val="auto"/>
                <w:w w:val="84"/>
              </w:rPr>
              <w:t>2002</w:t>
            </w:r>
          </w:p>
        </w:tc>
        <w:tc>
          <w:tcPr>
            <w:tcW w:w="540" w:type="dxa"/>
            <w:vAlign w:val="bottom"/>
          </w:tcPr>
          <w:p>
            <w:pPr>
              <w:spacing w:after="0"/>
              <w:rPr>
                <w:sz w:val="19"/>
                <w:szCs w:val="19"/>
                <w:color w:val="auto"/>
              </w:rPr>
            </w:pPr>
          </w:p>
        </w:tc>
        <w:tc>
          <w:tcPr>
            <w:tcW w:w="700" w:type="dxa"/>
            <w:vAlign w:val="bottom"/>
          </w:tcPr>
          <w:p>
            <w:pPr>
              <w:jc w:val="right"/>
              <w:ind w:right="212"/>
              <w:spacing w:after="0"/>
              <w:rPr>
                <w:sz w:val="20"/>
                <w:szCs w:val="20"/>
                <w:color w:val="auto"/>
              </w:rPr>
            </w:pPr>
            <w:r>
              <w:rPr>
                <w:rFonts w:ascii="Arial" w:cs="Arial" w:eastAsia="Arial" w:hAnsi="Arial"/>
                <w:sz w:val="18"/>
                <w:szCs w:val="18"/>
                <w:color w:val="auto"/>
                <w:w w:val="94"/>
              </w:rPr>
              <w:t>2001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3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color w:val="auto"/>
              </w:rPr>
              <w:t>Gain on sale of interest in IHT</w:t>
            </w:r>
          </w:p>
        </w:tc>
        <w:tc>
          <w:tcPr>
            <w:tcW w:w="1300" w:type="dxa"/>
            <w:vAlign w:val="bottom"/>
            <w:shd w:val="clear" w:color="auto" w:fill="EEEEEE"/>
          </w:tcPr>
          <w:p>
            <w:pPr>
              <w:jc w:val="right"/>
              <w:ind w:right="432"/>
              <w:spacing w:after="0"/>
              <w:rPr>
                <w:sz w:val="20"/>
                <w:szCs w:val="20"/>
                <w:color w:val="auto"/>
              </w:rPr>
            </w:pPr>
            <w:r>
              <w:rPr>
                <w:rFonts w:ascii="Arial" w:cs="Arial" w:eastAsia="Arial" w:hAnsi="Arial"/>
                <w:sz w:val="18"/>
                <w:szCs w:val="18"/>
                <w:b w:val="1"/>
                <w:bCs w:val="1"/>
                <w:color w:val="auto"/>
              </w:rPr>
              <w:t>$49.8</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rPr>
              <w:t>—</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ind w:right="2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Foreign currency gains, net</w:t>
            </w:r>
          </w:p>
        </w:tc>
        <w:tc>
          <w:tcPr>
            <w:tcW w:w="1300" w:type="dxa"/>
            <w:vAlign w:val="bottom"/>
          </w:tcPr>
          <w:p>
            <w:pPr>
              <w:jc w:val="right"/>
              <w:ind w:right="432"/>
              <w:spacing w:after="0"/>
              <w:rPr>
                <w:sz w:val="20"/>
                <w:szCs w:val="20"/>
                <w:color w:val="auto"/>
              </w:rPr>
            </w:pPr>
            <w:r>
              <w:rPr>
                <w:rFonts w:ascii="Arial" w:cs="Arial" w:eastAsia="Arial" w:hAnsi="Arial"/>
                <w:sz w:val="18"/>
                <w:szCs w:val="18"/>
                <w:b w:val="1"/>
                <w:bCs w:val="1"/>
                <w:color w:val="auto"/>
              </w:rPr>
              <w:t>4.2</w:t>
            </w:r>
          </w:p>
        </w:tc>
        <w:tc>
          <w:tcPr>
            <w:tcW w:w="540" w:type="dxa"/>
            <w:vAlign w:val="bottom"/>
          </w:tcPr>
          <w:p>
            <w:pPr>
              <w:spacing w:after="0"/>
              <w:rPr>
                <w:sz w:val="18"/>
                <w:szCs w:val="18"/>
                <w:color w:val="auto"/>
              </w:rPr>
            </w:pPr>
          </w:p>
        </w:tc>
        <w:tc>
          <w:tcPr>
            <w:tcW w:w="88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7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color w:val="auto"/>
              </w:rPr>
              <w:t>Impairment write-downs on cost method and other investments</w:t>
            </w:r>
          </w:p>
        </w:tc>
        <w:tc>
          <w:tcPr>
            <w:tcW w:w="1300" w:type="dxa"/>
            <w:vAlign w:val="bottom"/>
            <w:shd w:val="clear" w:color="auto" w:fill="EEEEEE"/>
          </w:tcPr>
          <w:p>
            <w:pPr>
              <w:jc w:val="right"/>
              <w:ind w:right="372"/>
              <w:spacing w:after="0"/>
              <w:rPr>
                <w:sz w:val="20"/>
                <w:szCs w:val="20"/>
                <w:color w:val="auto"/>
              </w:rPr>
            </w:pPr>
            <w:r>
              <w:rPr>
                <w:rFonts w:ascii="Arial" w:cs="Arial" w:eastAsia="Arial" w:hAnsi="Arial"/>
                <w:sz w:val="18"/>
                <w:szCs w:val="18"/>
                <w:b w:val="1"/>
                <w:bCs w:val="1"/>
                <w:color w:val="auto"/>
              </w:rPr>
              <w:t>(1.3)</w:t>
            </w:r>
          </w:p>
        </w:tc>
        <w:tc>
          <w:tcPr>
            <w:tcW w:w="54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372"/>
              <w:spacing w:after="0"/>
              <w:rPr>
                <w:sz w:val="20"/>
                <w:szCs w:val="20"/>
                <w:color w:val="auto"/>
              </w:rPr>
            </w:pPr>
            <w:r>
              <w:rPr>
                <w:rFonts w:ascii="Arial" w:cs="Arial" w:eastAsia="Arial" w:hAnsi="Arial"/>
                <w:sz w:val="18"/>
                <w:szCs w:val="18"/>
                <w:color w:val="auto"/>
                <w:w w:val="84"/>
              </w:rPr>
              <w:t>(21.2)</w:t>
            </w:r>
          </w:p>
        </w:tc>
        <w:tc>
          <w:tcPr>
            <w:tcW w:w="540" w:type="dxa"/>
            <w:vAlign w:val="bottom"/>
            <w:shd w:val="clear" w:color="auto" w:fill="EEEEEE"/>
          </w:tcPr>
          <w:p>
            <w:pPr>
              <w:spacing w:after="0"/>
              <w:rPr>
                <w:sz w:val="18"/>
                <w:szCs w:val="18"/>
                <w:color w:val="auto"/>
              </w:rPr>
            </w:pPr>
          </w:p>
        </w:tc>
        <w:tc>
          <w:tcPr>
            <w:tcW w:w="700" w:type="dxa"/>
            <w:vAlign w:val="bottom"/>
            <w:shd w:val="clear" w:color="auto" w:fill="EEEEEE"/>
          </w:tcPr>
          <w:p>
            <w:pPr>
              <w:jc w:val="right"/>
              <w:ind w:right="152"/>
              <w:spacing w:after="0"/>
              <w:rPr>
                <w:sz w:val="20"/>
                <w:szCs w:val="20"/>
                <w:color w:val="auto"/>
              </w:rPr>
            </w:pPr>
            <w:r>
              <w:rPr>
                <w:rFonts w:ascii="Arial" w:cs="Arial" w:eastAsia="Arial" w:hAnsi="Arial"/>
                <w:sz w:val="18"/>
                <w:szCs w:val="18"/>
                <w:color w:val="auto"/>
                <w:w w:val="93"/>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Gain on sale or exchange of cable system businesses</w:t>
            </w:r>
          </w:p>
        </w:tc>
        <w:tc>
          <w:tcPr>
            <w:tcW w:w="1300" w:type="dxa"/>
            <w:vAlign w:val="bottom"/>
          </w:tcPr>
          <w:p>
            <w:pPr>
              <w:jc w:val="right"/>
              <w:ind w:right="432"/>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8"/>
                <w:szCs w:val="18"/>
                <w:color w:val="auto"/>
              </w:rPr>
            </w:pPr>
          </w:p>
        </w:tc>
        <w:tc>
          <w:tcPr>
            <w:tcW w:w="880" w:type="dxa"/>
            <w:vAlign w:val="bottom"/>
          </w:tcPr>
          <w:p>
            <w:pPr>
              <w:jc w:val="right"/>
              <w:ind w:right="432"/>
              <w:spacing w:after="0"/>
              <w:rPr>
                <w:sz w:val="20"/>
                <w:szCs w:val="20"/>
                <w:color w:val="auto"/>
              </w:rPr>
            </w:pPr>
            <w:r>
              <w:rPr>
                <w:rFonts w:ascii="Arial" w:cs="Arial" w:eastAsia="Arial" w:hAnsi="Arial"/>
                <w:sz w:val="18"/>
                <w:szCs w:val="18"/>
                <w:color w:val="auto"/>
                <w:w w:val="96"/>
              </w:rPr>
              <w:t>27.8</w:t>
            </w:r>
          </w:p>
        </w:tc>
        <w:tc>
          <w:tcPr>
            <w:tcW w:w="540" w:type="dxa"/>
            <w:vAlign w:val="bottom"/>
          </w:tcPr>
          <w:p>
            <w:pPr>
              <w:spacing w:after="0"/>
              <w:rPr>
                <w:sz w:val="18"/>
                <w:szCs w:val="18"/>
                <w:color w:val="auto"/>
              </w:rPr>
            </w:pPr>
          </w:p>
        </w:tc>
        <w:tc>
          <w:tcPr>
            <w:tcW w:w="700" w:type="dxa"/>
            <w:vAlign w:val="bottom"/>
          </w:tcPr>
          <w:p>
            <w:pPr>
              <w:jc w:val="right"/>
              <w:ind w:right="212"/>
              <w:spacing w:after="0"/>
              <w:rPr>
                <w:sz w:val="20"/>
                <w:szCs w:val="20"/>
                <w:color w:val="auto"/>
              </w:rPr>
            </w:pPr>
            <w:r>
              <w:rPr>
                <w:rFonts w:ascii="Arial" w:cs="Arial" w:eastAsia="Arial" w:hAnsi="Arial"/>
                <w:sz w:val="18"/>
                <w:szCs w:val="18"/>
                <w:color w:val="auto"/>
                <w:w w:val="84"/>
              </w:rPr>
              <w:t>321.1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color w:val="auto"/>
              </w:rPr>
              <w:t>Gain (loss) on sales of marketable securities</w:t>
            </w:r>
          </w:p>
        </w:tc>
        <w:tc>
          <w:tcPr>
            <w:tcW w:w="1300" w:type="dxa"/>
            <w:vAlign w:val="bottom"/>
            <w:shd w:val="clear" w:color="auto" w:fill="EEEEEE"/>
          </w:tcPr>
          <w:p>
            <w:pPr>
              <w:jc w:val="right"/>
              <w:ind w:right="432"/>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w w:val="96"/>
              </w:rPr>
              <w:t>13.2</w:t>
            </w:r>
          </w:p>
        </w:tc>
        <w:tc>
          <w:tcPr>
            <w:tcW w:w="540" w:type="dxa"/>
            <w:vAlign w:val="bottom"/>
            <w:shd w:val="clear" w:color="auto" w:fill="EEEEEE"/>
          </w:tcPr>
          <w:p>
            <w:pPr>
              <w:spacing w:after="0"/>
              <w:rPr>
                <w:sz w:val="18"/>
                <w:szCs w:val="18"/>
                <w:color w:val="auto"/>
              </w:rPr>
            </w:pPr>
          </w:p>
        </w:tc>
        <w:tc>
          <w:tcPr>
            <w:tcW w:w="700" w:type="dxa"/>
            <w:vAlign w:val="bottom"/>
            <w:shd w:val="clear" w:color="auto" w:fill="EEEEEE"/>
          </w:tcPr>
          <w:p>
            <w:pPr>
              <w:jc w:val="right"/>
              <w:ind w:right="15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Impairment write-down of non-operating asset</w:t>
            </w:r>
          </w:p>
        </w:tc>
        <w:tc>
          <w:tcPr>
            <w:tcW w:w="1300" w:type="dxa"/>
            <w:vAlign w:val="bottom"/>
          </w:tcPr>
          <w:p>
            <w:pPr>
              <w:jc w:val="right"/>
              <w:ind w:right="432"/>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8"/>
                <w:szCs w:val="18"/>
                <w:color w:val="auto"/>
              </w:rPr>
            </w:pPr>
          </w:p>
        </w:tc>
        <w:tc>
          <w:tcPr>
            <w:tcW w:w="88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1300" w:type="dxa"/>
            <w:vAlign w:val="bottom"/>
            <w:shd w:val="clear" w:color="auto" w:fill="EEEEEE"/>
          </w:tcPr>
          <w:p>
            <w:pPr>
              <w:jc w:val="right"/>
              <w:ind w:right="432"/>
              <w:spacing w:after="0"/>
              <w:rPr>
                <w:sz w:val="20"/>
                <w:szCs w:val="20"/>
                <w:color w:val="auto"/>
              </w:rPr>
            </w:pPr>
            <w:r>
              <w:rPr>
                <w:rFonts w:ascii="Arial" w:cs="Arial" w:eastAsia="Arial" w:hAnsi="Arial"/>
                <w:sz w:val="18"/>
                <w:szCs w:val="18"/>
                <w:b w:val="1"/>
                <w:bCs w:val="1"/>
                <w:color w:val="auto"/>
              </w:rPr>
              <w:t>2.7</w:t>
            </w:r>
          </w:p>
        </w:tc>
        <w:tc>
          <w:tcPr>
            <w:tcW w:w="54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rPr>
              <w:t>9.1</w:t>
            </w:r>
          </w:p>
        </w:tc>
        <w:tc>
          <w:tcPr>
            <w:tcW w:w="540" w:type="dxa"/>
            <w:vAlign w:val="bottom"/>
            <w:shd w:val="clear" w:color="auto" w:fill="EEEEEE"/>
          </w:tcPr>
          <w:p>
            <w:pPr>
              <w:spacing w:after="0"/>
              <w:rPr>
                <w:sz w:val="18"/>
                <w:szCs w:val="18"/>
                <w:color w:val="auto"/>
              </w:rPr>
            </w:pPr>
          </w:p>
        </w:tc>
        <w:tc>
          <w:tcPr>
            <w:tcW w:w="700" w:type="dxa"/>
            <w:vAlign w:val="bottom"/>
            <w:shd w:val="clear" w:color="auto" w:fill="EEEEEE"/>
          </w:tcPr>
          <w:p>
            <w:pPr>
              <w:jc w:val="right"/>
              <w:ind w:right="15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300" w:type="dxa"/>
            <w:vAlign w:val="bottom"/>
          </w:tcPr>
          <w:p>
            <w:pPr>
              <w:ind w:left="260"/>
              <w:spacing w:after="0"/>
              <w:rPr>
                <w:sz w:val="20"/>
                <w:szCs w:val="20"/>
                <w:color w:val="auto"/>
              </w:rPr>
            </w:pPr>
            <w:r>
              <w:rPr>
                <w:rFonts w:ascii="Arial" w:cs="Arial" w:eastAsia="Arial" w:hAnsi="Arial"/>
                <w:sz w:val="18"/>
                <w:szCs w:val="18"/>
                <w:color w:val="auto"/>
              </w:rPr>
              <w:t>Total</w:t>
            </w:r>
          </w:p>
        </w:tc>
        <w:tc>
          <w:tcPr>
            <w:tcW w:w="1300" w:type="dxa"/>
            <w:vAlign w:val="bottom"/>
          </w:tcPr>
          <w:p>
            <w:pPr>
              <w:jc w:val="right"/>
              <w:ind w:right="432"/>
              <w:spacing w:after="0"/>
              <w:rPr>
                <w:sz w:val="20"/>
                <w:szCs w:val="20"/>
                <w:color w:val="auto"/>
              </w:rPr>
            </w:pPr>
            <w:r>
              <w:rPr>
                <w:rFonts w:ascii="Arial" w:cs="Arial" w:eastAsia="Arial" w:hAnsi="Arial"/>
                <w:sz w:val="18"/>
                <w:szCs w:val="18"/>
                <w:b w:val="1"/>
                <w:bCs w:val="1"/>
                <w:color w:val="auto"/>
              </w:rPr>
              <w:t>$55.4</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432"/>
              <w:spacing w:after="0"/>
              <w:rPr>
                <w:sz w:val="20"/>
                <w:szCs w:val="20"/>
                <w:color w:val="auto"/>
              </w:rPr>
            </w:pPr>
            <w:r>
              <w:rPr>
                <w:rFonts w:ascii="Arial" w:cs="Arial" w:eastAsia="Arial" w:hAnsi="Arial"/>
                <w:sz w:val="18"/>
                <w:szCs w:val="18"/>
                <w:color w:val="auto"/>
                <w:w w:val="96"/>
              </w:rPr>
              <w:t>28.9</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2"/>
              <w:spacing w:after="0"/>
              <w:rPr>
                <w:sz w:val="20"/>
                <w:szCs w:val="20"/>
                <w:color w:val="auto"/>
              </w:rPr>
            </w:pPr>
            <w:r>
              <w:rPr>
                <w:rFonts w:ascii="Arial" w:cs="Arial" w:eastAsia="Arial" w:hAnsi="Arial"/>
                <w:sz w:val="18"/>
                <w:szCs w:val="18"/>
                <w:color w:val="auto"/>
                <w:w w:val="84"/>
              </w:rPr>
              <w:t>283.7</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CONTINGENCIES</w:t>
      </w:r>
    </w:p>
    <w:p>
      <w:pPr>
        <w:spacing w:after="0" w:line="23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and its subsidiaries are parties to various civil lawsuits that have arisen in the ordinary course of their businesses, including actions for libel and invasion of privacy, and violations of applicable wage and hour laws. Management does not believe that any litigation pending against the Company will have a material adverse effect on its business or financial condition.</w:t>
      </w:r>
    </w:p>
    <w:p>
      <w:pPr>
        <w:spacing w:after="0" w:line="19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Company’s education division derives a portion of its net revenues from financial aid received by its students under Title IV programs administered by the U.S. Department of Education pursuant to the Federal Higher Education Act of 1965 (HEA), as amended. In order to participate in Title IV Programs, the Company must comply with complex standards set forth in the HEA and the regulations promulgated thereunder (the Regulations). The failure to comply with the requirements of HEA or the Regulations could result in the restriction or loss of the ability to participate in Title IV Programs and subject the Company to financial penalties. For the years ended December 28, 2003, December 29, 2002 and December 30, 2001, approximately $250.0 million, $161.7 million and $101.5 million, respectively, of the Company’s education division revenues were derived from financial aid received by students under Title IV Programs. Management believes that the Company’s education division schools that participate in Title IV Programs are in material compliance with standards set forth in the HEA and the Regulations.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N. BUSINESS SEGMENTS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Company operates principally in four areas of the media business: newspaper publishing, television broadcasting, magazine publishing and cable television.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Through its subsidiary Kaplan, Inc., the Company also provides educational services for individuals, schools and businesses.</w:t>
      </w:r>
    </w:p>
    <w:p>
      <w:pPr>
        <w:spacing w:after="0" w:line="219"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Newspaper publishing includes the publication of newspapers in the Washington, D.C. area and Everett, Washington; newsprint warehousing and recycling facilities; and the Company’s electronic media publishing business (primarily washingtonpost.com).</w:t>
      </w:r>
    </w:p>
    <w:p>
      <w:pPr>
        <w:spacing w:after="0" w:line="18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magazine publishing division consists of the publication of a weekly news magazine, Newsweek, which has one domestic and three international editions, the publication of Arthur Frommer’s Budget Travel, and the publication of business periodicals for the computer services industry and the Washington-area technology community.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Revenues from both newspaper and magazine publishing operations are derived from advertising and, to a lesser extent, from circulation.</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Television broadcasting operations are conducted through six VHF television stations serving the Detroit, Houston, Miami, San Antonio, Orlando and Jacksonville television markets. All stations are network-affiliated (except for WJXT in Jacksonville) with revenues derived primarily from sales of advertising time.</w:t>
      </w:r>
    </w:p>
    <w:p>
      <w:pPr>
        <w:spacing w:after="0" w:line="194" w:lineRule="exact"/>
        <w:rPr>
          <w:sz w:val="20"/>
          <w:szCs w:val="20"/>
          <w:color w:val="auto"/>
        </w:rPr>
      </w:pPr>
    </w:p>
    <w:p>
      <w:pPr>
        <w:ind w:right="780"/>
        <w:spacing w:after="0" w:line="332" w:lineRule="auto"/>
        <w:rPr>
          <w:sz w:val="20"/>
          <w:szCs w:val="20"/>
          <w:color w:val="auto"/>
        </w:rPr>
      </w:pPr>
      <w:r>
        <w:rPr>
          <w:rFonts w:ascii="Arial" w:cs="Arial" w:eastAsia="Arial" w:hAnsi="Arial"/>
          <w:sz w:val="16"/>
          <w:szCs w:val="16"/>
          <w:color w:val="auto"/>
        </w:rPr>
        <w:t>Cable television operations consist of cable systems offering basic cable, digital cable, pay television, cable modem and other services to subscribers in midwestern, western, and southern states. The principal source of revenues is monthly subscription fees charged for services.</w:t>
      </w:r>
    </w:p>
    <w:p>
      <w:pPr>
        <w:spacing w:after="0" w:line="13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Education products and services are provided through the Company’s wholly-owned subsidiary, Kaplan, Inc. Kaplan’s businesses include supplemental education services, which is made up of Kaplan Test Prep and Admissions, providing test preparation services for college and graduate school entrance exams; Kaplan Professional, providing education and career services to business people and other professionals; and Score!, offering multi-media learning and private tutoring to children and educational resources to parents. Kaplan’s businesses also include higher education services, which include all of Kaplan’s post-secondary education businesses, including the fixed-facility colleges that were formerly part of Quest Education, which offer Bachelor’s degrees, Associate’s degrees and diploma programs primarily in the fields of health care, business and information technology; and online post-secondary and career programs (various distance-learning businesses, including kaplancollege.com).</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Corporate office includes the expenses of the Company’s corporate office.</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Company’s foreign revenues in 2003, 2002 and 2001 totaled approximately $140 million, $81 million and $89 million, respectively, principally from Kaplan’s foreign operations and the publication of the international editions of Newsweek. The Company’s long-lived assets in foreign countries, principally in the United Kingdom, totaled approximately $205 million at December 28, 2003.</w:t>
      </w:r>
    </w:p>
    <w:p>
      <w:pPr>
        <w:spacing w:after="0" w:line="194"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Income from operations is the excess of operating revenues over operating expenses. In computing income from operations by segment, the effects of equity in earnings of affiliates, interest income, interest expense, other non-operating income and expense items, and income taxes are not included.</w:t>
      </w:r>
    </w:p>
    <w:p>
      <w:pPr>
        <w:spacing w:after="0" w:line="139"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Identifiable assets by segment are those assets used in the Company’s operations in each business segment. Investments in marketable equity securities and investments in affiliates are discussed in Note C.</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color w:val="auto"/>
              </w:rPr>
              <w:t>Newspaper</w:t>
            </w:r>
          </w:p>
        </w:tc>
        <w:tc>
          <w:tcPr>
            <w:tcW w:w="1420" w:type="dxa"/>
            <w:vAlign w:val="bottom"/>
            <w:gridSpan w:val="2"/>
          </w:tcPr>
          <w:p>
            <w:pPr>
              <w:jc w:val="right"/>
              <w:ind w:right="352"/>
              <w:spacing w:after="0"/>
              <w:rPr>
                <w:sz w:val="20"/>
                <w:szCs w:val="20"/>
                <w:color w:val="auto"/>
              </w:rPr>
            </w:pPr>
            <w:r>
              <w:rPr>
                <w:rFonts w:ascii="Arial" w:cs="Arial" w:eastAsia="Arial" w:hAnsi="Arial"/>
                <w:sz w:val="14"/>
                <w:szCs w:val="14"/>
                <w:color w:val="auto"/>
              </w:rPr>
              <w:t>Television</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Magazine</w:t>
            </w:r>
          </w:p>
        </w:tc>
        <w:tc>
          <w:tcPr>
            <w:tcW w:w="400" w:type="dxa"/>
            <w:vAlign w:val="bottom"/>
          </w:tcPr>
          <w:p>
            <w:pPr>
              <w:spacing w:after="0"/>
              <w:rPr>
                <w:sz w:val="14"/>
                <w:szCs w:val="14"/>
                <w:color w:val="auto"/>
              </w:rPr>
            </w:pPr>
          </w:p>
        </w:tc>
        <w:tc>
          <w:tcPr>
            <w:tcW w:w="900" w:type="dxa"/>
            <w:vAlign w:val="bottom"/>
          </w:tcPr>
          <w:p>
            <w:pPr>
              <w:jc w:val="right"/>
              <w:ind w:right="412"/>
              <w:spacing w:after="0"/>
              <w:rPr>
                <w:sz w:val="20"/>
                <w:szCs w:val="20"/>
                <w:color w:val="auto"/>
              </w:rPr>
            </w:pPr>
            <w:r>
              <w:rPr>
                <w:rFonts w:ascii="Arial" w:cs="Arial" w:eastAsia="Arial" w:hAnsi="Arial"/>
                <w:sz w:val="14"/>
                <w:szCs w:val="14"/>
                <w:color w:val="auto"/>
              </w:rPr>
              <w:t>Cable</w:t>
            </w: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gridSpan w:val="2"/>
          </w:tcPr>
          <w:p>
            <w:pPr>
              <w:jc w:val="right"/>
              <w:ind w:right="292"/>
              <w:spacing w:after="0"/>
              <w:rPr>
                <w:sz w:val="20"/>
                <w:szCs w:val="20"/>
                <w:color w:val="auto"/>
              </w:rPr>
            </w:pPr>
            <w:r>
              <w:rPr>
                <w:rFonts w:ascii="Arial" w:cs="Arial" w:eastAsia="Arial" w:hAnsi="Arial"/>
                <w:sz w:val="14"/>
                <w:szCs w:val="14"/>
                <w:color w:val="auto"/>
              </w:rPr>
              <w:t>Corporate</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5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160" w:type="dxa"/>
            <w:vAlign w:val="bottom"/>
            <w:gridSpan w:val="2"/>
          </w:tcPr>
          <w:p>
            <w:pPr>
              <w:ind w:left="240"/>
              <w:spacing w:after="0"/>
              <w:rPr>
                <w:sz w:val="20"/>
                <w:szCs w:val="20"/>
                <w:color w:val="auto"/>
              </w:rPr>
            </w:pPr>
            <w:r>
              <w:rPr>
                <w:rFonts w:ascii="Arial" w:cs="Arial" w:eastAsia="Arial" w:hAnsi="Arial"/>
                <w:sz w:val="14"/>
                <w:szCs w:val="14"/>
                <w:color w:val="auto"/>
              </w:rPr>
              <w:t>Publishing</w:t>
            </w:r>
          </w:p>
        </w:tc>
        <w:tc>
          <w:tcPr>
            <w:tcW w:w="1420" w:type="dxa"/>
            <w:vAlign w:val="bottom"/>
            <w:gridSpan w:val="2"/>
          </w:tcPr>
          <w:p>
            <w:pPr>
              <w:jc w:val="right"/>
              <w:ind w:right="292"/>
              <w:spacing w:after="0"/>
              <w:rPr>
                <w:sz w:val="20"/>
                <w:szCs w:val="20"/>
                <w:color w:val="auto"/>
              </w:rPr>
            </w:pPr>
            <w:r>
              <w:rPr>
                <w:rFonts w:ascii="Arial" w:cs="Arial" w:eastAsia="Arial" w:hAnsi="Arial"/>
                <w:sz w:val="14"/>
                <w:szCs w:val="14"/>
                <w:color w:val="auto"/>
              </w:rPr>
              <w:t>Broadcasting</w:t>
            </w:r>
          </w:p>
        </w:tc>
        <w:tc>
          <w:tcPr>
            <w:tcW w:w="1260" w:type="dxa"/>
            <w:vAlign w:val="bottom"/>
            <w:gridSpan w:val="2"/>
          </w:tcPr>
          <w:p>
            <w:pPr>
              <w:ind w:left="360"/>
              <w:spacing w:after="0"/>
              <w:rPr>
                <w:sz w:val="20"/>
                <w:szCs w:val="20"/>
                <w:color w:val="auto"/>
              </w:rPr>
            </w:pPr>
            <w:r>
              <w:rPr>
                <w:rFonts w:ascii="Arial" w:cs="Arial" w:eastAsia="Arial" w:hAnsi="Arial"/>
                <w:sz w:val="14"/>
                <w:szCs w:val="14"/>
                <w:color w:val="auto"/>
              </w:rPr>
              <w:t>Publishing</w:t>
            </w:r>
          </w:p>
        </w:tc>
        <w:tc>
          <w:tcPr>
            <w:tcW w:w="1300" w:type="dxa"/>
            <w:vAlign w:val="bottom"/>
            <w:gridSpan w:val="2"/>
          </w:tcPr>
          <w:p>
            <w:pPr>
              <w:jc w:val="right"/>
              <w:ind w:right="272"/>
              <w:spacing w:after="0"/>
              <w:rPr>
                <w:sz w:val="20"/>
                <w:szCs w:val="20"/>
                <w:color w:val="auto"/>
              </w:rPr>
            </w:pPr>
            <w:r>
              <w:rPr>
                <w:rFonts w:ascii="Arial" w:cs="Arial" w:eastAsia="Arial" w:hAnsi="Arial"/>
                <w:sz w:val="14"/>
                <w:szCs w:val="14"/>
                <w:color w:val="auto"/>
              </w:rPr>
              <w:t>Television</w:t>
            </w:r>
          </w:p>
        </w:tc>
        <w:tc>
          <w:tcPr>
            <w:tcW w:w="1160" w:type="dxa"/>
            <w:vAlign w:val="bottom"/>
            <w:gridSpan w:val="2"/>
          </w:tcPr>
          <w:p>
            <w:pPr>
              <w:ind w:left="320"/>
              <w:spacing w:after="0"/>
              <w:rPr>
                <w:sz w:val="20"/>
                <w:szCs w:val="20"/>
                <w:color w:val="auto"/>
              </w:rPr>
            </w:pPr>
            <w:r>
              <w:rPr>
                <w:rFonts w:ascii="Arial" w:cs="Arial" w:eastAsia="Arial" w:hAnsi="Arial"/>
                <w:sz w:val="14"/>
                <w:szCs w:val="14"/>
                <w:color w:val="auto"/>
              </w:rPr>
              <w:t>Education</w:t>
            </w:r>
          </w:p>
        </w:tc>
        <w:tc>
          <w:tcPr>
            <w:tcW w:w="1180" w:type="dxa"/>
            <w:vAlign w:val="bottom"/>
            <w:gridSpan w:val="2"/>
          </w:tcPr>
          <w:p>
            <w:pPr>
              <w:jc w:val="right"/>
              <w:ind w:right="392"/>
              <w:spacing w:after="0"/>
              <w:rPr>
                <w:sz w:val="20"/>
                <w:szCs w:val="20"/>
                <w:color w:val="auto"/>
              </w:rPr>
            </w:pPr>
            <w:r>
              <w:rPr>
                <w:rFonts w:ascii="Arial" w:cs="Arial" w:eastAsia="Arial" w:hAnsi="Arial"/>
                <w:sz w:val="14"/>
                <w:szCs w:val="14"/>
                <w:color w:val="auto"/>
              </w:rPr>
              <w:t>Office</w:t>
            </w:r>
          </w:p>
        </w:tc>
        <w:tc>
          <w:tcPr>
            <w:tcW w:w="1380" w:type="dxa"/>
            <w:vAlign w:val="bottom"/>
            <w:gridSpan w:val="2"/>
          </w:tcPr>
          <w:p>
            <w:pPr>
              <w:jc w:val="right"/>
              <w:ind w:right="252"/>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tcBorders>
              <w:right w:val="single" w:sz="8" w:color="EEEEEE"/>
            </w:tcBorders>
            <w:shd w:val="clear" w:color="auto" w:fill="EEEEEE"/>
          </w:tcPr>
          <w:p>
            <w:pPr>
              <w:spacing w:after="0" w:line="149" w:lineRule="exact"/>
              <w:rPr>
                <w:sz w:val="20"/>
                <w:szCs w:val="20"/>
                <w:color w:val="auto"/>
              </w:rPr>
            </w:pPr>
            <w:r>
              <w:rPr>
                <w:rFonts w:ascii="Arial" w:cs="Arial" w:eastAsia="Arial" w:hAnsi="Arial"/>
                <w:sz w:val="14"/>
                <w:szCs w:val="14"/>
                <w:b w:val="1"/>
                <w:bCs w:val="1"/>
                <w:color w:val="auto"/>
              </w:rPr>
              <w:t>2003</w:t>
            </w:r>
          </w:p>
        </w:tc>
        <w:tc>
          <w:tcPr>
            <w:tcW w:w="300" w:type="dxa"/>
            <w:vAlign w:val="bottom"/>
            <w:shd w:val="clear" w:color="auto" w:fill="EEEEEE"/>
          </w:tcPr>
          <w:p>
            <w:pPr>
              <w:spacing w:after="0"/>
              <w:rPr>
                <w:sz w:val="12"/>
                <w:szCs w:val="12"/>
                <w:color w:val="auto"/>
              </w:rPr>
            </w:pPr>
          </w:p>
        </w:tc>
        <w:tc>
          <w:tcPr>
            <w:tcW w:w="86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90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ind w:left="200"/>
              <w:spacing w:after="0" w:line="149" w:lineRule="exact"/>
              <w:rPr>
                <w:sz w:val="20"/>
                <w:szCs w:val="20"/>
                <w:color w:val="auto"/>
              </w:rPr>
            </w:pPr>
            <w:r>
              <w:rPr>
                <w:rFonts w:ascii="Arial" w:cs="Arial" w:eastAsia="Arial" w:hAnsi="Arial"/>
                <w:sz w:val="14"/>
                <w:szCs w:val="14"/>
                <w:color w:val="auto"/>
              </w:rPr>
              <w:t>Operating revenues</w:t>
            </w:r>
          </w:p>
        </w:tc>
        <w:tc>
          <w:tcPr>
            <w:tcW w:w="300" w:type="dxa"/>
            <w:vAlign w:val="bottom"/>
          </w:tcPr>
          <w:p>
            <w:pPr>
              <w:ind w:left="240"/>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352"/>
              <w:spacing w:after="0" w:line="149" w:lineRule="exact"/>
              <w:rPr>
                <w:sz w:val="20"/>
                <w:szCs w:val="20"/>
                <w:color w:val="auto"/>
              </w:rPr>
            </w:pPr>
            <w:r>
              <w:rPr>
                <w:rFonts w:ascii="Arial" w:cs="Arial" w:eastAsia="Arial" w:hAnsi="Arial"/>
                <w:sz w:val="14"/>
                <w:szCs w:val="14"/>
                <w:color w:val="auto"/>
                <w:w w:val="82"/>
              </w:rPr>
              <w:t>872,754</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372"/>
              <w:spacing w:after="0" w:line="149" w:lineRule="exact"/>
              <w:rPr>
                <w:sz w:val="20"/>
                <w:szCs w:val="20"/>
                <w:color w:val="auto"/>
              </w:rPr>
            </w:pPr>
            <w:r>
              <w:rPr>
                <w:rFonts w:ascii="Arial" w:cs="Arial" w:eastAsia="Arial" w:hAnsi="Arial"/>
                <w:sz w:val="14"/>
                <w:szCs w:val="14"/>
                <w:color w:val="auto"/>
                <w:w w:val="82"/>
              </w:rPr>
              <w:t>315,126</w:t>
            </w:r>
          </w:p>
        </w:tc>
        <w:tc>
          <w:tcPr>
            <w:tcW w:w="420" w:type="dxa"/>
            <w:vAlign w:val="bottom"/>
          </w:tcPr>
          <w:p>
            <w:pPr>
              <w:ind w:left="36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332"/>
              <w:spacing w:after="0" w:line="149" w:lineRule="exact"/>
              <w:rPr>
                <w:sz w:val="20"/>
                <w:szCs w:val="20"/>
                <w:color w:val="auto"/>
              </w:rPr>
            </w:pPr>
            <w:r>
              <w:rPr>
                <w:rFonts w:ascii="Arial" w:cs="Arial" w:eastAsia="Arial" w:hAnsi="Arial"/>
                <w:sz w:val="14"/>
                <w:szCs w:val="14"/>
                <w:color w:val="auto"/>
                <w:w w:val="82"/>
              </w:rPr>
              <w:t>353,555</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459,399</w:t>
            </w:r>
          </w:p>
        </w:tc>
        <w:tc>
          <w:tcPr>
            <w:tcW w:w="380" w:type="dxa"/>
            <w:vAlign w:val="bottom"/>
          </w:tcPr>
          <w:p>
            <w:pPr>
              <w:ind w:left="30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ind w:right="272"/>
              <w:spacing w:after="0" w:line="149" w:lineRule="exact"/>
              <w:rPr>
                <w:sz w:val="20"/>
                <w:szCs w:val="20"/>
                <w:color w:val="auto"/>
              </w:rPr>
            </w:pPr>
            <w:r>
              <w:rPr>
                <w:rFonts w:ascii="Arial" w:cs="Arial" w:eastAsia="Arial" w:hAnsi="Arial"/>
                <w:sz w:val="14"/>
                <w:szCs w:val="14"/>
                <w:color w:val="auto"/>
                <w:w w:val="82"/>
              </w:rPr>
              <w:t>838,077</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332"/>
              <w:spacing w:after="0" w:line="149" w:lineRule="exact"/>
              <w:rPr>
                <w:sz w:val="20"/>
                <w:szCs w:val="20"/>
                <w:color w:val="auto"/>
              </w:rPr>
            </w:pPr>
            <w:r>
              <w:rPr>
                <w:rFonts w:ascii="Arial" w:cs="Arial" w:eastAsia="Arial" w:hAnsi="Arial"/>
                <w:sz w:val="14"/>
                <w:szCs w:val="14"/>
                <w:color w:val="auto"/>
                <w:w w:val="83"/>
              </w:rPr>
              <w:t>2,838,911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40" w:type="dxa"/>
            <w:vAlign w:val="bottom"/>
            <w:tcBorders>
              <w:right w:val="single" w:sz="8" w:color="EEEEEE"/>
            </w:tcBorders>
            <w:shd w:val="clear" w:color="auto" w:fill="EEEEEE"/>
          </w:tcPr>
          <w:p>
            <w:pPr>
              <w:ind w:left="200"/>
              <w:spacing w:after="0" w:line="176" w:lineRule="exact"/>
              <w:rPr>
                <w:sz w:val="20"/>
                <w:szCs w:val="20"/>
                <w:color w:val="auto"/>
              </w:rPr>
            </w:pPr>
            <w:r>
              <w:rPr>
                <w:rFonts w:ascii="Arial" w:cs="Arial" w:eastAsia="Arial" w:hAnsi="Arial"/>
                <w:sz w:val="13"/>
                <w:szCs w:val="13"/>
                <w:color w:val="auto"/>
              </w:rPr>
              <w:t>Income (loss) from operations</w:t>
            </w:r>
            <w:r>
              <w:rPr>
                <w:rFonts w:ascii="Arial" w:cs="Arial" w:eastAsia="Arial" w:hAnsi="Arial"/>
                <w:sz w:val="20"/>
                <w:szCs w:val="20"/>
                <w:color w:val="auto"/>
                <w:vertAlign w:val="superscript"/>
              </w:rPr>
              <w:t>(1)</w:t>
            </w:r>
          </w:p>
        </w:tc>
        <w:tc>
          <w:tcPr>
            <w:tcW w:w="300" w:type="dxa"/>
            <w:vAlign w:val="bottom"/>
            <w:shd w:val="clear" w:color="auto" w:fill="EEEEEE"/>
          </w:tcPr>
          <w:p>
            <w:pPr>
              <w:ind w:left="24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EEEEEE"/>
          </w:tcPr>
          <w:p>
            <w:pPr>
              <w:jc w:val="right"/>
              <w:ind w:right="352"/>
              <w:spacing w:after="0"/>
              <w:rPr>
                <w:sz w:val="20"/>
                <w:szCs w:val="20"/>
                <w:color w:val="auto"/>
              </w:rPr>
            </w:pPr>
            <w:r>
              <w:rPr>
                <w:rFonts w:ascii="Arial" w:cs="Arial" w:eastAsia="Arial" w:hAnsi="Arial"/>
                <w:sz w:val="14"/>
                <w:szCs w:val="14"/>
                <w:color w:val="auto"/>
                <w:w w:val="82"/>
              </w:rPr>
              <w:t>134,197</w:t>
            </w:r>
          </w:p>
        </w:tc>
        <w:tc>
          <w:tcPr>
            <w:tcW w:w="540" w:type="dxa"/>
            <w:vAlign w:val="bottom"/>
            <w:shd w:val="clear" w:color="auto" w:fill="EEEEEE"/>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EEEEE"/>
          </w:tcPr>
          <w:p>
            <w:pPr>
              <w:jc w:val="right"/>
              <w:ind w:right="372"/>
              <w:spacing w:after="0"/>
              <w:rPr>
                <w:sz w:val="20"/>
                <w:szCs w:val="20"/>
                <w:color w:val="auto"/>
              </w:rPr>
            </w:pPr>
            <w:r>
              <w:rPr>
                <w:rFonts w:ascii="Arial" w:cs="Arial" w:eastAsia="Arial" w:hAnsi="Arial"/>
                <w:sz w:val="14"/>
                <w:szCs w:val="14"/>
                <w:color w:val="auto"/>
                <w:w w:val="82"/>
              </w:rPr>
              <w:t>139,744</w:t>
            </w:r>
          </w:p>
        </w:tc>
        <w:tc>
          <w:tcPr>
            <w:tcW w:w="420" w:type="dxa"/>
            <w:vAlign w:val="bottom"/>
            <w:shd w:val="clear" w:color="auto" w:fill="EEEEEE"/>
          </w:tcPr>
          <w:p>
            <w:pPr>
              <w:ind w:left="36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EEEEEE"/>
          </w:tcPr>
          <w:p>
            <w:pPr>
              <w:jc w:val="right"/>
              <w:ind w:right="332"/>
              <w:spacing w:after="0"/>
              <w:rPr>
                <w:sz w:val="20"/>
                <w:szCs w:val="20"/>
                <w:color w:val="auto"/>
              </w:rPr>
            </w:pPr>
            <w:r>
              <w:rPr>
                <w:rFonts w:ascii="Arial" w:cs="Arial" w:eastAsia="Arial" w:hAnsi="Arial"/>
                <w:sz w:val="14"/>
                <w:szCs w:val="14"/>
                <w:color w:val="auto"/>
                <w:w w:val="97"/>
              </w:rPr>
              <w:t>43,504</w:t>
            </w:r>
          </w:p>
        </w:tc>
        <w:tc>
          <w:tcPr>
            <w:tcW w:w="400" w:type="dxa"/>
            <w:vAlign w:val="bottom"/>
            <w:shd w:val="clear" w:color="auto" w:fill="EEEEEE"/>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EEEEEE"/>
          </w:tcPr>
          <w:p>
            <w:pPr>
              <w:jc w:val="right"/>
              <w:ind w:right="292"/>
              <w:spacing w:after="0"/>
              <w:rPr>
                <w:sz w:val="20"/>
                <w:szCs w:val="20"/>
                <w:color w:val="auto"/>
              </w:rPr>
            </w:pPr>
            <w:r>
              <w:rPr>
                <w:rFonts w:ascii="Arial" w:cs="Arial" w:eastAsia="Arial" w:hAnsi="Arial"/>
                <w:sz w:val="14"/>
                <w:szCs w:val="14"/>
                <w:color w:val="auto"/>
              </w:rPr>
              <w:t>88,392</w:t>
            </w:r>
          </w:p>
        </w:tc>
        <w:tc>
          <w:tcPr>
            <w:tcW w:w="380" w:type="dxa"/>
            <w:vAlign w:val="bottom"/>
            <w:shd w:val="clear" w:color="auto" w:fill="EEEEEE"/>
          </w:tcPr>
          <w:p>
            <w:pPr>
              <w:ind w:left="300"/>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EEEEEE"/>
          </w:tcPr>
          <w:p>
            <w:pPr>
              <w:jc w:val="right"/>
              <w:ind w:right="232"/>
              <w:spacing w:after="0"/>
              <w:rPr>
                <w:sz w:val="20"/>
                <w:szCs w:val="20"/>
                <w:color w:val="auto"/>
              </w:rPr>
            </w:pPr>
            <w:r>
              <w:rPr>
                <w:rFonts w:ascii="Arial" w:cs="Arial" w:eastAsia="Arial" w:hAnsi="Arial"/>
                <w:sz w:val="14"/>
                <w:szCs w:val="14"/>
                <w:color w:val="auto"/>
                <w:w w:val="88"/>
              </w:rPr>
              <w:t>(11,709)</w:t>
            </w:r>
          </w:p>
        </w:tc>
        <w:tc>
          <w:tcPr>
            <w:tcW w:w="380" w:type="dxa"/>
            <w:vAlign w:val="bottom"/>
            <w:shd w:val="clear" w:color="auto" w:fill="EEEEEE"/>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EEEEE"/>
          </w:tcPr>
          <w:p>
            <w:pPr>
              <w:jc w:val="right"/>
              <w:ind w:right="272"/>
              <w:spacing w:after="0"/>
              <w:rPr>
                <w:sz w:val="20"/>
                <w:szCs w:val="20"/>
                <w:color w:val="auto"/>
              </w:rPr>
            </w:pPr>
            <w:r>
              <w:rPr>
                <w:rFonts w:ascii="Arial" w:cs="Arial" w:eastAsia="Arial" w:hAnsi="Arial"/>
                <w:sz w:val="14"/>
                <w:szCs w:val="14"/>
                <w:color w:val="auto"/>
                <w:w w:val="84"/>
              </w:rPr>
              <w:t>(30,308)</w:t>
            </w:r>
          </w:p>
        </w:tc>
        <w:tc>
          <w:tcPr>
            <w:tcW w:w="440" w:type="dxa"/>
            <w:vAlign w:val="bottom"/>
            <w:shd w:val="clear" w:color="auto" w:fill="EEEEEE"/>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EEEEEE"/>
          </w:tcPr>
          <w:p>
            <w:pPr>
              <w:jc w:val="right"/>
              <w:ind w:right="332"/>
              <w:spacing w:after="0"/>
              <w:rPr>
                <w:sz w:val="20"/>
                <w:szCs w:val="20"/>
                <w:color w:val="auto"/>
              </w:rPr>
            </w:pPr>
            <w:r>
              <w:rPr>
                <w:rFonts w:ascii="Arial" w:cs="Arial" w:eastAsia="Arial" w:hAnsi="Arial"/>
                <w:sz w:val="14"/>
                <w:szCs w:val="14"/>
                <w:color w:val="auto"/>
              </w:rPr>
              <w:t>363,820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ind w:left="200"/>
              <w:spacing w:after="0" w:line="149" w:lineRule="exact"/>
              <w:rPr>
                <w:sz w:val="20"/>
                <w:szCs w:val="20"/>
                <w:color w:val="auto"/>
              </w:rPr>
            </w:pPr>
            <w:r>
              <w:rPr>
                <w:rFonts w:ascii="Arial" w:cs="Arial" w:eastAsia="Arial" w:hAnsi="Arial"/>
                <w:sz w:val="14"/>
                <w:szCs w:val="14"/>
                <w:color w:val="auto"/>
              </w:rPr>
              <w:t>Equity in losses of affiliates</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(9,766)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EEEEEE"/>
            </w:tcBorders>
            <w:shd w:val="clear" w:color="auto" w:fill="EEEEEE"/>
          </w:tcPr>
          <w:p>
            <w:pPr>
              <w:ind w:left="200"/>
              <w:spacing w:after="0" w:line="149" w:lineRule="exact"/>
              <w:rPr>
                <w:sz w:val="20"/>
                <w:szCs w:val="20"/>
                <w:color w:val="auto"/>
              </w:rPr>
            </w:pPr>
            <w:r>
              <w:rPr>
                <w:rFonts w:ascii="Arial" w:cs="Arial" w:eastAsia="Arial" w:hAnsi="Arial"/>
                <w:sz w:val="14"/>
                <w:szCs w:val="14"/>
                <w:color w:val="auto"/>
              </w:rPr>
              <w:t>Interest expense, net</w:t>
            </w:r>
          </w:p>
        </w:tc>
        <w:tc>
          <w:tcPr>
            <w:tcW w:w="300" w:type="dxa"/>
            <w:vAlign w:val="bottom"/>
            <w:shd w:val="clear" w:color="auto" w:fill="EEEEEE"/>
          </w:tcPr>
          <w:p>
            <w:pPr>
              <w:spacing w:after="0"/>
              <w:rPr>
                <w:sz w:val="12"/>
                <w:szCs w:val="12"/>
                <w:color w:val="auto"/>
              </w:rPr>
            </w:pPr>
          </w:p>
        </w:tc>
        <w:tc>
          <w:tcPr>
            <w:tcW w:w="86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90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940" w:type="dxa"/>
            <w:vAlign w:val="bottom"/>
            <w:shd w:val="clear" w:color="auto" w:fill="EEEEEE"/>
          </w:tcPr>
          <w:p>
            <w:pPr>
              <w:jc w:val="right"/>
              <w:ind w:right="292"/>
              <w:spacing w:after="0" w:line="149" w:lineRule="exact"/>
              <w:rPr>
                <w:sz w:val="20"/>
                <w:szCs w:val="20"/>
                <w:color w:val="auto"/>
              </w:rPr>
            </w:pPr>
            <w:r>
              <w:rPr>
                <w:rFonts w:ascii="Arial" w:cs="Arial" w:eastAsia="Arial" w:hAnsi="Arial"/>
                <w:sz w:val="14"/>
                <w:szCs w:val="14"/>
                <w:color w:val="auto"/>
              </w:rPr>
              <w:t>(26,851)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40" w:type="dxa"/>
            <w:vAlign w:val="bottom"/>
          </w:tcPr>
          <w:p>
            <w:pPr>
              <w:ind w:left="200"/>
              <w:spacing w:after="0"/>
              <w:rPr>
                <w:sz w:val="20"/>
                <w:szCs w:val="20"/>
                <w:color w:val="auto"/>
              </w:rPr>
            </w:pPr>
            <w:r>
              <w:rPr>
                <w:rFonts w:ascii="Arial" w:cs="Arial" w:eastAsia="Arial" w:hAnsi="Arial"/>
                <w:sz w:val="14"/>
                <w:szCs w:val="14"/>
                <w:color w:val="auto"/>
              </w:rPr>
              <w:t>Other income, net</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right"/>
              <w:ind w:right="332"/>
              <w:spacing w:after="0"/>
              <w:rPr>
                <w:sz w:val="20"/>
                <w:szCs w:val="20"/>
                <w:color w:val="auto"/>
              </w:rPr>
            </w:pPr>
            <w:r>
              <w:rPr>
                <w:rFonts w:ascii="Arial" w:cs="Arial" w:eastAsia="Arial" w:hAnsi="Arial"/>
                <w:sz w:val="14"/>
                <w:szCs w:val="14"/>
                <w:color w:val="auto"/>
              </w:rPr>
              <w:t>55,385</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54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EEEEEE"/>
            </w:tcBorders>
            <w:shd w:val="clear" w:color="auto" w:fill="EEEEEE"/>
          </w:tcPr>
          <w:p>
            <w:pPr>
              <w:ind w:left="440"/>
              <w:spacing w:after="0" w:line="149" w:lineRule="exact"/>
              <w:rPr>
                <w:sz w:val="20"/>
                <w:szCs w:val="20"/>
                <w:color w:val="auto"/>
              </w:rPr>
            </w:pPr>
            <w:r>
              <w:rPr>
                <w:rFonts w:ascii="Arial" w:cs="Arial" w:eastAsia="Arial" w:hAnsi="Arial"/>
                <w:sz w:val="14"/>
                <w:szCs w:val="14"/>
                <w:color w:val="auto"/>
              </w:rPr>
              <w:t>Income before income taxes</w:t>
            </w:r>
          </w:p>
        </w:tc>
        <w:tc>
          <w:tcPr>
            <w:tcW w:w="300" w:type="dxa"/>
            <w:vAlign w:val="bottom"/>
            <w:shd w:val="clear" w:color="auto" w:fill="EEEEEE"/>
          </w:tcPr>
          <w:p>
            <w:pPr>
              <w:spacing w:after="0"/>
              <w:rPr>
                <w:sz w:val="12"/>
                <w:szCs w:val="12"/>
                <w:color w:val="auto"/>
              </w:rPr>
            </w:pPr>
          </w:p>
        </w:tc>
        <w:tc>
          <w:tcPr>
            <w:tcW w:w="86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90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0" w:type="dxa"/>
            <w:vAlign w:val="bottom"/>
            <w:shd w:val="clear" w:color="auto" w:fill="EEEEEE"/>
          </w:tcPr>
          <w:p>
            <w:pPr>
              <w:spacing w:after="0"/>
              <w:rPr>
                <w:sz w:val="12"/>
                <w:szCs w:val="12"/>
                <w:color w:val="auto"/>
              </w:rPr>
            </w:pPr>
          </w:p>
        </w:tc>
        <w:tc>
          <w:tcPr>
            <w:tcW w:w="4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EEEEEE"/>
          </w:tcPr>
          <w:p>
            <w:pPr>
              <w:jc w:val="right"/>
              <w:ind w:right="332"/>
              <w:spacing w:after="0" w:line="149" w:lineRule="exact"/>
              <w:rPr>
                <w:sz w:val="20"/>
                <w:szCs w:val="20"/>
                <w:color w:val="auto"/>
              </w:rPr>
            </w:pPr>
            <w:r>
              <w:rPr>
                <w:rFonts w:ascii="Arial" w:cs="Arial" w:eastAsia="Arial" w:hAnsi="Arial"/>
                <w:sz w:val="14"/>
                <w:szCs w:val="14"/>
                <w:color w:val="auto"/>
              </w:rPr>
              <w:t>382,588</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4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2540" w:type="dxa"/>
            <w:vAlign w:val="bottom"/>
          </w:tcPr>
          <w:p>
            <w:pPr>
              <w:ind w:left="200"/>
              <w:spacing w:after="0"/>
              <w:rPr>
                <w:sz w:val="20"/>
                <w:szCs w:val="20"/>
                <w:color w:val="auto"/>
              </w:rPr>
            </w:pPr>
            <w:r>
              <w:rPr>
                <w:rFonts w:ascii="Arial" w:cs="Arial" w:eastAsia="Arial" w:hAnsi="Arial"/>
                <w:sz w:val="14"/>
                <w:szCs w:val="14"/>
                <w:color w:val="auto"/>
              </w:rPr>
              <w:t>Identifiable assets</w:t>
            </w:r>
          </w:p>
        </w:tc>
        <w:tc>
          <w:tcPr>
            <w:tcW w:w="300" w:type="dxa"/>
            <w:vAlign w:val="bottom"/>
          </w:tcPr>
          <w:p>
            <w:pPr>
              <w:ind w:left="240"/>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352"/>
              <w:spacing w:after="0"/>
              <w:rPr>
                <w:sz w:val="20"/>
                <w:szCs w:val="20"/>
                <w:color w:val="auto"/>
              </w:rPr>
            </w:pPr>
            <w:r>
              <w:rPr>
                <w:rFonts w:ascii="Arial" w:cs="Arial" w:eastAsia="Arial" w:hAnsi="Arial"/>
                <w:sz w:val="14"/>
                <w:szCs w:val="14"/>
                <w:color w:val="auto"/>
                <w:w w:val="82"/>
              </w:rPr>
              <w:t>673,631</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72"/>
              <w:spacing w:after="0"/>
              <w:rPr>
                <w:sz w:val="20"/>
                <w:szCs w:val="20"/>
                <w:color w:val="auto"/>
              </w:rPr>
            </w:pPr>
            <w:r>
              <w:rPr>
                <w:rFonts w:ascii="Arial" w:cs="Arial" w:eastAsia="Arial" w:hAnsi="Arial"/>
                <w:sz w:val="14"/>
                <w:szCs w:val="14"/>
                <w:color w:val="auto"/>
                <w:w w:val="82"/>
              </w:rPr>
              <w:t>410,580</w:t>
            </w:r>
          </w:p>
        </w:tc>
        <w:tc>
          <w:tcPr>
            <w:tcW w:w="420" w:type="dxa"/>
            <w:vAlign w:val="bottom"/>
          </w:tcPr>
          <w:p>
            <w:pPr>
              <w:ind w:left="36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332"/>
              <w:spacing w:after="0"/>
              <w:rPr>
                <w:sz w:val="20"/>
                <w:szCs w:val="20"/>
                <w:color w:val="auto"/>
              </w:rPr>
            </w:pPr>
            <w:r>
              <w:rPr>
                <w:rFonts w:ascii="Arial" w:cs="Arial" w:eastAsia="Arial" w:hAnsi="Arial"/>
                <w:sz w:val="14"/>
                <w:szCs w:val="14"/>
                <w:color w:val="auto"/>
                <w:w w:val="82"/>
              </w:rPr>
              <w:t>533,305</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92"/>
              <w:spacing w:after="0"/>
              <w:rPr>
                <w:sz w:val="20"/>
                <w:szCs w:val="20"/>
                <w:color w:val="auto"/>
              </w:rPr>
            </w:pPr>
            <w:r>
              <w:rPr>
                <w:rFonts w:ascii="Arial" w:cs="Arial" w:eastAsia="Arial" w:hAnsi="Arial"/>
                <w:sz w:val="14"/>
                <w:szCs w:val="14"/>
                <w:color w:val="auto"/>
                <w:w w:val="83"/>
              </w:rPr>
              <w:t>1,119,826</w:t>
            </w:r>
          </w:p>
        </w:tc>
        <w:tc>
          <w:tcPr>
            <w:tcW w:w="380" w:type="dxa"/>
            <w:vAlign w:val="bottom"/>
          </w:tcPr>
          <w:p>
            <w:pPr>
              <w:ind w:left="300"/>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272"/>
              <w:spacing w:after="0"/>
              <w:rPr>
                <w:sz w:val="20"/>
                <w:szCs w:val="20"/>
                <w:color w:val="auto"/>
              </w:rPr>
            </w:pPr>
            <w:r>
              <w:rPr>
                <w:rFonts w:ascii="Arial" w:cs="Arial" w:eastAsia="Arial" w:hAnsi="Arial"/>
                <w:sz w:val="14"/>
                <w:szCs w:val="14"/>
                <w:color w:val="auto"/>
                <w:w w:val="82"/>
              </w:rPr>
              <w:t>845,983</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12"/>
              <w:spacing w:after="0"/>
              <w:rPr>
                <w:sz w:val="20"/>
                <w:szCs w:val="20"/>
                <w:color w:val="auto"/>
              </w:rPr>
            </w:pPr>
            <w:r>
              <w:rPr>
                <w:rFonts w:ascii="Arial" w:cs="Arial" w:eastAsia="Arial" w:hAnsi="Arial"/>
                <w:sz w:val="14"/>
                <w:szCs w:val="14"/>
                <w:color w:val="auto"/>
              </w:rPr>
              <w:t>8,963</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32"/>
              <w:spacing w:after="0"/>
              <w:rPr>
                <w:sz w:val="20"/>
                <w:szCs w:val="20"/>
                <w:color w:val="auto"/>
              </w:rPr>
            </w:pPr>
            <w:r>
              <w:rPr>
                <w:rFonts w:ascii="Arial" w:cs="Arial" w:eastAsia="Arial" w:hAnsi="Arial"/>
                <w:sz w:val="14"/>
                <w:szCs w:val="14"/>
                <w:color w:val="auto"/>
                <w:w w:val="83"/>
              </w:rPr>
              <w:t>3,592,288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40" w:type="dxa"/>
            <w:vAlign w:val="bottom"/>
            <w:tcBorders>
              <w:right w:val="single" w:sz="8" w:color="EEEEEE"/>
            </w:tcBorders>
            <w:shd w:val="clear" w:color="auto" w:fill="EEEEEE"/>
          </w:tcPr>
          <w:p>
            <w:pPr>
              <w:ind w:left="200"/>
              <w:spacing w:after="0" w:line="138" w:lineRule="exact"/>
              <w:rPr>
                <w:sz w:val="20"/>
                <w:szCs w:val="20"/>
                <w:color w:val="auto"/>
              </w:rPr>
            </w:pPr>
            <w:r>
              <w:rPr>
                <w:rFonts w:ascii="Arial" w:cs="Arial" w:eastAsia="Arial" w:hAnsi="Arial"/>
                <w:sz w:val="14"/>
                <w:szCs w:val="14"/>
                <w:color w:val="auto"/>
              </w:rPr>
              <w:t>Investments in marketable equity</w:t>
            </w:r>
          </w:p>
        </w:tc>
        <w:tc>
          <w:tcPr>
            <w:tcW w:w="300" w:type="dxa"/>
            <w:vAlign w:val="bottom"/>
            <w:shd w:val="clear" w:color="auto" w:fill="EEEEEE"/>
          </w:tcPr>
          <w:p>
            <w:pPr>
              <w:spacing w:after="0"/>
              <w:rPr>
                <w:sz w:val="11"/>
                <w:szCs w:val="11"/>
                <w:color w:val="auto"/>
              </w:rPr>
            </w:pPr>
          </w:p>
        </w:tc>
        <w:tc>
          <w:tcPr>
            <w:tcW w:w="86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88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840" w:type="dxa"/>
            <w:vAlign w:val="bottom"/>
            <w:shd w:val="clear" w:color="auto" w:fill="EEEEEE"/>
          </w:tcPr>
          <w:p>
            <w:pPr>
              <w:spacing w:after="0"/>
              <w:rPr>
                <w:sz w:val="11"/>
                <w:szCs w:val="11"/>
                <w:color w:val="auto"/>
              </w:rPr>
            </w:pPr>
          </w:p>
        </w:tc>
        <w:tc>
          <w:tcPr>
            <w:tcW w:w="400" w:type="dxa"/>
            <w:vAlign w:val="bottom"/>
            <w:shd w:val="clear" w:color="auto" w:fill="EEEEEE"/>
          </w:tcPr>
          <w:p>
            <w:pPr>
              <w:spacing w:after="0"/>
              <w:rPr>
                <w:sz w:val="11"/>
                <w:szCs w:val="11"/>
                <w:color w:val="auto"/>
              </w:rPr>
            </w:pPr>
          </w:p>
        </w:tc>
        <w:tc>
          <w:tcPr>
            <w:tcW w:w="90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7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0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9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tcBorders>
              <w:right w:val="single" w:sz="8" w:color="EEEEEE"/>
            </w:tcBorders>
            <w:shd w:val="clear" w:color="auto" w:fill="EEEEEE"/>
          </w:tcPr>
          <w:p>
            <w:pPr>
              <w:ind w:left="340"/>
              <w:spacing w:after="0" w:line="159" w:lineRule="exact"/>
              <w:rPr>
                <w:sz w:val="20"/>
                <w:szCs w:val="20"/>
                <w:color w:val="auto"/>
              </w:rPr>
            </w:pPr>
            <w:r>
              <w:rPr>
                <w:rFonts w:ascii="Arial" w:cs="Arial" w:eastAsia="Arial" w:hAnsi="Arial"/>
                <w:sz w:val="14"/>
                <w:szCs w:val="14"/>
                <w:color w:val="auto"/>
              </w:rPr>
              <w:t>securities</w:t>
            </w:r>
          </w:p>
        </w:tc>
        <w:tc>
          <w:tcPr>
            <w:tcW w:w="300" w:type="dxa"/>
            <w:vAlign w:val="bottom"/>
            <w:shd w:val="clear" w:color="auto" w:fill="EEEEEE"/>
          </w:tcPr>
          <w:p>
            <w:pPr>
              <w:spacing w:after="0"/>
              <w:rPr>
                <w:sz w:val="13"/>
                <w:szCs w:val="13"/>
                <w:color w:val="auto"/>
              </w:rPr>
            </w:pPr>
          </w:p>
        </w:tc>
        <w:tc>
          <w:tcPr>
            <w:tcW w:w="860" w:type="dxa"/>
            <w:vAlign w:val="bottom"/>
            <w:shd w:val="clear" w:color="auto" w:fill="EEEEEE"/>
          </w:tcPr>
          <w:p>
            <w:pPr>
              <w:spacing w:after="0"/>
              <w:rPr>
                <w:sz w:val="13"/>
                <w:szCs w:val="13"/>
                <w:color w:val="auto"/>
              </w:rPr>
            </w:pPr>
          </w:p>
        </w:tc>
        <w:tc>
          <w:tcPr>
            <w:tcW w:w="540" w:type="dxa"/>
            <w:vAlign w:val="bottom"/>
            <w:shd w:val="clear" w:color="auto" w:fill="EEEEEE"/>
          </w:tcPr>
          <w:p>
            <w:pPr>
              <w:spacing w:after="0"/>
              <w:rPr>
                <w:sz w:val="13"/>
                <w:szCs w:val="13"/>
                <w:color w:val="auto"/>
              </w:rPr>
            </w:pPr>
          </w:p>
        </w:tc>
        <w:tc>
          <w:tcPr>
            <w:tcW w:w="88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840" w:type="dxa"/>
            <w:vAlign w:val="bottom"/>
            <w:shd w:val="clear" w:color="auto" w:fill="EEEEEE"/>
          </w:tcPr>
          <w:p>
            <w:pPr>
              <w:spacing w:after="0"/>
              <w:rPr>
                <w:sz w:val="13"/>
                <w:szCs w:val="13"/>
                <w:color w:val="auto"/>
              </w:rPr>
            </w:pPr>
          </w:p>
        </w:tc>
        <w:tc>
          <w:tcPr>
            <w:tcW w:w="400" w:type="dxa"/>
            <w:vAlign w:val="bottom"/>
            <w:shd w:val="clear" w:color="auto" w:fill="EEEEEE"/>
          </w:tcPr>
          <w:p>
            <w:pPr>
              <w:spacing w:after="0"/>
              <w:rPr>
                <w:sz w:val="13"/>
                <w:szCs w:val="13"/>
                <w:color w:val="auto"/>
              </w:rPr>
            </w:pPr>
          </w:p>
        </w:tc>
        <w:tc>
          <w:tcPr>
            <w:tcW w:w="90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78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800" w:type="dxa"/>
            <w:vAlign w:val="bottom"/>
            <w:shd w:val="clear" w:color="auto" w:fill="EEEEEE"/>
          </w:tcPr>
          <w:p>
            <w:pPr>
              <w:spacing w:after="0"/>
              <w:rPr>
                <w:sz w:val="13"/>
                <w:szCs w:val="13"/>
                <w:color w:val="auto"/>
              </w:rPr>
            </w:pPr>
          </w:p>
        </w:tc>
        <w:tc>
          <w:tcPr>
            <w:tcW w:w="440" w:type="dxa"/>
            <w:vAlign w:val="bottom"/>
            <w:shd w:val="clear" w:color="auto" w:fill="EEEEEE"/>
          </w:tcPr>
          <w:p>
            <w:pPr>
              <w:spacing w:after="0"/>
              <w:rPr>
                <w:sz w:val="13"/>
                <w:szCs w:val="13"/>
                <w:color w:val="auto"/>
              </w:rPr>
            </w:pPr>
          </w:p>
        </w:tc>
        <w:tc>
          <w:tcPr>
            <w:tcW w:w="940" w:type="dxa"/>
            <w:vAlign w:val="bottom"/>
            <w:shd w:val="clear" w:color="auto" w:fill="EEEEEE"/>
          </w:tcPr>
          <w:p>
            <w:pPr>
              <w:jc w:val="right"/>
              <w:ind w:right="332"/>
              <w:spacing w:after="0" w:line="159" w:lineRule="exact"/>
              <w:rPr>
                <w:sz w:val="20"/>
                <w:szCs w:val="20"/>
                <w:color w:val="auto"/>
              </w:rPr>
            </w:pPr>
            <w:r>
              <w:rPr>
                <w:rFonts w:ascii="Arial" w:cs="Arial" w:eastAsia="Arial" w:hAnsi="Arial"/>
                <w:sz w:val="14"/>
                <w:szCs w:val="14"/>
                <w:color w:val="auto"/>
              </w:rPr>
              <w:t>247,958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40" w:type="dxa"/>
            <w:vAlign w:val="bottom"/>
          </w:tcPr>
          <w:p>
            <w:pPr>
              <w:ind w:left="200"/>
              <w:spacing w:after="0"/>
              <w:rPr>
                <w:sz w:val="20"/>
                <w:szCs w:val="20"/>
                <w:color w:val="auto"/>
              </w:rPr>
            </w:pPr>
            <w:r>
              <w:rPr>
                <w:rFonts w:ascii="Arial" w:cs="Arial" w:eastAsia="Arial" w:hAnsi="Arial"/>
                <w:sz w:val="14"/>
                <w:szCs w:val="14"/>
                <w:color w:val="auto"/>
              </w:rPr>
              <w:t>Investments in affiliates</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right"/>
              <w:ind w:right="332"/>
              <w:spacing w:after="0"/>
              <w:rPr>
                <w:sz w:val="20"/>
                <w:szCs w:val="20"/>
                <w:color w:val="auto"/>
              </w:rPr>
            </w:pPr>
            <w:r>
              <w:rPr>
                <w:rFonts w:ascii="Arial" w:cs="Arial" w:eastAsia="Arial" w:hAnsi="Arial"/>
                <w:sz w:val="14"/>
                <w:szCs w:val="14"/>
                <w:color w:val="auto"/>
              </w:rPr>
              <w:t>61,312</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54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EEEEEE"/>
            </w:tcBorders>
            <w:shd w:val="clear" w:color="auto" w:fill="EEEEEE"/>
          </w:tcPr>
          <w:p>
            <w:pPr>
              <w:ind w:left="440"/>
              <w:spacing w:after="0" w:line="149" w:lineRule="exact"/>
              <w:rPr>
                <w:sz w:val="20"/>
                <w:szCs w:val="20"/>
                <w:color w:val="auto"/>
              </w:rPr>
            </w:pPr>
            <w:r>
              <w:rPr>
                <w:rFonts w:ascii="Arial" w:cs="Arial" w:eastAsia="Arial" w:hAnsi="Arial"/>
                <w:sz w:val="14"/>
                <w:szCs w:val="14"/>
                <w:color w:val="auto"/>
              </w:rPr>
              <w:t>Total assets</w:t>
            </w:r>
          </w:p>
        </w:tc>
        <w:tc>
          <w:tcPr>
            <w:tcW w:w="300" w:type="dxa"/>
            <w:vAlign w:val="bottom"/>
            <w:shd w:val="clear" w:color="auto" w:fill="EEEEEE"/>
          </w:tcPr>
          <w:p>
            <w:pPr>
              <w:spacing w:after="0"/>
              <w:rPr>
                <w:sz w:val="12"/>
                <w:szCs w:val="12"/>
                <w:color w:val="auto"/>
              </w:rPr>
            </w:pPr>
          </w:p>
        </w:tc>
        <w:tc>
          <w:tcPr>
            <w:tcW w:w="86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90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0" w:type="dxa"/>
            <w:vAlign w:val="bottom"/>
            <w:shd w:val="clear" w:color="auto" w:fill="EEEEEE"/>
          </w:tcPr>
          <w:p>
            <w:pPr>
              <w:spacing w:after="0"/>
              <w:rPr>
                <w:sz w:val="12"/>
                <w:szCs w:val="12"/>
                <w:color w:val="auto"/>
              </w:rPr>
            </w:pPr>
          </w:p>
        </w:tc>
        <w:tc>
          <w:tcPr>
            <w:tcW w:w="4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EEEEEE"/>
          </w:tcPr>
          <w:p>
            <w:pPr>
              <w:jc w:val="right"/>
              <w:ind w:right="332"/>
              <w:spacing w:after="0" w:line="149" w:lineRule="exact"/>
              <w:rPr>
                <w:sz w:val="20"/>
                <w:szCs w:val="20"/>
                <w:color w:val="auto"/>
              </w:rPr>
            </w:pPr>
            <w:r>
              <w:rPr>
                <w:rFonts w:ascii="Arial" w:cs="Arial" w:eastAsia="Arial" w:hAnsi="Arial"/>
                <w:sz w:val="14"/>
                <w:szCs w:val="14"/>
                <w:color w:val="auto"/>
                <w:w w:val="83"/>
              </w:rPr>
              <w:t>3,901,558</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4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Pr>
          <w:p>
            <w:pPr>
              <w:ind w:left="200"/>
              <w:spacing w:after="0"/>
              <w:rPr>
                <w:sz w:val="20"/>
                <w:szCs w:val="20"/>
                <w:color w:val="auto"/>
              </w:rPr>
            </w:pPr>
            <w:r>
              <w:rPr>
                <w:rFonts w:ascii="Arial" w:cs="Arial" w:eastAsia="Arial" w:hAnsi="Arial"/>
                <w:sz w:val="14"/>
                <w:szCs w:val="14"/>
                <w:color w:val="auto"/>
              </w:rPr>
              <w:t>Depreciation of property, plant and</w:t>
            </w: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tcPr>
          <w:p>
            <w:pPr>
              <w:ind w:left="340"/>
              <w:spacing w:after="0" w:line="159" w:lineRule="exact"/>
              <w:rPr>
                <w:sz w:val="20"/>
                <w:szCs w:val="20"/>
                <w:color w:val="auto"/>
              </w:rPr>
            </w:pPr>
            <w:r>
              <w:rPr>
                <w:rFonts w:ascii="Arial" w:cs="Arial" w:eastAsia="Arial" w:hAnsi="Arial"/>
                <w:sz w:val="14"/>
                <w:szCs w:val="14"/>
                <w:color w:val="auto"/>
              </w:rPr>
              <w:t>equipment</w:t>
            </w:r>
          </w:p>
        </w:tc>
        <w:tc>
          <w:tcPr>
            <w:tcW w:w="300" w:type="dxa"/>
            <w:vAlign w:val="bottom"/>
          </w:tcPr>
          <w:p>
            <w:pPr>
              <w:ind w:left="240"/>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352"/>
              <w:spacing w:after="0" w:line="159" w:lineRule="exact"/>
              <w:rPr>
                <w:sz w:val="20"/>
                <w:szCs w:val="20"/>
                <w:color w:val="auto"/>
              </w:rPr>
            </w:pPr>
            <w:r>
              <w:rPr>
                <w:rFonts w:ascii="Arial" w:cs="Arial" w:eastAsia="Arial" w:hAnsi="Arial"/>
                <w:sz w:val="14"/>
                <w:szCs w:val="14"/>
                <w:color w:val="auto"/>
                <w:w w:val="97"/>
              </w:rPr>
              <w:t>41,914</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372"/>
              <w:spacing w:after="0" w:line="159" w:lineRule="exact"/>
              <w:rPr>
                <w:sz w:val="20"/>
                <w:szCs w:val="20"/>
                <w:color w:val="auto"/>
              </w:rPr>
            </w:pPr>
            <w:r>
              <w:rPr>
                <w:rFonts w:ascii="Arial" w:cs="Arial" w:eastAsia="Arial" w:hAnsi="Arial"/>
                <w:sz w:val="14"/>
                <w:szCs w:val="14"/>
                <w:color w:val="auto"/>
                <w:w w:val="97"/>
              </w:rPr>
              <w:t>11,414</w:t>
            </w:r>
          </w:p>
        </w:tc>
        <w:tc>
          <w:tcPr>
            <w:tcW w:w="420" w:type="dxa"/>
            <w:vAlign w:val="bottom"/>
          </w:tcPr>
          <w:p>
            <w:pPr>
              <w:ind w:left="36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332"/>
              <w:spacing w:after="0" w:line="159" w:lineRule="exact"/>
              <w:rPr>
                <w:sz w:val="20"/>
                <w:szCs w:val="20"/>
                <w:color w:val="auto"/>
              </w:rPr>
            </w:pPr>
            <w:r>
              <w:rPr>
                <w:rFonts w:ascii="Arial" w:cs="Arial" w:eastAsia="Arial" w:hAnsi="Arial"/>
                <w:sz w:val="14"/>
                <w:szCs w:val="14"/>
                <w:color w:val="auto"/>
              </w:rPr>
              <w:t>3,727</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92"/>
              <w:spacing w:after="0" w:line="159" w:lineRule="exact"/>
              <w:rPr>
                <w:sz w:val="20"/>
                <w:szCs w:val="20"/>
                <w:color w:val="auto"/>
              </w:rPr>
            </w:pPr>
            <w:r>
              <w:rPr>
                <w:rFonts w:ascii="Arial" w:cs="Arial" w:eastAsia="Arial" w:hAnsi="Arial"/>
                <w:sz w:val="14"/>
                <w:szCs w:val="14"/>
                <w:color w:val="auto"/>
              </w:rPr>
              <w:t>92,804</w:t>
            </w:r>
          </w:p>
        </w:tc>
        <w:tc>
          <w:tcPr>
            <w:tcW w:w="380" w:type="dxa"/>
            <w:vAlign w:val="bottom"/>
          </w:tcPr>
          <w:p>
            <w:pPr>
              <w:ind w:left="300"/>
              <w:spacing w:after="0" w:line="15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ind w:right="272"/>
              <w:spacing w:after="0" w:line="159" w:lineRule="exact"/>
              <w:rPr>
                <w:sz w:val="20"/>
                <w:szCs w:val="20"/>
                <w:color w:val="auto"/>
              </w:rPr>
            </w:pPr>
            <w:r>
              <w:rPr>
                <w:rFonts w:ascii="Arial" w:cs="Arial" w:eastAsia="Arial" w:hAnsi="Arial"/>
                <w:sz w:val="14"/>
                <w:szCs w:val="14"/>
                <w:color w:val="auto"/>
                <w:w w:val="97"/>
              </w:rPr>
              <w:t>23,989</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312"/>
              <w:spacing w:after="0" w:line="15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332"/>
              <w:spacing w:after="0" w:line="159" w:lineRule="exact"/>
              <w:rPr>
                <w:sz w:val="20"/>
                <w:szCs w:val="20"/>
                <w:color w:val="auto"/>
              </w:rPr>
            </w:pPr>
            <w:r>
              <w:rPr>
                <w:rFonts w:ascii="Arial" w:cs="Arial" w:eastAsia="Arial" w:hAnsi="Arial"/>
                <w:sz w:val="14"/>
                <w:szCs w:val="14"/>
                <w:color w:val="auto"/>
              </w:rPr>
              <w:t>173,848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EEEEEE"/>
            </w:tcBorders>
            <w:shd w:val="clear" w:color="auto" w:fill="EEEEEE"/>
          </w:tcPr>
          <w:p>
            <w:pPr>
              <w:ind w:left="200"/>
              <w:spacing w:after="0" w:line="149" w:lineRule="exact"/>
              <w:rPr>
                <w:sz w:val="20"/>
                <w:szCs w:val="20"/>
                <w:color w:val="auto"/>
              </w:rPr>
            </w:pPr>
            <w:r>
              <w:rPr>
                <w:rFonts w:ascii="Arial" w:cs="Arial" w:eastAsia="Arial" w:hAnsi="Arial"/>
                <w:sz w:val="14"/>
                <w:szCs w:val="14"/>
                <w:color w:val="auto"/>
              </w:rPr>
              <w:t>Amortization expense</w:t>
            </w:r>
          </w:p>
        </w:tc>
        <w:tc>
          <w:tcPr>
            <w:tcW w:w="300" w:type="dxa"/>
            <w:vAlign w:val="bottom"/>
            <w:shd w:val="clear" w:color="auto" w:fill="EEEEEE"/>
          </w:tcPr>
          <w:p>
            <w:pPr>
              <w:ind w:left="24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EEEEEE"/>
          </w:tcPr>
          <w:p>
            <w:pPr>
              <w:jc w:val="right"/>
              <w:ind w:right="352"/>
              <w:spacing w:after="0" w:line="149" w:lineRule="exact"/>
              <w:rPr>
                <w:sz w:val="20"/>
                <w:szCs w:val="20"/>
                <w:color w:val="auto"/>
              </w:rPr>
            </w:pPr>
            <w:r>
              <w:rPr>
                <w:rFonts w:ascii="Arial" w:cs="Arial" w:eastAsia="Arial" w:hAnsi="Arial"/>
                <w:sz w:val="14"/>
                <w:szCs w:val="14"/>
                <w:color w:val="auto"/>
              </w:rPr>
              <w:t>15</w:t>
            </w:r>
          </w:p>
        </w:tc>
        <w:tc>
          <w:tcPr>
            <w:tcW w:w="5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EEEEEE"/>
          </w:tcPr>
          <w:p>
            <w:pPr>
              <w:jc w:val="right"/>
              <w:ind w:right="372"/>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EEEEEE"/>
          </w:tcPr>
          <w:p>
            <w:pPr>
              <w:ind w:left="36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EEEEEE"/>
          </w:tcPr>
          <w:p>
            <w:pPr>
              <w:jc w:val="right"/>
              <w:ind w:right="332"/>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EEEEE"/>
          </w:tcPr>
          <w:p>
            <w:pPr>
              <w:jc w:val="right"/>
              <w:ind w:right="292"/>
              <w:spacing w:after="0" w:line="149" w:lineRule="exact"/>
              <w:rPr>
                <w:sz w:val="20"/>
                <w:szCs w:val="20"/>
                <w:color w:val="auto"/>
              </w:rPr>
            </w:pPr>
            <w:r>
              <w:rPr>
                <w:rFonts w:ascii="Arial" w:cs="Arial" w:eastAsia="Arial" w:hAnsi="Arial"/>
                <w:sz w:val="14"/>
                <w:szCs w:val="14"/>
                <w:color w:val="auto"/>
              </w:rPr>
              <w:t>151</w:t>
            </w:r>
          </w:p>
        </w:tc>
        <w:tc>
          <w:tcPr>
            <w:tcW w:w="380" w:type="dxa"/>
            <w:vAlign w:val="bottom"/>
            <w:shd w:val="clear" w:color="auto" w:fill="EEEEEE"/>
          </w:tcPr>
          <w:p>
            <w:pPr>
              <w:ind w:left="30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EEEEEE"/>
          </w:tcPr>
          <w:p>
            <w:pPr>
              <w:jc w:val="right"/>
              <w:ind w:right="272"/>
              <w:spacing w:after="0" w:line="149" w:lineRule="exact"/>
              <w:rPr>
                <w:sz w:val="20"/>
                <w:szCs w:val="20"/>
                <w:color w:val="auto"/>
              </w:rPr>
            </w:pPr>
            <w:r>
              <w:rPr>
                <w:rFonts w:ascii="Arial" w:cs="Arial" w:eastAsia="Arial" w:hAnsi="Arial"/>
                <w:sz w:val="14"/>
                <w:szCs w:val="14"/>
                <w:color w:val="auto"/>
              </w:rPr>
              <w:t>1,270</w:t>
            </w: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EEEEEE"/>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EEEEEE"/>
          </w:tcPr>
          <w:p>
            <w:pPr>
              <w:jc w:val="right"/>
              <w:ind w:right="332"/>
              <w:spacing w:after="0" w:line="149" w:lineRule="exact"/>
              <w:rPr>
                <w:sz w:val="20"/>
                <w:szCs w:val="20"/>
                <w:color w:val="auto"/>
              </w:rPr>
            </w:pPr>
            <w:r>
              <w:rPr>
                <w:rFonts w:ascii="Arial" w:cs="Arial" w:eastAsia="Arial" w:hAnsi="Arial"/>
                <w:sz w:val="14"/>
                <w:szCs w:val="14"/>
                <w:color w:val="auto"/>
              </w:rPr>
              <w:t>1,436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ind w:left="200"/>
              <w:spacing w:after="0" w:line="149" w:lineRule="exact"/>
              <w:rPr>
                <w:sz w:val="20"/>
                <w:szCs w:val="20"/>
                <w:color w:val="auto"/>
              </w:rPr>
            </w:pPr>
            <w:r>
              <w:rPr>
                <w:rFonts w:ascii="Arial" w:cs="Arial" w:eastAsia="Arial" w:hAnsi="Arial"/>
                <w:sz w:val="14"/>
                <w:szCs w:val="14"/>
                <w:color w:val="auto"/>
              </w:rPr>
              <w:t>Pension credit (expense)</w:t>
            </w:r>
          </w:p>
        </w:tc>
        <w:tc>
          <w:tcPr>
            <w:tcW w:w="300" w:type="dxa"/>
            <w:vAlign w:val="bottom"/>
          </w:tcPr>
          <w:p>
            <w:pPr>
              <w:ind w:left="240"/>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312"/>
              <w:spacing w:after="0" w:line="149" w:lineRule="exact"/>
              <w:rPr>
                <w:sz w:val="20"/>
                <w:szCs w:val="20"/>
                <w:color w:val="auto"/>
              </w:rPr>
            </w:pPr>
            <w:r>
              <w:rPr>
                <w:rFonts w:ascii="Arial" w:cs="Arial" w:eastAsia="Arial" w:hAnsi="Arial"/>
                <w:sz w:val="14"/>
                <w:szCs w:val="14"/>
                <w:color w:val="auto"/>
                <w:w w:val="88"/>
              </w:rPr>
              <w:t>(19,580)</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4,165</w:t>
            </w:r>
          </w:p>
        </w:tc>
        <w:tc>
          <w:tcPr>
            <w:tcW w:w="420" w:type="dxa"/>
            <w:vAlign w:val="bottom"/>
          </w:tcPr>
          <w:p>
            <w:pPr>
              <w:ind w:left="36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332"/>
              <w:spacing w:after="0" w:line="149" w:lineRule="exact"/>
              <w:rPr>
                <w:sz w:val="20"/>
                <w:szCs w:val="20"/>
                <w:color w:val="auto"/>
              </w:rPr>
            </w:pPr>
            <w:r>
              <w:rPr>
                <w:rFonts w:ascii="Arial" w:cs="Arial" w:eastAsia="Arial" w:hAnsi="Arial"/>
                <w:sz w:val="14"/>
                <w:szCs w:val="14"/>
                <w:color w:val="auto"/>
                <w:w w:val="97"/>
              </w:rPr>
              <w:t>38,493</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(853)</w:t>
            </w:r>
          </w:p>
        </w:tc>
        <w:tc>
          <w:tcPr>
            <w:tcW w:w="380" w:type="dxa"/>
            <w:vAlign w:val="bottom"/>
          </w:tcPr>
          <w:p>
            <w:pPr>
              <w:ind w:left="30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(1,223)</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21,002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40" w:type="dxa"/>
            <w:vAlign w:val="bottom"/>
            <w:tcBorders>
              <w:right w:val="single" w:sz="8" w:color="EEEEEE"/>
            </w:tcBorders>
            <w:shd w:val="clear" w:color="auto" w:fill="EEEEEE"/>
          </w:tcPr>
          <w:p>
            <w:pPr>
              <w:ind w:left="200"/>
              <w:spacing w:after="0" w:line="138" w:lineRule="exact"/>
              <w:rPr>
                <w:sz w:val="20"/>
                <w:szCs w:val="20"/>
                <w:color w:val="auto"/>
              </w:rPr>
            </w:pPr>
            <w:r>
              <w:rPr>
                <w:rFonts w:ascii="Arial" w:cs="Arial" w:eastAsia="Arial" w:hAnsi="Arial"/>
                <w:sz w:val="14"/>
                <w:szCs w:val="14"/>
                <w:color w:val="auto"/>
              </w:rPr>
              <w:t>Kaplan stock-based incentive</w:t>
            </w:r>
          </w:p>
        </w:tc>
        <w:tc>
          <w:tcPr>
            <w:tcW w:w="300" w:type="dxa"/>
            <w:vAlign w:val="bottom"/>
            <w:shd w:val="clear" w:color="auto" w:fill="EEEEEE"/>
          </w:tcPr>
          <w:p>
            <w:pPr>
              <w:spacing w:after="0"/>
              <w:rPr>
                <w:sz w:val="11"/>
                <w:szCs w:val="11"/>
                <w:color w:val="auto"/>
              </w:rPr>
            </w:pPr>
          </w:p>
        </w:tc>
        <w:tc>
          <w:tcPr>
            <w:tcW w:w="86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88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840" w:type="dxa"/>
            <w:vAlign w:val="bottom"/>
            <w:shd w:val="clear" w:color="auto" w:fill="EEEEEE"/>
          </w:tcPr>
          <w:p>
            <w:pPr>
              <w:spacing w:after="0"/>
              <w:rPr>
                <w:sz w:val="11"/>
                <w:szCs w:val="11"/>
                <w:color w:val="auto"/>
              </w:rPr>
            </w:pPr>
          </w:p>
        </w:tc>
        <w:tc>
          <w:tcPr>
            <w:tcW w:w="400" w:type="dxa"/>
            <w:vAlign w:val="bottom"/>
            <w:shd w:val="clear" w:color="auto" w:fill="EEEEEE"/>
          </w:tcPr>
          <w:p>
            <w:pPr>
              <w:spacing w:after="0"/>
              <w:rPr>
                <w:sz w:val="11"/>
                <w:szCs w:val="11"/>
                <w:color w:val="auto"/>
              </w:rPr>
            </w:pPr>
          </w:p>
        </w:tc>
        <w:tc>
          <w:tcPr>
            <w:tcW w:w="90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7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0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9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tcBorders>
              <w:right w:val="single" w:sz="8" w:color="EEEEEE"/>
            </w:tcBorders>
            <w:shd w:val="clear" w:color="auto" w:fill="EEEEEE"/>
          </w:tcPr>
          <w:p>
            <w:pPr>
              <w:ind w:left="340"/>
              <w:spacing w:after="0" w:line="159" w:lineRule="exact"/>
              <w:rPr>
                <w:sz w:val="20"/>
                <w:szCs w:val="20"/>
                <w:color w:val="auto"/>
              </w:rPr>
            </w:pPr>
            <w:r>
              <w:rPr>
                <w:rFonts w:ascii="Arial" w:cs="Arial" w:eastAsia="Arial" w:hAnsi="Arial"/>
                <w:sz w:val="14"/>
                <w:szCs w:val="14"/>
                <w:color w:val="auto"/>
              </w:rPr>
              <w:t>compensation</w:t>
            </w:r>
          </w:p>
        </w:tc>
        <w:tc>
          <w:tcPr>
            <w:tcW w:w="300" w:type="dxa"/>
            <w:vAlign w:val="bottom"/>
            <w:shd w:val="clear" w:color="auto" w:fill="EEEEEE"/>
          </w:tcPr>
          <w:p>
            <w:pPr>
              <w:spacing w:after="0"/>
              <w:rPr>
                <w:sz w:val="13"/>
                <w:szCs w:val="13"/>
                <w:color w:val="auto"/>
              </w:rPr>
            </w:pPr>
          </w:p>
        </w:tc>
        <w:tc>
          <w:tcPr>
            <w:tcW w:w="860" w:type="dxa"/>
            <w:vAlign w:val="bottom"/>
            <w:shd w:val="clear" w:color="auto" w:fill="EEEEEE"/>
          </w:tcPr>
          <w:p>
            <w:pPr>
              <w:spacing w:after="0"/>
              <w:rPr>
                <w:sz w:val="13"/>
                <w:szCs w:val="13"/>
                <w:color w:val="auto"/>
              </w:rPr>
            </w:pPr>
          </w:p>
        </w:tc>
        <w:tc>
          <w:tcPr>
            <w:tcW w:w="540" w:type="dxa"/>
            <w:vAlign w:val="bottom"/>
            <w:shd w:val="clear" w:color="auto" w:fill="EEEEEE"/>
          </w:tcPr>
          <w:p>
            <w:pPr>
              <w:spacing w:after="0"/>
              <w:rPr>
                <w:sz w:val="13"/>
                <w:szCs w:val="13"/>
                <w:color w:val="auto"/>
              </w:rPr>
            </w:pPr>
          </w:p>
        </w:tc>
        <w:tc>
          <w:tcPr>
            <w:tcW w:w="88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840" w:type="dxa"/>
            <w:vAlign w:val="bottom"/>
            <w:shd w:val="clear" w:color="auto" w:fill="EEEEEE"/>
          </w:tcPr>
          <w:p>
            <w:pPr>
              <w:spacing w:after="0"/>
              <w:rPr>
                <w:sz w:val="13"/>
                <w:szCs w:val="13"/>
                <w:color w:val="auto"/>
              </w:rPr>
            </w:pPr>
          </w:p>
        </w:tc>
        <w:tc>
          <w:tcPr>
            <w:tcW w:w="400" w:type="dxa"/>
            <w:vAlign w:val="bottom"/>
            <w:shd w:val="clear" w:color="auto" w:fill="EEEEEE"/>
          </w:tcPr>
          <w:p>
            <w:pPr>
              <w:spacing w:after="0"/>
              <w:rPr>
                <w:sz w:val="13"/>
                <w:szCs w:val="13"/>
                <w:color w:val="auto"/>
              </w:rPr>
            </w:pPr>
          </w:p>
        </w:tc>
        <w:tc>
          <w:tcPr>
            <w:tcW w:w="900" w:type="dxa"/>
            <w:vAlign w:val="bottom"/>
            <w:shd w:val="clear" w:color="auto" w:fill="EEEEEE"/>
          </w:tcPr>
          <w:p>
            <w:pPr>
              <w:spacing w:after="0"/>
              <w:rPr>
                <w:sz w:val="13"/>
                <w:szCs w:val="13"/>
                <w:color w:val="auto"/>
              </w:rPr>
            </w:pPr>
          </w:p>
        </w:tc>
        <w:tc>
          <w:tcPr>
            <w:tcW w:w="380" w:type="dxa"/>
            <w:vAlign w:val="bottom"/>
            <w:shd w:val="clear" w:color="auto" w:fill="EEEEEE"/>
          </w:tcPr>
          <w:p>
            <w:pPr>
              <w:ind w:left="300"/>
              <w:spacing w:after="0" w:line="15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EEEEEE"/>
          </w:tcPr>
          <w:p>
            <w:pPr>
              <w:jc w:val="right"/>
              <w:ind w:right="272"/>
              <w:spacing w:after="0" w:line="159" w:lineRule="exact"/>
              <w:rPr>
                <w:sz w:val="20"/>
                <w:szCs w:val="20"/>
                <w:color w:val="auto"/>
              </w:rPr>
            </w:pPr>
            <w:r>
              <w:rPr>
                <w:rFonts w:ascii="Arial" w:cs="Arial" w:eastAsia="Arial" w:hAnsi="Arial"/>
                <w:sz w:val="14"/>
                <w:szCs w:val="14"/>
                <w:color w:val="auto"/>
                <w:w w:val="82"/>
              </w:rPr>
              <w:t>119,126</w:t>
            </w:r>
          </w:p>
        </w:tc>
        <w:tc>
          <w:tcPr>
            <w:tcW w:w="380" w:type="dxa"/>
            <w:vAlign w:val="bottom"/>
            <w:shd w:val="clear" w:color="auto" w:fill="EEEEEE"/>
          </w:tcPr>
          <w:p>
            <w:pPr>
              <w:spacing w:after="0"/>
              <w:rPr>
                <w:sz w:val="13"/>
                <w:szCs w:val="13"/>
                <w:color w:val="auto"/>
              </w:rPr>
            </w:pPr>
          </w:p>
        </w:tc>
        <w:tc>
          <w:tcPr>
            <w:tcW w:w="800" w:type="dxa"/>
            <w:vAlign w:val="bottom"/>
            <w:shd w:val="clear" w:color="auto" w:fill="EEEEEE"/>
          </w:tcPr>
          <w:p>
            <w:pPr>
              <w:spacing w:after="0"/>
              <w:rPr>
                <w:sz w:val="13"/>
                <w:szCs w:val="13"/>
                <w:color w:val="auto"/>
              </w:rPr>
            </w:pPr>
          </w:p>
        </w:tc>
        <w:tc>
          <w:tcPr>
            <w:tcW w:w="440" w:type="dxa"/>
            <w:vAlign w:val="bottom"/>
            <w:shd w:val="clear" w:color="auto" w:fill="EEEEEE"/>
          </w:tcPr>
          <w:p>
            <w:pPr>
              <w:jc w:val="right"/>
              <w:spacing w:after="0" w:line="159" w:lineRule="exact"/>
              <w:rPr>
                <w:sz w:val="20"/>
                <w:szCs w:val="20"/>
                <w:color w:val="auto"/>
              </w:rPr>
            </w:pPr>
            <w:r>
              <w:rPr>
                <w:rFonts w:ascii="Arial" w:cs="Arial" w:eastAsia="Arial" w:hAnsi="Arial"/>
                <w:sz w:val="14"/>
                <w:szCs w:val="14"/>
                <w:color w:val="auto"/>
              </w:rPr>
              <w:t>$</w:t>
            </w:r>
          </w:p>
        </w:tc>
        <w:tc>
          <w:tcPr>
            <w:tcW w:w="940" w:type="dxa"/>
            <w:vAlign w:val="bottom"/>
            <w:shd w:val="clear" w:color="auto" w:fill="EEEEEE"/>
          </w:tcPr>
          <w:p>
            <w:pPr>
              <w:jc w:val="right"/>
              <w:ind w:right="332"/>
              <w:spacing w:after="0" w:line="159" w:lineRule="exact"/>
              <w:rPr>
                <w:sz w:val="20"/>
                <w:szCs w:val="20"/>
                <w:color w:val="auto"/>
              </w:rPr>
            </w:pPr>
            <w:r>
              <w:rPr>
                <w:rFonts w:ascii="Arial" w:cs="Arial" w:eastAsia="Arial" w:hAnsi="Arial"/>
                <w:sz w:val="14"/>
                <w:szCs w:val="14"/>
                <w:color w:val="auto"/>
              </w:rPr>
              <w:t>119,126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ind w:left="200"/>
              <w:spacing w:after="0" w:line="149" w:lineRule="exact"/>
              <w:rPr>
                <w:sz w:val="20"/>
                <w:szCs w:val="20"/>
                <w:color w:val="auto"/>
              </w:rPr>
            </w:pPr>
            <w:r>
              <w:rPr>
                <w:rFonts w:ascii="Arial" w:cs="Arial" w:eastAsia="Arial" w:hAnsi="Arial"/>
                <w:sz w:val="14"/>
                <w:szCs w:val="14"/>
                <w:color w:val="auto"/>
              </w:rPr>
              <w:t>Capital expenditures</w:t>
            </w:r>
          </w:p>
        </w:tc>
        <w:tc>
          <w:tcPr>
            <w:tcW w:w="300" w:type="dxa"/>
            <w:vAlign w:val="bottom"/>
          </w:tcPr>
          <w:p>
            <w:pPr>
              <w:ind w:left="240"/>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352"/>
              <w:spacing w:after="0" w:line="149" w:lineRule="exact"/>
              <w:rPr>
                <w:sz w:val="20"/>
                <w:szCs w:val="20"/>
                <w:color w:val="auto"/>
              </w:rPr>
            </w:pPr>
            <w:r>
              <w:rPr>
                <w:rFonts w:ascii="Arial" w:cs="Arial" w:eastAsia="Arial" w:hAnsi="Arial"/>
                <w:sz w:val="14"/>
                <w:szCs w:val="14"/>
                <w:color w:val="auto"/>
                <w:w w:val="97"/>
              </w:rPr>
              <w:t>18,642</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5,434</w:t>
            </w:r>
          </w:p>
        </w:tc>
        <w:tc>
          <w:tcPr>
            <w:tcW w:w="420" w:type="dxa"/>
            <w:vAlign w:val="bottom"/>
          </w:tcPr>
          <w:p>
            <w:pPr>
              <w:ind w:left="36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1,027</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65,948</w:t>
            </w:r>
          </w:p>
        </w:tc>
        <w:tc>
          <w:tcPr>
            <w:tcW w:w="380" w:type="dxa"/>
            <w:vAlign w:val="bottom"/>
          </w:tcPr>
          <w:p>
            <w:pPr>
              <w:ind w:left="30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ind w:right="272"/>
              <w:spacing w:after="0" w:line="149" w:lineRule="exact"/>
              <w:rPr>
                <w:sz w:val="20"/>
                <w:szCs w:val="20"/>
                <w:color w:val="auto"/>
              </w:rPr>
            </w:pPr>
            <w:r>
              <w:rPr>
                <w:rFonts w:ascii="Arial" w:cs="Arial" w:eastAsia="Arial" w:hAnsi="Arial"/>
                <w:sz w:val="14"/>
                <w:szCs w:val="14"/>
                <w:color w:val="auto"/>
                <w:w w:val="97"/>
              </w:rPr>
              <w:t>34,537</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125,588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EEEEEE"/>
            </w:tcBorders>
            <w:shd w:val="clear" w:color="auto" w:fill="EEEEEE"/>
          </w:tcPr>
          <w:p>
            <w:pPr>
              <w:spacing w:after="0" w:line="149" w:lineRule="exact"/>
              <w:rPr>
                <w:sz w:val="20"/>
                <w:szCs w:val="20"/>
                <w:color w:val="auto"/>
              </w:rPr>
            </w:pPr>
            <w:r>
              <w:rPr>
                <w:rFonts w:ascii="Arial" w:cs="Arial" w:eastAsia="Arial" w:hAnsi="Arial"/>
                <w:sz w:val="14"/>
                <w:szCs w:val="14"/>
                <w:b w:val="1"/>
                <w:bCs w:val="1"/>
                <w:color w:val="auto"/>
              </w:rPr>
              <w:t>2002</w:t>
            </w:r>
          </w:p>
        </w:tc>
        <w:tc>
          <w:tcPr>
            <w:tcW w:w="300" w:type="dxa"/>
            <w:vAlign w:val="bottom"/>
            <w:shd w:val="clear" w:color="auto" w:fill="EEEEEE"/>
          </w:tcPr>
          <w:p>
            <w:pPr>
              <w:spacing w:after="0"/>
              <w:rPr>
                <w:sz w:val="12"/>
                <w:szCs w:val="12"/>
                <w:color w:val="auto"/>
              </w:rPr>
            </w:pPr>
          </w:p>
        </w:tc>
        <w:tc>
          <w:tcPr>
            <w:tcW w:w="86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90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ind w:left="200"/>
              <w:spacing w:after="0" w:line="149" w:lineRule="exact"/>
              <w:rPr>
                <w:sz w:val="20"/>
                <w:szCs w:val="20"/>
                <w:color w:val="auto"/>
              </w:rPr>
            </w:pPr>
            <w:r>
              <w:rPr>
                <w:rFonts w:ascii="Arial" w:cs="Arial" w:eastAsia="Arial" w:hAnsi="Arial"/>
                <w:sz w:val="14"/>
                <w:szCs w:val="14"/>
                <w:color w:val="auto"/>
              </w:rPr>
              <w:t>Operating revenues</w:t>
            </w:r>
          </w:p>
        </w:tc>
        <w:tc>
          <w:tcPr>
            <w:tcW w:w="300" w:type="dxa"/>
            <w:vAlign w:val="bottom"/>
          </w:tcPr>
          <w:p>
            <w:pPr>
              <w:ind w:left="240"/>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352"/>
              <w:spacing w:after="0" w:line="149" w:lineRule="exact"/>
              <w:rPr>
                <w:sz w:val="20"/>
                <w:szCs w:val="20"/>
                <w:color w:val="auto"/>
              </w:rPr>
            </w:pPr>
            <w:r>
              <w:rPr>
                <w:rFonts w:ascii="Arial" w:cs="Arial" w:eastAsia="Arial" w:hAnsi="Arial"/>
                <w:sz w:val="14"/>
                <w:szCs w:val="14"/>
                <w:color w:val="auto"/>
                <w:w w:val="82"/>
              </w:rPr>
              <w:t>841,984</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372"/>
              <w:spacing w:after="0" w:line="149" w:lineRule="exact"/>
              <w:rPr>
                <w:sz w:val="20"/>
                <w:szCs w:val="20"/>
                <w:color w:val="auto"/>
              </w:rPr>
            </w:pPr>
            <w:r>
              <w:rPr>
                <w:rFonts w:ascii="Arial" w:cs="Arial" w:eastAsia="Arial" w:hAnsi="Arial"/>
                <w:sz w:val="14"/>
                <w:szCs w:val="14"/>
                <w:color w:val="auto"/>
                <w:w w:val="82"/>
              </w:rPr>
              <w:t>343,552</w:t>
            </w:r>
          </w:p>
        </w:tc>
        <w:tc>
          <w:tcPr>
            <w:tcW w:w="420" w:type="dxa"/>
            <w:vAlign w:val="bottom"/>
          </w:tcPr>
          <w:p>
            <w:pPr>
              <w:ind w:left="36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332"/>
              <w:spacing w:after="0" w:line="149" w:lineRule="exact"/>
              <w:rPr>
                <w:sz w:val="20"/>
                <w:szCs w:val="20"/>
                <w:color w:val="auto"/>
              </w:rPr>
            </w:pPr>
            <w:r>
              <w:rPr>
                <w:rFonts w:ascii="Arial" w:cs="Arial" w:eastAsia="Arial" w:hAnsi="Arial"/>
                <w:sz w:val="14"/>
                <w:szCs w:val="14"/>
                <w:color w:val="auto"/>
                <w:w w:val="82"/>
              </w:rPr>
              <w:t>349,050</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428,492</w:t>
            </w:r>
          </w:p>
        </w:tc>
        <w:tc>
          <w:tcPr>
            <w:tcW w:w="380" w:type="dxa"/>
            <w:vAlign w:val="bottom"/>
          </w:tcPr>
          <w:p>
            <w:pPr>
              <w:ind w:left="30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ind w:right="272"/>
              <w:spacing w:after="0" w:line="149" w:lineRule="exact"/>
              <w:rPr>
                <w:sz w:val="20"/>
                <w:szCs w:val="20"/>
                <w:color w:val="auto"/>
              </w:rPr>
            </w:pPr>
            <w:r>
              <w:rPr>
                <w:rFonts w:ascii="Arial" w:cs="Arial" w:eastAsia="Arial" w:hAnsi="Arial"/>
                <w:sz w:val="14"/>
                <w:szCs w:val="14"/>
                <w:color w:val="auto"/>
                <w:w w:val="82"/>
              </w:rPr>
              <w:t>621,125</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332"/>
              <w:spacing w:after="0" w:line="149" w:lineRule="exact"/>
              <w:rPr>
                <w:sz w:val="20"/>
                <w:szCs w:val="20"/>
                <w:color w:val="auto"/>
              </w:rPr>
            </w:pPr>
            <w:r>
              <w:rPr>
                <w:rFonts w:ascii="Arial" w:cs="Arial" w:eastAsia="Arial" w:hAnsi="Arial"/>
                <w:sz w:val="14"/>
                <w:szCs w:val="14"/>
                <w:color w:val="auto"/>
                <w:w w:val="83"/>
              </w:rPr>
              <w:t>2,584,203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EEEEEE"/>
            </w:tcBorders>
            <w:shd w:val="clear" w:color="auto" w:fill="EEEEEE"/>
          </w:tcPr>
          <w:p>
            <w:pPr>
              <w:ind w:left="200"/>
              <w:spacing w:after="0" w:line="149" w:lineRule="exact"/>
              <w:rPr>
                <w:sz w:val="20"/>
                <w:szCs w:val="20"/>
                <w:color w:val="auto"/>
              </w:rPr>
            </w:pPr>
            <w:r>
              <w:rPr>
                <w:rFonts w:ascii="Arial" w:cs="Arial" w:eastAsia="Arial" w:hAnsi="Arial"/>
                <w:sz w:val="14"/>
                <w:szCs w:val="14"/>
                <w:color w:val="auto"/>
              </w:rPr>
              <w:t>Income (loss) from operations</w:t>
            </w:r>
          </w:p>
        </w:tc>
        <w:tc>
          <w:tcPr>
            <w:tcW w:w="300" w:type="dxa"/>
            <w:vAlign w:val="bottom"/>
            <w:shd w:val="clear" w:color="auto" w:fill="EEEEEE"/>
          </w:tcPr>
          <w:p>
            <w:pPr>
              <w:ind w:left="24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EEEEEE"/>
          </w:tcPr>
          <w:p>
            <w:pPr>
              <w:jc w:val="right"/>
              <w:ind w:right="352"/>
              <w:spacing w:after="0" w:line="149" w:lineRule="exact"/>
              <w:rPr>
                <w:sz w:val="20"/>
                <w:szCs w:val="20"/>
                <w:color w:val="auto"/>
              </w:rPr>
            </w:pPr>
            <w:r>
              <w:rPr>
                <w:rFonts w:ascii="Arial" w:cs="Arial" w:eastAsia="Arial" w:hAnsi="Arial"/>
                <w:sz w:val="14"/>
                <w:szCs w:val="14"/>
                <w:color w:val="auto"/>
                <w:w w:val="82"/>
              </w:rPr>
              <w:t>109,006</w:t>
            </w:r>
          </w:p>
        </w:tc>
        <w:tc>
          <w:tcPr>
            <w:tcW w:w="5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EEEEEE"/>
          </w:tcPr>
          <w:p>
            <w:pPr>
              <w:jc w:val="right"/>
              <w:ind w:right="372"/>
              <w:spacing w:after="0" w:line="149" w:lineRule="exact"/>
              <w:rPr>
                <w:sz w:val="20"/>
                <w:szCs w:val="20"/>
                <w:color w:val="auto"/>
              </w:rPr>
            </w:pPr>
            <w:r>
              <w:rPr>
                <w:rFonts w:ascii="Arial" w:cs="Arial" w:eastAsia="Arial" w:hAnsi="Arial"/>
                <w:sz w:val="14"/>
                <w:szCs w:val="14"/>
                <w:color w:val="auto"/>
                <w:w w:val="82"/>
              </w:rPr>
              <w:t>168,826</w:t>
            </w:r>
          </w:p>
        </w:tc>
        <w:tc>
          <w:tcPr>
            <w:tcW w:w="420" w:type="dxa"/>
            <w:vAlign w:val="bottom"/>
            <w:shd w:val="clear" w:color="auto" w:fill="EEEEEE"/>
          </w:tcPr>
          <w:p>
            <w:pPr>
              <w:ind w:left="36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EEEEEE"/>
          </w:tcPr>
          <w:p>
            <w:pPr>
              <w:jc w:val="right"/>
              <w:ind w:right="332"/>
              <w:spacing w:after="0" w:line="149" w:lineRule="exact"/>
              <w:rPr>
                <w:sz w:val="20"/>
                <w:szCs w:val="20"/>
                <w:color w:val="auto"/>
              </w:rPr>
            </w:pPr>
            <w:r>
              <w:rPr>
                <w:rFonts w:ascii="Arial" w:cs="Arial" w:eastAsia="Arial" w:hAnsi="Arial"/>
                <w:sz w:val="14"/>
                <w:szCs w:val="14"/>
                <w:color w:val="auto"/>
                <w:w w:val="97"/>
              </w:rPr>
              <w:t>25,728</w:t>
            </w:r>
          </w:p>
        </w:tc>
        <w:tc>
          <w:tcPr>
            <w:tcW w:w="4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EEEEE"/>
          </w:tcPr>
          <w:p>
            <w:pPr>
              <w:jc w:val="right"/>
              <w:ind w:right="292"/>
              <w:spacing w:after="0" w:line="149" w:lineRule="exact"/>
              <w:rPr>
                <w:sz w:val="20"/>
                <w:szCs w:val="20"/>
                <w:color w:val="auto"/>
              </w:rPr>
            </w:pPr>
            <w:r>
              <w:rPr>
                <w:rFonts w:ascii="Arial" w:cs="Arial" w:eastAsia="Arial" w:hAnsi="Arial"/>
                <w:sz w:val="14"/>
                <w:szCs w:val="14"/>
                <w:color w:val="auto"/>
              </w:rPr>
              <w:t>80,937</w:t>
            </w:r>
          </w:p>
        </w:tc>
        <w:tc>
          <w:tcPr>
            <w:tcW w:w="380" w:type="dxa"/>
            <w:vAlign w:val="bottom"/>
            <w:shd w:val="clear" w:color="auto" w:fill="EEEEEE"/>
          </w:tcPr>
          <w:p>
            <w:pPr>
              <w:ind w:left="30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EEEEEE"/>
          </w:tcPr>
          <w:p>
            <w:pPr>
              <w:jc w:val="right"/>
              <w:ind w:right="272"/>
              <w:spacing w:after="0" w:line="149" w:lineRule="exact"/>
              <w:rPr>
                <w:sz w:val="20"/>
                <w:szCs w:val="20"/>
                <w:color w:val="auto"/>
              </w:rPr>
            </w:pPr>
            <w:r>
              <w:rPr>
                <w:rFonts w:ascii="Arial" w:cs="Arial" w:eastAsia="Arial" w:hAnsi="Arial"/>
                <w:sz w:val="14"/>
                <w:szCs w:val="14"/>
                <w:color w:val="auto"/>
                <w:w w:val="97"/>
              </w:rPr>
              <w:t>20,512</w:t>
            </w: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EEEEEE"/>
          </w:tcPr>
          <w:p>
            <w:pPr>
              <w:jc w:val="right"/>
              <w:ind w:right="272"/>
              <w:spacing w:after="0" w:line="149" w:lineRule="exact"/>
              <w:rPr>
                <w:sz w:val="20"/>
                <w:szCs w:val="20"/>
                <w:color w:val="auto"/>
              </w:rPr>
            </w:pPr>
            <w:r>
              <w:rPr>
                <w:rFonts w:ascii="Arial" w:cs="Arial" w:eastAsia="Arial" w:hAnsi="Arial"/>
                <w:sz w:val="14"/>
                <w:szCs w:val="14"/>
                <w:color w:val="auto"/>
                <w:w w:val="84"/>
              </w:rPr>
              <w:t>(27,419)</w:t>
            </w:r>
          </w:p>
        </w:tc>
        <w:tc>
          <w:tcPr>
            <w:tcW w:w="4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EEEEEE"/>
          </w:tcPr>
          <w:p>
            <w:pPr>
              <w:jc w:val="right"/>
              <w:ind w:right="332"/>
              <w:spacing w:after="0" w:line="149" w:lineRule="exact"/>
              <w:rPr>
                <w:sz w:val="20"/>
                <w:szCs w:val="20"/>
                <w:color w:val="auto"/>
              </w:rPr>
            </w:pPr>
            <w:r>
              <w:rPr>
                <w:rFonts w:ascii="Arial" w:cs="Arial" w:eastAsia="Arial" w:hAnsi="Arial"/>
                <w:sz w:val="14"/>
                <w:szCs w:val="14"/>
                <w:color w:val="auto"/>
              </w:rPr>
              <w:t>377,590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ind w:left="200"/>
              <w:spacing w:after="0" w:line="149" w:lineRule="exact"/>
              <w:rPr>
                <w:sz w:val="20"/>
                <w:szCs w:val="20"/>
                <w:color w:val="auto"/>
              </w:rPr>
            </w:pPr>
            <w:r>
              <w:rPr>
                <w:rFonts w:ascii="Arial" w:cs="Arial" w:eastAsia="Arial" w:hAnsi="Arial"/>
                <w:sz w:val="14"/>
                <w:szCs w:val="14"/>
                <w:color w:val="auto"/>
              </w:rPr>
              <w:t>Equity in losses of affiliates</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(19,308)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EEEEEE"/>
            </w:tcBorders>
            <w:shd w:val="clear" w:color="auto" w:fill="EEEEEE"/>
          </w:tcPr>
          <w:p>
            <w:pPr>
              <w:ind w:left="200"/>
              <w:spacing w:after="0" w:line="149" w:lineRule="exact"/>
              <w:rPr>
                <w:sz w:val="20"/>
                <w:szCs w:val="20"/>
                <w:color w:val="auto"/>
              </w:rPr>
            </w:pPr>
            <w:r>
              <w:rPr>
                <w:rFonts w:ascii="Arial" w:cs="Arial" w:eastAsia="Arial" w:hAnsi="Arial"/>
                <w:sz w:val="14"/>
                <w:szCs w:val="14"/>
                <w:color w:val="auto"/>
              </w:rPr>
              <w:t>Interest expense, net</w:t>
            </w:r>
          </w:p>
        </w:tc>
        <w:tc>
          <w:tcPr>
            <w:tcW w:w="300" w:type="dxa"/>
            <w:vAlign w:val="bottom"/>
            <w:shd w:val="clear" w:color="auto" w:fill="EEEEEE"/>
          </w:tcPr>
          <w:p>
            <w:pPr>
              <w:spacing w:after="0"/>
              <w:rPr>
                <w:sz w:val="12"/>
                <w:szCs w:val="12"/>
                <w:color w:val="auto"/>
              </w:rPr>
            </w:pPr>
          </w:p>
        </w:tc>
        <w:tc>
          <w:tcPr>
            <w:tcW w:w="86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90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940" w:type="dxa"/>
            <w:vAlign w:val="bottom"/>
            <w:shd w:val="clear" w:color="auto" w:fill="EEEEEE"/>
          </w:tcPr>
          <w:p>
            <w:pPr>
              <w:jc w:val="right"/>
              <w:ind w:right="292"/>
              <w:spacing w:after="0" w:line="149" w:lineRule="exact"/>
              <w:rPr>
                <w:sz w:val="20"/>
                <w:szCs w:val="20"/>
                <w:color w:val="auto"/>
              </w:rPr>
            </w:pPr>
            <w:r>
              <w:rPr>
                <w:rFonts w:ascii="Arial" w:cs="Arial" w:eastAsia="Arial" w:hAnsi="Arial"/>
                <w:sz w:val="14"/>
                <w:szCs w:val="14"/>
                <w:color w:val="auto"/>
              </w:rPr>
              <w:t>(33,487)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40" w:type="dxa"/>
            <w:vAlign w:val="bottom"/>
          </w:tcPr>
          <w:p>
            <w:pPr>
              <w:ind w:left="200"/>
              <w:spacing w:after="0"/>
              <w:rPr>
                <w:sz w:val="20"/>
                <w:szCs w:val="20"/>
                <w:color w:val="auto"/>
              </w:rPr>
            </w:pPr>
            <w:r>
              <w:rPr>
                <w:rFonts w:ascii="Arial" w:cs="Arial" w:eastAsia="Arial" w:hAnsi="Arial"/>
                <w:sz w:val="14"/>
                <w:szCs w:val="14"/>
                <w:color w:val="auto"/>
              </w:rPr>
              <w:t>Other income, net</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right"/>
              <w:ind w:right="332"/>
              <w:spacing w:after="0"/>
              <w:rPr>
                <w:sz w:val="20"/>
                <w:szCs w:val="20"/>
                <w:color w:val="auto"/>
              </w:rPr>
            </w:pPr>
            <w:r>
              <w:rPr>
                <w:rFonts w:ascii="Arial" w:cs="Arial" w:eastAsia="Arial" w:hAnsi="Arial"/>
                <w:sz w:val="14"/>
                <w:szCs w:val="14"/>
                <w:color w:val="auto"/>
              </w:rPr>
              <w:t>28,873</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54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EEEEEE"/>
            </w:tcBorders>
            <w:shd w:val="clear" w:color="auto" w:fill="EEEEEE"/>
          </w:tcPr>
          <w:p>
            <w:pPr>
              <w:ind w:left="440"/>
              <w:spacing w:after="0" w:line="149" w:lineRule="exact"/>
              <w:rPr>
                <w:sz w:val="20"/>
                <w:szCs w:val="20"/>
                <w:color w:val="auto"/>
              </w:rPr>
            </w:pPr>
            <w:r>
              <w:rPr>
                <w:rFonts w:ascii="Arial" w:cs="Arial" w:eastAsia="Arial" w:hAnsi="Arial"/>
                <w:sz w:val="14"/>
                <w:szCs w:val="14"/>
                <w:color w:val="auto"/>
              </w:rPr>
              <w:t>Income before income taxes</w:t>
            </w:r>
          </w:p>
        </w:tc>
        <w:tc>
          <w:tcPr>
            <w:tcW w:w="300" w:type="dxa"/>
            <w:vAlign w:val="bottom"/>
            <w:shd w:val="clear" w:color="auto" w:fill="EEEEEE"/>
          </w:tcPr>
          <w:p>
            <w:pPr>
              <w:spacing w:after="0"/>
              <w:rPr>
                <w:sz w:val="12"/>
                <w:szCs w:val="12"/>
                <w:color w:val="auto"/>
              </w:rPr>
            </w:pPr>
          </w:p>
        </w:tc>
        <w:tc>
          <w:tcPr>
            <w:tcW w:w="86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90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0" w:type="dxa"/>
            <w:vAlign w:val="bottom"/>
            <w:shd w:val="clear" w:color="auto" w:fill="EEEEEE"/>
          </w:tcPr>
          <w:p>
            <w:pPr>
              <w:spacing w:after="0"/>
              <w:rPr>
                <w:sz w:val="12"/>
                <w:szCs w:val="12"/>
                <w:color w:val="auto"/>
              </w:rPr>
            </w:pPr>
          </w:p>
        </w:tc>
        <w:tc>
          <w:tcPr>
            <w:tcW w:w="4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EEEEEE"/>
          </w:tcPr>
          <w:p>
            <w:pPr>
              <w:jc w:val="right"/>
              <w:ind w:right="332"/>
              <w:spacing w:after="0" w:line="149" w:lineRule="exact"/>
              <w:rPr>
                <w:sz w:val="20"/>
                <w:szCs w:val="20"/>
                <w:color w:val="auto"/>
              </w:rPr>
            </w:pPr>
            <w:r>
              <w:rPr>
                <w:rFonts w:ascii="Arial" w:cs="Arial" w:eastAsia="Arial" w:hAnsi="Arial"/>
                <w:sz w:val="14"/>
                <w:szCs w:val="14"/>
                <w:color w:val="auto"/>
              </w:rPr>
              <w:t>353,668</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4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2540" w:type="dxa"/>
            <w:vAlign w:val="bottom"/>
          </w:tcPr>
          <w:p>
            <w:pPr>
              <w:ind w:left="200"/>
              <w:spacing w:after="0"/>
              <w:rPr>
                <w:sz w:val="20"/>
                <w:szCs w:val="20"/>
                <w:color w:val="auto"/>
              </w:rPr>
            </w:pPr>
            <w:r>
              <w:rPr>
                <w:rFonts w:ascii="Arial" w:cs="Arial" w:eastAsia="Arial" w:hAnsi="Arial"/>
                <w:sz w:val="14"/>
                <w:szCs w:val="14"/>
                <w:color w:val="auto"/>
              </w:rPr>
              <w:t>Identifiable assets</w:t>
            </w:r>
          </w:p>
        </w:tc>
        <w:tc>
          <w:tcPr>
            <w:tcW w:w="300" w:type="dxa"/>
            <w:vAlign w:val="bottom"/>
          </w:tcPr>
          <w:p>
            <w:pPr>
              <w:ind w:left="240"/>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352"/>
              <w:spacing w:after="0"/>
              <w:rPr>
                <w:sz w:val="20"/>
                <w:szCs w:val="20"/>
                <w:color w:val="auto"/>
              </w:rPr>
            </w:pPr>
            <w:r>
              <w:rPr>
                <w:rFonts w:ascii="Arial" w:cs="Arial" w:eastAsia="Arial" w:hAnsi="Arial"/>
                <w:sz w:val="14"/>
                <w:szCs w:val="14"/>
                <w:color w:val="auto"/>
                <w:w w:val="82"/>
              </w:rPr>
              <w:t>690,197</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72"/>
              <w:spacing w:after="0"/>
              <w:rPr>
                <w:sz w:val="20"/>
                <w:szCs w:val="20"/>
                <w:color w:val="auto"/>
              </w:rPr>
            </w:pPr>
            <w:r>
              <w:rPr>
                <w:rFonts w:ascii="Arial" w:cs="Arial" w:eastAsia="Arial" w:hAnsi="Arial"/>
                <w:sz w:val="14"/>
                <w:szCs w:val="14"/>
                <w:color w:val="auto"/>
                <w:w w:val="82"/>
              </w:rPr>
              <w:t>413,663</w:t>
            </w:r>
          </w:p>
        </w:tc>
        <w:tc>
          <w:tcPr>
            <w:tcW w:w="420" w:type="dxa"/>
            <w:vAlign w:val="bottom"/>
          </w:tcPr>
          <w:p>
            <w:pPr>
              <w:ind w:left="36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332"/>
              <w:spacing w:after="0"/>
              <w:rPr>
                <w:sz w:val="20"/>
                <w:szCs w:val="20"/>
                <w:color w:val="auto"/>
              </w:rPr>
            </w:pPr>
            <w:r>
              <w:rPr>
                <w:rFonts w:ascii="Arial" w:cs="Arial" w:eastAsia="Arial" w:hAnsi="Arial"/>
                <w:sz w:val="14"/>
                <w:szCs w:val="14"/>
                <w:color w:val="auto"/>
                <w:w w:val="82"/>
              </w:rPr>
              <w:t>488,562</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92"/>
              <w:spacing w:after="0"/>
              <w:rPr>
                <w:sz w:val="20"/>
                <w:szCs w:val="20"/>
                <w:color w:val="auto"/>
              </w:rPr>
            </w:pPr>
            <w:r>
              <w:rPr>
                <w:rFonts w:ascii="Arial" w:cs="Arial" w:eastAsia="Arial" w:hAnsi="Arial"/>
                <w:sz w:val="14"/>
                <w:szCs w:val="14"/>
                <w:color w:val="auto"/>
                <w:w w:val="83"/>
              </w:rPr>
              <w:t>1,142,995</w:t>
            </w:r>
          </w:p>
        </w:tc>
        <w:tc>
          <w:tcPr>
            <w:tcW w:w="380" w:type="dxa"/>
            <w:vAlign w:val="bottom"/>
          </w:tcPr>
          <w:p>
            <w:pPr>
              <w:ind w:left="300"/>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272"/>
              <w:spacing w:after="0"/>
              <w:rPr>
                <w:sz w:val="20"/>
                <w:szCs w:val="20"/>
                <w:color w:val="auto"/>
              </w:rPr>
            </w:pPr>
            <w:r>
              <w:rPr>
                <w:rFonts w:ascii="Arial" w:cs="Arial" w:eastAsia="Arial" w:hAnsi="Arial"/>
                <w:sz w:val="14"/>
                <w:szCs w:val="14"/>
                <w:color w:val="auto"/>
                <w:w w:val="82"/>
              </w:rPr>
              <w:t>542,251</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12"/>
              <w:spacing w:after="0"/>
              <w:rPr>
                <w:sz w:val="20"/>
                <w:szCs w:val="20"/>
                <w:color w:val="auto"/>
              </w:rPr>
            </w:pPr>
            <w:r>
              <w:rPr>
                <w:rFonts w:ascii="Arial" w:cs="Arial" w:eastAsia="Arial" w:hAnsi="Arial"/>
                <w:sz w:val="14"/>
                <w:szCs w:val="14"/>
                <w:color w:val="auto"/>
                <w:w w:val="93"/>
              </w:rPr>
              <w:t>18,990</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32"/>
              <w:spacing w:after="0"/>
              <w:rPr>
                <w:sz w:val="20"/>
                <w:szCs w:val="20"/>
                <w:color w:val="auto"/>
              </w:rPr>
            </w:pPr>
            <w:r>
              <w:rPr>
                <w:rFonts w:ascii="Arial" w:cs="Arial" w:eastAsia="Arial" w:hAnsi="Arial"/>
                <w:sz w:val="14"/>
                <w:szCs w:val="14"/>
                <w:color w:val="auto"/>
                <w:w w:val="83"/>
              </w:rPr>
              <w:t>3,296,658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40" w:type="dxa"/>
            <w:vAlign w:val="bottom"/>
            <w:tcBorders>
              <w:right w:val="single" w:sz="8" w:color="EEEEEE"/>
            </w:tcBorders>
            <w:shd w:val="clear" w:color="auto" w:fill="EEEEEE"/>
          </w:tcPr>
          <w:p>
            <w:pPr>
              <w:ind w:left="200"/>
              <w:spacing w:after="0" w:line="138" w:lineRule="exact"/>
              <w:rPr>
                <w:sz w:val="20"/>
                <w:szCs w:val="20"/>
                <w:color w:val="auto"/>
              </w:rPr>
            </w:pPr>
            <w:r>
              <w:rPr>
                <w:rFonts w:ascii="Arial" w:cs="Arial" w:eastAsia="Arial" w:hAnsi="Arial"/>
                <w:sz w:val="14"/>
                <w:szCs w:val="14"/>
                <w:color w:val="auto"/>
              </w:rPr>
              <w:t>Investments in marketable equity</w:t>
            </w:r>
          </w:p>
        </w:tc>
        <w:tc>
          <w:tcPr>
            <w:tcW w:w="300" w:type="dxa"/>
            <w:vAlign w:val="bottom"/>
            <w:shd w:val="clear" w:color="auto" w:fill="EEEEEE"/>
          </w:tcPr>
          <w:p>
            <w:pPr>
              <w:spacing w:after="0"/>
              <w:rPr>
                <w:sz w:val="11"/>
                <w:szCs w:val="11"/>
                <w:color w:val="auto"/>
              </w:rPr>
            </w:pPr>
          </w:p>
        </w:tc>
        <w:tc>
          <w:tcPr>
            <w:tcW w:w="86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88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840" w:type="dxa"/>
            <w:vAlign w:val="bottom"/>
            <w:shd w:val="clear" w:color="auto" w:fill="EEEEEE"/>
          </w:tcPr>
          <w:p>
            <w:pPr>
              <w:spacing w:after="0"/>
              <w:rPr>
                <w:sz w:val="11"/>
                <w:szCs w:val="11"/>
                <w:color w:val="auto"/>
              </w:rPr>
            </w:pPr>
          </w:p>
        </w:tc>
        <w:tc>
          <w:tcPr>
            <w:tcW w:w="400" w:type="dxa"/>
            <w:vAlign w:val="bottom"/>
            <w:shd w:val="clear" w:color="auto" w:fill="EEEEEE"/>
          </w:tcPr>
          <w:p>
            <w:pPr>
              <w:spacing w:after="0"/>
              <w:rPr>
                <w:sz w:val="11"/>
                <w:szCs w:val="11"/>
                <w:color w:val="auto"/>
              </w:rPr>
            </w:pPr>
          </w:p>
        </w:tc>
        <w:tc>
          <w:tcPr>
            <w:tcW w:w="90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7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0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9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tcBorders>
              <w:right w:val="single" w:sz="8" w:color="EEEEEE"/>
            </w:tcBorders>
            <w:shd w:val="clear" w:color="auto" w:fill="EEEEEE"/>
          </w:tcPr>
          <w:p>
            <w:pPr>
              <w:ind w:left="340"/>
              <w:spacing w:after="0" w:line="159" w:lineRule="exact"/>
              <w:rPr>
                <w:sz w:val="20"/>
                <w:szCs w:val="20"/>
                <w:color w:val="auto"/>
              </w:rPr>
            </w:pPr>
            <w:r>
              <w:rPr>
                <w:rFonts w:ascii="Arial" w:cs="Arial" w:eastAsia="Arial" w:hAnsi="Arial"/>
                <w:sz w:val="14"/>
                <w:szCs w:val="14"/>
                <w:color w:val="auto"/>
              </w:rPr>
              <w:t>securities</w:t>
            </w:r>
          </w:p>
        </w:tc>
        <w:tc>
          <w:tcPr>
            <w:tcW w:w="300" w:type="dxa"/>
            <w:vAlign w:val="bottom"/>
            <w:shd w:val="clear" w:color="auto" w:fill="EEEEEE"/>
          </w:tcPr>
          <w:p>
            <w:pPr>
              <w:spacing w:after="0"/>
              <w:rPr>
                <w:sz w:val="13"/>
                <w:szCs w:val="13"/>
                <w:color w:val="auto"/>
              </w:rPr>
            </w:pPr>
          </w:p>
        </w:tc>
        <w:tc>
          <w:tcPr>
            <w:tcW w:w="860" w:type="dxa"/>
            <w:vAlign w:val="bottom"/>
            <w:shd w:val="clear" w:color="auto" w:fill="EEEEEE"/>
          </w:tcPr>
          <w:p>
            <w:pPr>
              <w:spacing w:after="0"/>
              <w:rPr>
                <w:sz w:val="13"/>
                <w:szCs w:val="13"/>
                <w:color w:val="auto"/>
              </w:rPr>
            </w:pPr>
          </w:p>
        </w:tc>
        <w:tc>
          <w:tcPr>
            <w:tcW w:w="540" w:type="dxa"/>
            <w:vAlign w:val="bottom"/>
            <w:shd w:val="clear" w:color="auto" w:fill="EEEEEE"/>
          </w:tcPr>
          <w:p>
            <w:pPr>
              <w:spacing w:after="0"/>
              <w:rPr>
                <w:sz w:val="13"/>
                <w:szCs w:val="13"/>
                <w:color w:val="auto"/>
              </w:rPr>
            </w:pPr>
          </w:p>
        </w:tc>
        <w:tc>
          <w:tcPr>
            <w:tcW w:w="88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840" w:type="dxa"/>
            <w:vAlign w:val="bottom"/>
            <w:shd w:val="clear" w:color="auto" w:fill="EEEEEE"/>
          </w:tcPr>
          <w:p>
            <w:pPr>
              <w:spacing w:after="0"/>
              <w:rPr>
                <w:sz w:val="13"/>
                <w:szCs w:val="13"/>
                <w:color w:val="auto"/>
              </w:rPr>
            </w:pPr>
          </w:p>
        </w:tc>
        <w:tc>
          <w:tcPr>
            <w:tcW w:w="400" w:type="dxa"/>
            <w:vAlign w:val="bottom"/>
            <w:shd w:val="clear" w:color="auto" w:fill="EEEEEE"/>
          </w:tcPr>
          <w:p>
            <w:pPr>
              <w:spacing w:after="0"/>
              <w:rPr>
                <w:sz w:val="13"/>
                <w:szCs w:val="13"/>
                <w:color w:val="auto"/>
              </w:rPr>
            </w:pPr>
          </w:p>
        </w:tc>
        <w:tc>
          <w:tcPr>
            <w:tcW w:w="90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78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800" w:type="dxa"/>
            <w:vAlign w:val="bottom"/>
            <w:shd w:val="clear" w:color="auto" w:fill="EEEEEE"/>
          </w:tcPr>
          <w:p>
            <w:pPr>
              <w:spacing w:after="0"/>
              <w:rPr>
                <w:sz w:val="13"/>
                <w:szCs w:val="13"/>
                <w:color w:val="auto"/>
              </w:rPr>
            </w:pPr>
          </w:p>
        </w:tc>
        <w:tc>
          <w:tcPr>
            <w:tcW w:w="440" w:type="dxa"/>
            <w:vAlign w:val="bottom"/>
            <w:shd w:val="clear" w:color="auto" w:fill="EEEEEE"/>
          </w:tcPr>
          <w:p>
            <w:pPr>
              <w:spacing w:after="0"/>
              <w:rPr>
                <w:sz w:val="13"/>
                <w:szCs w:val="13"/>
                <w:color w:val="auto"/>
              </w:rPr>
            </w:pPr>
          </w:p>
        </w:tc>
        <w:tc>
          <w:tcPr>
            <w:tcW w:w="940" w:type="dxa"/>
            <w:vAlign w:val="bottom"/>
            <w:shd w:val="clear" w:color="auto" w:fill="EEEEEE"/>
          </w:tcPr>
          <w:p>
            <w:pPr>
              <w:jc w:val="right"/>
              <w:ind w:right="332"/>
              <w:spacing w:after="0" w:line="159" w:lineRule="exact"/>
              <w:rPr>
                <w:sz w:val="20"/>
                <w:szCs w:val="20"/>
                <w:color w:val="auto"/>
              </w:rPr>
            </w:pPr>
            <w:r>
              <w:rPr>
                <w:rFonts w:ascii="Arial" w:cs="Arial" w:eastAsia="Arial" w:hAnsi="Arial"/>
                <w:sz w:val="14"/>
                <w:szCs w:val="14"/>
                <w:color w:val="auto"/>
              </w:rPr>
              <w:t>216,533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40" w:type="dxa"/>
            <w:vAlign w:val="bottom"/>
          </w:tcPr>
          <w:p>
            <w:pPr>
              <w:ind w:left="200"/>
              <w:spacing w:after="0"/>
              <w:rPr>
                <w:sz w:val="20"/>
                <w:szCs w:val="20"/>
                <w:color w:val="auto"/>
              </w:rPr>
            </w:pPr>
            <w:r>
              <w:rPr>
                <w:rFonts w:ascii="Arial" w:cs="Arial" w:eastAsia="Arial" w:hAnsi="Arial"/>
                <w:sz w:val="14"/>
                <w:szCs w:val="14"/>
                <w:color w:val="auto"/>
              </w:rPr>
              <w:t>Investments in affiliates</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right"/>
              <w:ind w:right="332"/>
              <w:spacing w:after="0"/>
              <w:rPr>
                <w:sz w:val="20"/>
                <w:szCs w:val="20"/>
                <w:color w:val="auto"/>
              </w:rPr>
            </w:pPr>
            <w:r>
              <w:rPr>
                <w:rFonts w:ascii="Arial" w:cs="Arial" w:eastAsia="Arial" w:hAnsi="Arial"/>
                <w:sz w:val="14"/>
                <w:szCs w:val="14"/>
                <w:color w:val="auto"/>
              </w:rPr>
              <w:t>70,703</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54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EEEEEE"/>
            </w:tcBorders>
            <w:shd w:val="clear" w:color="auto" w:fill="EEEEEE"/>
          </w:tcPr>
          <w:p>
            <w:pPr>
              <w:ind w:left="440"/>
              <w:spacing w:after="0" w:line="149" w:lineRule="exact"/>
              <w:rPr>
                <w:sz w:val="20"/>
                <w:szCs w:val="20"/>
                <w:color w:val="auto"/>
              </w:rPr>
            </w:pPr>
            <w:r>
              <w:rPr>
                <w:rFonts w:ascii="Arial" w:cs="Arial" w:eastAsia="Arial" w:hAnsi="Arial"/>
                <w:sz w:val="14"/>
                <w:szCs w:val="14"/>
                <w:color w:val="auto"/>
              </w:rPr>
              <w:t>Total assets</w:t>
            </w:r>
          </w:p>
        </w:tc>
        <w:tc>
          <w:tcPr>
            <w:tcW w:w="300" w:type="dxa"/>
            <w:vAlign w:val="bottom"/>
            <w:shd w:val="clear" w:color="auto" w:fill="EEEEEE"/>
          </w:tcPr>
          <w:p>
            <w:pPr>
              <w:spacing w:after="0"/>
              <w:rPr>
                <w:sz w:val="12"/>
                <w:szCs w:val="12"/>
                <w:color w:val="auto"/>
              </w:rPr>
            </w:pPr>
          </w:p>
        </w:tc>
        <w:tc>
          <w:tcPr>
            <w:tcW w:w="86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90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0" w:type="dxa"/>
            <w:vAlign w:val="bottom"/>
            <w:shd w:val="clear" w:color="auto" w:fill="EEEEEE"/>
          </w:tcPr>
          <w:p>
            <w:pPr>
              <w:spacing w:after="0"/>
              <w:rPr>
                <w:sz w:val="12"/>
                <w:szCs w:val="12"/>
                <w:color w:val="auto"/>
              </w:rPr>
            </w:pPr>
          </w:p>
        </w:tc>
        <w:tc>
          <w:tcPr>
            <w:tcW w:w="4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EEEEEE"/>
          </w:tcPr>
          <w:p>
            <w:pPr>
              <w:jc w:val="right"/>
              <w:ind w:right="332"/>
              <w:spacing w:after="0" w:line="149" w:lineRule="exact"/>
              <w:rPr>
                <w:sz w:val="20"/>
                <w:szCs w:val="20"/>
                <w:color w:val="auto"/>
              </w:rPr>
            </w:pPr>
            <w:r>
              <w:rPr>
                <w:rFonts w:ascii="Arial" w:cs="Arial" w:eastAsia="Arial" w:hAnsi="Arial"/>
                <w:sz w:val="14"/>
                <w:szCs w:val="14"/>
                <w:color w:val="auto"/>
                <w:w w:val="83"/>
              </w:rPr>
              <w:t>3,583,894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4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40" w:type="dxa"/>
            <w:vAlign w:val="bottom"/>
          </w:tcPr>
          <w:p>
            <w:pPr>
              <w:ind w:left="200"/>
              <w:spacing w:after="0"/>
              <w:rPr>
                <w:sz w:val="20"/>
                <w:szCs w:val="20"/>
                <w:color w:val="auto"/>
              </w:rPr>
            </w:pPr>
            <w:r>
              <w:rPr>
                <w:rFonts w:ascii="Arial" w:cs="Arial" w:eastAsia="Arial" w:hAnsi="Arial"/>
                <w:sz w:val="14"/>
                <w:szCs w:val="14"/>
                <w:color w:val="auto"/>
              </w:rPr>
              <w:t>Depreciation of property, plant and</w:t>
            </w: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tcPr>
          <w:p>
            <w:pPr>
              <w:ind w:left="340"/>
              <w:spacing w:after="0" w:line="159" w:lineRule="exact"/>
              <w:rPr>
                <w:sz w:val="20"/>
                <w:szCs w:val="20"/>
                <w:color w:val="auto"/>
              </w:rPr>
            </w:pPr>
            <w:r>
              <w:rPr>
                <w:rFonts w:ascii="Arial" w:cs="Arial" w:eastAsia="Arial" w:hAnsi="Arial"/>
                <w:sz w:val="14"/>
                <w:szCs w:val="14"/>
                <w:color w:val="auto"/>
              </w:rPr>
              <w:t>equipment</w:t>
            </w:r>
          </w:p>
        </w:tc>
        <w:tc>
          <w:tcPr>
            <w:tcW w:w="300" w:type="dxa"/>
            <w:vAlign w:val="bottom"/>
          </w:tcPr>
          <w:p>
            <w:pPr>
              <w:ind w:left="240"/>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352"/>
              <w:spacing w:after="0" w:line="159" w:lineRule="exact"/>
              <w:rPr>
                <w:sz w:val="20"/>
                <w:szCs w:val="20"/>
                <w:color w:val="auto"/>
              </w:rPr>
            </w:pPr>
            <w:r>
              <w:rPr>
                <w:rFonts w:ascii="Arial" w:cs="Arial" w:eastAsia="Arial" w:hAnsi="Arial"/>
                <w:sz w:val="14"/>
                <w:szCs w:val="14"/>
                <w:color w:val="auto"/>
                <w:w w:val="97"/>
              </w:rPr>
              <w:t>42,961</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372"/>
              <w:spacing w:after="0" w:line="159" w:lineRule="exact"/>
              <w:rPr>
                <w:sz w:val="20"/>
                <w:szCs w:val="20"/>
                <w:color w:val="auto"/>
              </w:rPr>
            </w:pPr>
            <w:r>
              <w:rPr>
                <w:rFonts w:ascii="Arial" w:cs="Arial" w:eastAsia="Arial" w:hAnsi="Arial"/>
                <w:sz w:val="14"/>
                <w:szCs w:val="14"/>
                <w:color w:val="auto"/>
                <w:w w:val="97"/>
              </w:rPr>
              <w:t>11,187</w:t>
            </w:r>
          </w:p>
        </w:tc>
        <w:tc>
          <w:tcPr>
            <w:tcW w:w="420" w:type="dxa"/>
            <w:vAlign w:val="bottom"/>
          </w:tcPr>
          <w:p>
            <w:pPr>
              <w:ind w:left="36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332"/>
              <w:spacing w:after="0" w:line="159" w:lineRule="exact"/>
              <w:rPr>
                <w:sz w:val="20"/>
                <w:szCs w:val="20"/>
                <w:color w:val="auto"/>
              </w:rPr>
            </w:pPr>
            <w:r>
              <w:rPr>
                <w:rFonts w:ascii="Arial" w:cs="Arial" w:eastAsia="Arial" w:hAnsi="Arial"/>
                <w:sz w:val="14"/>
                <w:szCs w:val="14"/>
                <w:color w:val="auto"/>
              </w:rPr>
              <w:t>4,124</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92"/>
              <w:spacing w:after="0" w:line="159" w:lineRule="exact"/>
              <w:rPr>
                <w:sz w:val="20"/>
                <w:szCs w:val="20"/>
                <w:color w:val="auto"/>
              </w:rPr>
            </w:pPr>
            <w:r>
              <w:rPr>
                <w:rFonts w:ascii="Arial" w:cs="Arial" w:eastAsia="Arial" w:hAnsi="Arial"/>
                <w:sz w:val="14"/>
                <w:szCs w:val="14"/>
                <w:color w:val="auto"/>
              </w:rPr>
              <w:t>88,751</w:t>
            </w:r>
          </w:p>
        </w:tc>
        <w:tc>
          <w:tcPr>
            <w:tcW w:w="380" w:type="dxa"/>
            <w:vAlign w:val="bottom"/>
          </w:tcPr>
          <w:p>
            <w:pPr>
              <w:ind w:left="300"/>
              <w:spacing w:after="0" w:line="15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ind w:right="272"/>
              <w:spacing w:after="0" w:line="159" w:lineRule="exact"/>
              <w:rPr>
                <w:sz w:val="20"/>
                <w:szCs w:val="20"/>
                <w:color w:val="auto"/>
              </w:rPr>
            </w:pPr>
            <w:r>
              <w:rPr>
                <w:rFonts w:ascii="Arial" w:cs="Arial" w:eastAsia="Arial" w:hAnsi="Arial"/>
                <w:sz w:val="14"/>
                <w:szCs w:val="14"/>
                <w:color w:val="auto"/>
                <w:w w:val="97"/>
              </w:rPr>
              <w:t>24,885</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312"/>
              <w:spacing w:after="0" w:line="15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332"/>
              <w:spacing w:after="0" w:line="159" w:lineRule="exact"/>
              <w:rPr>
                <w:sz w:val="20"/>
                <w:szCs w:val="20"/>
                <w:color w:val="auto"/>
              </w:rPr>
            </w:pPr>
            <w:r>
              <w:rPr>
                <w:rFonts w:ascii="Arial" w:cs="Arial" w:eastAsia="Arial" w:hAnsi="Arial"/>
                <w:sz w:val="14"/>
                <w:szCs w:val="14"/>
                <w:color w:val="auto"/>
              </w:rPr>
              <w:t>171,908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EEEEEE"/>
            </w:tcBorders>
            <w:shd w:val="clear" w:color="auto" w:fill="EEEEEE"/>
          </w:tcPr>
          <w:p>
            <w:pPr>
              <w:ind w:left="200"/>
              <w:spacing w:after="0" w:line="149" w:lineRule="exact"/>
              <w:rPr>
                <w:sz w:val="20"/>
                <w:szCs w:val="20"/>
                <w:color w:val="auto"/>
              </w:rPr>
            </w:pPr>
            <w:r>
              <w:rPr>
                <w:rFonts w:ascii="Arial" w:cs="Arial" w:eastAsia="Arial" w:hAnsi="Arial"/>
                <w:sz w:val="14"/>
                <w:szCs w:val="14"/>
                <w:color w:val="auto"/>
              </w:rPr>
              <w:t>Amortization expense</w:t>
            </w:r>
          </w:p>
        </w:tc>
        <w:tc>
          <w:tcPr>
            <w:tcW w:w="300" w:type="dxa"/>
            <w:vAlign w:val="bottom"/>
            <w:shd w:val="clear" w:color="auto" w:fill="EEEEEE"/>
          </w:tcPr>
          <w:p>
            <w:pPr>
              <w:ind w:left="24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EEEEEE"/>
          </w:tcPr>
          <w:p>
            <w:pPr>
              <w:jc w:val="right"/>
              <w:ind w:right="352"/>
              <w:spacing w:after="0" w:line="149" w:lineRule="exact"/>
              <w:rPr>
                <w:sz w:val="20"/>
                <w:szCs w:val="20"/>
                <w:color w:val="auto"/>
              </w:rPr>
            </w:pPr>
            <w:r>
              <w:rPr>
                <w:rFonts w:ascii="Arial" w:cs="Arial" w:eastAsia="Arial" w:hAnsi="Arial"/>
                <w:sz w:val="14"/>
                <w:szCs w:val="14"/>
                <w:color w:val="auto"/>
              </w:rPr>
              <w:t>15</w:t>
            </w:r>
          </w:p>
        </w:tc>
        <w:tc>
          <w:tcPr>
            <w:tcW w:w="5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EEEEEE"/>
          </w:tcPr>
          <w:p>
            <w:pPr>
              <w:jc w:val="right"/>
              <w:ind w:right="372"/>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EEEEEE"/>
          </w:tcPr>
          <w:p>
            <w:pPr>
              <w:ind w:left="36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EEEEEE"/>
          </w:tcPr>
          <w:p>
            <w:pPr>
              <w:jc w:val="right"/>
              <w:ind w:right="332"/>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EEEEE"/>
          </w:tcPr>
          <w:p>
            <w:pPr>
              <w:jc w:val="right"/>
              <w:ind w:right="292"/>
              <w:spacing w:after="0" w:line="149" w:lineRule="exact"/>
              <w:rPr>
                <w:sz w:val="20"/>
                <w:szCs w:val="20"/>
                <w:color w:val="auto"/>
              </w:rPr>
            </w:pPr>
            <w:r>
              <w:rPr>
                <w:rFonts w:ascii="Arial" w:cs="Arial" w:eastAsia="Arial" w:hAnsi="Arial"/>
                <w:sz w:val="14"/>
                <w:szCs w:val="14"/>
                <w:color w:val="auto"/>
              </w:rPr>
              <w:t>155</w:t>
            </w:r>
          </w:p>
        </w:tc>
        <w:tc>
          <w:tcPr>
            <w:tcW w:w="380" w:type="dxa"/>
            <w:vAlign w:val="bottom"/>
            <w:shd w:val="clear" w:color="auto" w:fill="EEEEEE"/>
          </w:tcPr>
          <w:p>
            <w:pPr>
              <w:ind w:left="30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EEEEEE"/>
          </w:tcPr>
          <w:p>
            <w:pPr>
              <w:jc w:val="right"/>
              <w:ind w:right="272"/>
              <w:spacing w:after="0" w:line="149" w:lineRule="exact"/>
              <w:rPr>
                <w:sz w:val="20"/>
                <w:szCs w:val="20"/>
                <w:color w:val="auto"/>
              </w:rPr>
            </w:pPr>
            <w:r>
              <w:rPr>
                <w:rFonts w:ascii="Arial" w:cs="Arial" w:eastAsia="Arial" w:hAnsi="Arial"/>
                <w:sz w:val="14"/>
                <w:szCs w:val="14"/>
                <w:color w:val="auto"/>
              </w:rPr>
              <w:t>485</w:t>
            </w: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EEEEEE"/>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EEEEEE"/>
          </w:tcPr>
          <w:p>
            <w:pPr>
              <w:jc w:val="right"/>
              <w:ind w:right="332"/>
              <w:spacing w:after="0" w:line="149" w:lineRule="exact"/>
              <w:rPr>
                <w:sz w:val="20"/>
                <w:szCs w:val="20"/>
                <w:color w:val="auto"/>
              </w:rPr>
            </w:pPr>
            <w:r>
              <w:rPr>
                <w:rFonts w:ascii="Arial" w:cs="Arial" w:eastAsia="Arial" w:hAnsi="Arial"/>
                <w:sz w:val="14"/>
                <w:szCs w:val="14"/>
                <w:color w:val="auto"/>
              </w:rPr>
              <w:t>655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ind w:left="200"/>
              <w:spacing w:after="0" w:line="149" w:lineRule="exact"/>
              <w:rPr>
                <w:sz w:val="20"/>
                <w:szCs w:val="20"/>
                <w:color w:val="auto"/>
              </w:rPr>
            </w:pPr>
            <w:r>
              <w:rPr>
                <w:rFonts w:ascii="Arial" w:cs="Arial" w:eastAsia="Arial" w:hAnsi="Arial"/>
                <w:sz w:val="14"/>
                <w:szCs w:val="14"/>
                <w:color w:val="auto"/>
              </w:rPr>
              <w:t>Pension credit (expense)</w:t>
            </w:r>
          </w:p>
        </w:tc>
        <w:tc>
          <w:tcPr>
            <w:tcW w:w="300" w:type="dxa"/>
            <w:vAlign w:val="bottom"/>
          </w:tcPr>
          <w:p>
            <w:pPr>
              <w:ind w:left="240"/>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352"/>
              <w:spacing w:after="0" w:line="149" w:lineRule="exact"/>
              <w:rPr>
                <w:sz w:val="20"/>
                <w:szCs w:val="20"/>
                <w:color w:val="auto"/>
              </w:rPr>
            </w:pPr>
            <w:r>
              <w:rPr>
                <w:rFonts w:ascii="Arial" w:cs="Arial" w:eastAsia="Arial" w:hAnsi="Arial"/>
                <w:sz w:val="14"/>
                <w:szCs w:val="14"/>
                <w:color w:val="auto"/>
                <w:w w:val="97"/>
              </w:rPr>
              <w:t>18,902</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4,730</w:t>
            </w:r>
          </w:p>
        </w:tc>
        <w:tc>
          <w:tcPr>
            <w:tcW w:w="420" w:type="dxa"/>
            <w:vAlign w:val="bottom"/>
          </w:tcPr>
          <w:p>
            <w:pPr>
              <w:ind w:left="36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332"/>
              <w:spacing w:after="0" w:line="149" w:lineRule="exact"/>
              <w:rPr>
                <w:sz w:val="20"/>
                <w:szCs w:val="20"/>
                <w:color w:val="auto"/>
              </w:rPr>
            </w:pPr>
            <w:r>
              <w:rPr>
                <w:rFonts w:ascii="Arial" w:cs="Arial" w:eastAsia="Arial" w:hAnsi="Arial"/>
                <w:sz w:val="14"/>
                <w:szCs w:val="14"/>
                <w:color w:val="auto"/>
                <w:w w:val="97"/>
              </w:rPr>
              <w:t>23,814</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(814)</w:t>
            </w:r>
          </w:p>
        </w:tc>
        <w:tc>
          <w:tcPr>
            <w:tcW w:w="380" w:type="dxa"/>
            <w:vAlign w:val="bottom"/>
          </w:tcPr>
          <w:p>
            <w:pPr>
              <w:ind w:left="30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(1,186)</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45,446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40" w:type="dxa"/>
            <w:vAlign w:val="bottom"/>
            <w:tcBorders>
              <w:right w:val="single" w:sz="8" w:color="EEEEEE"/>
            </w:tcBorders>
            <w:shd w:val="clear" w:color="auto" w:fill="EEEEEE"/>
          </w:tcPr>
          <w:p>
            <w:pPr>
              <w:ind w:left="200"/>
              <w:spacing w:after="0" w:line="138" w:lineRule="exact"/>
              <w:rPr>
                <w:sz w:val="20"/>
                <w:szCs w:val="20"/>
                <w:color w:val="auto"/>
              </w:rPr>
            </w:pPr>
            <w:r>
              <w:rPr>
                <w:rFonts w:ascii="Arial" w:cs="Arial" w:eastAsia="Arial" w:hAnsi="Arial"/>
                <w:sz w:val="14"/>
                <w:szCs w:val="14"/>
                <w:color w:val="auto"/>
              </w:rPr>
              <w:t>Kaplan stock-based incentive</w:t>
            </w:r>
          </w:p>
        </w:tc>
        <w:tc>
          <w:tcPr>
            <w:tcW w:w="300" w:type="dxa"/>
            <w:vAlign w:val="bottom"/>
            <w:shd w:val="clear" w:color="auto" w:fill="EEEEEE"/>
          </w:tcPr>
          <w:p>
            <w:pPr>
              <w:spacing w:after="0"/>
              <w:rPr>
                <w:sz w:val="11"/>
                <w:szCs w:val="11"/>
                <w:color w:val="auto"/>
              </w:rPr>
            </w:pPr>
          </w:p>
        </w:tc>
        <w:tc>
          <w:tcPr>
            <w:tcW w:w="86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88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840" w:type="dxa"/>
            <w:vAlign w:val="bottom"/>
            <w:shd w:val="clear" w:color="auto" w:fill="EEEEEE"/>
          </w:tcPr>
          <w:p>
            <w:pPr>
              <w:spacing w:after="0"/>
              <w:rPr>
                <w:sz w:val="11"/>
                <w:szCs w:val="11"/>
                <w:color w:val="auto"/>
              </w:rPr>
            </w:pPr>
          </w:p>
        </w:tc>
        <w:tc>
          <w:tcPr>
            <w:tcW w:w="400" w:type="dxa"/>
            <w:vAlign w:val="bottom"/>
            <w:shd w:val="clear" w:color="auto" w:fill="EEEEEE"/>
          </w:tcPr>
          <w:p>
            <w:pPr>
              <w:spacing w:after="0"/>
              <w:rPr>
                <w:sz w:val="11"/>
                <w:szCs w:val="11"/>
                <w:color w:val="auto"/>
              </w:rPr>
            </w:pPr>
          </w:p>
        </w:tc>
        <w:tc>
          <w:tcPr>
            <w:tcW w:w="90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7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0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9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tcBorders>
              <w:right w:val="single" w:sz="8" w:color="EEEEEE"/>
            </w:tcBorders>
            <w:shd w:val="clear" w:color="auto" w:fill="EEEEEE"/>
          </w:tcPr>
          <w:p>
            <w:pPr>
              <w:ind w:left="340"/>
              <w:spacing w:after="0" w:line="159" w:lineRule="exact"/>
              <w:rPr>
                <w:sz w:val="20"/>
                <w:szCs w:val="20"/>
                <w:color w:val="auto"/>
              </w:rPr>
            </w:pPr>
            <w:r>
              <w:rPr>
                <w:rFonts w:ascii="Arial" w:cs="Arial" w:eastAsia="Arial" w:hAnsi="Arial"/>
                <w:sz w:val="14"/>
                <w:szCs w:val="14"/>
                <w:color w:val="auto"/>
              </w:rPr>
              <w:t>compensation</w:t>
            </w:r>
          </w:p>
        </w:tc>
        <w:tc>
          <w:tcPr>
            <w:tcW w:w="300" w:type="dxa"/>
            <w:vAlign w:val="bottom"/>
            <w:shd w:val="clear" w:color="auto" w:fill="EEEEEE"/>
          </w:tcPr>
          <w:p>
            <w:pPr>
              <w:spacing w:after="0"/>
              <w:rPr>
                <w:sz w:val="13"/>
                <w:szCs w:val="13"/>
                <w:color w:val="auto"/>
              </w:rPr>
            </w:pPr>
          </w:p>
        </w:tc>
        <w:tc>
          <w:tcPr>
            <w:tcW w:w="860" w:type="dxa"/>
            <w:vAlign w:val="bottom"/>
            <w:shd w:val="clear" w:color="auto" w:fill="EEEEEE"/>
          </w:tcPr>
          <w:p>
            <w:pPr>
              <w:spacing w:after="0"/>
              <w:rPr>
                <w:sz w:val="13"/>
                <w:szCs w:val="13"/>
                <w:color w:val="auto"/>
              </w:rPr>
            </w:pPr>
          </w:p>
        </w:tc>
        <w:tc>
          <w:tcPr>
            <w:tcW w:w="540" w:type="dxa"/>
            <w:vAlign w:val="bottom"/>
            <w:shd w:val="clear" w:color="auto" w:fill="EEEEEE"/>
          </w:tcPr>
          <w:p>
            <w:pPr>
              <w:spacing w:after="0"/>
              <w:rPr>
                <w:sz w:val="13"/>
                <w:szCs w:val="13"/>
                <w:color w:val="auto"/>
              </w:rPr>
            </w:pPr>
          </w:p>
        </w:tc>
        <w:tc>
          <w:tcPr>
            <w:tcW w:w="88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840" w:type="dxa"/>
            <w:vAlign w:val="bottom"/>
            <w:shd w:val="clear" w:color="auto" w:fill="EEEEEE"/>
          </w:tcPr>
          <w:p>
            <w:pPr>
              <w:spacing w:after="0"/>
              <w:rPr>
                <w:sz w:val="13"/>
                <w:szCs w:val="13"/>
                <w:color w:val="auto"/>
              </w:rPr>
            </w:pPr>
          </w:p>
        </w:tc>
        <w:tc>
          <w:tcPr>
            <w:tcW w:w="400" w:type="dxa"/>
            <w:vAlign w:val="bottom"/>
            <w:shd w:val="clear" w:color="auto" w:fill="EEEEEE"/>
          </w:tcPr>
          <w:p>
            <w:pPr>
              <w:spacing w:after="0"/>
              <w:rPr>
                <w:sz w:val="13"/>
                <w:szCs w:val="13"/>
                <w:color w:val="auto"/>
              </w:rPr>
            </w:pPr>
          </w:p>
        </w:tc>
        <w:tc>
          <w:tcPr>
            <w:tcW w:w="900" w:type="dxa"/>
            <w:vAlign w:val="bottom"/>
            <w:shd w:val="clear" w:color="auto" w:fill="EEEEEE"/>
          </w:tcPr>
          <w:p>
            <w:pPr>
              <w:spacing w:after="0"/>
              <w:rPr>
                <w:sz w:val="13"/>
                <w:szCs w:val="13"/>
                <w:color w:val="auto"/>
              </w:rPr>
            </w:pPr>
          </w:p>
        </w:tc>
        <w:tc>
          <w:tcPr>
            <w:tcW w:w="380" w:type="dxa"/>
            <w:vAlign w:val="bottom"/>
            <w:shd w:val="clear" w:color="auto" w:fill="EEEEEE"/>
          </w:tcPr>
          <w:p>
            <w:pPr>
              <w:ind w:left="300"/>
              <w:spacing w:after="0" w:line="15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EEEEEE"/>
          </w:tcPr>
          <w:p>
            <w:pPr>
              <w:jc w:val="right"/>
              <w:ind w:right="272"/>
              <w:spacing w:after="0" w:line="159" w:lineRule="exact"/>
              <w:rPr>
                <w:sz w:val="20"/>
                <w:szCs w:val="20"/>
                <w:color w:val="auto"/>
              </w:rPr>
            </w:pPr>
            <w:r>
              <w:rPr>
                <w:rFonts w:ascii="Arial" w:cs="Arial" w:eastAsia="Arial" w:hAnsi="Arial"/>
                <w:sz w:val="14"/>
                <w:szCs w:val="14"/>
                <w:color w:val="auto"/>
                <w:w w:val="97"/>
              </w:rPr>
              <w:t>34,531</w:t>
            </w:r>
          </w:p>
        </w:tc>
        <w:tc>
          <w:tcPr>
            <w:tcW w:w="380" w:type="dxa"/>
            <w:vAlign w:val="bottom"/>
            <w:shd w:val="clear" w:color="auto" w:fill="EEEEEE"/>
          </w:tcPr>
          <w:p>
            <w:pPr>
              <w:spacing w:after="0"/>
              <w:rPr>
                <w:sz w:val="13"/>
                <w:szCs w:val="13"/>
                <w:color w:val="auto"/>
              </w:rPr>
            </w:pPr>
          </w:p>
        </w:tc>
        <w:tc>
          <w:tcPr>
            <w:tcW w:w="800" w:type="dxa"/>
            <w:vAlign w:val="bottom"/>
            <w:shd w:val="clear" w:color="auto" w:fill="EEEEEE"/>
          </w:tcPr>
          <w:p>
            <w:pPr>
              <w:spacing w:after="0"/>
              <w:rPr>
                <w:sz w:val="13"/>
                <w:szCs w:val="13"/>
                <w:color w:val="auto"/>
              </w:rPr>
            </w:pPr>
          </w:p>
        </w:tc>
        <w:tc>
          <w:tcPr>
            <w:tcW w:w="440" w:type="dxa"/>
            <w:vAlign w:val="bottom"/>
            <w:shd w:val="clear" w:color="auto" w:fill="EEEEEE"/>
          </w:tcPr>
          <w:p>
            <w:pPr>
              <w:jc w:val="right"/>
              <w:spacing w:after="0" w:line="159" w:lineRule="exact"/>
              <w:rPr>
                <w:sz w:val="20"/>
                <w:szCs w:val="20"/>
                <w:color w:val="auto"/>
              </w:rPr>
            </w:pPr>
            <w:r>
              <w:rPr>
                <w:rFonts w:ascii="Arial" w:cs="Arial" w:eastAsia="Arial" w:hAnsi="Arial"/>
                <w:sz w:val="14"/>
                <w:szCs w:val="14"/>
                <w:color w:val="auto"/>
              </w:rPr>
              <w:t>$</w:t>
            </w:r>
          </w:p>
        </w:tc>
        <w:tc>
          <w:tcPr>
            <w:tcW w:w="940" w:type="dxa"/>
            <w:vAlign w:val="bottom"/>
            <w:shd w:val="clear" w:color="auto" w:fill="EEEEEE"/>
          </w:tcPr>
          <w:p>
            <w:pPr>
              <w:jc w:val="right"/>
              <w:ind w:right="332"/>
              <w:spacing w:after="0" w:line="159" w:lineRule="exact"/>
              <w:rPr>
                <w:sz w:val="20"/>
                <w:szCs w:val="20"/>
                <w:color w:val="auto"/>
              </w:rPr>
            </w:pPr>
            <w:r>
              <w:rPr>
                <w:rFonts w:ascii="Arial" w:cs="Arial" w:eastAsia="Arial" w:hAnsi="Arial"/>
                <w:sz w:val="14"/>
                <w:szCs w:val="14"/>
                <w:color w:val="auto"/>
              </w:rPr>
              <w:t>34,531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ind w:left="200"/>
              <w:spacing w:after="0" w:line="149" w:lineRule="exact"/>
              <w:rPr>
                <w:sz w:val="20"/>
                <w:szCs w:val="20"/>
                <w:color w:val="auto"/>
              </w:rPr>
            </w:pPr>
            <w:r>
              <w:rPr>
                <w:rFonts w:ascii="Arial" w:cs="Arial" w:eastAsia="Arial" w:hAnsi="Arial"/>
                <w:sz w:val="14"/>
                <w:szCs w:val="14"/>
                <w:color w:val="auto"/>
              </w:rPr>
              <w:t>Capital expenditures</w:t>
            </w:r>
          </w:p>
        </w:tc>
        <w:tc>
          <w:tcPr>
            <w:tcW w:w="300" w:type="dxa"/>
            <w:vAlign w:val="bottom"/>
          </w:tcPr>
          <w:p>
            <w:pPr>
              <w:ind w:left="240"/>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352"/>
              <w:spacing w:after="0" w:line="149" w:lineRule="exact"/>
              <w:rPr>
                <w:sz w:val="20"/>
                <w:szCs w:val="20"/>
                <w:color w:val="auto"/>
              </w:rPr>
            </w:pPr>
            <w:r>
              <w:rPr>
                <w:rFonts w:ascii="Arial" w:cs="Arial" w:eastAsia="Arial" w:hAnsi="Arial"/>
                <w:sz w:val="14"/>
                <w:szCs w:val="14"/>
                <w:color w:val="auto"/>
                <w:w w:val="97"/>
              </w:rPr>
              <w:t>27,280</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8,784</w:t>
            </w:r>
          </w:p>
        </w:tc>
        <w:tc>
          <w:tcPr>
            <w:tcW w:w="420" w:type="dxa"/>
            <w:vAlign w:val="bottom"/>
          </w:tcPr>
          <w:p>
            <w:pPr>
              <w:ind w:left="36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1,672</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92,499</w:t>
            </w:r>
          </w:p>
        </w:tc>
        <w:tc>
          <w:tcPr>
            <w:tcW w:w="380" w:type="dxa"/>
            <w:vAlign w:val="bottom"/>
          </w:tcPr>
          <w:p>
            <w:pPr>
              <w:ind w:left="30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ind w:right="272"/>
              <w:spacing w:after="0" w:line="149" w:lineRule="exact"/>
              <w:rPr>
                <w:sz w:val="20"/>
                <w:szCs w:val="20"/>
                <w:color w:val="auto"/>
              </w:rPr>
            </w:pPr>
            <w:r>
              <w:rPr>
                <w:rFonts w:ascii="Arial" w:cs="Arial" w:eastAsia="Arial" w:hAnsi="Arial"/>
                <w:sz w:val="14"/>
                <w:szCs w:val="14"/>
                <w:color w:val="auto"/>
                <w:w w:val="97"/>
              </w:rPr>
              <w:t>22,757</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152,992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EEEEEE"/>
            </w:tcBorders>
            <w:shd w:val="clear" w:color="auto" w:fill="EEEEEE"/>
          </w:tcPr>
          <w:p>
            <w:pPr>
              <w:spacing w:after="0" w:line="149" w:lineRule="exact"/>
              <w:rPr>
                <w:sz w:val="20"/>
                <w:szCs w:val="20"/>
                <w:color w:val="auto"/>
              </w:rPr>
            </w:pPr>
            <w:r>
              <w:rPr>
                <w:rFonts w:ascii="Arial" w:cs="Arial" w:eastAsia="Arial" w:hAnsi="Arial"/>
                <w:sz w:val="14"/>
                <w:szCs w:val="14"/>
                <w:b w:val="1"/>
                <w:bCs w:val="1"/>
                <w:color w:val="auto"/>
              </w:rPr>
              <w:t>2001</w:t>
            </w:r>
          </w:p>
        </w:tc>
        <w:tc>
          <w:tcPr>
            <w:tcW w:w="300" w:type="dxa"/>
            <w:vAlign w:val="bottom"/>
            <w:shd w:val="clear" w:color="auto" w:fill="EEEEEE"/>
          </w:tcPr>
          <w:p>
            <w:pPr>
              <w:spacing w:after="0"/>
              <w:rPr>
                <w:sz w:val="12"/>
                <w:szCs w:val="12"/>
                <w:color w:val="auto"/>
              </w:rPr>
            </w:pPr>
          </w:p>
        </w:tc>
        <w:tc>
          <w:tcPr>
            <w:tcW w:w="86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90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ind w:left="200"/>
              <w:spacing w:after="0" w:line="149" w:lineRule="exact"/>
              <w:rPr>
                <w:sz w:val="20"/>
                <w:szCs w:val="20"/>
                <w:color w:val="auto"/>
              </w:rPr>
            </w:pPr>
            <w:r>
              <w:rPr>
                <w:rFonts w:ascii="Arial" w:cs="Arial" w:eastAsia="Arial" w:hAnsi="Arial"/>
                <w:sz w:val="14"/>
                <w:szCs w:val="14"/>
                <w:color w:val="auto"/>
              </w:rPr>
              <w:t>Operating revenues</w:t>
            </w:r>
          </w:p>
        </w:tc>
        <w:tc>
          <w:tcPr>
            <w:tcW w:w="300" w:type="dxa"/>
            <w:vAlign w:val="bottom"/>
          </w:tcPr>
          <w:p>
            <w:pPr>
              <w:ind w:left="240"/>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352"/>
              <w:spacing w:after="0" w:line="149" w:lineRule="exact"/>
              <w:rPr>
                <w:sz w:val="20"/>
                <w:szCs w:val="20"/>
                <w:color w:val="auto"/>
              </w:rPr>
            </w:pPr>
            <w:r>
              <w:rPr>
                <w:rFonts w:ascii="Arial" w:cs="Arial" w:eastAsia="Arial" w:hAnsi="Arial"/>
                <w:sz w:val="14"/>
                <w:szCs w:val="14"/>
                <w:color w:val="auto"/>
                <w:w w:val="82"/>
              </w:rPr>
              <w:t>842,721</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372"/>
              <w:spacing w:after="0" w:line="149" w:lineRule="exact"/>
              <w:rPr>
                <w:sz w:val="20"/>
                <w:szCs w:val="20"/>
                <w:color w:val="auto"/>
              </w:rPr>
            </w:pPr>
            <w:r>
              <w:rPr>
                <w:rFonts w:ascii="Arial" w:cs="Arial" w:eastAsia="Arial" w:hAnsi="Arial"/>
                <w:sz w:val="14"/>
                <w:szCs w:val="14"/>
                <w:color w:val="auto"/>
                <w:w w:val="82"/>
              </w:rPr>
              <w:t>314,010</w:t>
            </w:r>
          </w:p>
        </w:tc>
        <w:tc>
          <w:tcPr>
            <w:tcW w:w="420" w:type="dxa"/>
            <w:vAlign w:val="bottom"/>
          </w:tcPr>
          <w:p>
            <w:pPr>
              <w:ind w:left="36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332"/>
              <w:spacing w:after="0" w:line="149" w:lineRule="exact"/>
              <w:rPr>
                <w:sz w:val="20"/>
                <w:szCs w:val="20"/>
                <w:color w:val="auto"/>
              </w:rPr>
            </w:pPr>
            <w:r>
              <w:rPr>
                <w:rFonts w:ascii="Arial" w:cs="Arial" w:eastAsia="Arial" w:hAnsi="Arial"/>
                <w:sz w:val="14"/>
                <w:szCs w:val="14"/>
                <w:color w:val="auto"/>
                <w:w w:val="82"/>
              </w:rPr>
              <w:t>374,575</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386,037</w:t>
            </w:r>
          </w:p>
        </w:tc>
        <w:tc>
          <w:tcPr>
            <w:tcW w:w="380" w:type="dxa"/>
            <w:vAlign w:val="bottom"/>
          </w:tcPr>
          <w:p>
            <w:pPr>
              <w:ind w:left="30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ind w:right="272"/>
              <w:spacing w:after="0" w:line="149" w:lineRule="exact"/>
              <w:rPr>
                <w:sz w:val="20"/>
                <w:szCs w:val="20"/>
                <w:color w:val="auto"/>
              </w:rPr>
            </w:pPr>
            <w:r>
              <w:rPr>
                <w:rFonts w:ascii="Arial" w:cs="Arial" w:eastAsia="Arial" w:hAnsi="Arial"/>
                <w:sz w:val="14"/>
                <w:szCs w:val="14"/>
                <w:color w:val="auto"/>
                <w:w w:val="82"/>
              </w:rPr>
              <w:t>493,681</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332"/>
              <w:spacing w:after="0" w:line="149" w:lineRule="exact"/>
              <w:rPr>
                <w:sz w:val="20"/>
                <w:szCs w:val="20"/>
                <w:color w:val="auto"/>
              </w:rPr>
            </w:pPr>
            <w:r>
              <w:rPr>
                <w:rFonts w:ascii="Arial" w:cs="Arial" w:eastAsia="Arial" w:hAnsi="Arial"/>
                <w:sz w:val="14"/>
                <w:szCs w:val="14"/>
                <w:color w:val="auto"/>
                <w:w w:val="83"/>
              </w:rPr>
              <w:t>2,411,024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EEEEEE"/>
            </w:tcBorders>
            <w:shd w:val="clear" w:color="auto" w:fill="EEEEEE"/>
          </w:tcPr>
          <w:p>
            <w:pPr>
              <w:ind w:left="200"/>
              <w:spacing w:after="0" w:line="149" w:lineRule="exact"/>
              <w:rPr>
                <w:sz w:val="20"/>
                <w:szCs w:val="20"/>
                <w:color w:val="auto"/>
              </w:rPr>
            </w:pPr>
            <w:r>
              <w:rPr>
                <w:rFonts w:ascii="Arial" w:cs="Arial" w:eastAsia="Arial" w:hAnsi="Arial"/>
                <w:sz w:val="14"/>
                <w:szCs w:val="14"/>
                <w:color w:val="auto"/>
              </w:rPr>
              <w:t>Income (loss) from operations</w:t>
            </w:r>
          </w:p>
        </w:tc>
        <w:tc>
          <w:tcPr>
            <w:tcW w:w="300" w:type="dxa"/>
            <w:vAlign w:val="bottom"/>
            <w:shd w:val="clear" w:color="auto" w:fill="EEEEEE"/>
          </w:tcPr>
          <w:p>
            <w:pPr>
              <w:ind w:left="24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EEEEEE"/>
          </w:tcPr>
          <w:p>
            <w:pPr>
              <w:jc w:val="right"/>
              <w:ind w:right="352"/>
              <w:spacing w:after="0" w:line="149" w:lineRule="exact"/>
              <w:rPr>
                <w:sz w:val="20"/>
                <w:szCs w:val="20"/>
                <w:color w:val="auto"/>
              </w:rPr>
            </w:pPr>
            <w:r>
              <w:rPr>
                <w:rFonts w:ascii="Arial" w:cs="Arial" w:eastAsia="Arial" w:hAnsi="Arial"/>
                <w:sz w:val="14"/>
                <w:szCs w:val="14"/>
                <w:color w:val="auto"/>
                <w:w w:val="97"/>
              </w:rPr>
              <w:t>84,744</w:t>
            </w:r>
          </w:p>
        </w:tc>
        <w:tc>
          <w:tcPr>
            <w:tcW w:w="5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EEEEEE"/>
          </w:tcPr>
          <w:p>
            <w:pPr>
              <w:jc w:val="right"/>
              <w:ind w:right="372"/>
              <w:spacing w:after="0" w:line="149" w:lineRule="exact"/>
              <w:rPr>
                <w:sz w:val="20"/>
                <w:szCs w:val="20"/>
                <w:color w:val="auto"/>
              </w:rPr>
            </w:pPr>
            <w:r>
              <w:rPr>
                <w:rFonts w:ascii="Arial" w:cs="Arial" w:eastAsia="Arial" w:hAnsi="Arial"/>
                <w:sz w:val="14"/>
                <w:szCs w:val="14"/>
                <w:color w:val="auto"/>
                <w:w w:val="82"/>
              </w:rPr>
              <w:t>131,847</w:t>
            </w:r>
          </w:p>
        </w:tc>
        <w:tc>
          <w:tcPr>
            <w:tcW w:w="420" w:type="dxa"/>
            <w:vAlign w:val="bottom"/>
            <w:shd w:val="clear" w:color="auto" w:fill="EEEEEE"/>
          </w:tcPr>
          <w:p>
            <w:pPr>
              <w:ind w:left="36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EEEEEE"/>
          </w:tcPr>
          <w:p>
            <w:pPr>
              <w:jc w:val="right"/>
              <w:ind w:right="332"/>
              <w:spacing w:after="0" w:line="149" w:lineRule="exact"/>
              <w:rPr>
                <w:sz w:val="20"/>
                <w:szCs w:val="20"/>
                <w:color w:val="auto"/>
              </w:rPr>
            </w:pPr>
            <w:r>
              <w:rPr>
                <w:rFonts w:ascii="Arial" w:cs="Arial" w:eastAsia="Arial" w:hAnsi="Arial"/>
                <w:sz w:val="14"/>
                <w:szCs w:val="14"/>
                <w:color w:val="auto"/>
                <w:w w:val="97"/>
              </w:rPr>
              <w:t>25,306</w:t>
            </w:r>
          </w:p>
        </w:tc>
        <w:tc>
          <w:tcPr>
            <w:tcW w:w="4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EEEEE"/>
          </w:tcPr>
          <w:p>
            <w:pPr>
              <w:jc w:val="right"/>
              <w:ind w:right="292"/>
              <w:spacing w:after="0" w:line="149" w:lineRule="exact"/>
              <w:rPr>
                <w:sz w:val="20"/>
                <w:szCs w:val="20"/>
                <w:color w:val="auto"/>
              </w:rPr>
            </w:pPr>
            <w:r>
              <w:rPr>
                <w:rFonts w:ascii="Arial" w:cs="Arial" w:eastAsia="Arial" w:hAnsi="Arial"/>
                <w:sz w:val="14"/>
                <w:szCs w:val="14"/>
                <w:color w:val="auto"/>
              </w:rPr>
              <w:t>32,237</w:t>
            </w:r>
          </w:p>
        </w:tc>
        <w:tc>
          <w:tcPr>
            <w:tcW w:w="380" w:type="dxa"/>
            <w:vAlign w:val="bottom"/>
            <w:shd w:val="clear" w:color="auto" w:fill="EEEEEE"/>
          </w:tcPr>
          <w:p>
            <w:pPr>
              <w:ind w:left="30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EEEEEE"/>
          </w:tcPr>
          <w:p>
            <w:pPr>
              <w:jc w:val="right"/>
              <w:ind w:right="232"/>
              <w:spacing w:after="0" w:line="149" w:lineRule="exact"/>
              <w:rPr>
                <w:sz w:val="20"/>
                <w:szCs w:val="20"/>
                <w:color w:val="auto"/>
              </w:rPr>
            </w:pPr>
            <w:r>
              <w:rPr>
                <w:rFonts w:ascii="Arial" w:cs="Arial" w:eastAsia="Arial" w:hAnsi="Arial"/>
                <w:sz w:val="14"/>
                <w:szCs w:val="14"/>
                <w:color w:val="auto"/>
                <w:w w:val="88"/>
              </w:rPr>
              <w:t>(28,337)</w:t>
            </w: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EEEEEE"/>
          </w:tcPr>
          <w:p>
            <w:pPr>
              <w:jc w:val="right"/>
              <w:ind w:right="272"/>
              <w:spacing w:after="0" w:line="149" w:lineRule="exact"/>
              <w:rPr>
                <w:sz w:val="20"/>
                <w:szCs w:val="20"/>
                <w:color w:val="auto"/>
              </w:rPr>
            </w:pPr>
            <w:r>
              <w:rPr>
                <w:rFonts w:ascii="Arial" w:cs="Arial" w:eastAsia="Arial" w:hAnsi="Arial"/>
                <w:sz w:val="14"/>
                <w:szCs w:val="14"/>
                <w:color w:val="auto"/>
                <w:w w:val="84"/>
              </w:rPr>
              <w:t>(25,865)</w:t>
            </w:r>
          </w:p>
        </w:tc>
        <w:tc>
          <w:tcPr>
            <w:tcW w:w="4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EEEEEE"/>
          </w:tcPr>
          <w:p>
            <w:pPr>
              <w:jc w:val="right"/>
              <w:ind w:right="332"/>
              <w:spacing w:after="0" w:line="149" w:lineRule="exact"/>
              <w:rPr>
                <w:sz w:val="20"/>
                <w:szCs w:val="20"/>
                <w:color w:val="auto"/>
              </w:rPr>
            </w:pPr>
            <w:r>
              <w:rPr>
                <w:rFonts w:ascii="Arial" w:cs="Arial" w:eastAsia="Arial" w:hAnsi="Arial"/>
                <w:sz w:val="14"/>
                <w:szCs w:val="14"/>
                <w:color w:val="auto"/>
              </w:rPr>
              <w:t>219,932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ind w:left="200"/>
              <w:spacing w:after="0" w:line="149" w:lineRule="exact"/>
              <w:rPr>
                <w:sz w:val="20"/>
                <w:szCs w:val="20"/>
                <w:color w:val="auto"/>
              </w:rPr>
            </w:pPr>
            <w:r>
              <w:rPr>
                <w:rFonts w:ascii="Arial" w:cs="Arial" w:eastAsia="Arial" w:hAnsi="Arial"/>
                <w:sz w:val="14"/>
                <w:szCs w:val="14"/>
                <w:color w:val="auto"/>
              </w:rPr>
              <w:t>Equity in losses of affiliates</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(68,659)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EEEEEE"/>
            </w:tcBorders>
            <w:shd w:val="clear" w:color="auto" w:fill="EEEEEE"/>
          </w:tcPr>
          <w:p>
            <w:pPr>
              <w:ind w:left="200"/>
              <w:spacing w:after="0" w:line="149" w:lineRule="exact"/>
              <w:rPr>
                <w:sz w:val="20"/>
                <w:szCs w:val="20"/>
                <w:color w:val="auto"/>
              </w:rPr>
            </w:pPr>
            <w:r>
              <w:rPr>
                <w:rFonts w:ascii="Arial" w:cs="Arial" w:eastAsia="Arial" w:hAnsi="Arial"/>
                <w:sz w:val="14"/>
                <w:szCs w:val="14"/>
                <w:color w:val="auto"/>
              </w:rPr>
              <w:t>Interest expense, net</w:t>
            </w:r>
          </w:p>
        </w:tc>
        <w:tc>
          <w:tcPr>
            <w:tcW w:w="300" w:type="dxa"/>
            <w:vAlign w:val="bottom"/>
            <w:shd w:val="clear" w:color="auto" w:fill="EEEEEE"/>
          </w:tcPr>
          <w:p>
            <w:pPr>
              <w:spacing w:after="0"/>
              <w:rPr>
                <w:sz w:val="12"/>
                <w:szCs w:val="12"/>
                <w:color w:val="auto"/>
              </w:rPr>
            </w:pPr>
          </w:p>
        </w:tc>
        <w:tc>
          <w:tcPr>
            <w:tcW w:w="86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90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940" w:type="dxa"/>
            <w:vAlign w:val="bottom"/>
            <w:shd w:val="clear" w:color="auto" w:fill="EEEEEE"/>
          </w:tcPr>
          <w:p>
            <w:pPr>
              <w:jc w:val="right"/>
              <w:ind w:right="292"/>
              <w:spacing w:after="0" w:line="149" w:lineRule="exact"/>
              <w:rPr>
                <w:sz w:val="20"/>
                <w:szCs w:val="20"/>
                <w:color w:val="auto"/>
              </w:rPr>
            </w:pPr>
            <w:r>
              <w:rPr>
                <w:rFonts w:ascii="Arial" w:cs="Arial" w:eastAsia="Arial" w:hAnsi="Arial"/>
                <w:sz w:val="14"/>
                <w:szCs w:val="14"/>
                <w:color w:val="auto"/>
              </w:rPr>
              <w:t>(47,473)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40" w:type="dxa"/>
            <w:vAlign w:val="bottom"/>
          </w:tcPr>
          <w:p>
            <w:pPr>
              <w:ind w:left="200"/>
              <w:spacing w:after="0"/>
              <w:rPr>
                <w:sz w:val="20"/>
                <w:szCs w:val="20"/>
                <w:color w:val="auto"/>
              </w:rPr>
            </w:pPr>
            <w:r>
              <w:rPr>
                <w:rFonts w:ascii="Arial" w:cs="Arial" w:eastAsia="Arial" w:hAnsi="Arial"/>
                <w:sz w:val="14"/>
                <w:szCs w:val="14"/>
                <w:color w:val="auto"/>
              </w:rPr>
              <w:t>Other income, net</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right"/>
              <w:ind w:right="332"/>
              <w:spacing w:after="0"/>
              <w:rPr>
                <w:sz w:val="20"/>
                <w:szCs w:val="20"/>
                <w:color w:val="auto"/>
              </w:rPr>
            </w:pPr>
            <w:r>
              <w:rPr>
                <w:rFonts w:ascii="Arial" w:cs="Arial" w:eastAsia="Arial" w:hAnsi="Arial"/>
                <w:sz w:val="14"/>
                <w:szCs w:val="14"/>
                <w:color w:val="auto"/>
              </w:rPr>
              <w:t>283,739</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54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EEEEEE"/>
            </w:tcBorders>
            <w:shd w:val="clear" w:color="auto" w:fill="EEEEEE"/>
          </w:tcPr>
          <w:p>
            <w:pPr>
              <w:ind w:left="440"/>
              <w:spacing w:after="0" w:line="149" w:lineRule="exact"/>
              <w:rPr>
                <w:sz w:val="20"/>
                <w:szCs w:val="20"/>
                <w:color w:val="auto"/>
              </w:rPr>
            </w:pPr>
            <w:r>
              <w:rPr>
                <w:rFonts w:ascii="Arial" w:cs="Arial" w:eastAsia="Arial" w:hAnsi="Arial"/>
                <w:sz w:val="14"/>
                <w:szCs w:val="14"/>
                <w:color w:val="auto"/>
              </w:rPr>
              <w:t>Income before income taxes</w:t>
            </w:r>
          </w:p>
        </w:tc>
        <w:tc>
          <w:tcPr>
            <w:tcW w:w="300" w:type="dxa"/>
            <w:vAlign w:val="bottom"/>
            <w:shd w:val="clear" w:color="auto" w:fill="EEEEEE"/>
          </w:tcPr>
          <w:p>
            <w:pPr>
              <w:spacing w:after="0"/>
              <w:rPr>
                <w:sz w:val="12"/>
                <w:szCs w:val="12"/>
                <w:color w:val="auto"/>
              </w:rPr>
            </w:pPr>
          </w:p>
        </w:tc>
        <w:tc>
          <w:tcPr>
            <w:tcW w:w="86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90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0" w:type="dxa"/>
            <w:vAlign w:val="bottom"/>
            <w:shd w:val="clear" w:color="auto" w:fill="EEEEEE"/>
          </w:tcPr>
          <w:p>
            <w:pPr>
              <w:spacing w:after="0"/>
              <w:rPr>
                <w:sz w:val="12"/>
                <w:szCs w:val="12"/>
                <w:color w:val="auto"/>
              </w:rPr>
            </w:pPr>
          </w:p>
        </w:tc>
        <w:tc>
          <w:tcPr>
            <w:tcW w:w="4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EEEEEE"/>
          </w:tcPr>
          <w:p>
            <w:pPr>
              <w:jc w:val="right"/>
              <w:ind w:right="332"/>
              <w:spacing w:after="0" w:line="149" w:lineRule="exact"/>
              <w:rPr>
                <w:sz w:val="20"/>
                <w:szCs w:val="20"/>
                <w:color w:val="auto"/>
              </w:rPr>
            </w:pPr>
            <w:r>
              <w:rPr>
                <w:rFonts w:ascii="Arial" w:cs="Arial" w:eastAsia="Arial" w:hAnsi="Arial"/>
                <w:sz w:val="14"/>
                <w:szCs w:val="14"/>
                <w:color w:val="auto"/>
              </w:rPr>
              <w:t>387,539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4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540" w:type="dxa"/>
            <w:vAlign w:val="bottom"/>
          </w:tcPr>
          <w:p>
            <w:pPr>
              <w:ind w:left="200"/>
              <w:spacing w:after="0"/>
              <w:rPr>
                <w:sz w:val="20"/>
                <w:szCs w:val="20"/>
                <w:color w:val="auto"/>
              </w:rPr>
            </w:pPr>
            <w:r>
              <w:rPr>
                <w:rFonts w:ascii="Arial" w:cs="Arial" w:eastAsia="Arial" w:hAnsi="Arial"/>
                <w:sz w:val="14"/>
                <w:szCs w:val="14"/>
                <w:color w:val="auto"/>
              </w:rPr>
              <w:t>Pro forma income (loss) from</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540" w:type="dxa"/>
            <w:vAlign w:val="bottom"/>
          </w:tcPr>
          <w:p>
            <w:pPr>
              <w:ind w:left="340"/>
              <w:spacing w:after="0" w:line="191" w:lineRule="exact"/>
              <w:rPr>
                <w:sz w:val="20"/>
                <w:szCs w:val="20"/>
                <w:color w:val="auto"/>
              </w:rPr>
            </w:pPr>
            <w:r>
              <w:rPr>
                <w:rFonts w:ascii="Arial" w:cs="Arial" w:eastAsia="Arial" w:hAnsi="Arial"/>
                <w:sz w:val="14"/>
                <w:szCs w:val="14"/>
                <w:color w:val="auto"/>
              </w:rPr>
              <w:t>operations</w:t>
            </w:r>
            <w:r>
              <w:rPr>
                <w:rFonts w:ascii="Arial" w:cs="Arial" w:eastAsia="Arial" w:hAnsi="Arial"/>
                <w:sz w:val="22"/>
                <w:szCs w:val="22"/>
                <w:color w:val="auto"/>
                <w:vertAlign w:val="superscript"/>
              </w:rPr>
              <w:t>(2)</w:t>
            </w:r>
          </w:p>
        </w:tc>
        <w:tc>
          <w:tcPr>
            <w:tcW w:w="300" w:type="dxa"/>
            <w:vAlign w:val="bottom"/>
          </w:tcPr>
          <w:p>
            <w:pPr>
              <w:ind w:left="240"/>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352"/>
              <w:spacing w:after="0"/>
              <w:rPr>
                <w:sz w:val="20"/>
                <w:szCs w:val="20"/>
                <w:color w:val="auto"/>
              </w:rPr>
            </w:pPr>
            <w:r>
              <w:rPr>
                <w:rFonts w:ascii="Arial" w:cs="Arial" w:eastAsia="Arial" w:hAnsi="Arial"/>
                <w:sz w:val="14"/>
                <w:szCs w:val="14"/>
                <w:color w:val="auto"/>
                <w:w w:val="97"/>
              </w:rPr>
              <w:t>88,592</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72"/>
              <w:spacing w:after="0"/>
              <w:rPr>
                <w:sz w:val="20"/>
                <w:szCs w:val="20"/>
                <w:color w:val="auto"/>
              </w:rPr>
            </w:pPr>
            <w:r>
              <w:rPr>
                <w:rFonts w:ascii="Arial" w:cs="Arial" w:eastAsia="Arial" w:hAnsi="Arial"/>
                <w:sz w:val="14"/>
                <w:szCs w:val="14"/>
                <w:color w:val="auto"/>
                <w:w w:val="82"/>
              </w:rPr>
              <w:t>145,982</w:t>
            </w:r>
          </w:p>
        </w:tc>
        <w:tc>
          <w:tcPr>
            <w:tcW w:w="420" w:type="dxa"/>
            <w:vAlign w:val="bottom"/>
          </w:tcPr>
          <w:p>
            <w:pPr>
              <w:ind w:left="36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332"/>
              <w:spacing w:after="0"/>
              <w:rPr>
                <w:sz w:val="20"/>
                <w:szCs w:val="20"/>
                <w:color w:val="auto"/>
              </w:rPr>
            </w:pPr>
            <w:r>
              <w:rPr>
                <w:rFonts w:ascii="Arial" w:cs="Arial" w:eastAsia="Arial" w:hAnsi="Arial"/>
                <w:sz w:val="14"/>
                <w:szCs w:val="14"/>
                <w:color w:val="auto"/>
                <w:w w:val="97"/>
              </w:rPr>
              <w:t>31,975</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92"/>
              <w:spacing w:after="0"/>
              <w:rPr>
                <w:sz w:val="20"/>
                <w:szCs w:val="20"/>
                <w:color w:val="auto"/>
              </w:rPr>
            </w:pPr>
            <w:r>
              <w:rPr>
                <w:rFonts w:ascii="Arial" w:cs="Arial" w:eastAsia="Arial" w:hAnsi="Arial"/>
                <w:sz w:val="14"/>
                <w:szCs w:val="14"/>
                <w:color w:val="auto"/>
              </w:rPr>
              <w:t>70,634</w:t>
            </w:r>
          </w:p>
        </w:tc>
        <w:tc>
          <w:tcPr>
            <w:tcW w:w="380" w:type="dxa"/>
            <w:vAlign w:val="bottom"/>
          </w:tcPr>
          <w:p>
            <w:pPr>
              <w:ind w:left="300"/>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232"/>
              <w:spacing w:after="0"/>
              <w:rPr>
                <w:sz w:val="20"/>
                <w:szCs w:val="20"/>
                <w:color w:val="auto"/>
              </w:rPr>
            </w:pPr>
            <w:r>
              <w:rPr>
                <w:rFonts w:ascii="Arial" w:cs="Arial" w:eastAsia="Arial" w:hAnsi="Arial"/>
                <w:sz w:val="14"/>
                <w:szCs w:val="14"/>
                <w:color w:val="auto"/>
                <w:w w:val="88"/>
              </w:rPr>
              <w:t>(13,061)</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72"/>
              <w:spacing w:after="0"/>
              <w:rPr>
                <w:sz w:val="20"/>
                <w:szCs w:val="20"/>
                <w:color w:val="auto"/>
              </w:rPr>
            </w:pPr>
            <w:r>
              <w:rPr>
                <w:rFonts w:ascii="Arial" w:cs="Arial" w:eastAsia="Arial" w:hAnsi="Arial"/>
                <w:sz w:val="14"/>
                <w:szCs w:val="14"/>
                <w:color w:val="auto"/>
                <w:w w:val="84"/>
              </w:rPr>
              <w:t>(25,865)</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32"/>
              <w:spacing w:after="0"/>
              <w:rPr>
                <w:sz w:val="20"/>
                <w:szCs w:val="20"/>
                <w:color w:val="auto"/>
              </w:rPr>
            </w:pPr>
            <w:r>
              <w:rPr>
                <w:rFonts w:ascii="Arial" w:cs="Arial" w:eastAsia="Arial" w:hAnsi="Arial"/>
                <w:sz w:val="14"/>
                <w:szCs w:val="14"/>
                <w:color w:val="auto"/>
              </w:rPr>
              <w:t>298,257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EEEEEE"/>
            </w:tcBorders>
            <w:shd w:val="clear" w:color="auto" w:fill="EEEEEE"/>
          </w:tcPr>
          <w:p>
            <w:pPr>
              <w:ind w:left="200"/>
              <w:spacing w:after="0" w:line="149" w:lineRule="exact"/>
              <w:rPr>
                <w:sz w:val="20"/>
                <w:szCs w:val="20"/>
                <w:color w:val="auto"/>
              </w:rPr>
            </w:pPr>
            <w:r>
              <w:rPr>
                <w:rFonts w:ascii="Arial" w:cs="Arial" w:eastAsia="Arial" w:hAnsi="Arial"/>
                <w:sz w:val="14"/>
                <w:szCs w:val="14"/>
                <w:color w:val="auto"/>
              </w:rPr>
              <w:t>Identifiable assets</w:t>
            </w:r>
          </w:p>
        </w:tc>
        <w:tc>
          <w:tcPr>
            <w:tcW w:w="300" w:type="dxa"/>
            <w:vAlign w:val="bottom"/>
            <w:shd w:val="clear" w:color="auto" w:fill="EEEEEE"/>
          </w:tcPr>
          <w:p>
            <w:pPr>
              <w:ind w:left="24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EEEEEE"/>
          </w:tcPr>
          <w:p>
            <w:pPr>
              <w:jc w:val="right"/>
              <w:ind w:right="352"/>
              <w:spacing w:after="0" w:line="149" w:lineRule="exact"/>
              <w:rPr>
                <w:sz w:val="20"/>
                <w:szCs w:val="20"/>
                <w:color w:val="auto"/>
              </w:rPr>
            </w:pPr>
            <w:r>
              <w:rPr>
                <w:rFonts w:ascii="Arial" w:cs="Arial" w:eastAsia="Arial" w:hAnsi="Arial"/>
                <w:sz w:val="14"/>
                <w:szCs w:val="14"/>
                <w:color w:val="auto"/>
                <w:w w:val="82"/>
              </w:rPr>
              <w:t>703,947</w:t>
            </w:r>
          </w:p>
        </w:tc>
        <w:tc>
          <w:tcPr>
            <w:tcW w:w="5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EEEEEE"/>
          </w:tcPr>
          <w:p>
            <w:pPr>
              <w:jc w:val="right"/>
              <w:ind w:right="372"/>
              <w:spacing w:after="0" w:line="149" w:lineRule="exact"/>
              <w:rPr>
                <w:sz w:val="20"/>
                <w:szCs w:val="20"/>
                <w:color w:val="auto"/>
              </w:rPr>
            </w:pPr>
            <w:r>
              <w:rPr>
                <w:rFonts w:ascii="Arial" w:cs="Arial" w:eastAsia="Arial" w:hAnsi="Arial"/>
                <w:sz w:val="14"/>
                <w:szCs w:val="14"/>
                <w:color w:val="auto"/>
                <w:w w:val="82"/>
              </w:rPr>
              <w:t>419,246</w:t>
            </w:r>
          </w:p>
        </w:tc>
        <w:tc>
          <w:tcPr>
            <w:tcW w:w="420" w:type="dxa"/>
            <w:vAlign w:val="bottom"/>
            <w:shd w:val="clear" w:color="auto" w:fill="EEEEEE"/>
          </w:tcPr>
          <w:p>
            <w:pPr>
              <w:ind w:left="36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EEEEEE"/>
          </w:tcPr>
          <w:p>
            <w:pPr>
              <w:jc w:val="right"/>
              <w:ind w:right="332"/>
              <w:spacing w:after="0" w:line="149" w:lineRule="exact"/>
              <w:rPr>
                <w:sz w:val="20"/>
                <w:szCs w:val="20"/>
                <w:color w:val="auto"/>
              </w:rPr>
            </w:pPr>
            <w:r>
              <w:rPr>
                <w:rFonts w:ascii="Arial" w:cs="Arial" w:eastAsia="Arial" w:hAnsi="Arial"/>
                <w:sz w:val="14"/>
                <w:szCs w:val="14"/>
                <w:color w:val="auto"/>
                <w:w w:val="82"/>
              </w:rPr>
              <w:t>486,804</w:t>
            </w:r>
          </w:p>
        </w:tc>
        <w:tc>
          <w:tcPr>
            <w:tcW w:w="4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EEEEE"/>
          </w:tcPr>
          <w:p>
            <w:pPr>
              <w:jc w:val="right"/>
              <w:ind w:right="292"/>
              <w:spacing w:after="0" w:line="149" w:lineRule="exact"/>
              <w:rPr>
                <w:sz w:val="20"/>
                <w:szCs w:val="20"/>
                <w:color w:val="auto"/>
              </w:rPr>
            </w:pPr>
            <w:r>
              <w:rPr>
                <w:rFonts w:ascii="Arial" w:cs="Arial" w:eastAsia="Arial" w:hAnsi="Arial"/>
                <w:sz w:val="14"/>
                <w:szCs w:val="14"/>
                <w:color w:val="auto"/>
                <w:w w:val="83"/>
              </w:rPr>
              <w:t>1,117,426</w:t>
            </w:r>
          </w:p>
        </w:tc>
        <w:tc>
          <w:tcPr>
            <w:tcW w:w="380" w:type="dxa"/>
            <w:vAlign w:val="bottom"/>
            <w:shd w:val="clear" w:color="auto" w:fill="EEEEEE"/>
          </w:tcPr>
          <w:p>
            <w:pPr>
              <w:ind w:left="30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EEEEEE"/>
          </w:tcPr>
          <w:p>
            <w:pPr>
              <w:jc w:val="right"/>
              <w:ind w:right="272"/>
              <w:spacing w:after="0" w:line="149" w:lineRule="exact"/>
              <w:rPr>
                <w:sz w:val="20"/>
                <w:szCs w:val="20"/>
                <w:color w:val="auto"/>
              </w:rPr>
            </w:pPr>
            <w:r>
              <w:rPr>
                <w:rFonts w:ascii="Arial" w:cs="Arial" w:eastAsia="Arial" w:hAnsi="Arial"/>
                <w:sz w:val="14"/>
                <w:szCs w:val="14"/>
                <w:color w:val="auto"/>
                <w:w w:val="82"/>
              </w:rPr>
              <w:t>472,988</w:t>
            </w: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EEEEEE"/>
          </w:tcPr>
          <w:p>
            <w:pPr>
              <w:jc w:val="right"/>
              <w:ind w:right="312"/>
              <w:spacing w:after="0" w:line="149" w:lineRule="exact"/>
              <w:rPr>
                <w:sz w:val="20"/>
                <w:szCs w:val="20"/>
                <w:color w:val="auto"/>
              </w:rPr>
            </w:pPr>
            <w:r>
              <w:rPr>
                <w:rFonts w:ascii="Arial" w:cs="Arial" w:eastAsia="Arial" w:hAnsi="Arial"/>
                <w:sz w:val="14"/>
                <w:szCs w:val="14"/>
                <w:color w:val="auto"/>
                <w:w w:val="93"/>
              </w:rPr>
              <w:t>42,346</w:t>
            </w:r>
          </w:p>
        </w:tc>
        <w:tc>
          <w:tcPr>
            <w:tcW w:w="4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EEEEEE"/>
          </w:tcPr>
          <w:p>
            <w:pPr>
              <w:jc w:val="right"/>
              <w:ind w:right="332"/>
              <w:spacing w:after="0" w:line="149" w:lineRule="exact"/>
              <w:rPr>
                <w:sz w:val="20"/>
                <w:szCs w:val="20"/>
                <w:color w:val="auto"/>
              </w:rPr>
            </w:pPr>
            <w:r>
              <w:rPr>
                <w:rFonts w:ascii="Arial" w:cs="Arial" w:eastAsia="Arial" w:hAnsi="Arial"/>
                <w:sz w:val="14"/>
                <w:szCs w:val="14"/>
                <w:color w:val="auto"/>
                <w:w w:val="83"/>
              </w:rPr>
              <w:t>3,242,757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40" w:type="dxa"/>
            <w:vAlign w:val="bottom"/>
          </w:tcPr>
          <w:p>
            <w:pPr>
              <w:ind w:left="200"/>
              <w:spacing w:after="0" w:line="138" w:lineRule="exact"/>
              <w:rPr>
                <w:sz w:val="20"/>
                <w:szCs w:val="20"/>
                <w:color w:val="auto"/>
              </w:rPr>
            </w:pPr>
            <w:r>
              <w:rPr>
                <w:rFonts w:ascii="Arial" w:cs="Arial" w:eastAsia="Arial" w:hAnsi="Arial"/>
                <w:sz w:val="14"/>
                <w:szCs w:val="14"/>
                <w:color w:val="auto"/>
              </w:rPr>
              <w:t>Investments in marketable equity</w:t>
            </w: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tcPr>
          <w:p>
            <w:pPr>
              <w:ind w:left="340"/>
              <w:spacing w:after="0" w:line="159" w:lineRule="exact"/>
              <w:rPr>
                <w:sz w:val="20"/>
                <w:szCs w:val="20"/>
                <w:color w:val="auto"/>
              </w:rPr>
            </w:pPr>
            <w:r>
              <w:rPr>
                <w:rFonts w:ascii="Arial" w:cs="Arial" w:eastAsia="Arial" w:hAnsi="Arial"/>
                <w:sz w:val="14"/>
                <w:szCs w:val="14"/>
                <w:color w:val="auto"/>
              </w:rPr>
              <w:t>securities</w:t>
            </w: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jc w:val="right"/>
              <w:ind w:right="332"/>
              <w:spacing w:after="0" w:line="159" w:lineRule="exact"/>
              <w:rPr>
                <w:sz w:val="20"/>
                <w:szCs w:val="20"/>
                <w:color w:val="auto"/>
              </w:rPr>
            </w:pPr>
            <w:r>
              <w:rPr>
                <w:rFonts w:ascii="Arial" w:cs="Arial" w:eastAsia="Arial" w:hAnsi="Arial"/>
                <w:sz w:val="14"/>
                <w:szCs w:val="14"/>
                <w:color w:val="auto"/>
              </w:rPr>
              <w:t>235,405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EEEEEE"/>
            </w:tcBorders>
            <w:shd w:val="clear" w:color="auto" w:fill="EEEEEE"/>
          </w:tcPr>
          <w:p>
            <w:pPr>
              <w:ind w:left="200"/>
              <w:spacing w:after="0" w:line="149" w:lineRule="exact"/>
              <w:rPr>
                <w:sz w:val="20"/>
                <w:szCs w:val="20"/>
                <w:color w:val="auto"/>
              </w:rPr>
            </w:pPr>
            <w:r>
              <w:rPr>
                <w:rFonts w:ascii="Arial" w:cs="Arial" w:eastAsia="Arial" w:hAnsi="Arial"/>
                <w:sz w:val="14"/>
                <w:szCs w:val="14"/>
                <w:color w:val="auto"/>
              </w:rPr>
              <w:t>Investments in affiliates</w:t>
            </w:r>
          </w:p>
        </w:tc>
        <w:tc>
          <w:tcPr>
            <w:tcW w:w="300" w:type="dxa"/>
            <w:vAlign w:val="bottom"/>
            <w:shd w:val="clear" w:color="auto" w:fill="EEEEEE"/>
          </w:tcPr>
          <w:p>
            <w:pPr>
              <w:spacing w:after="0"/>
              <w:rPr>
                <w:sz w:val="12"/>
                <w:szCs w:val="12"/>
                <w:color w:val="auto"/>
              </w:rPr>
            </w:pPr>
          </w:p>
        </w:tc>
        <w:tc>
          <w:tcPr>
            <w:tcW w:w="86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90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940" w:type="dxa"/>
            <w:vAlign w:val="bottom"/>
            <w:shd w:val="clear" w:color="auto" w:fill="EEEEEE"/>
          </w:tcPr>
          <w:p>
            <w:pPr>
              <w:jc w:val="right"/>
              <w:ind w:right="332"/>
              <w:spacing w:after="0" w:line="149" w:lineRule="exact"/>
              <w:rPr>
                <w:sz w:val="20"/>
                <w:szCs w:val="20"/>
                <w:color w:val="auto"/>
              </w:rPr>
            </w:pPr>
            <w:r>
              <w:rPr>
                <w:rFonts w:ascii="Arial" w:cs="Arial" w:eastAsia="Arial" w:hAnsi="Arial"/>
                <w:sz w:val="14"/>
                <w:szCs w:val="14"/>
                <w:color w:val="auto"/>
              </w:rPr>
              <w:t>80,936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540" w:type="dxa"/>
            <w:vAlign w:val="bottom"/>
          </w:tcPr>
          <w:p>
            <w:pPr>
              <w:ind w:left="440"/>
              <w:spacing w:after="0"/>
              <w:rPr>
                <w:sz w:val="20"/>
                <w:szCs w:val="20"/>
                <w:color w:val="auto"/>
              </w:rPr>
            </w:pPr>
            <w:r>
              <w:rPr>
                <w:rFonts w:ascii="Arial" w:cs="Arial" w:eastAsia="Arial" w:hAnsi="Arial"/>
                <w:sz w:val="14"/>
                <w:szCs w:val="14"/>
                <w:color w:val="auto"/>
              </w:rPr>
              <w:t>Total assets</w:t>
            </w: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32"/>
              <w:spacing w:after="0"/>
              <w:rPr>
                <w:sz w:val="20"/>
                <w:szCs w:val="20"/>
                <w:color w:val="auto"/>
              </w:rPr>
            </w:pPr>
            <w:r>
              <w:rPr>
                <w:rFonts w:ascii="Arial" w:cs="Arial" w:eastAsia="Arial" w:hAnsi="Arial"/>
                <w:sz w:val="14"/>
                <w:szCs w:val="14"/>
                <w:color w:val="auto"/>
                <w:w w:val="83"/>
              </w:rPr>
              <w:t>3,559,098</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0" w:type="dxa"/>
            <w:vAlign w:val="bottom"/>
          </w:tcPr>
          <w:p>
            <w:pPr>
              <w:spacing w:after="0"/>
              <w:rPr>
                <w:sz w:val="7"/>
                <w:szCs w:val="7"/>
                <w:color w:val="auto"/>
              </w:rPr>
            </w:pPr>
          </w:p>
        </w:tc>
        <w:tc>
          <w:tcPr>
            <w:tcW w:w="900" w:type="dxa"/>
            <w:vAlign w:val="bottom"/>
          </w:tcPr>
          <w:p>
            <w:pPr>
              <w:spacing w:after="0"/>
              <w:rPr>
                <w:sz w:val="7"/>
                <w:szCs w:val="7"/>
                <w:color w:val="auto"/>
              </w:rPr>
            </w:pPr>
          </w:p>
        </w:tc>
        <w:tc>
          <w:tcPr>
            <w:tcW w:w="380" w:type="dxa"/>
            <w:vAlign w:val="bottom"/>
          </w:tcPr>
          <w:p>
            <w:pPr>
              <w:spacing w:after="0"/>
              <w:rPr>
                <w:sz w:val="7"/>
                <w:szCs w:val="7"/>
                <w:color w:val="auto"/>
              </w:rPr>
            </w:pPr>
          </w:p>
        </w:tc>
        <w:tc>
          <w:tcPr>
            <w:tcW w:w="7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4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4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40" w:type="dxa"/>
            <w:vAlign w:val="bottom"/>
            <w:tcBorders>
              <w:right w:val="single" w:sz="8" w:color="EEEEEE"/>
            </w:tcBorders>
            <w:shd w:val="clear" w:color="auto" w:fill="EEEEEE"/>
          </w:tcPr>
          <w:p>
            <w:pPr>
              <w:ind w:left="200"/>
              <w:spacing w:after="0" w:line="138" w:lineRule="exact"/>
              <w:rPr>
                <w:sz w:val="20"/>
                <w:szCs w:val="20"/>
                <w:color w:val="auto"/>
              </w:rPr>
            </w:pPr>
            <w:r>
              <w:rPr>
                <w:rFonts w:ascii="Arial" w:cs="Arial" w:eastAsia="Arial" w:hAnsi="Arial"/>
                <w:sz w:val="14"/>
                <w:szCs w:val="14"/>
                <w:color w:val="auto"/>
              </w:rPr>
              <w:t>Depreciation of property, plant and</w:t>
            </w:r>
          </w:p>
        </w:tc>
        <w:tc>
          <w:tcPr>
            <w:tcW w:w="300" w:type="dxa"/>
            <w:vAlign w:val="bottom"/>
            <w:shd w:val="clear" w:color="auto" w:fill="EEEEEE"/>
          </w:tcPr>
          <w:p>
            <w:pPr>
              <w:spacing w:after="0"/>
              <w:rPr>
                <w:sz w:val="11"/>
                <w:szCs w:val="11"/>
                <w:color w:val="auto"/>
              </w:rPr>
            </w:pPr>
          </w:p>
        </w:tc>
        <w:tc>
          <w:tcPr>
            <w:tcW w:w="86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88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840" w:type="dxa"/>
            <w:vAlign w:val="bottom"/>
            <w:shd w:val="clear" w:color="auto" w:fill="EEEEEE"/>
          </w:tcPr>
          <w:p>
            <w:pPr>
              <w:spacing w:after="0"/>
              <w:rPr>
                <w:sz w:val="11"/>
                <w:szCs w:val="11"/>
                <w:color w:val="auto"/>
              </w:rPr>
            </w:pPr>
          </w:p>
        </w:tc>
        <w:tc>
          <w:tcPr>
            <w:tcW w:w="400" w:type="dxa"/>
            <w:vAlign w:val="bottom"/>
            <w:shd w:val="clear" w:color="auto" w:fill="EEEEEE"/>
          </w:tcPr>
          <w:p>
            <w:pPr>
              <w:spacing w:after="0"/>
              <w:rPr>
                <w:sz w:val="11"/>
                <w:szCs w:val="11"/>
                <w:color w:val="auto"/>
              </w:rPr>
            </w:pPr>
          </w:p>
        </w:tc>
        <w:tc>
          <w:tcPr>
            <w:tcW w:w="90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7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0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9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tcBorders>
              <w:right w:val="single" w:sz="8" w:color="EEEEEE"/>
            </w:tcBorders>
            <w:shd w:val="clear" w:color="auto" w:fill="EEEEEE"/>
          </w:tcPr>
          <w:p>
            <w:pPr>
              <w:ind w:left="340"/>
              <w:spacing w:after="0" w:line="159" w:lineRule="exact"/>
              <w:rPr>
                <w:sz w:val="20"/>
                <w:szCs w:val="20"/>
                <w:color w:val="auto"/>
              </w:rPr>
            </w:pPr>
            <w:r>
              <w:rPr>
                <w:rFonts w:ascii="Arial" w:cs="Arial" w:eastAsia="Arial" w:hAnsi="Arial"/>
                <w:sz w:val="14"/>
                <w:szCs w:val="14"/>
                <w:color w:val="auto"/>
              </w:rPr>
              <w:t>equipment</w:t>
            </w:r>
          </w:p>
        </w:tc>
        <w:tc>
          <w:tcPr>
            <w:tcW w:w="300" w:type="dxa"/>
            <w:vAlign w:val="bottom"/>
            <w:shd w:val="clear" w:color="auto" w:fill="EEEEEE"/>
          </w:tcPr>
          <w:p>
            <w:pPr>
              <w:ind w:left="24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EEEEEE"/>
          </w:tcPr>
          <w:p>
            <w:pPr>
              <w:jc w:val="right"/>
              <w:ind w:right="352"/>
              <w:spacing w:after="0" w:line="159" w:lineRule="exact"/>
              <w:rPr>
                <w:sz w:val="20"/>
                <w:szCs w:val="20"/>
                <w:color w:val="auto"/>
              </w:rPr>
            </w:pPr>
            <w:r>
              <w:rPr>
                <w:rFonts w:ascii="Arial" w:cs="Arial" w:eastAsia="Arial" w:hAnsi="Arial"/>
                <w:sz w:val="14"/>
                <w:szCs w:val="14"/>
                <w:color w:val="auto"/>
                <w:w w:val="97"/>
              </w:rPr>
              <w:t>37,862</w:t>
            </w:r>
          </w:p>
        </w:tc>
        <w:tc>
          <w:tcPr>
            <w:tcW w:w="540" w:type="dxa"/>
            <w:vAlign w:val="bottom"/>
            <w:shd w:val="clear" w:color="auto" w:fill="EEEEEE"/>
          </w:tcPr>
          <w:p>
            <w:pPr>
              <w:jc w:val="right"/>
              <w:spacing w:after="0" w:line="159" w:lineRule="exact"/>
              <w:rPr>
                <w:sz w:val="20"/>
                <w:szCs w:val="20"/>
                <w:color w:val="auto"/>
              </w:rPr>
            </w:pPr>
            <w:r>
              <w:rPr>
                <w:rFonts w:ascii="Arial" w:cs="Arial" w:eastAsia="Arial" w:hAnsi="Arial"/>
                <w:sz w:val="14"/>
                <w:szCs w:val="14"/>
                <w:color w:val="auto"/>
              </w:rPr>
              <w:t>$</w:t>
            </w:r>
          </w:p>
        </w:tc>
        <w:tc>
          <w:tcPr>
            <w:tcW w:w="880" w:type="dxa"/>
            <w:vAlign w:val="bottom"/>
            <w:shd w:val="clear" w:color="auto" w:fill="EEEEEE"/>
          </w:tcPr>
          <w:p>
            <w:pPr>
              <w:jc w:val="right"/>
              <w:ind w:right="372"/>
              <w:spacing w:after="0" w:line="159" w:lineRule="exact"/>
              <w:rPr>
                <w:sz w:val="20"/>
                <w:szCs w:val="20"/>
                <w:color w:val="auto"/>
              </w:rPr>
            </w:pPr>
            <w:r>
              <w:rPr>
                <w:rFonts w:ascii="Arial" w:cs="Arial" w:eastAsia="Arial" w:hAnsi="Arial"/>
                <w:sz w:val="14"/>
                <w:szCs w:val="14"/>
                <w:color w:val="auto"/>
                <w:w w:val="97"/>
              </w:rPr>
              <w:t>11,932</w:t>
            </w:r>
          </w:p>
        </w:tc>
        <w:tc>
          <w:tcPr>
            <w:tcW w:w="420" w:type="dxa"/>
            <w:vAlign w:val="bottom"/>
            <w:shd w:val="clear" w:color="auto" w:fill="EEEEEE"/>
          </w:tcPr>
          <w:p>
            <w:pPr>
              <w:ind w:left="36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EEEEEE"/>
          </w:tcPr>
          <w:p>
            <w:pPr>
              <w:jc w:val="right"/>
              <w:ind w:right="332"/>
              <w:spacing w:after="0" w:line="159" w:lineRule="exact"/>
              <w:rPr>
                <w:sz w:val="20"/>
                <w:szCs w:val="20"/>
                <w:color w:val="auto"/>
              </w:rPr>
            </w:pPr>
            <w:r>
              <w:rPr>
                <w:rFonts w:ascii="Arial" w:cs="Arial" w:eastAsia="Arial" w:hAnsi="Arial"/>
                <w:sz w:val="14"/>
                <w:szCs w:val="14"/>
                <w:color w:val="auto"/>
              </w:rPr>
              <w:t>4,654</w:t>
            </w:r>
          </w:p>
        </w:tc>
        <w:tc>
          <w:tcPr>
            <w:tcW w:w="400" w:type="dxa"/>
            <w:vAlign w:val="bottom"/>
            <w:shd w:val="clear" w:color="auto" w:fill="EEEEEE"/>
          </w:tcPr>
          <w:p>
            <w:pPr>
              <w:jc w:val="right"/>
              <w:spacing w:after="0" w:line="159" w:lineRule="exact"/>
              <w:rPr>
                <w:sz w:val="20"/>
                <w:szCs w:val="20"/>
                <w:color w:val="auto"/>
              </w:rPr>
            </w:pPr>
            <w:r>
              <w:rPr>
                <w:rFonts w:ascii="Arial" w:cs="Arial" w:eastAsia="Arial" w:hAnsi="Arial"/>
                <w:sz w:val="14"/>
                <w:szCs w:val="14"/>
                <w:color w:val="auto"/>
              </w:rPr>
              <w:t>$</w:t>
            </w:r>
          </w:p>
        </w:tc>
        <w:tc>
          <w:tcPr>
            <w:tcW w:w="900" w:type="dxa"/>
            <w:vAlign w:val="bottom"/>
            <w:shd w:val="clear" w:color="auto" w:fill="EEEEEE"/>
          </w:tcPr>
          <w:p>
            <w:pPr>
              <w:jc w:val="right"/>
              <w:ind w:right="292"/>
              <w:spacing w:after="0" w:line="159" w:lineRule="exact"/>
              <w:rPr>
                <w:sz w:val="20"/>
                <w:szCs w:val="20"/>
                <w:color w:val="auto"/>
              </w:rPr>
            </w:pPr>
            <w:r>
              <w:rPr>
                <w:rFonts w:ascii="Arial" w:cs="Arial" w:eastAsia="Arial" w:hAnsi="Arial"/>
                <w:sz w:val="14"/>
                <w:szCs w:val="14"/>
                <w:color w:val="auto"/>
              </w:rPr>
              <w:t>64,505</w:t>
            </w:r>
          </w:p>
        </w:tc>
        <w:tc>
          <w:tcPr>
            <w:tcW w:w="380" w:type="dxa"/>
            <w:vAlign w:val="bottom"/>
            <w:shd w:val="clear" w:color="auto" w:fill="EEEEEE"/>
          </w:tcPr>
          <w:p>
            <w:pPr>
              <w:ind w:left="300"/>
              <w:spacing w:after="0" w:line="15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EEEEEE"/>
          </w:tcPr>
          <w:p>
            <w:pPr>
              <w:jc w:val="right"/>
              <w:ind w:right="272"/>
              <w:spacing w:after="0" w:line="159" w:lineRule="exact"/>
              <w:rPr>
                <w:sz w:val="20"/>
                <w:szCs w:val="20"/>
                <w:color w:val="auto"/>
              </w:rPr>
            </w:pPr>
            <w:r>
              <w:rPr>
                <w:rFonts w:ascii="Arial" w:cs="Arial" w:eastAsia="Arial" w:hAnsi="Arial"/>
                <w:sz w:val="14"/>
                <w:szCs w:val="14"/>
                <w:color w:val="auto"/>
                <w:w w:val="97"/>
              </w:rPr>
              <w:t>19,347</w:t>
            </w:r>
          </w:p>
        </w:tc>
        <w:tc>
          <w:tcPr>
            <w:tcW w:w="380" w:type="dxa"/>
            <w:vAlign w:val="bottom"/>
            <w:shd w:val="clear" w:color="auto" w:fill="EEEEEE"/>
          </w:tcPr>
          <w:p>
            <w:pPr>
              <w:jc w:val="right"/>
              <w:spacing w:after="0" w:line="159" w:lineRule="exact"/>
              <w:rPr>
                <w:sz w:val="20"/>
                <w:szCs w:val="20"/>
                <w:color w:val="auto"/>
              </w:rPr>
            </w:pPr>
            <w:r>
              <w:rPr>
                <w:rFonts w:ascii="Arial" w:cs="Arial" w:eastAsia="Arial" w:hAnsi="Arial"/>
                <w:sz w:val="14"/>
                <w:szCs w:val="14"/>
                <w:color w:val="auto"/>
              </w:rPr>
              <w:t>$</w:t>
            </w:r>
          </w:p>
        </w:tc>
        <w:tc>
          <w:tcPr>
            <w:tcW w:w="800" w:type="dxa"/>
            <w:vAlign w:val="bottom"/>
            <w:shd w:val="clear" w:color="auto" w:fill="EEEEEE"/>
          </w:tcPr>
          <w:p>
            <w:pPr>
              <w:jc w:val="right"/>
              <w:ind w:right="312"/>
              <w:spacing w:after="0" w:line="159" w:lineRule="exact"/>
              <w:rPr>
                <w:sz w:val="20"/>
                <w:szCs w:val="20"/>
                <w:color w:val="auto"/>
              </w:rPr>
            </w:pPr>
            <w:r>
              <w:rPr>
                <w:rFonts w:ascii="Arial" w:cs="Arial" w:eastAsia="Arial" w:hAnsi="Arial"/>
                <w:sz w:val="14"/>
                <w:szCs w:val="14"/>
                <w:color w:val="auto"/>
              </w:rPr>
              <w:t>—</w:t>
            </w:r>
          </w:p>
        </w:tc>
        <w:tc>
          <w:tcPr>
            <w:tcW w:w="440" w:type="dxa"/>
            <w:vAlign w:val="bottom"/>
            <w:shd w:val="clear" w:color="auto" w:fill="EEEEEE"/>
          </w:tcPr>
          <w:p>
            <w:pPr>
              <w:jc w:val="right"/>
              <w:spacing w:after="0" w:line="159" w:lineRule="exact"/>
              <w:rPr>
                <w:sz w:val="20"/>
                <w:szCs w:val="20"/>
                <w:color w:val="auto"/>
              </w:rPr>
            </w:pPr>
            <w:r>
              <w:rPr>
                <w:rFonts w:ascii="Arial" w:cs="Arial" w:eastAsia="Arial" w:hAnsi="Arial"/>
                <w:sz w:val="14"/>
                <w:szCs w:val="14"/>
                <w:color w:val="auto"/>
              </w:rPr>
              <w:t>$</w:t>
            </w:r>
          </w:p>
        </w:tc>
        <w:tc>
          <w:tcPr>
            <w:tcW w:w="940" w:type="dxa"/>
            <w:vAlign w:val="bottom"/>
            <w:shd w:val="clear" w:color="auto" w:fill="EEEEEE"/>
          </w:tcPr>
          <w:p>
            <w:pPr>
              <w:jc w:val="right"/>
              <w:ind w:right="332"/>
              <w:spacing w:after="0" w:line="159" w:lineRule="exact"/>
              <w:rPr>
                <w:sz w:val="20"/>
                <w:szCs w:val="20"/>
                <w:color w:val="auto"/>
              </w:rPr>
            </w:pPr>
            <w:r>
              <w:rPr>
                <w:rFonts w:ascii="Arial" w:cs="Arial" w:eastAsia="Arial" w:hAnsi="Arial"/>
                <w:sz w:val="14"/>
                <w:szCs w:val="14"/>
                <w:color w:val="auto"/>
              </w:rPr>
              <w:t>138,300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ind w:left="200"/>
              <w:spacing w:after="0" w:line="149" w:lineRule="exact"/>
              <w:rPr>
                <w:sz w:val="20"/>
                <w:szCs w:val="20"/>
                <w:color w:val="auto"/>
              </w:rPr>
            </w:pPr>
            <w:r>
              <w:rPr>
                <w:rFonts w:ascii="Arial" w:cs="Arial" w:eastAsia="Arial" w:hAnsi="Arial"/>
                <w:sz w:val="14"/>
                <w:szCs w:val="14"/>
                <w:color w:val="auto"/>
              </w:rPr>
              <w:t>Amortization expense</w:t>
            </w:r>
          </w:p>
        </w:tc>
        <w:tc>
          <w:tcPr>
            <w:tcW w:w="300" w:type="dxa"/>
            <w:vAlign w:val="bottom"/>
          </w:tcPr>
          <w:p>
            <w:pPr>
              <w:ind w:left="240"/>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3,864</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372"/>
              <w:spacing w:after="0" w:line="149" w:lineRule="exact"/>
              <w:rPr>
                <w:sz w:val="20"/>
                <w:szCs w:val="20"/>
                <w:color w:val="auto"/>
              </w:rPr>
            </w:pPr>
            <w:r>
              <w:rPr>
                <w:rFonts w:ascii="Arial" w:cs="Arial" w:eastAsia="Arial" w:hAnsi="Arial"/>
                <w:sz w:val="14"/>
                <w:szCs w:val="14"/>
                <w:color w:val="auto"/>
                <w:w w:val="97"/>
              </w:rPr>
              <w:t>14,135</w:t>
            </w:r>
          </w:p>
        </w:tc>
        <w:tc>
          <w:tcPr>
            <w:tcW w:w="420" w:type="dxa"/>
            <w:vAlign w:val="bottom"/>
          </w:tcPr>
          <w:p>
            <w:pPr>
              <w:ind w:left="36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6,669</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38,553</w:t>
            </w:r>
          </w:p>
        </w:tc>
        <w:tc>
          <w:tcPr>
            <w:tcW w:w="380" w:type="dxa"/>
            <w:vAlign w:val="bottom"/>
          </w:tcPr>
          <w:p>
            <w:pPr>
              <w:ind w:left="30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ind w:right="272"/>
              <w:spacing w:after="0" w:line="149" w:lineRule="exact"/>
              <w:rPr>
                <w:sz w:val="20"/>
                <w:szCs w:val="20"/>
                <w:color w:val="auto"/>
              </w:rPr>
            </w:pPr>
            <w:r>
              <w:rPr>
                <w:rFonts w:ascii="Arial" w:cs="Arial" w:eastAsia="Arial" w:hAnsi="Arial"/>
                <w:sz w:val="14"/>
                <w:szCs w:val="14"/>
                <w:color w:val="auto"/>
                <w:w w:val="97"/>
              </w:rPr>
              <w:t>15,712</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78,933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EEEEEE"/>
            </w:tcBorders>
            <w:shd w:val="clear" w:color="auto" w:fill="EEEEEE"/>
          </w:tcPr>
          <w:p>
            <w:pPr>
              <w:ind w:left="200"/>
              <w:spacing w:after="0" w:line="149" w:lineRule="exact"/>
              <w:rPr>
                <w:sz w:val="20"/>
                <w:szCs w:val="20"/>
                <w:color w:val="auto"/>
              </w:rPr>
            </w:pPr>
            <w:r>
              <w:rPr>
                <w:rFonts w:ascii="Arial" w:cs="Arial" w:eastAsia="Arial" w:hAnsi="Arial"/>
                <w:sz w:val="14"/>
                <w:szCs w:val="14"/>
                <w:color w:val="auto"/>
              </w:rPr>
              <w:t>Pension credit (expense)</w:t>
            </w:r>
          </w:p>
        </w:tc>
        <w:tc>
          <w:tcPr>
            <w:tcW w:w="300" w:type="dxa"/>
            <w:vAlign w:val="bottom"/>
            <w:shd w:val="clear" w:color="auto" w:fill="EEEEEE"/>
          </w:tcPr>
          <w:p>
            <w:pPr>
              <w:ind w:left="24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EEEEEE"/>
          </w:tcPr>
          <w:p>
            <w:pPr>
              <w:jc w:val="right"/>
              <w:ind w:right="352"/>
              <w:spacing w:after="0" w:line="149" w:lineRule="exact"/>
              <w:rPr>
                <w:sz w:val="20"/>
                <w:szCs w:val="20"/>
                <w:color w:val="auto"/>
              </w:rPr>
            </w:pPr>
            <w:r>
              <w:rPr>
                <w:rFonts w:ascii="Arial" w:cs="Arial" w:eastAsia="Arial" w:hAnsi="Arial"/>
                <w:sz w:val="14"/>
                <w:szCs w:val="14"/>
                <w:color w:val="auto"/>
                <w:w w:val="97"/>
              </w:rPr>
              <w:t>25,197</w:t>
            </w:r>
          </w:p>
        </w:tc>
        <w:tc>
          <w:tcPr>
            <w:tcW w:w="5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EEEEEE"/>
          </w:tcPr>
          <w:p>
            <w:pPr>
              <w:jc w:val="right"/>
              <w:ind w:right="372"/>
              <w:spacing w:after="0" w:line="149" w:lineRule="exact"/>
              <w:rPr>
                <w:sz w:val="20"/>
                <w:szCs w:val="20"/>
                <w:color w:val="auto"/>
              </w:rPr>
            </w:pPr>
            <w:r>
              <w:rPr>
                <w:rFonts w:ascii="Arial" w:cs="Arial" w:eastAsia="Arial" w:hAnsi="Arial"/>
                <w:sz w:val="14"/>
                <w:szCs w:val="14"/>
                <w:color w:val="auto"/>
              </w:rPr>
              <w:t>6,263</w:t>
            </w:r>
          </w:p>
        </w:tc>
        <w:tc>
          <w:tcPr>
            <w:tcW w:w="420" w:type="dxa"/>
            <w:vAlign w:val="bottom"/>
            <w:shd w:val="clear" w:color="auto" w:fill="EEEEEE"/>
          </w:tcPr>
          <w:p>
            <w:pPr>
              <w:ind w:left="36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EEEEEE"/>
          </w:tcPr>
          <w:p>
            <w:pPr>
              <w:jc w:val="right"/>
              <w:ind w:right="332"/>
              <w:spacing w:after="0" w:line="149" w:lineRule="exact"/>
              <w:rPr>
                <w:sz w:val="20"/>
                <w:szCs w:val="20"/>
                <w:color w:val="auto"/>
              </w:rPr>
            </w:pPr>
            <w:r>
              <w:rPr>
                <w:rFonts w:ascii="Arial" w:cs="Arial" w:eastAsia="Arial" w:hAnsi="Arial"/>
                <w:sz w:val="14"/>
                <w:szCs w:val="14"/>
                <w:color w:val="auto"/>
                <w:w w:val="97"/>
              </w:rPr>
              <w:t>44,989</w:t>
            </w:r>
          </w:p>
        </w:tc>
        <w:tc>
          <w:tcPr>
            <w:tcW w:w="4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EEEEE"/>
          </w:tcPr>
          <w:p>
            <w:pPr>
              <w:jc w:val="right"/>
              <w:ind w:right="252"/>
              <w:spacing w:after="0" w:line="149" w:lineRule="exact"/>
              <w:rPr>
                <w:sz w:val="20"/>
                <w:szCs w:val="20"/>
                <w:color w:val="auto"/>
              </w:rPr>
            </w:pPr>
            <w:r>
              <w:rPr>
                <w:rFonts w:ascii="Arial" w:cs="Arial" w:eastAsia="Arial" w:hAnsi="Arial"/>
                <w:sz w:val="14"/>
                <w:szCs w:val="14"/>
                <w:color w:val="auto"/>
              </w:rPr>
              <w:t>(638)</w:t>
            </w:r>
          </w:p>
        </w:tc>
        <w:tc>
          <w:tcPr>
            <w:tcW w:w="380" w:type="dxa"/>
            <w:vAlign w:val="bottom"/>
            <w:shd w:val="clear" w:color="auto" w:fill="EEEEEE"/>
          </w:tcPr>
          <w:p>
            <w:pPr>
              <w:ind w:left="30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EEEEEE"/>
          </w:tcPr>
          <w:p>
            <w:pPr>
              <w:jc w:val="right"/>
              <w:ind w:right="232"/>
              <w:spacing w:after="0" w:line="149" w:lineRule="exact"/>
              <w:rPr>
                <w:sz w:val="20"/>
                <w:szCs w:val="20"/>
                <w:color w:val="auto"/>
              </w:rPr>
            </w:pPr>
            <w:r>
              <w:rPr>
                <w:rFonts w:ascii="Arial" w:cs="Arial" w:eastAsia="Arial" w:hAnsi="Arial"/>
                <w:sz w:val="14"/>
                <w:szCs w:val="14"/>
                <w:color w:val="auto"/>
              </w:rPr>
              <w:t>(847)</w:t>
            </w: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EEEEEE"/>
          </w:tcPr>
          <w:p>
            <w:pPr>
              <w:jc w:val="right"/>
              <w:ind w:right="272"/>
              <w:spacing w:after="0" w:line="149" w:lineRule="exact"/>
              <w:rPr>
                <w:sz w:val="20"/>
                <w:szCs w:val="20"/>
                <w:color w:val="auto"/>
              </w:rPr>
            </w:pPr>
            <w:r>
              <w:rPr>
                <w:rFonts w:ascii="Arial" w:cs="Arial" w:eastAsia="Arial" w:hAnsi="Arial"/>
                <w:sz w:val="14"/>
                <w:szCs w:val="14"/>
                <w:color w:val="auto"/>
                <w:w w:val="99"/>
              </w:rPr>
              <w:t>(1,363)</w:t>
            </w:r>
          </w:p>
        </w:tc>
        <w:tc>
          <w:tcPr>
            <w:tcW w:w="4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EEEEEE"/>
          </w:tcPr>
          <w:p>
            <w:pPr>
              <w:jc w:val="right"/>
              <w:ind w:right="332"/>
              <w:spacing w:after="0" w:line="149" w:lineRule="exact"/>
              <w:rPr>
                <w:sz w:val="20"/>
                <w:szCs w:val="20"/>
                <w:color w:val="auto"/>
              </w:rPr>
            </w:pPr>
            <w:r>
              <w:rPr>
                <w:rFonts w:ascii="Arial" w:cs="Arial" w:eastAsia="Arial" w:hAnsi="Arial"/>
                <w:sz w:val="14"/>
                <w:szCs w:val="14"/>
                <w:color w:val="auto"/>
              </w:rPr>
              <w:t>73,601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40" w:type="dxa"/>
            <w:vAlign w:val="bottom"/>
          </w:tcPr>
          <w:p>
            <w:pPr>
              <w:ind w:left="200"/>
              <w:spacing w:after="0" w:line="138" w:lineRule="exact"/>
              <w:rPr>
                <w:sz w:val="20"/>
                <w:szCs w:val="20"/>
                <w:color w:val="auto"/>
              </w:rPr>
            </w:pPr>
            <w:r>
              <w:rPr>
                <w:rFonts w:ascii="Arial" w:cs="Arial" w:eastAsia="Arial" w:hAnsi="Arial"/>
                <w:sz w:val="14"/>
                <w:szCs w:val="14"/>
                <w:color w:val="auto"/>
              </w:rPr>
              <w:t>Kaplan stock-based incentive</w:t>
            </w: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tcPr>
          <w:p>
            <w:pPr>
              <w:ind w:left="340"/>
              <w:spacing w:after="0" w:line="159" w:lineRule="exact"/>
              <w:rPr>
                <w:sz w:val="20"/>
                <w:szCs w:val="20"/>
                <w:color w:val="auto"/>
              </w:rPr>
            </w:pPr>
            <w:r>
              <w:rPr>
                <w:rFonts w:ascii="Arial" w:cs="Arial" w:eastAsia="Arial" w:hAnsi="Arial"/>
                <w:sz w:val="14"/>
                <w:szCs w:val="14"/>
                <w:color w:val="auto"/>
              </w:rPr>
              <w:t>compensation</w:t>
            </w: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ind w:left="300"/>
              <w:spacing w:after="0" w:line="15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ind w:right="272"/>
              <w:spacing w:after="0" w:line="159" w:lineRule="exact"/>
              <w:rPr>
                <w:sz w:val="20"/>
                <w:szCs w:val="20"/>
                <w:color w:val="auto"/>
              </w:rPr>
            </w:pPr>
            <w:r>
              <w:rPr>
                <w:rFonts w:ascii="Arial" w:cs="Arial" w:eastAsia="Arial" w:hAnsi="Arial"/>
                <w:sz w:val="14"/>
                <w:szCs w:val="14"/>
                <w:color w:val="auto"/>
                <w:w w:val="97"/>
              </w:rPr>
              <w:t>25,302</w:t>
            </w: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332"/>
              <w:spacing w:after="0" w:line="159" w:lineRule="exact"/>
              <w:rPr>
                <w:sz w:val="20"/>
                <w:szCs w:val="20"/>
                <w:color w:val="auto"/>
              </w:rPr>
            </w:pPr>
            <w:r>
              <w:rPr>
                <w:rFonts w:ascii="Arial" w:cs="Arial" w:eastAsia="Arial" w:hAnsi="Arial"/>
                <w:sz w:val="14"/>
                <w:szCs w:val="14"/>
                <w:color w:val="auto"/>
              </w:rPr>
              <w:t>25,302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Borders>
              <w:right w:val="single" w:sz="8" w:color="EEEEEE"/>
            </w:tcBorders>
            <w:shd w:val="clear" w:color="auto" w:fill="EEEEEE"/>
          </w:tcPr>
          <w:p>
            <w:pPr>
              <w:ind w:left="200"/>
              <w:spacing w:after="0" w:line="149" w:lineRule="exact"/>
              <w:rPr>
                <w:sz w:val="20"/>
                <w:szCs w:val="20"/>
                <w:color w:val="auto"/>
              </w:rPr>
            </w:pPr>
            <w:r>
              <w:rPr>
                <w:rFonts w:ascii="Arial" w:cs="Arial" w:eastAsia="Arial" w:hAnsi="Arial"/>
                <w:sz w:val="14"/>
                <w:szCs w:val="14"/>
                <w:color w:val="auto"/>
              </w:rPr>
              <w:t>Capital expenditures</w:t>
            </w:r>
          </w:p>
        </w:tc>
        <w:tc>
          <w:tcPr>
            <w:tcW w:w="300" w:type="dxa"/>
            <w:vAlign w:val="bottom"/>
            <w:shd w:val="clear" w:color="auto" w:fill="EEEEEE"/>
          </w:tcPr>
          <w:p>
            <w:pPr>
              <w:ind w:left="24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EEEEEE"/>
          </w:tcPr>
          <w:p>
            <w:pPr>
              <w:jc w:val="right"/>
              <w:ind w:right="352"/>
              <w:spacing w:after="0" w:line="149" w:lineRule="exact"/>
              <w:rPr>
                <w:sz w:val="20"/>
                <w:szCs w:val="20"/>
                <w:color w:val="auto"/>
              </w:rPr>
            </w:pPr>
            <w:r>
              <w:rPr>
                <w:rFonts w:ascii="Arial" w:cs="Arial" w:eastAsia="Arial" w:hAnsi="Arial"/>
                <w:sz w:val="14"/>
                <w:szCs w:val="14"/>
                <w:color w:val="auto"/>
                <w:w w:val="97"/>
              </w:rPr>
              <w:t>32,551</w:t>
            </w:r>
          </w:p>
        </w:tc>
        <w:tc>
          <w:tcPr>
            <w:tcW w:w="5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EEEEEE"/>
          </w:tcPr>
          <w:p>
            <w:pPr>
              <w:jc w:val="right"/>
              <w:ind w:right="372"/>
              <w:spacing w:after="0" w:line="149" w:lineRule="exact"/>
              <w:rPr>
                <w:sz w:val="20"/>
                <w:szCs w:val="20"/>
                <w:color w:val="auto"/>
              </w:rPr>
            </w:pPr>
            <w:r>
              <w:rPr>
                <w:rFonts w:ascii="Arial" w:cs="Arial" w:eastAsia="Arial" w:hAnsi="Arial"/>
                <w:sz w:val="14"/>
                <w:szCs w:val="14"/>
                <w:color w:val="auto"/>
                <w:w w:val="97"/>
              </w:rPr>
              <w:t>11,032</w:t>
            </w:r>
          </w:p>
        </w:tc>
        <w:tc>
          <w:tcPr>
            <w:tcW w:w="420" w:type="dxa"/>
            <w:vAlign w:val="bottom"/>
            <w:shd w:val="clear" w:color="auto" w:fill="EEEEEE"/>
          </w:tcPr>
          <w:p>
            <w:pPr>
              <w:ind w:left="36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EEEEEE"/>
          </w:tcPr>
          <w:p>
            <w:pPr>
              <w:jc w:val="right"/>
              <w:ind w:right="332"/>
              <w:spacing w:after="0" w:line="149" w:lineRule="exact"/>
              <w:rPr>
                <w:sz w:val="20"/>
                <w:szCs w:val="20"/>
                <w:color w:val="auto"/>
              </w:rPr>
            </w:pPr>
            <w:r>
              <w:rPr>
                <w:rFonts w:ascii="Arial" w:cs="Arial" w:eastAsia="Arial" w:hAnsi="Arial"/>
                <w:sz w:val="14"/>
                <w:szCs w:val="14"/>
                <w:color w:val="auto"/>
              </w:rPr>
              <w:t>1,737</w:t>
            </w:r>
          </w:p>
        </w:tc>
        <w:tc>
          <w:tcPr>
            <w:tcW w:w="4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EEEEE"/>
          </w:tcPr>
          <w:p>
            <w:pPr>
              <w:jc w:val="right"/>
              <w:ind w:right="292"/>
              <w:spacing w:after="0" w:line="149" w:lineRule="exact"/>
              <w:rPr>
                <w:sz w:val="20"/>
                <w:szCs w:val="20"/>
                <w:color w:val="auto"/>
              </w:rPr>
            </w:pPr>
            <w:r>
              <w:rPr>
                <w:rFonts w:ascii="Arial" w:cs="Arial" w:eastAsia="Arial" w:hAnsi="Arial"/>
                <w:sz w:val="14"/>
                <w:szCs w:val="14"/>
                <w:color w:val="auto"/>
              </w:rPr>
              <w:t>166,887</w:t>
            </w:r>
          </w:p>
        </w:tc>
        <w:tc>
          <w:tcPr>
            <w:tcW w:w="380" w:type="dxa"/>
            <w:vAlign w:val="bottom"/>
            <w:shd w:val="clear" w:color="auto" w:fill="EEEEEE"/>
          </w:tcPr>
          <w:p>
            <w:pPr>
              <w:ind w:left="30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EEEEEE"/>
          </w:tcPr>
          <w:p>
            <w:pPr>
              <w:jc w:val="right"/>
              <w:ind w:right="272"/>
              <w:spacing w:after="0" w:line="149" w:lineRule="exact"/>
              <w:rPr>
                <w:sz w:val="20"/>
                <w:szCs w:val="20"/>
                <w:color w:val="auto"/>
              </w:rPr>
            </w:pPr>
            <w:r>
              <w:rPr>
                <w:rFonts w:ascii="Arial" w:cs="Arial" w:eastAsia="Arial" w:hAnsi="Arial"/>
                <w:sz w:val="14"/>
                <w:szCs w:val="14"/>
                <w:color w:val="auto"/>
                <w:w w:val="97"/>
              </w:rPr>
              <w:t>12,020</w:t>
            </w: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EEEEEE"/>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EEEEEE"/>
          </w:tcPr>
          <w:p>
            <w:pPr>
              <w:jc w:val="right"/>
              <w:ind w:right="332"/>
              <w:spacing w:after="0" w:line="149" w:lineRule="exact"/>
              <w:rPr>
                <w:sz w:val="20"/>
                <w:szCs w:val="20"/>
                <w:color w:val="auto"/>
              </w:rPr>
            </w:pPr>
            <w:r>
              <w:rPr>
                <w:rFonts w:ascii="Arial" w:cs="Arial" w:eastAsia="Arial" w:hAnsi="Arial"/>
                <w:sz w:val="14"/>
                <w:szCs w:val="14"/>
                <w:color w:val="auto"/>
              </w:rPr>
              <w:t>224,227</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Newspaper publishing operating income in 2003 includes gain on sale of land at The Washington Post newspaper of $41.7 million.</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2001 results, adjusted to exclude amortization of goodwill and indefinite-lived intangible assets no longer amortized under SFAS 142.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75"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O. SUMMARY OF QUARTERLY OPERATING RESULTS AND COMPREHENSIVE INCOME (UNAUDITED)</w:t>
      </w:r>
    </w:p>
    <w:p>
      <w:pPr>
        <w:spacing w:after="0" w:line="23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Quarterly results of operations and comprehensive income for the years ended December 28, 2003 and December 29, 2002 are as follows (in thousands, except per share amounts):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552"/>
              <w:spacing w:after="0"/>
              <w:rPr>
                <w:sz w:val="20"/>
                <w:szCs w:val="20"/>
                <w:color w:val="auto"/>
              </w:rPr>
            </w:pPr>
            <w:r>
              <w:rPr>
                <w:rFonts w:ascii="Arial" w:cs="Arial" w:eastAsia="Arial" w:hAnsi="Arial"/>
                <w:sz w:val="18"/>
                <w:szCs w:val="18"/>
                <w:color w:val="auto"/>
              </w:rPr>
              <w:t>First</w:t>
            </w:r>
          </w:p>
        </w:tc>
        <w:tc>
          <w:tcPr>
            <w:tcW w:w="1660" w:type="dxa"/>
            <w:vAlign w:val="bottom"/>
            <w:gridSpan w:val="2"/>
          </w:tcPr>
          <w:p>
            <w:pPr>
              <w:jc w:val="right"/>
              <w:ind w:right="592"/>
              <w:spacing w:after="0"/>
              <w:rPr>
                <w:sz w:val="20"/>
                <w:szCs w:val="20"/>
                <w:color w:val="auto"/>
              </w:rPr>
            </w:pPr>
            <w:r>
              <w:rPr>
                <w:rFonts w:ascii="Arial" w:cs="Arial" w:eastAsia="Arial" w:hAnsi="Arial"/>
                <w:sz w:val="18"/>
                <w:szCs w:val="18"/>
                <w:color w:val="auto"/>
              </w:rPr>
              <w:t>Second</w:t>
            </w:r>
          </w:p>
        </w:tc>
        <w:tc>
          <w:tcPr>
            <w:tcW w:w="640" w:type="dxa"/>
            <w:vAlign w:val="bottom"/>
          </w:tcPr>
          <w:p>
            <w:pPr>
              <w:spacing w:after="0"/>
              <w:rPr>
                <w:sz w:val="18"/>
                <w:szCs w:val="18"/>
                <w:color w:val="auto"/>
              </w:rPr>
            </w:pPr>
          </w:p>
        </w:tc>
        <w:tc>
          <w:tcPr>
            <w:tcW w:w="1120" w:type="dxa"/>
            <w:vAlign w:val="bottom"/>
          </w:tcPr>
          <w:p>
            <w:pPr>
              <w:jc w:val="right"/>
              <w:ind w:right="612"/>
              <w:spacing w:after="0"/>
              <w:rPr>
                <w:sz w:val="20"/>
                <w:szCs w:val="20"/>
                <w:color w:val="auto"/>
              </w:rPr>
            </w:pPr>
            <w:r>
              <w:rPr>
                <w:rFonts w:ascii="Arial" w:cs="Arial" w:eastAsia="Arial" w:hAnsi="Arial"/>
                <w:sz w:val="18"/>
                <w:szCs w:val="18"/>
                <w:color w:val="auto"/>
                <w:w w:val="97"/>
              </w:rPr>
              <w:t>Third</w:t>
            </w:r>
          </w:p>
        </w:tc>
        <w:tc>
          <w:tcPr>
            <w:tcW w:w="600" w:type="dxa"/>
            <w:vAlign w:val="bottom"/>
          </w:tcPr>
          <w:p>
            <w:pPr>
              <w:spacing w:after="0"/>
              <w:rPr>
                <w:sz w:val="18"/>
                <w:szCs w:val="18"/>
                <w:color w:val="auto"/>
              </w:rPr>
            </w:pPr>
          </w:p>
        </w:tc>
        <w:tc>
          <w:tcPr>
            <w:tcW w:w="760" w:type="dxa"/>
            <w:vAlign w:val="bottom"/>
          </w:tcPr>
          <w:p>
            <w:pPr>
              <w:jc w:val="right"/>
              <w:ind w:right="212"/>
              <w:spacing w:after="0"/>
              <w:rPr>
                <w:sz w:val="20"/>
                <w:szCs w:val="20"/>
                <w:color w:val="auto"/>
              </w:rPr>
            </w:pPr>
            <w:r>
              <w:rPr>
                <w:rFonts w:ascii="Arial" w:cs="Arial" w:eastAsia="Arial" w:hAnsi="Arial"/>
                <w:sz w:val="18"/>
                <w:szCs w:val="18"/>
                <w:color w:val="auto"/>
                <w:w w:val="84"/>
              </w:rPr>
              <w:t>Fourth</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gridSpan w:val="2"/>
          </w:tcPr>
          <w:p>
            <w:pPr>
              <w:jc w:val="right"/>
              <w:ind w:right="432"/>
              <w:spacing w:after="0"/>
              <w:rPr>
                <w:sz w:val="20"/>
                <w:szCs w:val="20"/>
                <w:color w:val="auto"/>
              </w:rPr>
            </w:pPr>
            <w:r>
              <w:rPr>
                <w:rFonts w:ascii="Arial" w:cs="Arial" w:eastAsia="Arial" w:hAnsi="Arial"/>
                <w:sz w:val="18"/>
                <w:szCs w:val="18"/>
                <w:color w:val="auto"/>
              </w:rPr>
              <w:t>Quarter</w:t>
            </w:r>
          </w:p>
        </w:tc>
        <w:tc>
          <w:tcPr>
            <w:tcW w:w="1660" w:type="dxa"/>
            <w:vAlign w:val="bottom"/>
            <w:tcBorders>
              <w:bottom w:val="single" w:sz="8" w:color="808080"/>
            </w:tcBorders>
            <w:gridSpan w:val="2"/>
          </w:tcPr>
          <w:p>
            <w:pPr>
              <w:jc w:val="right"/>
              <w:ind w:right="572"/>
              <w:spacing w:after="0"/>
              <w:rPr>
                <w:sz w:val="20"/>
                <w:szCs w:val="20"/>
                <w:color w:val="auto"/>
              </w:rPr>
            </w:pPr>
            <w:r>
              <w:rPr>
                <w:rFonts w:ascii="Arial" w:cs="Arial" w:eastAsia="Arial" w:hAnsi="Arial"/>
                <w:sz w:val="18"/>
                <w:szCs w:val="18"/>
                <w:color w:val="auto"/>
              </w:rPr>
              <w:t>Quarter</w:t>
            </w:r>
          </w:p>
        </w:tc>
        <w:tc>
          <w:tcPr>
            <w:tcW w:w="1760" w:type="dxa"/>
            <w:vAlign w:val="bottom"/>
            <w:tcBorders>
              <w:bottom w:val="single" w:sz="8" w:color="808080"/>
            </w:tcBorders>
            <w:gridSpan w:val="2"/>
          </w:tcPr>
          <w:p>
            <w:pPr>
              <w:jc w:val="right"/>
              <w:ind w:right="452"/>
              <w:spacing w:after="0"/>
              <w:rPr>
                <w:sz w:val="20"/>
                <w:szCs w:val="20"/>
                <w:color w:val="auto"/>
              </w:rPr>
            </w:pPr>
            <w:r>
              <w:rPr>
                <w:rFonts w:ascii="Arial" w:cs="Arial" w:eastAsia="Arial" w:hAnsi="Arial"/>
                <w:sz w:val="18"/>
                <w:szCs w:val="18"/>
                <w:color w:val="auto"/>
              </w:rPr>
              <w:t>Quarter</w:t>
            </w:r>
            <w:r>
              <w:rPr>
                <w:rFonts w:ascii="Arial" w:cs="Arial" w:eastAsia="Arial" w:hAnsi="Arial"/>
                <w:sz w:val="29"/>
                <w:szCs w:val="29"/>
                <w:color w:val="auto"/>
                <w:vertAlign w:val="superscript"/>
              </w:rPr>
              <w:t>(1)</w:t>
            </w:r>
          </w:p>
        </w:tc>
        <w:tc>
          <w:tcPr>
            <w:tcW w:w="1360" w:type="dxa"/>
            <w:vAlign w:val="bottom"/>
            <w:tcBorders>
              <w:bottom w:val="single" w:sz="8" w:color="808080"/>
            </w:tcBorders>
            <w:gridSpan w:val="2"/>
          </w:tcPr>
          <w:p>
            <w:pPr>
              <w:jc w:val="right"/>
              <w:ind w:right="172"/>
              <w:spacing w:after="0"/>
              <w:rPr>
                <w:sz w:val="20"/>
                <w:szCs w:val="20"/>
                <w:color w:val="auto"/>
              </w:rPr>
            </w:pPr>
            <w:r>
              <w:rPr>
                <w:rFonts w:ascii="Arial" w:cs="Arial" w:eastAsia="Arial" w:hAnsi="Arial"/>
                <w:sz w:val="18"/>
                <w:szCs w:val="18"/>
                <w:color w:val="auto"/>
              </w:rPr>
              <w:t>Quarter</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2003 Quarterly Operating Results</w:t>
            </w:r>
          </w:p>
        </w:tc>
        <w:tc>
          <w:tcPr>
            <w:tcW w:w="38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260"/>
              <w:spacing w:after="0"/>
              <w:rPr>
                <w:sz w:val="20"/>
                <w:szCs w:val="20"/>
                <w:color w:val="auto"/>
              </w:rPr>
            </w:pPr>
            <w:r>
              <w:rPr>
                <w:rFonts w:ascii="Arial" w:cs="Arial" w:eastAsia="Arial" w:hAnsi="Arial"/>
                <w:sz w:val="18"/>
                <w:szCs w:val="18"/>
                <w:color w:val="auto"/>
              </w:rPr>
              <w:t>Operating revenues</w:t>
            </w: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540"/>
              <w:spacing w:after="0"/>
              <w:rPr>
                <w:sz w:val="20"/>
                <w:szCs w:val="20"/>
                <w:color w:val="auto"/>
              </w:rPr>
            </w:pPr>
            <w:r>
              <w:rPr>
                <w:rFonts w:ascii="Arial" w:cs="Arial" w:eastAsia="Arial" w:hAnsi="Arial"/>
                <w:sz w:val="18"/>
                <w:szCs w:val="18"/>
                <w:color w:val="auto"/>
              </w:rPr>
              <w:t>Advertising</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EEEEEE"/>
          </w:tcPr>
          <w:p>
            <w:pPr>
              <w:jc w:val="right"/>
              <w:ind w:right="372"/>
              <w:spacing w:after="0"/>
              <w:rPr>
                <w:sz w:val="20"/>
                <w:szCs w:val="20"/>
                <w:color w:val="auto"/>
              </w:rPr>
            </w:pPr>
            <w:r>
              <w:rPr>
                <w:rFonts w:ascii="Arial" w:cs="Arial" w:eastAsia="Arial" w:hAnsi="Arial"/>
                <w:sz w:val="18"/>
                <w:szCs w:val="18"/>
                <w:color w:val="auto"/>
                <w:w w:val="86"/>
              </w:rPr>
              <w:t>279,796</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EEEEE"/>
          </w:tcPr>
          <w:p>
            <w:pPr>
              <w:jc w:val="right"/>
              <w:ind w:right="512"/>
              <w:spacing w:after="0"/>
              <w:rPr>
                <w:sz w:val="20"/>
                <w:szCs w:val="20"/>
                <w:color w:val="auto"/>
              </w:rPr>
            </w:pPr>
            <w:r>
              <w:rPr>
                <w:rFonts w:ascii="Arial" w:cs="Arial" w:eastAsia="Arial" w:hAnsi="Arial"/>
                <w:sz w:val="18"/>
                <w:szCs w:val="18"/>
                <w:color w:val="auto"/>
                <w:w w:val="82"/>
              </w:rPr>
              <w:t>318,927</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EEEEEE"/>
          </w:tcPr>
          <w:p>
            <w:pPr>
              <w:jc w:val="right"/>
              <w:ind w:right="452"/>
              <w:spacing w:after="0"/>
              <w:rPr>
                <w:sz w:val="20"/>
                <w:szCs w:val="20"/>
                <w:color w:val="auto"/>
              </w:rPr>
            </w:pPr>
            <w:r>
              <w:rPr>
                <w:rFonts w:ascii="Arial" w:cs="Arial" w:eastAsia="Arial" w:hAnsi="Arial"/>
                <w:sz w:val="18"/>
                <w:szCs w:val="18"/>
                <w:color w:val="auto"/>
                <w:w w:val="86"/>
              </w:rPr>
              <w:t>287,984</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w w:val="86"/>
              </w:rPr>
              <w:t>346,651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540"/>
              <w:spacing w:after="0"/>
              <w:rPr>
                <w:sz w:val="20"/>
                <w:szCs w:val="20"/>
                <w:color w:val="auto"/>
              </w:rPr>
            </w:pPr>
            <w:r>
              <w:rPr>
                <w:rFonts w:ascii="Arial" w:cs="Arial" w:eastAsia="Arial" w:hAnsi="Arial"/>
                <w:sz w:val="18"/>
                <w:szCs w:val="18"/>
                <w:color w:val="auto"/>
              </w:rPr>
              <w:t>Circulation and subscriber</w:t>
            </w:r>
          </w:p>
        </w:tc>
        <w:tc>
          <w:tcPr>
            <w:tcW w:w="380" w:type="dxa"/>
            <w:vAlign w:val="bottom"/>
          </w:tcPr>
          <w:p>
            <w:pPr>
              <w:spacing w:after="0"/>
              <w:rPr>
                <w:sz w:val="18"/>
                <w:szCs w:val="18"/>
                <w:color w:val="auto"/>
              </w:rPr>
            </w:pPr>
          </w:p>
        </w:tc>
        <w:tc>
          <w:tcPr>
            <w:tcW w:w="1040" w:type="dxa"/>
            <w:vAlign w:val="bottom"/>
          </w:tcPr>
          <w:p>
            <w:pPr>
              <w:jc w:val="right"/>
              <w:ind w:right="372"/>
              <w:spacing w:after="0"/>
              <w:rPr>
                <w:sz w:val="20"/>
                <w:szCs w:val="20"/>
                <w:color w:val="auto"/>
              </w:rPr>
            </w:pPr>
            <w:r>
              <w:rPr>
                <w:rFonts w:ascii="Arial" w:cs="Arial" w:eastAsia="Arial" w:hAnsi="Arial"/>
                <w:sz w:val="18"/>
                <w:szCs w:val="18"/>
                <w:color w:val="auto"/>
                <w:w w:val="86"/>
              </w:rPr>
              <w:t>172,036</w:t>
            </w:r>
          </w:p>
        </w:tc>
        <w:tc>
          <w:tcPr>
            <w:tcW w:w="500" w:type="dxa"/>
            <w:vAlign w:val="bottom"/>
          </w:tcPr>
          <w:p>
            <w:pPr>
              <w:spacing w:after="0"/>
              <w:rPr>
                <w:sz w:val="18"/>
                <w:szCs w:val="18"/>
                <w:color w:val="auto"/>
              </w:rPr>
            </w:pPr>
          </w:p>
        </w:tc>
        <w:tc>
          <w:tcPr>
            <w:tcW w:w="1160" w:type="dxa"/>
            <w:vAlign w:val="bottom"/>
          </w:tcPr>
          <w:p>
            <w:pPr>
              <w:jc w:val="right"/>
              <w:ind w:right="512"/>
              <w:spacing w:after="0"/>
              <w:rPr>
                <w:sz w:val="20"/>
                <w:szCs w:val="20"/>
                <w:color w:val="auto"/>
              </w:rPr>
            </w:pPr>
            <w:r>
              <w:rPr>
                <w:rFonts w:ascii="Arial" w:cs="Arial" w:eastAsia="Arial" w:hAnsi="Arial"/>
                <w:sz w:val="18"/>
                <w:szCs w:val="18"/>
                <w:color w:val="auto"/>
                <w:w w:val="82"/>
              </w:rPr>
              <w:t>176,348</w:t>
            </w:r>
          </w:p>
        </w:tc>
        <w:tc>
          <w:tcPr>
            <w:tcW w:w="640" w:type="dxa"/>
            <w:vAlign w:val="bottom"/>
          </w:tcPr>
          <w:p>
            <w:pPr>
              <w:spacing w:after="0"/>
              <w:rPr>
                <w:sz w:val="18"/>
                <w:szCs w:val="18"/>
                <w:color w:val="auto"/>
              </w:rPr>
            </w:pPr>
          </w:p>
        </w:tc>
        <w:tc>
          <w:tcPr>
            <w:tcW w:w="1120" w:type="dxa"/>
            <w:vAlign w:val="bottom"/>
          </w:tcPr>
          <w:p>
            <w:pPr>
              <w:jc w:val="right"/>
              <w:ind w:right="452"/>
              <w:spacing w:after="0"/>
              <w:rPr>
                <w:sz w:val="20"/>
                <w:szCs w:val="20"/>
                <w:color w:val="auto"/>
              </w:rPr>
            </w:pPr>
            <w:r>
              <w:rPr>
                <w:rFonts w:ascii="Arial" w:cs="Arial" w:eastAsia="Arial" w:hAnsi="Arial"/>
                <w:sz w:val="18"/>
                <w:szCs w:val="18"/>
                <w:color w:val="auto"/>
                <w:w w:val="86"/>
              </w:rPr>
              <w:t>175,595</w:t>
            </w:r>
          </w:p>
        </w:tc>
        <w:tc>
          <w:tcPr>
            <w:tcW w:w="60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w w:val="86"/>
              </w:rPr>
              <w:t>182,269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540"/>
              <w:spacing w:after="0"/>
              <w:rPr>
                <w:sz w:val="20"/>
                <w:szCs w:val="20"/>
                <w:color w:val="auto"/>
              </w:rPr>
            </w:pPr>
            <w:r>
              <w:rPr>
                <w:rFonts w:ascii="Arial" w:cs="Arial" w:eastAsia="Arial" w:hAnsi="Arial"/>
                <w:sz w:val="18"/>
                <w:szCs w:val="18"/>
                <w:color w:val="auto"/>
              </w:rPr>
              <w:t>Education</w:t>
            </w:r>
          </w:p>
        </w:tc>
        <w:tc>
          <w:tcPr>
            <w:tcW w:w="38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372"/>
              <w:spacing w:after="0"/>
              <w:rPr>
                <w:sz w:val="20"/>
                <w:szCs w:val="20"/>
                <w:color w:val="auto"/>
              </w:rPr>
            </w:pPr>
            <w:r>
              <w:rPr>
                <w:rFonts w:ascii="Arial" w:cs="Arial" w:eastAsia="Arial" w:hAnsi="Arial"/>
                <w:sz w:val="18"/>
                <w:szCs w:val="18"/>
                <w:color w:val="auto"/>
                <w:w w:val="86"/>
              </w:rPr>
              <w:t>177,778</w:t>
            </w:r>
          </w:p>
        </w:tc>
        <w:tc>
          <w:tcPr>
            <w:tcW w:w="50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512"/>
              <w:spacing w:after="0"/>
              <w:rPr>
                <w:sz w:val="20"/>
                <w:szCs w:val="20"/>
                <w:color w:val="auto"/>
              </w:rPr>
            </w:pPr>
            <w:r>
              <w:rPr>
                <w:rFonts w:ascii="Arial" w:cs="Arial" w:eastAsia="Arial" w:hAnsi="Arial"/>
                <w:sz w:val="18"/>
                <w:szCs w:val="18"/>
                <w:color w:val="auto"/>
                <w:w w:val="82"/>
              </w:rPr>
              <w:t>195,560</w:t>
            </w:r>
          </w:p>
        </w:tc>
        <w:tc>
          <w:tcPr>
            <w:tcW w:w="64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452"/>
              <w:spacing w:after="0"/>
              <w:rPr>
                <w:sz w:val="20"/>
                <w:szCs w:val="20"/>
                <w:color w:val="auto"/>
              </w:rPr>
            </w:pPr>
            <w:r>
              <w:rPr>
                <w:rFonts w:ascii="Arial" w:cs="Arial" w:eastAsia="Arial" w:hAnsi="Arial"/>
                <w:sz w:val="18"/>
                <w:szCs w:val="18"/>
                <w:color w:val="auto"/>
                <w:w w:val="86"/>
              </w:rPr>
              <w:t>224,663</w:t>
            </w:r>
          </w:p>
        </w:tc>
        <w:tc>
          <w:tcPr>
            <w:tcW w:w="60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w w:val="86"/>
              </w:rPr>
              <w:t>240,076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ind w:left="5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9"/>
                <w:szCs w:val="19"/>
                <w:color w:val="auto"/>
              </w:rPr>
            </w:pPr>
          </w:p>
        </w:tc>
        <w:tc>
          <w:tcPr>
            <w:tcW w:w="1040" w:type="dxa"/>
            <w:vAlign w:val="bottom"/>
          </w:tcPr>
          <w:p>
            <w:pPr>
              <w:jc w:val="right"/>
              <w:ind w:right="372"/>
              <w:spacing w:after="0"/>
              <w:rPr>
                <w:sz w:val="20"/>
                <w:szCs w:val="20"/>
                <w:color w:val="auto"/>
              </w:rPr>
            </w:pPr>
            <w:r>
              <w:rPr>
                <w:rFonts w:ascii="Arial" w:cs="Arial" w:eastAsia="Arial" w:hAnsi="Arial"/>
                <w:sz w:val="18"/>
                <w:szCs w:val="18"/>
                <w:color w:val="auto"/>
              </w:rPr>
              <w:t>10,830</w:t>
            </w:r>
          </w:p>
        </w:tc>
        <w:tc>
          <w:tcPr>
            <w:tcW w:w="500" w:type="dxa"/>
            <w:vAlign w:val="bottom"/>
          </w:tcPr>
          <w:p>
            <w:pPr>
              <w:spacing w:after="0"/>
              <w:rPr>
                <w:sz w:val="19"/>
                <w:szCs w:val="19"/>
                <w:color w:val="auto"/>
              </w:rPr>
            </w:pPr>
          </w:p>
        </w:tc>
        <w:tc>
          <w:tcPr>
            <w:tcW w:w="1160" w:type="dxa"/>
            <w:vAlign w:val="bottom"/>
          </w:tcPr>
          <w:p>
            <w:pPr>
              <w:jc w:val="right"/>
              <w:ind w:right="512"/>
              <w:spacing w:after="0"/>
              <w:rPr>
                <w:sz w:val="20"/>
                <w:szCs w:val="20"/>
                <w:color w:val="auto"/>
              </w:rPr>
            </w:pPr>
            <w:r>
              <w:rPr>
                <w:rFonts w:ascii="Arial" w:cs="Arial" w:eastAsia="Arial" w:hAnsi="Arial"/>
                <w:sz w:val="18"/>
                <w:szCs w:val="18"/>
                <w:color w:val="auto"/>
                <w:w w:val="98"/>
              </w:rPr>
              <w:t>16,105</w:t>
            </w:r>
          </w:p>
        </w:tc>
        <w:tc>
          <w:tcPr>
            <w:tcW w:w="640" w:type="dxa"/>
            <w:vAlign w:val="bottom"/>
          </w:tcPr>
          <w:p>
            <w:pPr>
              <w:spacing w:after="0"/>
              <w:rPr>
                <w:sz w:val="19"/>
                <w:szCs w:val="19"/>
                <w:color w:val="auto"/>
              </w:rPr>
            </w:pPr>
          </w:p>
        </w:tc>
        <w:tc>
          <w:tcPr>
            <w:tcW w:w="1120" w:type="dxa"/>
            <w:vAlign w:val="bottom"/>
          </w:tcPr>
          <w:p>
            <w:pPr>
              <w:jc w:val="right"/>
              <w:ind w:right="452"/>
              <w:spacing w:after="0"/>
              <w:rPr>
                <w:sz w:val="20"/>
                <w:szCs w:val="20"/>
                <w:color w:val="auto"/>
              </w:rPr>
            </w:pPr>
            <w:r>
              <w:rPr>
                <w:rFonts w:ascii="Arial" w:cs="Arial" w:eastAsia="Arial" w:hAnsi="Arial"/>
                <w:sz w:val="18"/>
                <w:szCs w:val="18"/>
                <w:color w:val="auto"/>
              </w:rPr>
              <w:t>17,837</w:t>
            </w:r>
          </w:p>
        </w:tc>
        <w:tc>
          <w:tcPr>
            <w:tcW w:w="600" w:type="dxa"/>
            <w:vAlign w:val="bottom"/>
          </w:tcPr>
          <w:p>
            <w:pPr>
              <w:spacing w:after="0"/>
              <w:rPr>
                <w:sz w:val="19"/>
                <w:szCs w:val="19"/>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16,456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372"/>
              <w:spacing w:after="0"/>
              <w:rPr>
                <w:sz w:val="20"/>
                <w:szCs w:val="20"/>
                <w:color w:val="auto"/>
              </w:rPr>
            </w:pPr>
            <w:r>
              <w:rPr>
                <w:rFonts w:ascii="Arial" w:cs="Arial" w:eastAsia="Arial" w:hAnsi="Arial"/>
                <w:sz w:val="18"/>
                <w:szCs w:val="18"/>
                <w:color w:val="auto"/>
                <w:w w:val="86"/>
              </w:rPr>
              <w:t>640,440</w:t>
            </w:r>
          </w:p>
        </w:tc>
        <w:tc>
          <w:tcPr>
            <w:tcW w:w="50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512"/>
              <w:spacing w:after="0"/>
              <w:rPr>
                <w:sz w:val="20"/>
                <w:szCs w:val="20"/>
                <w:color w:val="auto"/>
              </w:rPr>
            </w:pPr>
            <w:r>
              <w:rPr>
                <w:rFonts w:ascii="Arial" w:cs="Arial" w:eastAsia="Arial" w:hAnsi="Arial"/>
                <w:sz w:val="18"/>
                <w:szCs w:val="18"/>
                <w:color w:val="auto"/>
                <w:w w:val="82"/>
              </w:rPr>
              <w:t>706,940</w:t>
            </w:r>
          </w:p>
        </w:tc>
        <w:tc>
          <w:tcPr>
            <w:tcW w:w="64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452"/>
              <w:spacing w:after="0"/>
              <w:rPr>
                <w:sz w:val="20"/>
                <w:szCs w:val="20"/>
                <w:color w:val="auto"/>
              </w:rPr>
            </w:pPr>
            <w:r>
              <w:rPr>
                <w:rFonts w:ascii="Arial" w:cs="Arial" w:eastAsia="Arial" w:hAnsi="Arial"/>
                <w:sz w:val="18"/>
                <w:szCs w:val="18"/>
                <w:color w:val="auto"/>
                <w:w w:val="86"/>
              </w:rPr>
              <w:t>706,079</w:t>
            </w:r>
          </w:p>
        </w:tc>
        <w:tc>
          <w:tcPr>
            <w:tcW w:w="60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w w:val="86"/>
              </w:rPr>
              <w:t>785,452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0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5200" w:type="dxa"/>
            <w:vAlign w:val="bottom"/>
          </w:tcPr>
          <w:p>
            <w:pPr>
              <w:ind w:left="260"/>
              <w:spacing w:after="0"/>
              <w:rPr>
                <w:sz w:val="20"/>
                <w:szCs w:val="20"/>
                <w:color w:val="auto"/>
              </w:rPr>
            </w:pPr>
            <w:r>
              <w:rPr>
                <w:rFonts w:ascii="Arial" w:cs="Arial" w:eastAsia="Arial" w:hAnsi="Arial"/>
                <w:sz w:val="18"/>
                <w:szCs w:val="18"/>
                <w:color w:val="auto"/>
              </w:rPr>
              <w:t>Operating costs and expenses</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00" w:type="dxa"/>
            <w:vAlign w:val="bottom"/>
            <w:shd w:val="clear" w:color="auto" w:fill="EEEEEE"/>
          </w:tcPr>
          <w:p>
            <w:pPr>
              <w:ind w:left="540"/>
              <w:spacing w:after="0"/>
              <w:rPr>
                <w:sz w:val="20"/>
                <w:szCs w:val="20"/>
                <w:color w:val="auto"/>
              </w:rPr>
            </w:pPr>
            <w:r>
              <w:rPr>
                <w:rFonts w:ascii="Arial" w:cs="Arial" w:eastAsia="Arial" w:hAnsi="Arial"/>
                <w:sz w:val="18"/>
                <w:szCs w:val="18"/>
                <w:color w:val="auto"/>
              </w:rPr>
              <w:t>Operating</w:t>
            </w:r>
          </w:p>
        </w:tc>
        <w:tc>
          <w:tcPr>
            <w:tcW w:w="38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372"/>
              <w:spacing w:after="0"/>
              <w:rPr>
                <w:sz w:val="20"/>
                <w:szCs w:val="20"/>
                <w:color w:val="auto"/>
              </w:rPr>
            </w:pPr>
            <w:r>
              <w:rPr>
                <w:rFonts w:ascii="Arial" w:cs="Arial" w:eastAsia="Arial" w:hAnsi="Arial"/>
                <w:sz w:val="18"/>
                <w:szCs w:val="18"/>
                <w:color w:val="auto"/>
                <w:w w:val="86"/>
              </w:rPr>
              <w:t>348,634</w:t>
            </w:r>
          </w:p>
        </w:tc>
        <w:tc>
          <w:tcPr>
            <w:tcW w:w="50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512"/>
              <w:spacing w:after="0"/>
              <w:rPr>
                <w:sz w:val="20"/>
                <w:szCs w:val="20"/>
                <w:color w:val="auto"/>
              </w:rPr>
            </w:pPr>
            <w:r>
              <w:rPr>
                <w:rFonts w:ascii="Arial" w:cs="Arial" w:eastAsia="Arial" w:hAnsi="Arial"/>
                <w:sz w:val="18"/>
                <w:szCs w:val="18"/>
                <w:color w:val="auto"/>
                <w:w w:val="82"/>
              </w:rPr>
              <w:t>368,974</w:t>
            </w:r>
          </w:p>
        </w:tc>
        <w:tc>
          <w:tcPr>
            <w:tcW w:w="64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452"/>
              <w:spacing w:after="0"/>
              <w:rPr>
                <w:sz w:val="20"/>
                <w:szCs w:val="20"/>
                <w:color w:val="auto"/>
              </w:rPr>
            </w:pPr>
            <w:r>
              <w:rPr>
                <w:rFonts w:ascii="Arial" w:cs="Arial" w:eastAsia="Arial" w:hAnsi="Arial"/>
                <w:sz w:val="18"/>
                <w:szCs w:val="18"/>
                <w:color w:val="auto"/>
                <w:w w:val="86"/>
              </w:rPr>
              <w:t>378,864</w:t>
            </w:r>
          </w:p>
        </w:tc>
        <w:tc>
          <w:tcPr>
            <w:tcW w:w="60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w w:val="86"/>
              </w:rPr>
              <w:t>411,043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54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Pr>
          <w:p>
            <w:pPr>
              <w:spacing w:after="0"/>
              <w:rPr>
                <w:sz w:val="18"/>
                <w:szCs w:val="18"/>
                <w:color w:val="auto"/>
              </w:rPr>
            </w:pPr>
          </w:p>
        </w:tc>
        <w:tc>
          <w:tcPr>
            <w:tcW w:w="1040" w:type="dxa"/>
            <w:vAlign w:val="bottom"/>
          </w:tcPr>
          <w:p>
            <w:pPr>
              <w:jc w:val="right"/>
              <w:ind w:right="372"/>
              <w:spacing w:after="0"/>
              <w:rPr>
                <w:sz w:val="20"/>
                <w:szCs w:val="20"/>
                <w:color w:val="auto"/>
              </w:rPr>
            </w:pPr>
            <w:r>
              <w:rPr>
                <w:rFonts w:ascii="Arial" w:cs="Arial" w:eastAsia="Arial" w:hAnsi="Arial"/>
                <w:sz w:val="18"/>
                <w:szCs w:val="18"/>
                <w:color w:val="auto"/>
                <w:w w:val="86"/>
              </w:rPr>
              <w:t>169,170</w:t>
            </w:r>
          </w:p>
        </w:tc>
        <w:tc>
          <w:tcPr>
            <w:tcW w:w="500" w:type="dxa"/>
            <w:vAlign w:val="bottom"/>
          </w:tcPr>
          <w:p>
            <w:pPr>
              <w:spacing w:after="0"/>
              <w:rPr>
                <w:sz w:val="18"/>
                <w:szCs w:val="18"/>
                <w:color w:val="auto"/>
              </w:rPr>
            </w:pPr>
          </w:p>
        </w:tc>
        <w:tc>
          <w:tcPr>
            <w:tcW w:w="1160" w:type="dxa"/>
            <w:vAlign w:val="bottom"/>
          </w:tcPr>
          <w:p>
            <w:pPr>
              <w:jc w:val="right"/>
              <w:ind w:right="512"/>
              <w:spacing w:after="0"/>
              <w:rPr>
                <w:sz w:val="20"/>
                <w:szCs w:val="20"/>
                <w:color w:val="auto"/>
              </w:rPr>
            </w:pPr>
            <w:r>
              <w:rPr>
                <w:rFonts w:ascii="Arial" w:cs="Arial" w:eastAsia="Arial" w:hAnsi="Arial"/>
                <w:sz w:val="18"/>
                <w:szCs w:val="18"/>
                <w:color w:val="auto"/>
                <w:w w:val="82"/>
              </w:rPr>
              <w:t>187,493</w:t>
            </w:r>
          </w:p>
        </w:tc>
        <w:tc>
          <w:tcPr>
            <w:tcW w:w="640" w:type="dxa"/>
            <w:vAlign w:val="bottom"/>
          </w:tcPr>
          <w:p>
            <w:pPr>
              <w:spacing w:after="0"/>
              <w:rPr>
                <w:sz w:val="18"/>
                <w:szCs w:val="18"/>
                <w:color w:val="auto"/>
              </w:rPr>
            </w:pPr>
          </w:p>
        </w:tc>
        <w:tc>
          <w:tcPr>
            <w:tcW w:w="1120" w:type="dxa"/>
            <w:vAlign w:val="bottom"/>
          </w:tcPr>
          <w:p>
            <w:pPr>
              <w:jc w:val="right"/>
              <w:ind w:right="452"/>
              <w:spacing w:after="0"/>
              <w:rPr>
                <w:sz w:val="20"/>
                <w:szCs w:val="20"/>
                <w:color w:val="auto"/>
              </w:rPr>
            </w:pPr>
            <w:r>
              <w:rPr>
                <w:rFonts w:ascii="Arial" w:cs="Arial" w:eastAsia="Arial" w:hAnsi="Arial"/>
                <w:sz w:val="18"/>
                <w:szCs w:val="18"/>
                <w:color w:val="auto"/>
                <w:w w:val="86"/>
              </w:rPr>
              <w:t>244,299</w:t>
            </w:r>
          </w:p>
        </w:tc>
        <w:tc>
          <w:tcPr>
            <w:tcW w:w="60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w w:val="86"/>
              </w:rPr>
              <w:t>191,330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540"/>
              <w:spacing w:after="0"/>
              <w:rPr>
                <w:sz w:val="20"/>
                <w:szCs w:val="20"/>
                <w:color w:val="auto"/>
              </w:rPr>
            </w:pPr>
            <w:r>
              <w:rPr>
                <w:rFonts w:ascii="Arial" w:cs="Arial" w:eastAsia="Arial" w:hAnsi="Arial"/>
                <w:sz w:val="18"/>
                <w:szCs w:val="18"/>
                <w:color w:val="auto"/>
              </w:rPr>
              <w:t>Depreciation of property, plant and equipment</w:t>
            </w:r>
          </w:p>
        </w:tc>
        <w:tc>
          <w:tcPr>
            <w:tcW w:w="38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372"/>
              <w:spacing w:after="0"/>
              <w:rPr>
                <w:sz w:val="20"/>
                <w:szCs w:val="20"/>
                <w:color w:val="auto"/>
              </w:rPr>
            </w:pPr>
            <w:r>
              <w:rPr>
                <w:rFonts w:ascii="Arial" w:cs="Arial" w:eastAsia="Arial" w:hAnsi="Arial"/>
                <w:sz w:val="18"/>
                <w:szCs w:val="18"/>
                <w:color w:val="auto"/>
              </w:rPr>
              <w:t>43,395</w:t>
            </w:r>
          </w:p>
        </w:tc>
        <w:tc>
          <w:tcPr>
            <w:tcW w:w="50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512"/>
              <w:spacing w:after="0"/>
              <w:rPr>
                <w:sz w:val="20"/>
                <w:szCs w:val="20"/>
                <w:color w:val="auto"/>
              </w:rPr>
            </w:pPr>
            <w:r>
              <w:rPr>
                <w:rFonts w:ascii="Arial" w:cs="Arial" w:eastAsia="Arial" w:hAnsi="Arial"/>
                <w:sz w:val="18"/>
                <w:szCs w:val="18"/>
                <w:color w:val="auto"/>
                <w:w w:val="98"/>
              </w:rPr>
              <w:t>43,212</w:t>
            </w:r>
          </w:p>
        </w:tc>
        <w:tc>
          <w:tcPr>
            <w:tcW w:w="64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452"/>
              <w:spacing w:after="0"/>
              <w:rPr>
                <w:sz w:val="20"/>
                <w:szCs w:val="20"/>
                <w:color w:val="auto"/>
              </w:rPr>
            </w:pPr>
            <w:r>
              <w:rPr>
                <w:rFonts w:ascii="Arial" w:cs="Arial" w:eastAsia="Arial" w:hAnsi="Arial"/>
                <w:sz w:val="18"/>
                <w:szCs w:val="18"/>
                <w:color w:val="auto"/>
              </w:rPr>
              <w:t>42,420</w:t>
            </w:r>
          </w:p>
        </w:tc>
        <w:tc>
          <w:tcPr>
            <w:tcW w:w="60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rPr>
              <w:t>44,821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ind w:left="540"/>
              <w:spacing w:after="0"/>
              <w:rPr>
                <w:sz w:val="20"/>
                <w:szCs w:val="20"/>
                <w:color w:val="auto"/>
              </w:rPr>
            </w:pPr>
            <w:r>
              <w:rPr>
                <w:rFonts w:ascii="Arial" w:cs="Arial" w:eastAsia="Arial" w:hAnsi="Arial"/>
                <w:sz w:val="18"/>
                <w:szCs w:val="18"/>
                <w:color w:val="auto"/>
              </w:rPr>
              <w:t>Amortization of goodwill and other intangibles</w:t>
            </w:r>
          </w:p>
        </w:tc>
        <w:tc>
          <w:tcPr>
            <w:tcW w:w="380" w:type="dxa"/>
            <w:vAlign w:val="bottom"/>
          </w:tcPr>
          <w:p>
            <w:pPr>
              <w:spacing w:after="0"/>
              <w:rPr>
                <w:sz w:val="19"/>
                <w:szCs w:val="19"/>
                <w:color w:val="auto"/>
              </w:rPr>
            </w:pPr>
          </w:p>
        </w:tc>
        <w:tc>
          <w:tcPr>
            <w:tcW w:w="1040" w:type="dxa"/>
            <w:vAlign w:val="bottom"/>
          </w:tcPr>
          <w:p>
            <w:pPr>
              <w:jc w:val="right"/>
              <w:ind w:right="372"/>
              <w:spacing w:after="0"/>
              <w:rPr>
                <w:sz w:val="20"/>
                <w:szCs w:val="20"/>
                <w:color w:val="auto"/>
              </w:rPr>
            </w:pPr>
            <w:r>
              <w:rPr>
                <w:rFonts w:ascii="Arial" w:cs="Arial" w:eastAsia="Arial" w:hAnsi="Arial"/>
                <w:sz w:val="18"/>
                <w:szCs w:val="18"/>
                <w:color w:val="auto"/>
              </w:rPr>
              <w:t>149</w:t>
            </w:r>
          </w:p>
        </w:tc>
        <w:tc>
          <w:tcPr>
            <w:tcW w:w="500" w:type="dxa"/>
            <w:vAlign w:val="bottom"/>
          </w:tcPr>
          <w:p>
            <w:pPr>
              <w:spacing w:after="0"/>
              <w:rPr>
                <w:sz w:val="19"/>
                <w:szCs w:val="19"/>
                <w:color w:val="auto"/>
              </w:rPr>
            </w:pPr>
          </w:p>
        </w:tc>
        <w:tc>
          <w:tcPr>
            <w:tcW w:w="1160" w:type="dxa"/>
            <w:vAlign w:val="bottom"/>
          </w:tcPr>
          <w:p>
            <w:pPr>
              <w:jc w:val="right"/>
              <w:ind w:right="512"/>
              <w:spacing w:after="0"/>
              <w:rPr>
                <w:sz w:val="20"/>
                <w:szCs w:val="20"/>
                <w:color w:val="auto"/>
              </w:rPr>
            </w:pPr>
            <w:r>
              <w:rPr>
                <w:rFonts w:ascii="Arial" w:cs="Arial" w:eastAsia="Arial" w:hAnsi="Arial"/>
                <w:sz w:val="18"/>
                <w:szCs w:val="18"/>
                <w:color w:val="auto"/>
              </w:rPr>
              <w:t>363</w:t>
            </w:r>
          </w:p>
        </w:tc>
        <w:tc>
          <w:tcPr>
            <w:tcW w:w="640" w:type="dxa"/>
            <w:vAlign w:val="bottom"/>
          </w:tcPr>
          <w:p>
            <w:pPr>
              <w:spacing w:after="0"/>
              <w:rPr>
                <w:sz w:val="19"/>
                <w:szCs w:val="19"/>
                <w:color w:val="auto"/>
              </w:rPr>
            </w:pPr>
          </w:p>
        </w:tc>
        <w:tc>
          <w:tcPr>
            <w:tcW w:w="1120" w:type="dxa"/>
            <w:vAlign w:val="bottom"/>
          </w:tcPr>
          <w:p>
            <w:pPr>
              <w:jc w:val="right"/>
              <w:ind w:right="452"/>
              <w:spacing w:after="0"/>
              <w:rPr>
                <w:sz w:val="20"/>
                <w:szCs w:val="20"/>
                <w:color w:val="auto"/>
              </w:rPr>
            </w:pPr>
            <w:r>
              <w:rPr>
                <w:rFonts w:ascii="Arial" w:cs="Arial" w:eastAsia="Arial" w:hAnsi="Arial"/>
                <w:sz w:val="18"/>
                <w:szCs w:val="18"/>
                <w:color w:val="auto"/>
              </w:rPr>
              <w:t>398</w:t>
            </w:r>
          </w:p>
        </w:tc>
        <w:tc>
          <w:tcPr>
            <w:tcW w:w="600" w:type="dxa"/>
            <w:vAlign w:val="bottom"/>
          </w:tcPr>
          <w:p>
            <w:pPr>
              <w:spacing w:after="0"/>
              <w:rPr>
                <w:sz w:val="19"/>
                <w:szCs w:val="19"/>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372"/>
              <w:spacing w:after="0"/>
              <w:rPr>
                <w:sz w:val="20"/>
                <w:szCs w:val="20"/>
                <w:color w:val="auto"/>
              </w:rPr>
            </w:pPr>
            <w:r>
              <w:rPr>
                <w:rFonts w:ascii="Arial" w:cs="Arial" w:eastAsia="Arial" w:hAnsi="Arial"/>
                <w:sz w:val="18"/>
                <w:szCs w:val="18"/>
                <w:color w:val="auto"/>
                <w:w w:val="86"/>
              </w:rPr>
              <w:t>561,348</w:t>
            </w:r>
          </w:p>
        </w:tc>
        <w:tc>
          <w:tcPr>
            <w:tcW w:w="50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512"/>
              <w:spacing w:after="0"/>
              <w:rPr>
                <w:sz w:val="20"/>
                <w:szCs w:val="20"/>
                <w:color w:val="auto"/>
              </w:rPr>
            </w:pPr>
            <w:r>
              <w:rPr>
                <w:rFonts w:ascii="Arial" w:cs="Arial" w:eastAsia="Arial" w:hAnsi="Arial"/>
                <w:sz w:val="18"/>
                <w:szCs w:val="18"/>
                <w:color w:val="auto"/>
                <w:w w:val="82"/>
              </w:rPr>
              <w:t>600,042</w:t>
            </w:r>
          </w:p>
        </w:tc>
        <w:tc>
          <w:tcPr>
            <w:tcW w:w="64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452"/>
              <w:spacing w:after="0"/>
              <w:rPr>
                <w:sz w:val="20"/>
                <w:szCs w:val="20"/>
                <w:color w:val="auto"/>
              </w:rPr>
            </w:pPr>
            <w:r>
              <w:rPr>
                <w:rFonts w:ascii="Arial" w:cs="Arial" w:eastAsia="Arial" w:hAnsi="Arial"/>
                <w:sz w:val="18"/>
                <w:szCs w:val="18"/>
                <w:color w:val="auto"/>
                <w:w w:val="86"/>
              </w:rPr>
              <w:t>665,981</w:t>
            </w:r>
          </w:p>
        </w:tc>
        <w:tc>
          <w:tcPr>
            <w:tcW w:w="60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w w:val="86"/>
              </w:rPr>
              <w:t>647,720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0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5200" w:type="dxa"/>
            <w:vAlign w:val="bottom"/>
          </w:tcPr>
          <w:p>
            <w:pPr>
              <w:ind w:left="260"/>
              <w:spacing w:after="0"/>
              <w:rPr>
                <w:sz w:val="20"/>
                <w:szCs w:val="20"/>
                <w:color w:val="auto"/>
              </w:rPr>
            </w:pPr>
            <w:r>
              <w:rPr>
                <w:rFonts w:ascii="Arial" w:cs="Arial" w:eastAsia="Arial" w:hAnsi="Arial"/>
                <w:sz w:val="18"/>
                <w:szCs w:val="18"/>
                <w:color w:val="auto"/>
              </w:rPr>
              <w:t>Income from operations</w:t>
            </w:r>
          </w:p>
        </w:tc>
        <w:tc>
          <w:tcPr>
            <w:tcW w:w="380" w:type="dxa"/>
            <w:vAlign w:val="bottom"/>
          </w:tcPr>
          <w:p>
            <w:pPr>
              <w:spacing w:after="0"/>
              <w:rPr>
                <w:sz w:val="24"/>
                <w:szCs w:val="24"/>
                <w:color w:val="auto"/>
              </w:rPr>
            </w:pPr>
          </w:p>
        </w:tc>
        <w:tc>
          <w:tcPr>
            <w:tcW w:w="1040" w:type="dxa"/>
            <w:vAlign w:val="bottom"/>
          </w:tcPr>
          <w:p>
            <w:pPr>
              <w:jc w:val="right"/>
              <w:ind w:right="372"/>
              <w:spacing w:after="0"/>
              <w:rPr>
                <w:sz w:val="20"/>
                <w:szCs w:val="20"/>
                <w:color w:val="auto"/>
              </w:rPr>
            </w:pPr>
            <w:r>
              <w:rPr>
                <w:rFonts w:ascii="Arial" w:cs="Arial" w:eastAsia="Arial" w:hAnsi="Arial"/>
                <w:sz w:val="18"/>
                <w:szCs w:val="18"/>
                <w:color w:val="auto"/>
              </w:rPr>
              <w:t>79,092</w:t>
            </w:r>
          </w:p>
        </w:tc>
        <w:tc>
          <w:tcPr>
            <w:tcW w:w="500" w:type="dxa"/>
            <w:vAlign w:val="bottom"/>
          </w:tcPr>
          <w:p>
            <w:pPr>
              <w:spacing w:after="0"/>
              <w:rPr>
                <w:sz w:val="24"/>
                <w:szCs w:val="24"/>
                <w:color w:val="auto"/>
              </w:rPr>
            </w:pPr>
          </w:p>
        </w:tc>
        <w:tc>
          <w:tcPr>
            <w:tcW w:w="1160" w:type="dxa"/>
            <w:vAlign w:val="bottom"/>
          </w:tcPr>
          <w:p>
            <w:pPr>
              <w:jc w:val="right"/>
              <w:ind w:right="512"/>
              <w:spacing w:after="0"/>
              <w:rPr>
                <w:sz w:val="20"/>
                <w:szCs w:val="20"/>
                <w:color w:val="auto"/>
              </w:rPr>
            </w:pPr>
            <w:r>
              <w:rPr>
                <w:rFonts w:ascii="Arial" w:cs="Arial" w:eastAsia="Arial" w:hAnsi="Arial"/>
                <w:sz w:val="18"/>
                <w:szCs w:val="18"/>
                <w:color w:val="auto"/>
                <w:w w:val="82"/>
              </w:rPr>
              <w:t>106,898</w:t>
            </w:r>
          </w:p>
        </w:tc>
        <w:tc>
          <w:tcPr>
            <w:tcW w:w="640" w:type="dxa"/>
            <w:vAlign w:val="bottom"/>
          </w:tcPr>
          <w:p>
            <w:pPr>
              <w:spacing w:after="0"/>
              <w:rPr>
                <w:sz w:val="24"/>
                <w:szCs w:val="24"/>
                <w:color w:val="auto"/>
              </w:rPr>
            </w:pPr>
          </w:p>
        </w:tc>
        <w:tc>
          <w:tcPr>
            <w:tcW w:w="1120" w:type="dxa"/>
            <w:vAlign w:val="bottom"/>
          </w:tcPr>
          <w:p>
            <w:pPr>
              <w:jc w:val="right"/>
              <w:ind w:right="452"/>
              <w:spacing w:after="0"/>
              <w:rPr>
                <w:sz w:val="20"/>
                <w:szCs w:val="20"/>
                <w:color w:val="auto"/>
              </w:rPr>
            </w:pPr>
            <w:r>
              <w:rPr>
                <w:rFonts w:ascii="Arial" w:cs="Arial" w:eastAsia="Arial" w:hAnsi="Arial"/>
                <w:sz w:val="18"/>
                <w:szCs w:val="18"/>
                <w:color w:val="auto"/>
              </w:rPr>
              <w:t>40,098</w:t>
            </w:r>
          </w:p>
        </w:tc>
        <w:tc>
          <w:tcPr>
            <w:tcW w:w="600" w:type="dxa"/>
            <w:vAlign w:val="bottom"/>
          </w:tcPr>
          <w:p>
            <w:pPr>
              <w:spacing w:after="0"/>
              <w:rPr>
                <w:sz w:val="24"/>
                <w:szCs w:val="24"/>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w w:val="86"/>
              </w:rPr>
              <w:t>137,732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00" w:type="dxa"/>
            <w:vAlign w:val="bottom"/>
            <w:shd w:val="clear" w:color="auto" w:fill="EEEEEE"/>
          </w:tcPr>
          <w:p>
            <w:pPr>
              <w:ind w:left="540"/>
              <w:spacing w:after="0"/>
              <w:rPr>
                <w:sz w:val="20"/>
                <w:szCs w:val="20"/>
                <w:color w:val="auto"/>
              </w:rPr>
            </w:pPr>
            <w:r>
              <w:rPr>
                <w:rFonts w:ascii="Arial" w:cs="Arial" w:eastAsia="Arial" w:hAnsi="Arial"/>
                <w:sz w:val="18"/>
                <w:szCs w:val="18"/>
                <w:color w:val="auto"/>
              </w:rPr>
              <w:t>Equity in losses of affiliates</w:t>
            </w:r>
          </w:p>
        </w:tc>
        <w:tc>
          <w:tcPr>
            <w:tcW w:w="38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(2,642)</w:t>
            </w:r>
          </w:p>
        </w:tc>
        <w:tc>
          <w:tcPr>
            <w:tcW w:w="50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452"/>
              <w:spacing w:after="0"/>
              <w:rPr>
                <w:sz w:val="20"/>
                <w:szCs w:val="20"/>
                <w:color w:val="auto"/>
              </w:rPr>
            </w:pPr>
            <w:r>
              <w:rPr>
                <w:rFonts w:ascii="Arial" w:cs="Arial" w:eastAsia="Arial" w:hAnsi="Arial"/>
                <w:sz w:val="18"/>
                <w:szCs w:val="18"/>
                <w:color w:val="auto"/>
              </w:rPr>
              <w:t>(5,524)</w:t>
            </w:r>
          </w:p>
        </w:tc>
        <w:tc>
          <w:tcPr>
            <w:tcW w:w="64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392"/>
              <w:spacing w:after="0"/>
              <w:rPr>
                <w:sz w:val="20"/>
                <w:szCs w:val="20"/>
                <w:color w:val="auto"/>
              </w:rPr>
            </w:pPr>
            <w:r>
              <w:rPr>
                <w:rFonts w:ascii="Arial" w:cs="Arial" w:eastAsia="Arial" w:hAnsi="Arial"/>
                <w:sz w:val="18"/>
                <w:szCs w:val="18"/>
                <w:color w:val="auto"/>
              </w:rPr>
              <w:t>(1,116)</w:t>
            </w:r>
          </w:p>
        </w:tc>
        <w:tc>
          <w:tcPr>
            <w:tcW w:w="60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540"/>
              <w:spacing w:after="0"/>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18"/>
                <w:szCs w:val="18"/>
                <w:color w:val="auto"/>
              </w:rPr>
            </w:pPr>
          </w:p>
        </w:tc>
        <w:tc>
          <w:tcPr>
            <w:tcW w:w="1040" w:type="dxa"/>
            <w:vAlign w:val="bottom"/>
          </w:tcPr>
          <w:p>
            <w:pPr>
              <w:jc w:val="right"/>
              <w:ind w:right="372"/>
              <w:spacing w:after="0"/>
              <w:rPr>
                <w:sz w:val="20"/>
                <w:szCs w:val="20"/>
                <w:color w:val="auto"/>
              </w:rPr>
            </w:pPr>
            <w:r>
              <w:rPr>
                <w:rFonts w:ascii="Arial" w:cs="Arial" w:eastAsia="Arial" w:hAnsi="Arial"/>
                <w:sz w:val="18"/>
                <w:szCs w:val="18"/>
                <w:color w:val="auto"/>
              </w:rPr>
              <w:t>114</w:t>
            </w:r>
          </w:p>
        </w:tc>
        <w:tc>
          <w:tcPr>
            <w:tcW w:w="500" w:type="dxa"/>
            <w:vAlign w:val="bottom"/>
          </w:tcPr>
          <w:p>
            <w:pPr>
              <w:spacing w:after="0"/>
              <w:rPr>
                <w:sz w:val="18"/>
                <w:szCs w:val="18"/>
                <w:color w:val="auto"/>
              </w:rPr>
            </w:pPr>
          </w:p>
        </w:tc>
        <w:tc>
          <w:tcPr>
            <w:tcW w:w="1160" w:type="dxa"/>
            <w:vAlign w:val="bottom"/>
          </w:tcPr>
          <w:p>
            <w:pPr>
              <w:jc w:val="right"/>
              <w:ind w:right="512"/>
              <w:spacing w:after="0"/>
              <w:rPr>
                <w:sz w:val="20"/>
                <w:szCs w:val="20"/>
                <w:color w:val="auto"/>
              </w:rPr>
            </w:pPr>
            <w:r>
              <w:rPr>
                <w:rFonts w:ascii="Arial" w:cs="Arial" w:eastAsia="Arial" w:hAnsi="Arial"/>
                <w:sz w:val="18"/>
                <w:szCs w:val="18"/>
                <w:color w:val="auto"/>
              </w:rPr>
              <w:t>458</w:t>
            </w:r>
          </w:p>
        </w:tc>
        <w:tc>
          <w:tcPr>
            <w:tcW w:w="640" w:type="dxa"/>
            <w:vAlign w:val="bottom"/>
          </w:tcPr>
          <w:p>
            <w:pPr>
              <w:spacing w:after="0"/>
              <w:rPr>
                <w:sz w:val="18"/>
                <w:szCs w:val="18"/>
                <w:color w:val="auto"/>
              </w:rPr>
            </w:pPr>
          </w:p>
        </w:tc>
        <w:tc>
          <w:tcPr>
            <w:tcW w:w="1120" w:type="dxa"/>
            <w:vAlign w:val="bottom"/>
          </w:tcPr>
          <w:p>
            <w:pPr>
              <w:jc w:val="right"/>
              <w:ind w:right="452"/>
              <w:spacing w:after="0"/>
              <w:rPr>
                <w:sz w:val="20"/>
                <w:szCs w:val="20"/>
                <w:color w:val="auto"/>
              </w:rPr>
            </w:pPr>
            <w:r>
              <w:rPr>
                <w:rFonts w:ascii="Arial" w:cs="Arial" w:eastAsia="Arial" w:hAnsi="Arial"/>
                <w:sz w:val="18"/>
                <w:szCs w:val="18"/>
                <w:color w:val="auto"/>
              </w:rPr>
              <w:t>189</w:t>
            </w:r>
          </w:p>
        </w:tc>
        <w:tc>
          <w:tcPr>
            <w:tcW w:w="60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540"/>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(7,237)</w:t>
            </w:r>
          </w:p>
        </w:tc>
        <w:tc>
          <w:tcPr>
            <w:tcW w:w="50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452"/>
              <w:spacing w:after="0"/>
              <w:rPr>
                <w:sz w:val="20"/>
                <w:szCs w:val="20"/>
                <w:color w:val="auto"/>
              </w:rPr>
            </w:pPr>
            <w:r>
              <w:rPr>
                <w:rFonts w:ascii="Arial" w:cs="Arial" w:eastAsia="Arial" w:hAnsi="Arial"/>
                <w:sz w:val="18"/>
                <w:szCs w:val="18"/>
                <w:color w:val="auto"/>
              </w:rPr>
              <w:t>(6,658)</w:t>
            </w:r>
          </w:p>
        </w:tc>
        <w:tc>
          <w:tcPr>
            <w:tcW w:w="64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392"/>
              <w:spacing w:after="0"/>
              <w:rPr>
                <w:sz w:val="20"/>
                <w:szCs w:val="20"/>
                <w:color w:val="auto"/>
              </w:rPr>
            </w:pPr>
            <w:r>
              <w:rPr>
                <w:rFonts w:ascii="Arial" w:cs="Arial" w:eastAsia="Arial" w:hAnsi="Arial"/>
                <w:sz w:val="18"/>
                <w:szCs w:val="18"/>
                <w:color w:val="auto"/>
              </w:rPr>
              <w:t>(7,037)</w:t>
            </w:r>
          </w:p>
        </w:tc>
        <w:tc>
          <w:tcPr>
            <w:tcW w:w="60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(6,872)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ind w:left="540"/>
              <w:spacing w:after="0"/>
              <w:rPr>
                <w:sz w:val="20"/>
                <w:szCs w:val="20"/>
                <w:color w:val="auto"/>
              </w:rPr>
            </w:pPr>
            <w:r>
              <w:rPr>
                <w:rFonts w:ascii="Arial" w:cs="Arial" w:eastAsia="Arial" w:hAnsi="Arial"/>
                <w:sz w:val="18"/>
                <w:szCs w:val="18"/>
                <w:color w:val="auto"/>
              </w:rPr>
              <w:t>Other income (expense), net</w:t>
            </w:r>
          </w:p>
        </w:tc>
        <w:tc>
          <w:tcPr>
            <w:tcW w:w="380" w:type="dxa"/>
            <w:vAlign w:val="bottom"/>
          </w:tcPr>
          <w:p>
            <w:pPr>
              <w:spacing w:after="0"/>
              <w:rPr>
                <w:sz w:val="19"/>
                <w:szCs w:val="19"/>
                <w:color w:val="auto"/>
              </w:rPr>
            </w:pPr>
          </w:p>
        </w:tc>
        <w:tc>
          <w:tcPr>
            <w:tcW w:w="1040" w:type="dxa"/>
            <w:vAlign w:val="bottom"/>
          </w:tcPr>
          <w:p>
            <w:pPr>
              <w:jc w:val="right"/>
              <w:ind w:right="372"/>
              <w:spacing w:after="0"/>
              <w:rPr>
                <w:sz w:val="20"/>
                <w:szCs w:val="20"/>
                <w:color w:val="auto"/>
              </w:rPr>
            </w:pPr>
            <w:r>
              <w:rPr>
                <w:rFonts w:ascii="Arial" w:cs="Arial" w:eastAsia="Arial" w:hAnsi="Arial"/>
                <w:sz w:val="18"/>
                <w:szCs w:val="18"/>
                <w:color w:val="auto"/>
              </w:rPr>
              <w:t>48,135</w:t>
            </w:r>
          </w:p>
        </w:tc>
        <w:tc>
          <w:tcPr>
            <w:tcW w:w="500" w:type="dxa"/>
            <w:vAlign w:val="bottom"/>
          </w:tcPr>
          <w:p>
            <w:pPr>
              <w:spacing w:after="0"/>
              <w:rPr>
                <w:sz w:val="19"/>
                <w:szCs w:val="19"/>
                <w:color w:val="auto"/>
              </w:rPr>
            </w:pPr>
          </w:p>
        </w:tc>
        <w:tc>
          <w:tcPr>
            <w:tcW w:w="1160" w:type="dxa"/>
            <w:vAlign w:val="bottom"/>
          </w:tcPr>
          <w:p>
            <w:pPr>
              <w:jc w:val="right"/>
              <w:ind w:right="512"/>
              <w:spacing w:after="0"/>
              <w:rPr>
                <w:sz w:val="20"/>
                <w:szCs w:val="20"/>
                <w:color w:val="auto"/>
              </w:rPr>
            </w:pPr>
            <w:r>
              <w:rPr>
                <w:rFonts w:ascii="Arial" w:cs="Arial" w:eastAsia="Arial" w:hAnsi="Arial"/>
                <w:sz w:val="18"/>
                <w:szCs w:val="18"/>
                <w:color w:val="auto"/>
              </w:rPr>
              <w:t>2,274</w:t>
            </w:r>
          </w:p>
        </w:tc>
        <w:tc>
          <w:tcPr>
            <w:tcW w:w="640" w:type="dxa"/>
            <w:vAlign w:val="bottom"/>
          </w:tcPr>
          <w:p>
            <w:pPr>
              <w:spacing w:after="0"/>
              <w:rPr>
                <w:sz w:val="19"/>
                <w:szCs w:val="19"/>
                <w:color w:val="auto"/>
              </w:rPr>
            </w:pPr>
          </w:p>
        </w:tc>
        <w:tc>
          <w:tcPr>
            <w:tcW w:w="1120" w:type="dxa"/>
            <w:vAlign w:val="bottom"/>
          </w:tcPr>
          <w:p>
            <w:pPr>
              <w:jc w:val="right"/>
              <w:ind w:right="452"/>
              <w:spacing w:after="0"/>
              <w:rPr>
                <w:sz w:val="20"/>
                <w:szCs w:val="20"/>
                <w:color w:val="auto"/>
              </w:rPr>
            </w:pPr>
            <w:r>
              <w:rPr>
                <w:rFonts w:ascii="Arial" w:cs="Arial" w:eastAsia="Arial" w:hAnsi="Arial"/>
                <w:sz w:val="18"/>
                <w:szCs w:val="18"/>
                <w:color w:val="auto"/>
              </w:rPr>
              <w:t>1,565</w:t>
            </w:r>
          </w:p>
        </w:tc>
        <w:tc>
          <w:tcPr>
            <w:tcW w:w="600" w:type="dxa"/>
            <w:vAlign w:val="bottom"/>
          </w:tcPr>
          <w:p>
            <w:pPr>
              <w:spacing w:after="0"/>
              <w:rPr>
                <w:sz w:val="19"/>
                <w:szCs w:val="19"/>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3,412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Income before income taxes</w:t>
            </w:r>
          </w:p>
        </w:tc>
        <w:tc>
          <w:tcPr>
            <w:tcW w:w="38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372"/>
              <w:spacing w:after="0"/>
              <w:rPr>
                <w:sz w:val="20"/>
                <w:szCs w:val="20"/>
                <w:color w:val="auto"/>
              </w:rPr>
            </w:pPr>
            <w:r>
              <w:rPr>
                <w:rFonts w:ascii="Arial" w:cs="Arial" w:eastAsia="Arial" w:hAnsi="Arial"/>
                <w:sz w:val="18"/>
                <w:szCs w:val="18"/>
                <w:color w:val="auto"/>
                <w:w w:val="86"/>
              </w:rPr>
              <w:t>117,462</w:t>
            </w:r>
          </w:p>
        </w:tc>
        <w:tc>
          <w:tcPr>
            <w:tcW w:w="50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512"/>
              <w:spacing w:after="0"/>
              <w:rPr>
                <w:sz w:val="20"/>
                <w:szCs w:val="20"/>
                <w:color w:val="auto"/>
              </w:rPr>
            </w:pPr>
            <w:r>
              <w:rPr>
                <w:rFonts w:ascii="Arial" w:cs="Arial" w:eastAsia="Arial" w:hAnsi="Arial"/>
                <w:sz w:val="18"/>
                <w:szCs w:val="18"/>
                <w:color w:val="auto"/>
                <w:w w:val="98"/>
              </w:rPr>
              <w:t>97,448</w:t>
            </w:r>
          </w:p>
        </w:tc>
        <w:tc>
          <w:tcPr>
            <w:tcW w:w="64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452"/>
              <w:spacing w:after="0"/>
              <w:rPr>
                <w:sz w:val="20"/>
                <w:szCs w:val="20"/>
                <w:color w:val="auto"/>
              </w:rPr>
            </w:pPr>
            <w:r>
              <w:rPr>
                <w:rFonts w:ascii="Arial" w:cs="Arial" w:eastAsia="Arial" w:hAnsi="Arial"/>
                <w:sz w:val="18"/>
                <w:szCs w:val="18"/>
                <w:color w:val="auto"/>
              </w:rPr>
              <w:t>33,699</w:t>
            </w:r>
          </w:p>
        </w:tc>
        <w:tc>
          <w:tcPr>
            <w:tcW w:w="60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w w:val="86"/>
              </w:rPr>
              <w:t>133,979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ind w:left="260"/>
              <w:spacing w:after="0"/>
              <w:rPr>
                <w:sz w:val="20"/>
                <w:szCs w:val="20"/>
                <w:color w:val="auto"/>
              </w:rPr>
            </w:pPr>
            <w:r>
              <w:rPr>
                <w:rFonts w:ascii="Arial" w:cs="Arial" w:eastAsia="Arial" w:hAnsi="Arial"/>
                <w:sz w:val="18"/>
                <w:szCs w:val="18"/>
                <w:color w:val="auto"/>
              </w:rPr>
              <w:t>Provision for income taxes</w:t>
            </w:r>
          </w:p>
        </w:tc>
        <w:tc>
          <w:tcPr>
            <w:tcW w:w="380" w:type="dxa"/>
            <w:vAlign w:val="bottom"/>
          </w:tcPr>
          <w:p>
            <w:pPr>
              <w:spacing w:after="0"/>
              <w:rPr>
                <w:sz w:val="19"/>
                <w:szCs w:val="19"/>
                <w:color w:val="auto"/>
              </w:rPr>
            </w:pPr>
          </w:p>
        </w:tc>
        <w:tc>
          <w:tcPr>
            <w:tcW w:w="1040" w:type="dxa"/>
            <w:vAlign w:val="bottom"/>
          </w:tcPr>
          <w:p>
            <w:pPr>
              <w:jc w:val="right"/>
              <w:ind w:right="372"/>
              <w:spacing w:after="0"/>
              <w:rPr>
                <w:sz w:val="20"/>
                <w:szCs w:val="20"/>
                <w:color w:val="auto"/>
              </w:rPr>
            </w:pPr>
            <w:r>
              <w:rPr>
                <w:rFonts w:ascii="Arial" w:cs="Arial" w:eastAsia="Arial" w:hAnsi="Arial"/>
                <w:sz w:val="18"/>
                <w:szCs w:val="18"/>
                <w:color w:val="auto"/>
              </w:rPr>
              <w:t>44,400</w:t>
            </w:r>
          </w:p>
        </w:tc>
        <w:tc>
          <w:tcPr>
            <w:tcW w:w="500" w:type="dxa"/>
            <w:vAlign w:val="bottom"/>
          </w:tcPr>
          <w:p>
            <w:pPr>
              <w:spacing w:after="0"/>
              <w:rPr>
                <w:sz w:val="19"/>
                <w:szCs w:val="19"/>
                <w:color w:val="auto"/>
              </w:rPr>
            </w:pPr>
          </w:p>
        </w:tc>
        <w:tc>
          <w:tcPr>
            <w:tcW w:w="1160" w:type="dxa"/>
            <w:vAlign w:val="bottom"/>
          </w:tcPr>
          <w:p>
            <w:pPr>
              <w:jc w:val="right"/>
              <w:ind w:right="512"/>
              <w:spacing w:after="0"/>
              <w:rPr>
                <w:sz w:val="20"/>
                <w:szCs w:val="20"/>
                <w:color w:val="auto"/>
              </w:rPr>
            </w:pPr>
            <w:r>
              <w:rPr>
                <w:rFonts w:ascii="Arial" w:cs="Arial" w:eastAsia="Arial" w:hAnsi="Arial"/>
                <w:sz w:val="18"/>
                <w:szCs w:val="18"/>
                <w:color w:val="auto"/>
                <w:w w:val="98"/>
              </w:rPr>
              <w:t>36,800</w:t>
            </w:r>
          </w:p>
        </w:tc>
        <w:tc>
          <w:tcPr>
            <w:tcW w:w="640" w:type="dxa"/>
            <w:vAlign w:val="bottom"/>
          </w:tcPr>
          <w:p>
            <w:pPr>
              <w:spacing w:after="0"/>
              <w:rPr>
                <w:sz w:val="19"/>
                <w:szCs w:val="19"/>
                <w:color w:val="auto"/>
              </w:rPr>
            </w:pPr>
          </w:p>
        </w:tc>
        <w:tc>
          <w:tcPr>
            <w:tcW w:w="1120" w:type="dxa"/>
            <w:vAlign w:val="bottom"/>
          </w:tcPr>
          <w:p>
            <w:pPr>
              <w:jc w:val="right"/>
              <w:ind w:right="452"/>
              <w:spacing w:after="0"/>
              <w:rPr>
                <w:sz w:val="20"/>
                <w:szCs w:val="20"/>
                <w:color w:val="auto"/>
              </w:rPr>
            </w:pPr>
            <w:r>
              <w:rPr>
                <w:rFonts w:ascii="Arial" w:cs="Arial" w:eastAsia="Arial" w:hAnsi="Arial"/>
                <w:sz w:val="18"/>
                <w:szCs w:val="18"/>
                <w:color w:val="auto"/>
              </w:rPr>
              <w:t>13,800</w:t>
            </w:r>
          </w:p>
        </w:tc>
        <w:tc>
          <w:tcPr>
            <w:tcW w:w="600" w:type="dxa"/>
            <w:vAlign w:val="bottom"/>
          </w:tcPr>
          <w:p>
            <w:pPr>
              <w:spacing w:after="0"/>
              <w:rPr>
                <w:sz w:val="19"/>
                <w:szCs w:val="19"/>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46,500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372"/>
              <w:spacing w:after="0"/>
              <w:rPr>
                <w:sz w:val="20"/>
                <w:szCs w:val="20"/>
                <w:color w:val="auto"/>
              </w:rPr>
            </w:pPr>
            <w:r>
              <w:rPr>
                <w:rFonts w:ascii="Arial" w:cs="Arial" w:eastAsia="Arial" w:hAnsi="Arial"/>
                <w:sz w:val="18"/>
                <w:szCs w:val="18"/>
                <w:color w:val="auto"/>
              </w:rPr>
              <w:t>73,062</w:t>
            </w:r>
          </w:p>
        </w:tc>
        <w:tc>
          <w:tcPr>
            <w:tcW w:w="50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512"/>
              <w:spacing w:after="0"/>
              <w:rPr>
                <w:sz w:val="20"/>
                <w:szCs w:val="20"/>
                <w:color w:val="auto"/>
              </w:rPr>
            </w:pPr>
            <w:r>
              <w:rPr>
                <w:rFonts w:ascii="Arial" w:cs="Arial" w:eastAsia="Arial" w:hAnsi="Arial"/>
                <w:sz w:val="18"/>
                <w:szCs w:val="18"/>
                <w:color w:val="auto"/>
                <w:w w:val="98"/>
              </w:rPr>
              <w:t>60,648</w:t>
            </w:r>
          </w:p>
        </w:tc>
        <w:tc>
          <w:tcPr>
            <w:tcW w:w="64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452"/>
              <w:spacing w:after="0"/>
              <w:rPr>
                <w:sz w:val="20"/>
                <w:szCs w:val="20"/>
                <w:color w:val="auto"/>
              </w:rPr>
            </w:pPr>
            <w:r>
              <w:rPr>
                <w:rFonts w:ascii="Arial" w:cs="Arial" w:eastAsia="Arial" w:hAnsi="Arial"/>
                <w:sz w:val="18"/>
                <w:szCs w:val="18"/>
                <w:color w:val="auto"/>
              </w:rPr>
              <w:t>19,899</w:t>
            </w:r>
          </w:p>
        </w:tc>
        <w:tc>
          <w:tcPr>
            <w:tcW w:w="60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rPr>
              <w:t>87,479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ind w:left="260"/>
              <w:spacing w:after="0"/>
              <w:rPr>
                <w:sz w:val="20"/>
                <w:szCs w:val="20"/>
                <w:color w:val="auto"/>
              </w:rPr>
            </w:pPr>
            <w:r>
              <w:rPr>
                <w:rFonts w:ascii="Arial" w:cs="Arial" w:eastAsia="Arial" w:hAnsi="Arial"/>
                <w:sz w:val="18"/>
                <w:szCs w:val="18"/>
                <w:color w:val="auto"/>
              </w:rPr>
              <w:t>Redeemable preferred stock dividends</w:t>
            </w:r>
          </w:p>
        </w:tc>
        <w:tc>
          <w:tcPr>
            <w:tcW w:w="380" w:type="dxa"/>
            <w:vAlign w:val="bottom"/>
          </w:tcPr>
          <w:p>
            <w:pPr>
              <w:spacing w:after="0"/>
              <w:rPr>
                <w:sz w:val="19"/>
                <w:szCs w:val="19"/>
                <w:color w:val="auto"/>
              </w:rPr>
            </w:pPr>
          </w:p>
        </w:tc>
        <w:tc>
          <w:tcPr>
            <w:tcW w:w="1040" w:type="dxa"/>
            <w:vAlign w:val="bottom"/>
          </w:tcPr>
          <w:p>
            <w:pPr>
              <w:jc w:val="right"/>
              <w:ind w:right="312"/>
              <w:spacing w:after="0"/>
              <w:rPr>
                <w:sz w:val="20"/>
                <w:szCs w:val="20"/>
                <w:color w:val="auto"/>
              </w:rPr>
            </w:pPr>
            <w:r>
              <w:rPr>
                <w:rFonts w:ascii="Arial" w:cs="Arial" w:eastAsia="Arial" w:hAnsi="Arial"/>
                <w:sz w:val="18"/>
                <w:szCs w:val="18"/>
                <w:color w:val="auto"/>
              </w:rPr>
              <w:t>(517)</w:t>
            </w:r>
          </w:p>
        </w:tc>
        <w:tc>
          <w:tcPr>
            <w:tcW w:w="500" w:type="dxa"/>
            <w:vAlign w:val="bottom"/>
          </w:tcPr>
          <w:p>
            <w:pPr>
              <w:spacing w:after="0"/>
              <w:rPr>
                <w:sz w:val="19"/>
                <w:szCs w:val="19"/>
                <w:color w:val="auto"/>
              </w:rPr>
            </w:pPr>
          </w:p>
        </w:tc>
        <w:tc>
          <w:tcPr>
            <w:tcW w:w="1160" w:type="dxa"/>
            <w:vAlign w:val="bottom"/>
          </w:tcPr>
          <w:p>
            <w:pPr>
              <w:jc w:val="right"/>
              <w:ind w:right="452"/>
              <w:spacing w:after="0"/>
              <w:rPr>
                <w:sz w:val="20"/>
                <w:szCs w:val="20"/>
                <w:color w:val="auto"/>
              </w:rPr>
            </w:pPr>
            <w:r>
              <w:rPr>
                <w:rFonts w:ascii="Arial" w:cs="Arial" w:eastAsia="Arial" w:hAnsi="Arial"/>
                <w:sz w:val="18"/>
                <w:szCs w:val="18"/>
                <w:color w:val="auto"/>
              </w:rPr>
              <w:t>(258)</w:t>
            </w:r>
          </w:p>
        </w:tc>
        <w:tc>
          <w:tcPr>
            <w:tcW w:w="640" w:type="dxa"/>
            <w:vAlign w:val="bottom"/>
          </w:tcPr>
          <w:p>
            <w:pPr>
              <w:spacing w:after="0"/>
              <w:rPr>
                <w:sz w:val="19"/>
                <w:szCs w:val="19"/>
                <w:color w:val="auto"/>
              </w:rPr>
            </w:pPr>
          </w:p>
        </w:tc>
        <w:tc>
          <w:tcPr>
            <w:tcW w:w="1120" w:type="dxa"/>
            <w:vAlign w:val="bottom"/>
          </w:tcPr>
          <w:p>
            <w:pPr>
              <w:jc w:val="right"/>
              <w:ind w:right="392"/>
              <w:spacing w:after="0"/>
              <w:rPr>
                <w:sz w:val="20"/>
                <w:szCs w:val="20"/>
                <w:color w:val="auto"/>
              </w:rPr>
            </w:pPr>
            <w:r>
              <w:rPr>
                <w:rFonts w:ascii="Arial" w:cs="Arial" w:eastAsia="Arial" w:hAnsi="Arial"/>
                <w:sz w:val="18"/>
                <w:szCs w:val="18"/>
                <w:color w:val="auto"/>
              </w:rPr>
              <w:t>(252)</w:t>
            </w:r>
          </w:p>
        </w:tc>
        <w:tc>
          <w:tcPr>
            <w:tcW w:w="600" w:type="dxa"/>
            <w:vAlign w:val="bottom"/>
          </w:tcPr>
          <w:p>
            <w:pPr>
              <w:spacing w:after="0"/>
              <w:rPr>
                <w:sz w:val="19"/>
                <w:szCs w:val="19"/>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Net income available for common shares</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EEEEEE"/>
          </w:tcPr>
          <w:p>
            <w:pPr>
              <w:jc w:val="right"/>
              <w:ind w:right="372"/>
              <w:spacing w:after="0"/>
              <w:rPr>
                <w:sz w:val="20"/>
                <w:szCs w:val="20"/>
                <w:color w:val="auto"/>
              </w:rPr>
            </w:pPr>
            <w:r>
              <w:rPr>
                <w:rFonts w:ascii="Arial" w:cs="Arial" w:eastAsia="Arial" w:hAnsi="Arial"/>
                <w:sz w:val="18"/>
                <w:szCs w:val="18"/>
                <w:color w:val="auto"/>
              </w:rPr>
              <w:t>72,545</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EEEEE"/>
          </w:tcPr>
          <w:p>
            <w:pPr>
              <w:jc w:val="right"/>
              <w:ind w:right="512"/>
              <w:spacing w:after="0"/>
              <w:rPr>
                <w:sz w:val="20"/>
                <w:szCs w:val="20"/>
                <w:color w:val="auto"/>
              </w:rPr>
            </w:pPr>
            <w:r>
              <w:rPr>
                <w:rFonts w:ascii="Arial" w:cs="Arial" w:eastAsia="Arial" w:hAnsi="Arial"/>
                <w:sz w:val="18"/>
                <w:szCs w:val="18"/>
                <w:color w:val="auto"/>
                <w:w w:val="98"/>
              </w:rPr>
              <w:t>60,390</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EEEEEE"/>
          </w:tcPr>
          <w:p>
            <w:pPr>
              <w:jc w:val="right"/>
              <w:ind w:right="452"/>
              <w:spacing w:after="0"/>
              <w:rPr>
                <w:sz w:val="20"/>
                <w:szCs w:val="20"/>
                <w:color w:val="auto"/>
              </w:rPr>
            </w:pPr>
            <w:r>
              <w:rPr>
                <w:rFonts w:ascii="Arial" w:cs="Arial" w:eastAsia="Arial" w:hAnsi="Arial"/>
                <w:sz w:val="18"/>
                <w:szCs w:val="18"/>
                <w:color w:val="auto"/>
              </w:rPr>
              <w:t>19,647</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rPr>
              <w:t>87,479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0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200" w:type="dxa"/>
            <w:vAlign w:val="bottom"/>
          </w:tcPr>
          <w:p>
            <w:pPr>
              <w:ind w:left="260"/>
              <w:spacing w:after="0"/>
              <w:rPr>
                <w:sz w:val="20"/>
                <w:szCs w:val="20"/>
                <w:color w:val="auto"/>
              </w:rPr>
            </w:pPr>
            <w:r>
              <w:rPr>
                <w:rFonts w:ascii="Arial" w:cs="Arial" w:eastAsia="Arial" w:hAnsi="Arial"/>
                <w:sz w:val="18"/>
                <w:szCs w:val="18"/>
                <w:color w:val="auto"/>
              </w:rPr>
              <w:t>Basic earnings per common share</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72"/>
              <w:spacing w:after="0"/>
              <w:rPr>
                <w:sz w:val="20"/>
                <w:szCs w:val="20"/>
                <w:color w:val="auto"/>
              </w:rPr>
            </w:pPr>
            <w:r>
              <w:rPr>
                <w:rFonts w:ascii="Arial" w:cs="Arial" w:eastAsia="Arial" w:hAnsi="Arial"/>
                <w:sz w:val="18"/>
                <w:szCs w:val="18"/>
                <w:color w:val="auto"/>
              </w:rPr>
              <w:t>7.62</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12"/>
              <w:spacing w:after="0"/>
              <w:rPr>
                <w:sz w:val="20"/>
                <w:szCs w:val="20"/>
                <w:color w:val="auto"/>
              </w:rPr>
            </w:pPr>
            <w:r>
              <w:rPr>
                <w:rFonts w:ascii="Arial" w:cs="Arial" w:eastAsia="Arial" w:hAnsi="Arial"/>
                <w:sz w:val="18"/>
                <w:szCs w:val="18"/>
                <w:color w:val="auto"/>
              </w:rPr>
              <w:t>6.34</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452"/>
              <w:spacing w:after="0"/>
              <w:rPr>
                <w:sz w:val="20"/>
                <w:szCs w:val="20"/>
                <w:color w:val="auto"/>
              </w:rPr>
            </w:pPr>
            <w:r>
              <w:rPr>
                <w:rFonts w:ascii="Arial" w:cs="Arial" w:eastAsia="Arial" w:hAnsi="Arial"/>
                <w:sz w:val="18"/>
                <w:szCs w:val="18"/>
                <w:color w:val="auto"/>
              </w:rPr>
              <w:t>2.06</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0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Diluted earnings per common share</w:t>
            </w:r>
          </w:p>
        </w:tc>
        <w:tc>
          <w:tcPr>
            <w:tcW w:w="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EEEEEE"/>
          </w:tcPr>
          <w:p>
            <w:pPr>
              <w:jc w:val="right"/>
              <w:ind w:right="372"/>
              <w:spacing w:after="0"/>
              <w:rPr>
                <w:sz w:val="20"/>
                <w:szCs w:val="20"/>
                <w:color w:val="auto"/>
              </w:rPr>
            </w:pPr>
            <w:r>
              <w:rPr>
                <w:rFonts w:ascii="Arial" w:cs="Arial" w:eastAsia="Arial" w:hAnsi="Arial"/>
                <w:sz w:val="18"/>
                <w:szCs w:val="18"/>
                <w:color w:val="auto"/>
              </w:rPr>
              <w:t>7.59</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EEEEE"/>
          </w:tcPr>
          <w:p>
            <w:pPr>
              <w:jc w:val="right"/>
              <w:ind w:right="512"/>
              <w:spacing w:after="0"/>
              <w:rPr>
                <w:sz w:val="20"/>
                <w:szCs w:val="20"/>
                <w:color w:val="auto"/>
              </w:rPr>
            </w:pPr>
            <w:r>
              <w:rPr>
                <w:rFonts w:ascii="Arial" w:cs="Arial" w:eastAsia="Arial" w:hAnsi="Arial"/>
                <w:sz w:val="18"/>
                <w:szCs w:val="18"/>
                <w:color w:val="auto"/>
              </w:rPr>
              <w:t>6.32</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EEEEEE"/>
          </w:tcPr>
          <w:p>
            <w:pPr>
              <w:jc w:val="right"/>
              <w:ind w:right="452"/>
              <w:spacing w:after="0"/>
              <w:rPr>
                <w:sz w:val="20"/>
                <w:szCs w:val="20"/>
                <w:color w:val="auto"/>
              </w:rPr>
            </w:pPr>
            <w:r>
              <w:rPr>
                <w:rFonts w:ascii="Arial" w:cs="Arial" w:eastAsia="Arial" w:hAnsi="Arial"/>
                <w:sz w:val="18"/>
                <w:szCs w:val="18"/>
                <w:color w:val="auto"/>
              </w:rPr>
              <w:t>2.06</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0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5200" w:type="dxa"/>
            <w:vAlign w:val="bottom"/>
          </w:tcPr>
          <w:p>
            <w:pPr>
              <w:ind w:left="260"/>
              <w:spacing w:after="0"/>
              <w:rPr>
                <w:sz w:val="20"/>
                <w:szCs w:val="20"/>
                <w:color w:val="auto"/>
              </w:rPr>
            </w:pPr>
            <w:r>
              <w:rPr>
                <w:rFonts w:ascii="Arial" w:cs="Arial" w:eastAsia="Arial" w:hAnsi="Arial"/>
                <w:sz w:val="18"/>
                <w:szCs w:val="18"/>
                <w:color w:val="auto"/>
              </w:rPr>
              <w:t>Basic average shares outstanding</w:t>
            </w:r>
          </w:p>
        </w:tc>
        <w:tc>
          <w:tcPr>
            <w:tcW w:w="380" w:type="dxa"/>
            <w:vAlign w:val="bottom"/>
          </w:tcPr>
          <w:p>
            <w:pPr>
              <w:spacing w:after="0"/>
              <w:rPr>
                <w:sz w:val="24"/>
                <w:szCs w:val="24"/>
                <w:color w:val="auto"/>
              </w:rPr>
            </w:pPr>
          </w:p>
        </w:tc>
        <w:tc>
          <w:tcPr>
            <w:tcW w:w="1040" w:type="dxa"/>
            <w:vAlign w:val="bottom"/>
          </w:tcPr>
          <w:p>
            <w:pPr>
              <w:jc w:val="right"/>
              <w:ind w:right="372"/>
              <w:spacing w:after="0"/>
              <w:rPr>
                <w:sz w:val="20"/>
                <w:szCs w:val="20"/>
                <w:color w:val="auto"/>
              </w:rPr>
            </w:pPr>
            <w:r>
              <w:rPr>
                <w:rFonts w:ascii="Arial" w:cs="Arial" w:eastAsia="Arial" w:hAnsi="Arial"/>
                <w:sz w:val="18"/>
                <w:szCs w:val="18"/>
                <w:color w:val="auto"/>
              </w:rPr>
              <w:t>9,526</w:t>
            </w:r>
          </w:p>
        </w:tc>
        <w:tc>
          <w:tcPr>
            <w:tcW w:w="500" w:type="dxa"/>
            <w:vAlign w:val="bottom"/>
          </w:tcPr>
          <w:p>
            <w:pPr>
              <w:spacing w:after="0"/>
              <w:rPr>
                <w:sz w:val="24"/>
                <w:szCs w:val="24"/>
                <w:color w:val="auto"/>
              </w:rPr>
            </w:pPr>
          </w:p>
        </w:tc>
        <w:tc>
          <w:tcPr>
            <w:tcW w:w="1160" w:type="dxa"/>
            <w:vAlign w:val="bottom"/>
          </w:tcPr>
          <w:p>
            <w:pPr>
              <w:jc w:val="right"/>
              <w:ind w:right="512"/>
              <w:spacing w:after="0"/>
              <w:rPr>
                <w:sz w:val="20"/>
                <w:szCs w:val="20"/>
                <w:color w:val="auto"/>
              </w:rPr>
            </w:pPr>
            <w:r>
              <w:rPr>
                <w:rFonts w:ascii="Arial" w:cs="Arial" w:eastAsia="Arial" w:hAnsi="Arial"/>
                <w:sz w:val="18"/>
                <w:szCs w:val="18"/>
                <w:color w:val="auto"/>
              </w:rPr>
              <w:t>9,527</w:t>
            </w:r>
          </w:p>
        </w:tc>
        <w:tc>
          <w:tcPr>
            <w:tcW w:w="640" w:type="dxa"/>
            <w:vAlign w:val="bottom"/>
          </w:tcPr>
          <w:p>
            <w:pPr>
              <w:spacing w:after="0"/>
              <w:rPr>
                <w:sz w:val="24"/>
                <w:szCs w:val="24"/>
                <w:color w:val="auto"/>
              </w:rPr>
            </w:pPr>
          </w:p>
        </w:tc>
        <w:tc>
          <w:tcPr>
            <w:tcW w:w="1120" w:type="dxa"/>
            <w:vAlign w:val="bottom"/>
          </w:tcPr>
          <w:p>
            <w:pPr>
              <w:jc w:val="right"/>
              <w:ind w:right="452"/>
              <w:spacing w:after="0"/>
              <w:rPr>
                <w:sz w:val="20"/>
                <w:szCs w:val="20"/>
                <w:color w:val="auto"/>
              </w:rPr>
            </w:pPr>
            <w:r>
              <w:rPr>
                <w:rFonts w:ascii="Arial" w:cs="Arial" w:eastAsia="Arial" w:hAnsi="Arial"/>
                <w:sz w:val="18"/>
                <w:szCs w:val="18"/>
                <w:color w:val="auto"/>
              </w:rPr>
              <w:t>9,532</w:t>
            </w:r>
          </w:p>
        </w:tc>
        <w:tc>
          <w:tcPr>
            <w:tcW w:w="600" w:type="dxa"/>
            <w:vAlign w:val="bottom"/>
          </w:tcPr>
          <w:p>
            <w:pPr>
              <w:spacing w:after="0"/>
              <w:rPr>
                <w:sz w:val="24"/>
                <w:szCs w:val="24"/>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9,536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Diluted average shares outstanding</w:t>
            </w:r>
          </w:p>
        </w:tc>
        <w:tc>
          <w:tcPr>
            <w:tcW w:w="38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372"/>
              <w:spacing w:after="0"/>
              <w:rPr>
                <w:sz w:val="20"/>
                <w:szCs w:val="20"/>
                <w:color w:val="auto"/>
              </w:rPr>
            </w:pPr>
            <w:r>
              <w:rPr>
                <w:rFonts w:ascii="Arial" w:cs="Arial" w:eastAsia="Arial" w:hAnsi="Arial"/>
                <w:sz w:val="18"/>
                <w:szCs w:val="18"/>
                <w:color w:val="auto"/>
              </w:rPr>
              <w:t>9,553</w:t>
            </w:r>
          </w:p>
        </w:tc>
        <w:tc>
          <w:tcPr>
            <w:tcW w:w="50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512"/>
              <w:spacing w:after="0"/>
              <w:rPr>
                <w:sz w:val="20"/>
                <w:szCs w:val="20"/>
                <w:color w:val="auto"/>
              </w:rPr>
            </w:pPr>
            <w:r>
              <w:rPr>
                <w:rFonts w:ascii="Arial" w:cs="Arial" w:eastAsia="Arial" w:hAnsi="Arial"/>
                <w:sz w:val="18"/>
                <w:szCs w:val="18"/>
                <w:color w:val="auto"/>
              </w:rPr>
              <w:t>9,555</w:t>
            </w:r>
          </w:p>
        </w:tc>
        <w:tc>
          <w:tcPr>
            <w:tcW w:w="64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452"/>
              <w:spacing w:after="0"/>
              <w:rPr>
                <w:sz w:val="20"/>
                <w:szCs w:val="20"/>
                <w:color w:val="auto"/>
              </w:rPr>
            </w:pPr>
            <w:r>
              <w:rPr>
                <w:rFonts w:ascii="Arial" w:cs="Arial" w:eastAsia="Arial" w:hAnsi="Arial"/>
                <w:sz w:val="18"/>
                <w:szCs w:val="18"/>
                <w:color w:val="auto"/>
              </w:rPr>
              <w:t>9,556</w:t>
            </w:r>
          </w:p>
        </w:tc>
        <w:tc>
          <w:tcPr>
            <w:tcW w:w="60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rPr>
              <w:t>9,563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ind w:left="260"/>
              <w:spacing w:after="0"/>
              <w:rPr>
                <w:sz w:val="20"/>
                <w:szCs w:val="20"/>
                <w:color w:val="auto"/>
              </w:rPr>
            </w:pPr>
            <w:r>
              <w:rPr>
                <w:rFonts w:ascii="Arial" w:cs="Arial" w:eastAsia="Arial" w:hAnsi="Arial"/>
                <w:sz w:val="18"/>
                <w:szCs w:val="18"/>
                <w:color w:val="auto"/>
              </w:rPr>
              <w:t>2003 Quarterly comprehensive income</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72"/>
              <w:spacing w:after="0"/>
              <w:rPr>
                <w:sz w:val="20"/>
                <w:szCs w:val="20"/>
                <w:color w:val="auto"/>
              </w:rPr>
            </w:pPr>
            <w:r>
              <w:rPr>
                <w:rFonts w:ascii="Arial" w:cs="Arial" w:eastAsia="Arial" w:hAnsi="Arial"/>
                <w:sz w:val="18"/>
                <w:szCs w:val="18"/>
                <w:color w:val="auto"/>
              </w:rPr>
              <w:t>61,417</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12"/>
              <w:spacing w:after="0"/>
              <w:rPr>
                <w:sz w:val="20"/>
                <w:szCs w:val="20"/>
                <w:color w:val="auto"/>
              </w:rPr>
            </w:pPr>
            <w:r>
              <w:rPr>
                <w:rFonts w:ascii="Arial" w:cs="Arial" w:eastAsia="Arial" w:hAnsi="Arial"/>
                <w:sz w:val="18"/>
                <w:szCs w:val="18"/>
                <w:color w:val="auto"/>
                <w:w w:val="98"/>
              </w:rPr>
              <w:t>79,992</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452"/>
              <w:spacing w:after="0"/>
              <w:rPr>
                <w:sz w:val="20"/>
                <w:szCs w:val="20"/>
                <w:color w:val="auto"/>
              </w:rPr>
            </w:pPr>
            <w:r>
              <w:rPr>
                <w:rFonts w:ascii="Arial" w:cs="Arial" w:eastAsia="Arial" w:hAnsi="Arial"/>
                <w:sz w:val="18"/>
                <w:szCs w:val="18"/>
                <w:color w:val="auto"/>
              </w:rPr>
              <w:t>24,158</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w w:val="86"/>
              </w:rPr>
              <w:t>106,596</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0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The sum of the four quarters may not necessarily be equal to the annual amounts reported in the Consolidated Statements of Income due to rounding.</w:t>
      </w:r>
    </w:p>
    <w:p>
      <w:pPr>
        <w:spacing w:after="0" w:line="248" w:lineRule="exact"/>
        <w:rPr>
          <w:sz w:val="20"/>
          <w:szCs w:val="20"/>
          <w:color w:val="auto"/>
        </w:rPr>
      </w:pPr>
    </w:p>
    <w:p>
      <w:pPr>
        <w:ind w:right="1960" w:firstLine="8"/>
        <w:spacing w:after="0" w:line="519" w:lineRule="auto"/>
        <w:tabs>
          <w:tab w:leader="none" w:pos="249"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Results for the third quarter of 2003 include $74.6 million in pre-tax Kaplan stock compensation expense at the education division. Quarterly impact from certain unusual items (after-tax and diluted EPS amounts):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260" w:type="dxa"/>
            <w:vAlign w:val="bottom"/>
          </w:tcPr>
          <w:p>
            <w:pPr>
              <w:jc w:val="center"/>
              <w:ind w:right="92"/>
              <w:spacing w:after="0"/>
              <w:rPr>
                <w:sz w:val="20"/>
                <w:szCs w:val="20"/>
                <w:color w:val="auto"/>
              </w:rPr>
            </w:pPr>
            <w:r>
              <w:rPr>
                <w:rFonts w:ascii="Arial" w:cs="Arial" w:eastAsia="Arial" w:hAnsi="Arial"/>
                <w:sz w:val="18"/>
                <w:szCs w:val="18"/>
                <w:color w:val="auto"/>
                <w:w w:val="91"/>
              </w:rPr>
              <w:t>First</w:t>
            </w:r>
          </w:p>
        </w:tc>
        <w:tc>
          <w:tcPr>
            <w:tcW w:w="1400" w:type="dxa"/>
            <w:vAlign w:val="bottom"/>
          </w:tcPr>
          <w:p>
            <w:pPr>
              <w:ind w:left="460"/>
              <w:spacing w:after="0"/>
              <w:rPr>
                <w:sz w:val="20"/>
                <w:szCs w:val="20"/>
                <w:color w:val="auto"/>
              </w:rPr>
            </w:pPr>
            <w:r>
              <w:rPr>
                <w:rFonts w:ascii="Arial" w:cs="Arial" w:eastAsia="Arial" w:hAnsi="Arial"/>
                <w:sz w:val="18"/>
                <w:szCs w:val="18"/>
                <w:color w:val="auto"/>
              </w:rPr>
              <w:t>Second</w:t>
            </w:r>
          </w:p>
        </w:tc>
        <w:tc>
          <w:tcPr>
            <w:tcW w:w="1280" w:type="dxa"/>
            <w:vAlign w:val="bottom"/>
          </w:tcPr>
          <w:p>
            <w:pPr>
              <w:jc w:val="center"/>
              <w:spacing w:after="0"/>
              <w:rPr>
                <w:sz w:val="20"/>
                <w:szCs w:val="20"/>
                <w:color w:val="auto"/>
              </w:rPr>
            </w:pPr>
            <w:r>
              <w:rPr>
                <w:rFonts w:ascii="Arial" w:cs="Arial" w:eastAsia="Arial" w:hAnsi="Arial"/>
                <w:sz w:val="18"/>
                <w:szCs w:val="18"/>
                <w:color w:val="auto"/>
                <w:w w:val="97"/>
              </w:rPr>
              <w:t>Third</w:t>
            </w:r>
          </w:p>
        </w:tc>
        <w:tc>
          <w:tcPr>
            <w:tcW w:w="1160" w:type="dxa"/>
            <w:vAlign w:val="bottom"/>
          </w:tcPr>
          <w:p>
            <w:pPr>
              <w:ind w:left="420"/>
              <w:spacing w:after="0"/>
              <w:rPr>
                <w:sz w:val="20"/>
                <w:szCs w:val="20"/>
                <w:color w:val="auto"/>
              </w:rPr>
            </w:pPr>
            <w:r>
              <w:rPr>
                <w:rFonts w:ascii="Arial" w:cs="Arial" w:eastAsia="Arial" w:hAnsi="Arial"/>
                <w:sz w:val="18"/>
                <w:szCs w:val="18"/>
                <w:color w:val="auto"/>
              </w:rPr>
              <w:t>Fourth</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260" w:type="dxa"/>
            <w:vAlign w:val="bottom"/>
          </w:tcPr>
          <w:p>
            <w:pPr>
              <w:jc w:val="center"/>
              <w:ind w:right="72"/>
              <w:spacing w:after="0"/>
              <w:rPr>
                <w:sz w:val="20"/>
                <w:szCs w:val="20"/>
                <w:color w:val="auto"/>
              </w:rPr>
            </w:pPr>
            <w:r>
              <w:rPr>
                <w:rFonts w:ascii="Arial" w:cs="Arial" w:eastAsia="Arial" w:hAnsi="Arial"/>
                <w:sz w:val="18"/>
                <w:szCs w:val="18"/>
                <w:color w:val="auto"/>
                <w:w w:val="88"/>
              </w:rPr>
              <w:t>Quarter</w:t>
            </w:r>
          </w:p>
        </w:tc>
        <w:tc>
          <w:tcPr>
            <w:tcW w:w="1400" w:type="dxa"/>
            <w:vAlign w:val="bottom"/>
          </w:tcPr>
          <w:p>
            <w:pPr>
              <w:ind w:left="440"/>
              <w:spacing w:after="0"/>
              <w:rPr>
                <w:sz w:val="20"/>
                <w:szCs w:val="20"/>
                <w:color w:val="auto"/>
              </w:rPr>
            </w:pPr>
            <w:r>
              <w:rPr>
                <w:rFonts w:ascii="Arial" w:cs="Arial" w:eastAsia="Arial" w:hAnsi="Arial"/>
                <w:sz w:val="18"/>
                <w:szCs w:val="18"/>
                <w:color w:val="auto"/>
              </w:rPr>
              <w:t>Quarter</w:t>
            </w: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Quarter</w:t>
            </w:r>
          </w:p>
        </w:tc>
        <w:tc>
          <w:tcPr>
            <w:tcW w:w="1160" w:type="dxa"/>
            <w:vAlign w:val="bottom"/>
          </w:tcPr>
          <w:p>
            <w:pPr>
              <w:ind w:left="380"/>
              <w:spacing w:after="0"/>
              <w:rPr>
                <w:sz w:val="20"/>
                <w:szCs w:val="20"/>
                <w:color w:val="auto"/>
              </w:rPr>
            </w:pPr>
            <w:r>
              <w:rPr>
                <w:rFonts w:ascii="Arial" w:cs="Arial" w:eastAsia="Arial" w:hAnsi="Arial"/>
                <w:sz w:val="18"/>
                <w:szCs w:val="18"/>
                <w:color w:val="auto"/>
              </w:rPr>
              <w:t>Quarter</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3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color w:val="auto"/>
                <w:w w:val="95"/>
              </w:rPr>
              <w:t>Early retirement program charges ($1.3 million and $19.5 million in the second and</w:t>
            </w:r>
          </w:p>
        </w:tc>
        <w:tc>
          <w:tcPr>
            <w:tcW w:w="126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fourth quarters, respectively)</w:t>
            </w:r>
          </w:p>
        </w:tc>
        <w:tc>
          <w:tcPr>
            <w:tcW w:w="1260" w:type="dxa"/>
            <w:vAlign w:val="bottom"/>
            <w:shd w:val="clear" w:color="auto" w:fill="EEEEEE"/>
          </w:tcPr>
          <w:p>
            <w:pPr>
              <w:spacing w:after="0"/>
              <w:rPr>
                <w:sz w:val="19"/>
                <w:szCs w:val="19"/>
                <w:color w:val="auto"/>
              </w:rPr>
            </w:pPr>
          </w:p>
        </w:tc>
        <w:tc>
          <w:tcPr>
            <w:tcW w:w="140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$(0.14)</w:t>
            </w:r>
          </w:p>
        </w:tc>
        <w:tc>
          <w:tcPr>
            <w:tcW w:w="1280" w:type="dxa"/>
            <w:vAlign w:val="bottom"/>
            <w:shd w:val="clear" w:color="auto" w:fill="EEEEEE"/>
          </w:tcPr>
          <w:p>
            <w:pPr>
              <w:spacing w:after="0"/>
              <w:rPr>
                <w:sz w:val="19"/>
                <w:szCs w:val="19"/>
                <w:color w:val="auto"/>
              </w:rPr>
            </w:pPr>
          </w:p>
        </w:tc>
        <w:tc>
          <w:tcPr>
            <w:tcW w:w="1160" w:type="dxa"/>
            <w:vAlign w:val="bottom"/>
            <w:shd w:val="clear" w:color="auto" w:fill="EEEEEE"/>
          </w:tcPr>
          <w:p>
            <w:pPr>
              <w:ind w:left="38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Gain on sale of IHT ($32.3 million)</w:t>
            </w:r>
          </w:p>
        </w:tc>
        <w:tc>
          <w:tcPr>
            <w:tcW w:w="1260" w:type="dxa"/>
            <w:vAlign w:val="bottom"/>
          </w:tcPr>
          <w:p>
            <w:pPr>
              <w:jc w:val="center"/>
              <w:ind w:right="52"/>
              <w:spacing w:after="0"/>
              <w:rPr>
                <w:sz w:val="20"/>
                <w:szCs w:val="20"/>
                <w:color w:val="auto"/>
              </w:rPr>
            </w:pPr>
            <w:r>
              <w:rPr>
                <w:rFonts w:ascii="Arial" w:cs="Arial" w:eastAsia="Arial" w:hAnsi="Arial"/>
                <w:sz w:val="18"/>
                <w:szCs w:val="18"/>
                <w:color w:val="auto"/>
                <w:w w:val="88"/>
              </w:rPr>
              <w:t>$3.38</w:t>
            </w:r>
          </w:p>
        </w:tc>
        <w:tc>
          <w:tcPr>
            <w:tcW w:w="1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color w:val="auto"/>
              </w:rPr>
              <w:t>Gain on sale of land ($25.5 million)</w:t>
            </w:r>
          </w:p>
        </w:tc>
        <w:tc>
          <w:tcPr>
            <w:tcW w:w="126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160" w:type="dxa"/>
            <w:vAlign w:val="bottom"/>
            <w:shd w:val="clear" w:color="auto" w:fill="EEEEEE"/>
          </w:tcPr>
          <w:p>
            <w:pPr>
              <w:ind w:left="380"/>
              <w:spacing w:after="0"/>
              <w:rPr>
                <w:sz w:val="20"/>
                <w:szCs w:val="20"/>
                <w:color w:val="auto"/>
              </w:rPr>
            </w:pPr>
            <w:r>
              <w:rPr>
                <w:rFonts w:ascii="Arial" w:cs="Arial" w:eastAsia="Arial" w:hAnsi="Arial"/>
                <w:sz w:val="18"/>
                <w:szCs w:val="18"/>
                <w:color w:val="auto"/>
              </w:rPr>
              <w:t>$ 2.66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w w:val="93"/>
              </w:rPr>
              <w:t>Kaplan stock compensation expense for 10 percent premium on Kaplan stock option</w:t>
            </w:r>
          </w:p>
        </w:tc>
        <w:tc>
          <w:tcPr>
            <w:tcW w:w="1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tcPr>
          <w:p>
            <w:pPr>
              <w:ind w:left="120"/>
              <w:spacing w:after="0"/>
              <w:rPr>
                <w:sz w:val="20"/>
                <w:szCs w:val="20"/>
                <w:color w:val="auto"/>
              </w:rPr>
            </w:pPr>
            <w:r>
              <w:rPr>
                <w:rFonts w:ascii="Arial" w:cs="Arial" w:eastAsia="Arial" w:hAnsi="Arial"/>
                <w:sz w:val="18"/>
                <w:szCs w:val="18"/>
                <w:color w:val="auto"/>
              </w:rPr>
              <w:t>offer ($6.4 million)</w:t>
            </w:r>
          </w:p>
        </w:tc>
        <w:tc>
          <w:tcPr>
            <w:tcW w:w="1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60" w:type="dxa"/>
            <w:vAlign w:val="bottom"/>
          </w:tcPr>
          <w:p>
            <w:pPr>
              <w:ind w:left="38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00" w:type="dxa"/>
            <w:vAlign w:val="bottom"/>
            <w:shd w:val="clear" w:color="auto" w:fill="EEEEEE"/>
          </w:tcPr>
          <w:p>
            <w:pPr>
              <w:spacing w:after="0"/>
              <w:rPr>
                <w:sz w:val="20"/>
                <w:szCs w:val="20"/>
                <w:color w:val="auto"/>
              </w:rPr>
            </w:pPr>
            <w:r>
              <w:rPr>
                <w:rFonts w:ascii="Arial" w:cs="Arial" w:eastAsia="Arial" w:hAnsi="Arial"/>
                <w:sz w:val="18"/>
                <w:szCs w:val="18"/>
                <w:color w:val="auto"/>
              </w:rPr>
              <w:t>Establishment of Kaplan Educational Foundation ($3.9 million)</w:t>
            </w:r>
          </w:p>
        </w:tc>
        <w:tc>
          <w:tcPr>
            <w:tcW w:w="126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160" w:type="dxa"/>
            <w:vAlign w:val="bottom"/>
            <w:shd w:val="clear" w:color="auto" w:fill="EEEEEE"/>
          </w:tcPr>
          <w:p>
            <w:pPr>
              <w:ind w:left="38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105"/>
        </w:trPr>
        <w:tc>
          <w:tcPr>
            <w:tcW w:w="6320" w:type="dxa"/>
            <w:vAlign w:val="bottom"/>
            <w:gridSpan w:val="2"/>
            <w:vMerge w:val="restart"/>
          </w:tcPr>
          <w:p>
            <w:pPr>
              <w:jc w:val="right"/>
              <w:ind w:right="432"/>
              <w:spacing w:after="0"/>
              <w:rPr>
                <w:sz w:val="20"/>
                <w:szCs w:val="20"/>
                <w:color w:val="auto"/>
              </w:rPr>
            </w:pPr>
            <w:r>
              <w:rPr>
                <w:rFonts w:ascii="Arial" w:cs="Arial" w:eastAsia="Arial" w:hAnsi="Arial"/>
                <w:sz w:val="18"/>
                <w:szCs w:val="18"/>
                <w:color w:val="auto"/>
              </w:rPr>
              <w:t>57</w:t>
            </w:r>
          </w:p>
        </w:tc>
        <w:tc>
          <w:tcPr>
            <w:tcW w:w="12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320" w:type="dxa"/>
            <w:vAlign w:val="bottom"/>
            <w:gridSpan w:val="2"/>
            <w:vMerge w:val="continue"/>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62"/>
        </w:trPr>
        <w:tc>
          <w:tcPr>
            <w:tcW w:w="6320" w:type="dxa"/>
            <w:vAlign w:val="bottom"/>
            <w:gridSpan w:val="2"/>
            <w:vMerge w:val="continue"/>
          </w:tcPr>
          <w:p>
            <w:pPr>
              <w:spacing w:after="0"/>
              <w:rPr>
                <w:sz w:val="24"/>
                <w:szCs w:val="24"/>
                <w:color w:val="auto"/>
              </w:rPr>
            </w:pPr>
          </w:p>
        </w:tc>
        <w:tc>
          <w:tcPr>
            <w:tcW w:w="1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6" w:right="239" w:bottom="0"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540" w:type="dxa"/>
            <w:vAlign w:val="bottom"/>
          </w:tcPr>
          <w:p>
            <w:pPr>
              <w:jc w:val="right"/>
              <w:ind w:right="612"/>
              <w:spacing w:after="0"/>
              <w:rPr>
                <w:sz w:val="20"/>
                <w:szCs w:val="20"/>
                <w:color w:val="auto"/>
              </w:rPr>
            </w:pPr>
            <w:r>
              <w:rPr>
                <w:rFonts w:ascii="Arial" w:cs="Arial" w:eastAsia="Arial" w:hAnsi="Arial"/>
                <w:sz w:val="18"/>
                <w:szCs w:val="18"/>
                <w:color w:val="auto"/>
              </w:rPr>
              <w:t>First</w:t>
            </w:r>
          </w:p>
        </w:tc>
        <w:tc>
          <w:tcPr>
            <w:tcW w:w="1660" w:type="dxa"/>
            <w:vAlign w:val="bottom"/>
          </w:tcPr>
          <w:p>
            <w:pPr>
              <w:jc w:val="right"/>
              <w:ind w:right="512"/>
              <w:spacing w:after="0"/>
              <w:rPr>
                <w:sz w:val="20"/>
                <w:szCs w:val="20"/>
                <w:color w:val="auto"/>
              </w:rPr>
            </w:pPr>
            <w:r>
              <w:rPr>
                <w:rFonts w:ascii="Arial" w:cs="Arial" w:eastAsia="Arial" w:hAnsi="Arial"/>
                <w:sz w:val="18"/>
                <w:szCs w:val="18"/>
                <w:color w:val="auto"/>
              </w:rPr>
              <w:t>Second</w:t>
            </w:r>
          </w:p>
        </w:tc>
        <w:tc>
          <w:tcPr>
            <w:tcW w:w="1580" w:type="dxa"/>
            <w:vAlign w:val="bottom"/>
          </w:tcPr>
          <w:p>
            <w:pPr>
              <w:jc w:val="right"/>
              <w:ind w:right="492"/>
              <w:spacing w:after="0"/>
              <w:rPr>
                <w:sz w:val="20"/>
                <w:szCs w:val="20"/>
                <w:color w:val="auto"/>
              </w:rPr>
            </w:pPr>
            <w:r>
              <w:rPr>
                <w:rFonts w:ascii="Arial" w:cs="Arial" w:eastAsia="Arial" w:hAnsi="Arial"/>
                <w:sz w:val="18"/>
                <w:szCs w:val="18"/>
                <w:color w:val="auto"/>
              </w:rPr>
              <w:t>Third</w:t>
            </w:r>
          </w:p>
        </w:tc>
        <w:tc>
          <w:tcPr>
            <w:tcW w:w="1240" w:type="dxa"/>
            <w:vAlign w:val="bottom"/>
          </w:tcPr>
          <w:p>
            <w:pPr>
              <w:jc w:val="right"/>
              <w:ind w:right="212"/>
              <w:spacing w:after="0"/>
              <w:rPr>
                <w:sz w:val="20"/>
                <w:szCs w:val="20"/>
                <w:color w:val="auto"/>
              </w:rPr>
            </w:pPr>
            <w:r>
              <w:rPr>
                <w:rFonts w:ascii="Arial" w:cs="Arial" w:eastAsia="Arial" w:hAnsi="Arial"/>
                <w:sz w:val="18"/>
                <w:szCs w:val="18"/>
                <w:color w:val="auto"/>
              </w:rPr>
              <w:t>Fourth</w:t>
            </w:r>
          </w:p>
        </w:tc>
        <w:tc>
          <w:tcPr>
            <w:tcW w:w="0" w:type="dxa"/>
            <w:vAlign w:val="bottom"/>
          </w:tcPr>
          <w:p>
            <w:pPr>
              <w:spacing w:after="0"/>
              <w:rPr>
                <w:sz w:val="1"/>
                <w:szCs w:val="1"/>
                <w:color w:val="auto"/>
              </w:rPr>
            </w:pPr>
          </w:p>
        </w:tc>
      </w:tr>
      <w:tr>
        <w:trPr>
          <w:trHeight w:val="222"/>
        </w:trPr>
        <w:tc>
          <w:tcPr>
            <w:tcW w:w="5400" w:type="dxa"/>
            <w:vAlign w:val="bottom"/>
            <w:gridSpan w:val="2"/>
          </w:tcPr>
          <w:p>
            <w:pPr>
              <w:spacing w:after="0"/>
              <w:rPr>
                <w:sz w:val="20"/>
                <w:szCs w:val="20"/>
                <w:color w:val="auto"/>
              </w:rPr>
            </w:pPr>
            <w:r>
              <w:rPr>
                <w:rFonts w:ascii="Arial" w:cs="Arial" w:eastAsia="Arial" w:hAnsi="Arial"/>
                <w:sz w:val="18"/>
                <w:szCs w:val="18"/>
                <w:color w:val="auto"/>
              </w:rPr>
              <w:t>(in thousands, except per share amounts)</w:t>
            </w:r>
          </w:p>
        </w:tc>
        <w:tc>
          <w:tcPr>
            <w:tcW w:w="1540" w:type="dxa"/>
            <w:vAlign w:val="bottom"/>
          </w:tcPr>
          <w:p>
            <w:pPr>
              <w:jc w:val="right"/>
              <w:ind w:right="492"/>
              <w:spacing w:after="0"/>
              <w:rPr>
                <w:sz w:val="20"/>
                <w:szCs w:val="20"/>
                <w:color w:val="auto"/>
              </w:rPr>
            </w:pPr>
            <w:r>
              <w:rPr>
                <w:rFonts w:ascii="Arial" w:cs="Arial" w:eastAsia="Arial" w:hAnsi="Arial"/>
                <w:sz w:val="18"/>
                <w:szCs w:val="18"/>
                <w:color w:val="auto"/>
              </w:rPr>
              <w:t>Quarter</w:t>
            </w:r>
          </w:p>
        </w:tc>
        <w:tc>
          <w:tcPr>
            <w:tcW w:w="1660" w:type="dxa"/>
            <w:vAlign w:val="bottom"/>
          </w:tcPr>
          <w:p>
            <w:pPr>
              <w:jc w:val="right"/>
              <w:ind w:right="512"/>
              <w:spacing w:after="0"/>
              <w:rPr>
                <w:sz w:val="20"/>
                <w:szCs w:val="20"/>
                <w:color w:val="auto"/>
              </w:rPr>
            </w:pPr>
            <w:r>
              <w:rPr>
                <w:rFonts w:ascii="Arial" w:cs="Arial" w:eastAsia="Arial" w:hAnsi="Arial"/>
                <w:sz w:val="18"/>
                <w:szCs w:val="18"/>
                <w:color w:val="auto"/>
              </w:rPr>
              <w:t>Quarter</w:t>
            </w:r>
          </w:p>
        </w:tc>
        <w:tc>
          <w:tcPr>
            <w:tcW w:w="1580" w:type="dxa"/>
            <w:vAlign w:val="bottom"/>
          </w:tcPr>
          <w:p>
            <w:pPr>
              <w:jc w:val="right"/>
              <w:ind w:right="432"/>
              <w:spacing w:after="0"/>
              <w:rPr>
                <w:sz w:val="20"/>
                <w:szCs w:val="20"/>
                <w:color w:val="auto"/>
              </w:rPr>
            </w:pPr>
            <w:r>
              <w:rPr>
                <w:rFonts w:ascii="Arial" w:cs="Arial" w:eastAsia="Arial" w:hAnsi="Arial"/>
                <w:sz w:val="18"/>
                <w:szCs w:val="18"/>
                <w:color w:val="auto"/>
              </w:rPr>
              <w:t>Quarter</w:t>
            </w:r>
          </w:p>
        </w:tc>
        <w:tc>
          <w:tcPr>
            <w:tcW w:w="1240" w:type="dxa"/>
            <w:vAlign w:val="bottom"/>
          </w:tcPr>
          <w:p>
            <w:pPr>
              <w:jc w:val="right"/>
              <w:ind w:right="172"/>
              <w:spacing w:after="0"/>
              <w:rPr>
                <w:sz w:val="20"/>
                <w:szCs w:val="20"/>
                <w:color w:val="auto"/>
              </w:rPr>
            </w:pPr>
            <w:r>
              <w:rPr>
                <w:rFonts w:ascii="Arial" w:cs="Arial" w:eastAsia="Arial" w:hAnsi="Arial"/>
                <w:sz w:val="18"/>
                <w:szCs w:val="18"/>
                <w:color w:val="auto"/>
              </w:rPr>
              <w:t>Quarter</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8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2002 Quarterly Operating Results</w:t>
            </w:r>
          </w:p>
        </w:tc>
        <w:tc>
          <w:tcPr>
            <w:tcW w:w="1540" w:type="dxa"/>
            <w:vAlign w:val="bottom"/>
            <w:shd w:val="clear" w:color="auto" w:fill="EEEEEE"/>
          </w:tcPr>
          <w:p>
            <w:pPr>
              <w:spacing w:after="0"/>
              <w:rPr>
                <w:sz w:val="18"/>
                <w:szCs w:val="18"/>
                <w:color w:val="auto"/>
              </w:rPr>
            </w:pPr>
          </w:p>
        </w:tc>
        <w:tc>
          <w:tcPr>
            <w:tcW w:w="166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80"/>
              <w:spacing w:after="0"/>
              <w:rPr>
                <w:sz w:val="20"/>
                <w:szCs w:val="20"/>
                <w:color w:val="auto"/>
              </w:rPr>
            </w:pPr>
            <w:r>
              <w:rPr>
                <w:rFonts w:ascii="Arial" w:cs="Arial" w:eastAsia="Arial" w:hAnsi="Arial"/>
                <w:sz w:val="18"/>
                <w:szCs w:val="18"/>
                <w:color w:val="auto"/>
              </w:rPr>
              <w:t>Operating revenues</w:t>
            </w:r>
          </w:p>
        </w:tc>
        <w:tc>
          <w:tcPr>
            <w:tcW w:w="15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ind w:left="560"/>
              <w:spacing w:after="0"/>
              <w:rPr>
                <w:sz w:val="20"/>
                <w:szCs w:val="20"/>
                <w:color w:val="auto"/>
              </w:rPr>
            </w:pPr>
            <w:r>
              <w:rPr>
                <w:rFonts w:ascii="Arial" w:cs="Arial" w:eastAsia="Arial" w:hAnsi="Arial"/>
                <w:sz w:val="18"/>
                <w:szCs w:val="18"/>
                <w:color w:val="auto"/>
              </w:rPr>
              <w:t>Advertising</w:t>
            </w:r>
          </w:p>
        </w:tc>
        <w:tc>
          <w:tcPr>
            <w:tcW w:w="154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rPr>
              <w:t>$273,564</w:t>
            </w:r>
          </w:p>
        </w:tc>
        <w:tc>
          <w:tcPr>
            <w:tcW w:w="166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rPr>
              <w:t>$316,102</w:t>
            </w:r>
          </w:p>
        </w:tc>
        <w:tc>
          <w:tcPr>
            <w:tcW w:w="158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$292,523</w:t>
            </w:r>
          </w:p>
        </w:tc>
        <w:tc>
          <w:tcPr>
            <w:tcW w:w="124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rPr>
              <w:t>$344,645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Circulation and subscriber</w:t>
            </w:r>
          </w:p>
        </w:tc>
        <w:tc>
          <w:tcPr>
            <w:tcW w:w="1540" w:type="dxa"/>
            <w:vAlign w:val="bottom"/>
          </w:tcPr>
          <w:p>
            <w:pPr>
              <w:jc w:val="right"/>
              <w:ind w:right="432"/>
              <w:spacing w:after="0"/>
              <w:rPr>
                <w:sz w:val="20"/>
                <w:szCs w:val="20"/>
                <w:color w:val="auto"/>
              </w:rPr>
            </w:pPr>
            <w:r>
              <w:rPr>
                <w:rFonts w:ascii="Arial" w:cs="Arial" w:eastAsia="Arial" w:hAnsi="Arial"/>
                <w:sz w:val="18"/>
                <w:szCs w:val="18"/>
                <w:color w:val="auto"/>
              </w:rPr>
              <w:t>161,298</w:t>
            </w:r>
          </w:p>
        </w:tc>
        <w:tc>
          <w:tcPr>
            <w:tcW w:w="1660" w:type="dxa"/>
            <w:vAlign w:val="bottom"/>
          </w:tcPr>
          <w:p>
            <w:pPr>
              <w:jc w:val="right"/>
              <w:ind w:right="432"/>
              <w:spacing w:after="0"/>
              <w:rPr>
                <w:sz w:val="20"/>
                <w:szCs w:val="20"/>
                <w:color w:val="auto"/>
              </w:rPr>
            </w:pPr>
            <w:r>
              <w:rPr>
                <w:rFonts w:ascii="Arial" w:cs="Arial" w:eastAsia="Arial" w:hAnsi="Arial"/>
                <w:sz w:val="18"/>
                <w:szCs w:val="18"/>
                <w:color w:val="auto"/>
              </w:rPr>
              <w:t>168,614</w:t>
            </w:r>
          </w:p>
        </w:tc>
        <w:tc>
          <w:tcPr>
            <w:tcW w:w="1580" w:type="dxa"/>
            <w:vAlign w:val="bottom"/>
          </w:tcPr>
          <w:p>
            <w:pPr>
              <w:jc w:val="right"/>
              <w:ind w:right="352"/>
              <w:spacing w:after="0"/>
              <w:rPr>
                <w:sz w:val="20"/>
                <w:szCs w:val="20"/>
                <w:color w:val="auto"/>
              </w:rPr>
            </w:pPr>
            <w:r>
              <w:rPr>
                <w:rFonts w:ascii="Arial" w:cs="Arial" w:eastAsia="Arial" w:hAnsi="Arial"/>
                <w:sz w:val="18"/>
                <w:szCs w:val="18"/>
                <w:color w:val="auto"/>
              </w:rPr>
              <w:t>171,535</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173,689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ind w:left="560"/>
              <w:spacing w:after="0"/>
              <w:rPr>
                <w:sz w:val="20"/>
                <w:szCs w:val="20"/>
                <w:color w:val="auto"/>
              </w:rPr>
            </w:pPr>
            <w:r>
              <w:rPr>
                <w:rFonts w:ascii="Arial" w:cs="Arial" w:eastAsia="Arial" w:hAnsi="Arial"/>
                <w:sz w:val="18"/>
                <w:szCs w:val="18"/>
                <w:color w:val="auto"/>
              </w:rPr>
              <w:t>Education</w:t>
            </w:r>
          </w:p>
        </w:tc>
        <w:tc>
          <w:tcPr>
            <w:tcW w:w="154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rPr>
              <w:t>146,929</w:t>
            </w:r>
          </w:p>
        </w:tc>
        <w:tc>
          <w:tcPr>
            <w:tcW w:w="166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rPr>
              <w:t>149,695</w:t>
            </w:r>
          </w:p>
        </w:tc>
        <w:tc>
          <w:tcPr>
            <w:tcW w:w="158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160,454</w:t>
            </w:r>
          </w:p>
        </w:tc>
        <w:tc>
          <w:tcPr>
            <w:tcW w:w="124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rPr>
              <w:t>164,047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Other</w:t>
            </w:r>
          </w:p>
        </w:tc>
        <w:tc>
          <w:tcPr>
            <w:tcW w:w="1540" w:type="dxa"/>
            <w:vAlign w:val="bottom"/>
          </w:tcPr>
          <w:p>
            <w:pPr>
              <w:jc w:val="right"/>
              <w:ind w:right="432"/>
              <w:spacing w:after="0"/>
              <w:rPr>
                <w:sz w:val="20"/>
                <w:szCs w:val="20"/>
                <w:color w:val="auto"/>
              </w:rPr>
            </w:pPr>
            <w:r>
              <w:rPr>
                <w:rFonts w:ascii="Arial" w:cs="Arial" w:eastAsia="Arial" w:hAnsi="Arial"/>
                <w:sz w:val="18"/>
                <w:szCs w:val="18"/>
                <w:color w:val="auto"/>
              </w:rPr>
              <w:t>18,531</w:t>
            </w:r>
          </w:p>
        </w:tc>
        <w:tc>
          <w:tcPr>
            <w:tcW w:w="1660" w:type="dxa"/>
            <w:vAlign w:val="bottom"/>
          </w:tcPr>
          <w:p>
            <w:pPr>
              <w:jc w:val="right"/>
              <w:ind w:right="432"/>
              <w:spacing w:after="0"/>
              <w:rPr>
                <w:sz w:val="20"/>
                <w:szCs w:val="20"/>
                <w:color w:val="auto"/>
              </w:rPr>
            </w:pPr>
            <w:r>
              <w:rPr>
                <w:rFonts w:ascii="Arial" w:cs="Arial" w:eastAsia="Arial" w:hAnsi="Arial"/>
                <w:sz w:val="18"/>
                <w:szCs w:val="18"/>
                <w:color w:val="auto"/>
              </w:rPr>
              <w:t>13,292</w:t>
            </w:r>
          </w:p>
        </w:tc>
        <w:tc>
          <w:tcPr>
            <w:tcW w:w="1580" w:type="dxa"/>
            <w:vAlign w:val="bottom"/>
          </w:tcPr>
          <w:p>
            <w:pPr>
              <w:jc w:val="right"/>
              <w:ind w:right="352"/>
              <w:spacing w:after="0"/>
              <w:rPr>
                <w:sz w:val="20"/>
                <w:szCs w:val="20"/>
                <w:color w:val="auto"/>
              </w:rPr>
            </w:pPr>
            <w:r>
              <w:rPr>
                <w:rFonts w:ascii="Arial" w:cs="Arial" w:eastAsia="Arial" w:hAnsi="Arial"/>
                <w:sz w:val="18"/>
                <w:szCs w:val="18"/>
                <w:color w:val="auto"/>
              </w:rPr>
              <w:t>15,781</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13,504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spacing w:after="0"/>
              <w:rPr>
                <w:sz w:val="18"/>
                <w:szCs w:val="18"/>
                <w:color w:val="auto"/>
              </w:rPr>
            </w:pPr>
          </w:p>
        </w:tc>
        <w:tc>
          <w:tcPr>
            <w:tcW w:w="154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rPr>
              <w:t>600,322</w:t>
            </w:r>
          </w:p>
        </w:tc>
        <w:tc>
          <w:tcPr>
            <w:tcW w:w="166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rPr>
              <w:t>647,703</w:t>
            </w:r>
          </w:p>
        </w:tc>
        <w:tc>
          <w:tcPr>
            <w:tcW w:w="158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640,293</w:t>
            </w:r>
          </w:p>
        </w:tc>
        <w:tc>
          <w:tcPr>
            <w:tcW w:w="124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rPr>
              <w:t>695,885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80" w:type="dxa"/>
            <w:vAlign w:val="bottom"/>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1660" w:type="dxa"/>
            <w:vAlign w:val="bottom"/>
            <w:shd w:val="clear" w:color="auto" w:fill="808080"/>
          </w:tcPr>
          <w:p>
            <w:pPr>
              <w:spacing w:after="0"/>
              <w:rPr>
                <w:sz w:val="5"/>
                <w:szCs w:val="5"/>
                <w:color w:val="auto"/>
              </w:rPr>
            </w:pPr>
          </w:p>
        </w:tc>
        <w:tc>
          <w:tcPr>
            <w:tcW w:w="158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5380" w:type="dxa"/>
            <w:vAlign w:val="bottom"/>
          </w:tcPr>
          <w:p>
            <w:pPr>
              <w:ind w:left="280"/>
              <w:spacing w:after="0"/>
              <w:rPr>
                <w:sz w:val="20"/>
                <w:szCs w:val="20"/>
                <w:color w:val="auto"/>
              </w:rPr>
            </w:pPr>
            <w:r>
              <w:rPr>
                <w:rFonts w:ascii="Arial" w:cs="Arial" w:eastAsia="Arial" w:hAnsi="Arial"/>
                <w:sz w:val="18"/>
                <w:szCs w:val="18"/>
                <w:color w:val="auto"/>
              </w:rPr>
              <w:t>Operating costs and expenses</w:t>
            </w:r>
          </w:p>
        </w:tc>
        <w:tc>
          <w:tcPr>
            <w:tcW w:w="1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80" w:type="dxa"/>
            <w:vAlign w:val="bottom"/>
            <w:shd w:val="clear" w:color="auto" w:fill="EEEEEE"/>
          </w:tcPr>
          <w:p>
            <w:pPr>
              <w:ind w:left="560"/>
              <w:spacing w:after="0"/>
              <w:rPr>
                <w:sz w:val="20"/>
                <w:szCs w:val="20"/>
                <w:color w:val="auto"/>
              </w:rPr>
            </w:pPr>
            <w:r>
              <w:rPr>
                <w:rFonts w:ascii="Arial" w:cs="Arial" w:eastAsia="Arial" w:hAnsi="Arial"/>
                <w:sz w:val="18"/>
                <w:szCs w:val="18"/>
                <w:color w:val="auto"/>
              </w:rPr>
              <w:t>Operating</w:t>
            </w:r>
          </w:p>
        </w:tc>
        <w:tc>
          <w:tcPr>
            <w:tcW w:w="154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rPr>
              <w:t>333,239</w:t>
            </w:r>
          </w:p>
        </w:tc>
        <w:tc>
          <w:tcPr>
            <w:tcW w:w="166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rPr>
              <w:t>335,443</w:t>
            </w:r>
          </w:p>
        </w:tc>
        <w:tc>
          <w:tcPr>
            <w:tcW w:w="158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342,411</w:t>
            </w:r>
          </w:p>
        </w:tc>
        <w:tc>
          <w:tcPr>
            <w:tcW w:w="124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rPr>
              <w:t>358,862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Selling, general and administrative</w:t>
            </w:r>
          </w:p>
        </w:tc>
        <w:tc>
          <w:tcPr>
            <w:tcW w:w="1540" w:type="dxa"/>
            <w:vAlign w:val="bottom"/>
          </w:tcPr>
          <w:p>
            <w:pPr>
              <w:jc w:val="right"/>
              <w:ind w:right="432"/>
              <w:spacing w:after="0"/>
              <w:rPr>
                <w:sz w:val="20"/>
                <w:szCs w:val="20"/>
                <w:color w:val="auto"/>
              </w:rPr>
            </w:pPr>
            <w:r>
              <w:rPr>
                <w:rFonts w:ascii="Arial" w:cs="Arial" w:eastAsia="Arial" w:hAnsi="Arial"/>
                <w:sz w:val="18"/>
                <w:szCs w:val="18"/>
                <w:color w:val="auto"/>
              </w:rPr>
              <w:t>176,866</w:t>
            </w:r>
          </w:p>
        </w:tc>
        <w:tc>
          <w:tcPr>
            <w:tcW w:w="1660" w:type="dxa"/>
            <w:vAlign w:val="bottom"/>
          </w:tcPr>
          <w:p>
            <w:pPr>
              <w:jc w:val="right"/>
              <w:ind w:right="432"/>
              <w:spacing w:after="0"/>
              <w:rPr>
                <w:sz w:val="20"/>
                <w:szCs w:val="20"/>
                <w:color w:val="auto"/>
              </w:rPr>
            </w:pPr>
            <w:r>
              <w:rPr>
                <w:rFonts w:ascii="Arial" w:cs="Arial" w:eastAsia="Arial" w:hAnsi="Arial"/>
                <w:sz w:val="18"/>
                <w:szCs w:val="18"/>
                <w:color w:val="auto"/>
              </w:rPr>
              <w:t>160,387</w:t>
            </w:r>
          </w:p>
        </w:tc>
        <w:tc>
          <w:tcPr>
            <w:tcW w:w="1580" w:type="dxa"/>
            <w:vAlign w:val="bottom"/>
          </w:tcPr>
          <w:p>
            <w:pPr>
              <w:jc w:val="right"/>
              <w:ind w:right="352"/>
              <w:spacing w:after="0"/>
              <w:rPr>
                <w:sz w:val="20"/>
                <w:szCs w:val="20"/>
                <w:color w:val="auto"/>
              </w:rPr>
            </w:pPr>
            <w:r>
              <w:rPr>
                <w:rFonts w:ascii="Arial" w:cs="Arial" w:eastAsia="Arial" w:hAnsi="Arial"/>
                <w:sz w:val="18"/>
                <w:szCs w:val="18"/>
                <w:color w:val="auto"/>
              </w:rPr>
              <w:t>162,642</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164,200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ind w:left="560"/>
              <w:spacing w:after="0"/>
              <w:rPr>
                <w:sz w:val="20"/>
                <w:szCs w:val="20"/>
                <w:color w:val="auto"/>
              </w:rPr>
            </w:pPr>
            <w:r>
              <w:rPr>
                <w:rFonts w:ascii="Arial" w:cs="Arial" w:eastAsia="Arial" w:hAnsi="Arial"/>
                <w:sz w:val="18"/>
                <w:szCs w:val="18"/>
                <w:color w:val="auto"/>
              </w:rPr>
              <w:t>Depreciation of property, plant and equipment</w:t>
            </w:r>
          </w:p>
        </w:tc>
        <w:tc>
          <w:tcPr>
            <w:tcW w:w="154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rPr>
              <w:t>41,173</w:t>
            </w:r>
          </w:p>
        </w:tc>
        <w:tc>
          <w:tcPr>
            <w:tcW w:w="166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rPr>
              <w:t>41,286</w:t>
            </w:r>
          </w:p>
        </w:tc>
        <w:tc>
          <w:tcPr>
            <w:tcW w:w="158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45,808</w:t>
            </w:r>
          </w:p>
        </w:tc>
        <w:tc>
          <w:tcPr>
            <w:tcW w:w="124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rPr>
              <w:t>43,641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Amortization of goodwill and other intangibles</w:t>
            </w:r>
          </w:p>
        </w:tc>
        <w:tc>
          <w:tcPr>
            <w:tcW w:w="1540" w:type="dxa"/>
            <w:vAlign w:val="bottom"/>
          </w:tcPr>
          <w:p>
            <w:pPr>
              <w:jc w:val="right"/>
              <w:ind w:right="432"/>
              <w:spacing w:after="0"/>
              <w:rPr>
                <w:sz w:val="20"/>
                <w:szCs w:val="20"/>
                <w:color w:val="auto"/>
              </w:rPr>
            </w:pPr>
            <w:r>
              <w:rPr>
                <w:rFonts w:ascii="Arial" w:cs="Arial" w:eastAsia="Arial" w:hAnsi="Arial"/>
                <w:sz w:val="18"/>
                <w:szCs w:val="18"/>
                <w:color w:val="auto"/>
              </w:rPr>
              <w:t>152</w:t>
            </w:r>
          </w:p>
        </w:tc>
        <w:tc>
          <w:tcPr>
            <w:tcW w:w="1660" w:type="dxa"/>
            <w:vAlign w:val="bottom"/>
          </w:tcPr>
          <w:p>
            <w:pPr>
              <w:jc w:val="right"/>
              <w:ind w:right="432"/>
              <w:spacing w:after="0"/>
              <w:rPr>
                <w:sz w:val="20"/>
                <w:szCs w:val="20"/>
                <w:color w:val="auto"/>
              </w:rPr>
            </w:pPr>
            <w:r>
              <w:rPr>
                <w:rFonts w:ascii="Arial" w:cs="Arial" w:eastAsia="Arial" w:hAnsi="Arial"/>
                <w:sz w:val="18"/>
                <w:szCs w:val="18"/>
                <w:color w:val="auto"/>
              </w:rPr>
              <w:t>159</w:t>
            </w:r>
          </w:p>
        </w:tc>
        <w:tc>
          <w:tcPr>
            <w:tcW w:w="1580" w:type="dxa"/>
            <w:vAlign w:val="bottom"/>
          </w:tcPr>
          <w:p>
            <w:pPr>
              <w:jc w:val="right"/>
              <w:ind w:right="352"/>
              <w:spacing w:after="0"/>
              <w:rPr>
                <w:sz w:val="20"/>
                <w:szCs w:val="20"/>
                <w:color w:val="auto"/>
              </w:rPr>
            </w:pPr>
            <w:r>
              <w:rPr>
                <w:rFonts w:ascii="Arial" w:cs="Arial" w:eastAsia="Arial" w:hAnsi="Arial"/>
                <w:sz w:val="18"/>
                <w:szCs w:val="18"/>
                <w:color w:val="auto"/>
              </w:rPr>
              <w:t>172</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spacing w:after="0"/>
              <w:rPr>
                <w:sz w:val="18"/>
                <w:szCs w:val="18"/>
                <w:color w:val="auto"/>
              </w:rPr>
            </w:pPr>
          </w:p>
        </w:tc>
        <w:tc>
          <w:tcPr>
            <w:tcW w:w="154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rPr>
              <w:t>551,430</w:t>
            </w:r>
          </w:p>
        </w:tc>
        <w:tc>
          <w:tcPr>
            <w:tcW w:w="166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rPr>
              <w:t>537,275</w:t>
            </w:r>
          </w:p>
        </w:tc>
        <w:tc>
          <w:tcPr>
            <w:tcW w:w="158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551,033</w:t>
            </w:r>
          </w:p>
        </w:tc>
        <w:tc>
          <w:tcPr>
            <w:tcW w:w="124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rPr>
              <w:t>566,875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80" w:type="dxa"/>
            <w:vAlign w:val="bottom"/>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1660" w:type="dxa"/>
            <w:vAlign w:val="bottom"/>
            <w:shd w:val="clear" w:color="auto" w:fill="808080"/>
          </w:tcPr>
          <w:p>
            <w:pPr>
              <w:spacing w:after="0"/>
              <w:rPr>
                <w:sz w:val="5"/>
                <w:szCs w:val="5"/>
                <w:color w:val="auto"/>
              </w:rPr>
            </w:pPr>
          </w:p>
        </w:tc>
        <w:tc>
          <w:tcPr>
            <w:tcW w:w="158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5380" w:type="dxa"/>
            <w:vAlign w:val="bottom"/>
          </w:tcPr>
          <w:p>
            <w:pPr>
              <w:ind w:left="280"/>
              <w:spacing w:after="0"/>
              <w:rPr>
                <w:sz w:val="20"/>
                <w:szCs w:val="20"/>
                <w:color w:val="auto"/>
              </w:rPr>
            </w:pPr>
            <w:r>
              <w:rPr>
                <w:rFonts w:ascii="Arial" w:cs="Arial" w:eastAsia="Arial" w:hAnsi="Arial"/>
                <w:sz w:val="18"/>
                <w:szCs w:val="18"/>
                <w:color w:val="auto"/>
              </w:rPr>
              <w:t>Income from operations</w:t>
            </w:r>
          </w:p>
        </w:tc>
        <w:tc>
          <w:tcPr>
            <w:tcW w:w="1540" w:type="dxa"/>
            <w:vAlign w:val="bottom"/>
          </w:tcPr>
          <w:p>
            <w:pPr>
              <w:jc w:val="right"/>
              <w:ind w:right="432"/>
              <w:spacing w:after="0"/>
              <w:rPr>
                <w:sz w:val="20"/>
                <w:szCs w:val="20"/>
                <w:color w:val="auto"/>
              </w:rPr>
            </w:pPr>
            <w:r>
              <w:rPr>
                <w:rFonts w:ascii="Arial" w:cs="Arial" w:eastAsia="Arial" w:hAnsi="Arial"/>
                <w:sz w:val="18"/>
                <w:szCs w:val="18"/>
                <w:color w:val="auto"/>
              </w:rPr>
              <w:t>48,892</w:t>
            </w:r>
          </w:p>
        </w:tc>
        <w:tc>
          <w:tcPr>
            <w:tcW w:w="1660" w:type="dxa"/>
            <w:vAlign w:val="bottom"/>
          </w:tcPr>
          <w:p>
            <w:pPr>
              <w:jc w:val="right"/>
              <w:ind w:right="432"/>
              <w:spacing w:after="0"/>
              <w:rPr>
                <w:sz w:val="20"/>
                <w:szCs w:val="20"/>
                <w:color w:val="auto"/>
              </w:rPr>
            </w:pPr>
            <w:r>
              <w:rPr>
                <w:rFonts w:ascii="Arial" w:cs="Arial" w:eastAsia="Arial" w:hAnsi="Arial"/>
                <w:sz w:val="18"/>
                <w:szCs w:val="18"/>
                <w:color w:val="auto"/>
              </w:rPr>
              <w:t>110,428</w:t>
            </w:r>
          </w:p>
        </w:tc>
        <w:tc>
          <w:tcPr>
            <w:tcW w:w="1580" w:type="dxa"/>
            <w:vAlign w:val="bottom"/>
          </w:tcPr>
          <w:p>
            <w:pPr>
              <w:jc w:val="right"/>
              <w:ind w:right="352"/>
              <w:spacing w:after="0"/>
              <w:rPr>
                <w:sz w:val="20"/>
                <w:szCs w:val="20"/>
                <w:color w:val="auto"/>
              </w:rPr>
            </w:pPr>
            <w:r>
              <w:rPr>
                <w:rFonts w:ascii="Arial" w:cs="Arial" w:eastAsia="Arial" w:hAnsi="Arial"/>
                <w:sz w:val="18"/>
                <w:szCs w:val="18"/>
                <w:color w:val="auto"/>
              </w:rPr>
              <w:t>89,260</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129,010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80" w:type="dxa"/>
            <w:vAlign w:val="bottom"/>
            <w:shd w:val="clear" w:color="auto" w:fill="EEEEEE"/>
          </w:tcPr>
          <w:p>
            <w:pPr>
              <w:ind w:left="560"/>
              <w:spacing w:after="0"/>
              <w:rPr>
                <w:sz w:val="20"/>
                <w:szCs w:val="20"/>
                <w:color w:val="auto"/>
              </w:rPr>
            </w:pPr>
            <w:r>
              <w:rPr>
                <w:rFonts w:ascii="Arial" w:cs="Arial" w:eastAsia="Arial" w:hAnsi="Arial"/>
                <w:sz w:val="18"/>
                <w:szCs w:val="18"/>
                <w:color w:val="auto"/>
              </w:rPr>
              <w:t>Equity in losses of affiliates</w:t>
            </w:r>
          </w:p>
        </w:tc>
        <w:tc>
          <w:tcPr>
            <w:tcW w:w="1540" w:type="dxa"/>
            <w:vAlign w:val="bottom"/>
            <w:shd w:val="clear" w:color="auto" w:fill="EEEEEE"/>
          </w:tcPr>
          <w:p>
            <w:pPr>
              <w:jc w:val="right"/>
              <w:ind w:right="372"/>
              <w:spacing w:after="0"/>
              <w:rPr>
                <w:sz w:val="20"/>
                <w:szCs w:val="20"/>
                <w:color w:val="auto"/>
              </w:rPr>
            </w:pPr>
            <w:r>
              <w:rPr>
                <w:rFonts w:ascii="Arial" w:cs="Arial" w:eastAsia="Arial" w:hAnsi="Arial"/>
                <w:sz w:val="18"/>
                <w:szCs w:val="18"/>
                <w:color w:val="auto"/>
              </w:rPr>
              <w:t>(6,506)</w:t>
            </w:r>
          </w:p>
        </w:tc>
        <w:tc>
          <w:tcPr>
            <w:tcW w:w="1660" w:type="dxa"/>
            <w:vAlign w:val="bottom"/>
            <w:shd w:val="clear" w:color="auto" w:fill="EEEEEE"/>
          </w:tcPr>
          <w:p>
            <w:pPr>
              <w:jc w:val="right"/>
              <w:ind w:right="372"/>
              <w:spacing w:after="0"/>
              <w:rPr>
                <w:sz w:val="20"/>
                <w:szCs w:val="20"/>
                <w:color w:val="auto"/>
              </w:rPr>
            </w:pPr>
            <w:r>
              <w:rPr>
                <w:rFonts w:ascii="Arial" w:cs="Arial" w:eastAsia="Arial" w:hAnsi="Arial"/>
                <w:sz w:val="18"/>
                <w:szCs w:val="18"/>
                <w:color w:val="auto"/>
              </w:rPr>
              <w:t>(9,183)</w:t>
            </w:r>
          </w:p>
        </w:tc>
        <w:tc>
          <w:tcPr>
            <w:tcW w:w="158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(1,254)</w:t>
            </w:r>
          </w:p>
        </w:tc>
        <w:tc>
          <w:tcPr>
            <w:tcW w:w="124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(2,366)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Interest income</w:t>
            </w:r>
          </w:p>
        </w:tc>
        <w:tc>
          <w:tcPr>
            <w:tcW w:w="1540" w:type="dxa"/>
            <w:vAlign w:val="bottom"/>
          </w:tcPr>
          <w:p>
            <w:pPr>
              <w:jc w:val="right"/>
              <w:ind w:right="432"/>
              <w:spacing w:after="0"/>
              <w:rPr>
                <w:sz w:val="20"/>
                <w:szCs w:val="20"/>
                <w:color w:val="auto"/>
              </w:rPr>
            </w:pPr>
            <w:r>
              <w:rPr>
                <w:rFonts w:ascii="Arial" w:cs="Arial" w:eastAsia="Arial" w:hAnsi="Arial"/>
                <w:sz w:val="18"/>
                <w:szCs w:val="18"/>
                <w:color w:val="auto"/>
              </w:rPr>
              <w:t>133</w:t>
            </w:r>
          </w:p>
        </w:tc>
        <w:tc>
          <w:tcPr>
            <w:tcW w:w="1660" w:type="dxa"/>
            <w:vAlign w:val="bottom"/>
          </w:tcPr>
          <w:p>
            <w:pPr>
              <w:jc w:val="right"/>
              <w:ind w:right="432"/>
              <w:spacing w:after="0"/>
              <w:rPr>
                <w:sz w:val="20"/>
                <w:szCs w:val="20"/>
                <w:color w:val="auto"/>
              </w:rPr>
            </w:pPr>
            <w:r>
              <w:rPr>
                <w:rFonts w:ascii="Arial" w:cs="Arial" w:eastAsia="Arial" w:hAnsi="Arial"/>
                <w:sz w:val="18"/>
                <w:szCs w:val="18"/>
                <w:color w:val="auto"/>
              </w:rPr>
              <w:t>59</w:t>
            </w:r>
          </w:p>
        </w:tc>
        <w:tc>
          <w:tcPr>
            <w:tcW w:w="1580" w:type="dxa"/>
            <w:vAlign w:val="bottom"/>
          </w:tcPr>
          <w:p>
            <w:pPr>
              <w:jc w:val="right"/>
              <w:ind w:right="352"/>
              <w:spacing w:after="0"/>
              <w:rPr>
                <w:sz w:val="20"/>
                <w:szCs w:val="20"/>
                <w:color w:val="auto"/>
              </w:rPr>
            </w:pPr>
            <w:r>
              <w:rPr>
                <w:rFonts w:ascii="Arial" w:cs="Arial" w:eastAsia="Arial" w:hAnsi="Arial"/>
                <w:sz w:val="18"/>
                <w:szCs w:val="18"/>
                <w:color w:val="auto"/>
              </w:rPr>
              <w:t>69</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ind w:left="560"/>
              <w:spacing w:after="0"/>
              <w:rPr>
                <w:sz w:val="20"/>
                <w:szCs w:val="20"/>
                <w:color w:val="auto"/>
              </w:rPr>
            </w:pPr>
            <w:r>
              <w:rPr>
                <w:rFonts w:ascii="Arial" w:cs="Arial" w:eastAsia="Arial" w:hAnsi="Arial"/>
                <w:sz w:val="18"/>
                <w:szCs w:val="18"/>
                <w:color w:val="auto"/>
              </w:rPr>
              <w:t>Interest expense</w:t>
            </w:r>
          </w:p>
        </w:tc>
        <w:tc>
          <w:tcPr>
            <w:tcW w:w="1540" w:type="dxa"/>
            <w:vAlign w:val="bottom"/>
            <w:shd w:val="clear" w:color="auto" w:fill="EEEEEE"/>
          </w:tcPr>
          <w:p>
            <w:pPr>
              <w:jc w:val="right"/>
              <w:ind w:right="372"/>
              <w:spacing w:after="0"/>
              <w:rPr>
                <w:sz w:val="20"/>
                <w:szCs w:val="20"/>
                <w:color w:val="auto"/>
              </w:rPr>
            </w:pPr>
            <w:r>
              <w:rPr>
                <w:rFonts w:ascii="Arial" w:cs="Arial" w:eastAsia="Arial" w:hAnsi="Arial"/>
                <w:sz w:val="18"/>
                <w:szCs w:val="18"/>
                <w:color w:val="auto"/>
              </w:rPr>
              <w:t>(8,867)</w:t>
            </w:r>
          </w:p>
        </w:tc>
        <w:tc>
          <w:tcPr>
            <w:tcW w:w="1660" w:type="dxa"/>
            <w:vAlign w:val="bottom"/>
            <w:shd w:val="clear" w:color="auto" w:fill="EEEEEE"/>
          </w:tcPr>
          <w:p>
            <w:pPr>
              <w:jc w:val="right"/>
              <w:ind w:right="372"/>
              <w:spacing w:after="0"/>
              <w:rPr>
                <w:sz w:val="20"/>
                <w:szCs w:val="20"/>
                <w:color w:val="auto"/>
              </w:rPr>
            </w:pPr>
            <w:r>
              <w:rPr>
                <w:rFonts w:ascii="Arial" w:cs="Arial" w:eastAsia="Arial" w:hAnsi="Arial"/>
                <w:sz w:val="18"/>
                <w:szCs w:val="18"/>
                <w:color w:val="auto"/>
              </w:rPr>
              <w:t>(8,797)</w:t>
            </w:r>
          </w:p>
        </w:tc>
        <w:tc>
          <w:tcPr>
            <w:tcW w:w="158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(8,717)</w:t>
            </w:r>
          </w:p>
        </w:tc>
        <w:tc>
          <w:tcPr>
            <w:tcW w:w="124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(7,438)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Other income (expense), net</w:t>
            </w:r>
          </w:p>
        </w:tc>
        <w:tc>
          <w:tcPr>
            <w:tcW w:w="1540" w:type="dxa"/>
            <w:vAlign w:val="bottom"/>
          </w:tcPr>
          <w:p>
            <w:pPr>
              <w:jc w:val="right"/>
              <w:ind w:right="432"/>
              <w:spacing w:after="0"/>
              <w:rPr>
                <w:sz w:val="20"/>
                <w:szCs w:val="20"/>
                <w:color w:val="auto"/>
              </w:rPr>
            </w:pPr>
            <w:r>
              <w:rPr>
                <w:rFonts w:ascii="Arial" w:cs="Arial" w:eastAsia="Arial" w:hAnsi="Arial"/>
                <w:sz w:val="18"/>
                <w:szCs w:val="18"/>
                <w:color w:val="auto"/>
              </w:rPr>
              <w:t>6,454</w:t>
            </w:r>
          </w:p>
        </w:tc>
        <w:tc>
          <w:tcPr>
            <w:tcW w:w="1660" w:type="dxa"/>
            <w:vAlign w:val="bottom"/>
          </w:tcPr>
          <w:p>
            <w:pPr>
              <w:jc w:val="right"/>
              <w:ind w:right="372"/>
              <w:spacing w:after="0"/>
              <w:rPr>
                <w:sz w:val="20"/>
                <w:szCs w:val="20"/>
                <w:color w:val="auto"/>
              </w:rPr>
            </w:pPr>
            <w:r>
              <w:rPr>
                <w:rFonts w:ascii="Arial" w:cs="Arial" w:eastAsia="Arial" w:hAnsi="Arial"/>
                <w:sz w:val="18"/>
                <w:szCs w:val="18"/>
                <w:color w:val="auto"/>
              </w:rPr>
              <w:t>(5,963)</w:t>
            </w:r>
          </w:p>
        </w:tc>
        <w:tc>
          <w:tcPr>
            <w:tcW w:w="1580" w:type="dxa"/>
            <w:vAlign w:val="bottom"/>
          </w:tcPr>
          <w:p>
            <w:pPr>
              <w:jc w:val="right"/>
              <w:ind w:right="352"/>
              <w:spacing w:after="0"/>
              <w:rPr>
                <w:sz w:val="20"/>
                <w:szCs w:val="20"/>
                <w:color w:val="auto"/>
              </w:rPr>
            </w:pPr>
            <w:r>
              <w:rPr>
                <w:rFonts w:ascii="Arial" w:cs="Arial" w:eastAsia="Arial" w:hAnsi="Arial"/>
                <w:sz w:val="18"/>
                <w:szCs w:val="18"/>
                <w:color w:val="auto"/>
              </w:rPr>
              <w:t>1,115</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27,268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Income before income taxes and cumulative effect of change in</w:t>
            </w:r>
          </w:p>
        </w:tc>
        <w:tc>
          <w:tcPr>
            <w:tcW w:w="1540" w:type="dxa"/>
            <w:vAlign w:val="bottom"/>
            <w:shd w:val="clear" w:color="auto" w:fill="EEEEEE"/>
          </w:tcPr>
          <w:p>
            <w:pPr>
              <w:spacing w:after="0"/>
              <w:rPr>
                <w:sz w:val="18"/>
                <w:szCs w:val="18"/>
                <w:color w:val="auto"/>
              </w:rPr>
            </w:pPr>
          </w:p>
        </w:tc>
        <w:tc>
          <w:tcPr>
            <w:tcW w:w="166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80" w:type="dxa"/>
            <w:vAlign w:val="bottom"/>
            <w:shd w:val="clear" w:color="auto" w:fill="EEEEEE"/>
          </w:tcPr>
          <w:p>
            <w:pPr>
              <w:ind w:left="400"/>
              <w:spacing w:after="0"/>
              <w:rPr>
                <w:sz w:val="20"/>
                <w:szCs w:val="20"/>
                <w:color w:val="auto"/>
              </w:rPr>
            </w:pPr>
            <w:r>
              <w:rPr>
                <w:rFonts w:ascii="Arial" w:cs="Arial" w:eastAsia="Arial" w:hAnsi="Arial"/>
                <w:sz w:val="18"/>
                <w:szCs w:val="18"/>
                <w:color w:val="auto"/>
              </w:rPr>
              <w:t>accounting principle</w:t>
            </w:r>
          </w:p>
        </w:tc>
        <w:tc>
          <w:tcPr>
            <w:tcW w:w="154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rPr>
              <w:t>40,106</w:t>
            </w:r>
          </w:p>
        </w:tc>
        <w:tc>
          <w:tcPr>
            <w:tcW w:w="166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rPr>
              <w:t>86,544</w:t>
            </w:r>
          </w:p>
        </w:tc>
        <w:tc>
          <w:tcPr>
            <w:tcW w:w="158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80,473</w:t>
            </w:r>
          </w:p>
        </w:tc>
        <w:tc>
          <w:tcPr>
            <w:tcW w:w="124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rPr>
              <w:t>146,545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ind w:left="280"/>
              <w:spacing w:after="0"/>
              <w:rPr>
                <w:sz w:val="20"/>
                <w:szCs w:val="20"/>
                <w:color w:val="auto"/>
              </w:rPr>
            </w:pPr>
            <w:r>
              <w:rPr>
                <w:rFonts w:ascii="Arial" w:cs="Arial" w:eastAsia="Arial" w:hAnsi="Arial"/>
                <w:sz w:val="18"/>
                <w:szCs w:val="18"/>
                <w:color w:val="auto"/>
              </w:rPr>
              <w:t>Provision for income taxes</w:t>
            </w:r>
          </w:p>
        </w:tc>
        <w:tc>
          <w:tcPr>
            <w:tcW w:w="1540" w:type="dxa"/>
            <w:vAlign w:val="bottom"/>
          </w:tcPr>
          <w:p>
            <w:pPr>
              <w:jc w:val="right"/>
              <w:ind w:right="432"/>
              <w:spacing w:after="0"/>
              <w:rPr>
                <w:sz w:val="20"/>
                <w:szCs w:val="20"/>
                <w:color w:val="auto"/>
              </w:rPr>
            </w:pPr>
            <w:r>
              <w:rPr>
                <w:rFonts w:ascii="Arial" w:cs="Arial" w:eastAsia="Arial" w:hAnsi="Arial"/>
                <w:sz w:val="18"/>
                <w:szCs w:val="18"/>
                <w:color w:val="auto"/>
              </w:rPr>
              <w:t>16,400</w:t>
            </w:r>
          </w:p>
        </w:tc>
        <w:tc>
          <w:tcPr>
            <w:tcW w:w="1660" w:type="dxa"/>
            <w:vAlign w:val="bottom"/>
          </w:tcPr>
          <w:p>
            <w:pPr>
              <w:jc w:val="right"/>
              <w:ind w:right="432"/>
              <w:spacing w:after="0"/>
              <w:rPr>
                <w:sz w:val="20"/>
                <w:szCs w:val="20"/>
                <w:color w:val="auto"/>
              </w:rPr>
            </w:pPr>
            <w:r>
              <w:rPr>
                <w:rFonts w:ascii="Arial" w:cs="Arial" w:eastAsia="Arial" w:hAnsi="Arial"/>
                <w:sz w:val="18"/>
                <w:szCs w:val="18"/>
                <w:color w:val="auto"/>
              </w:rPr>
              <w:t>35,400</w:t>
            </w:r>
          </w:p>
        </w:tc>
        <w:tc>
          <w:tcPr>
            <w:tcW w:w="1580" w:type="dxa"/>
            <w:vAlign w:val="bottom"/>
          </w:tcPr>
          <w:p>
            <w:pPr>
              <w:jc w:val="right"/>
              <w:ind w:right="352"/>
              <w:spacing w:after="0"/>
              <w:rPr>
                <w:sz w:val="20"/>
                <w:szCs w:val="20"/>
                <w:color w:val="auto"/>
              </w:rPr>
            </w:pPr>
            <w:r>
              <w:rPr>
                <w:rFonts w:ascii="Arial" w:cs="Arial" w:eastAsia="Arial" w:hAnsi="Arial"/>
                <w:sz w:val="18"/>
                <w:szCs w:val="18"/>
                <w:color w:val="auto"/>
              </w:rPr>
              <w:t>32,700</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52,800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EEEEEE"/>
          </w:tcPr>
          <w:p>
            <w:pPr>
              <w:ind w:left="280"/>
              <w:spacing w:after="0"/>
              <w:rPr>
                <w:sz w:val="20"/>
                <w:szCs w:val="20"/>
                <w:color w:val="auto"/>
              </w:rPr>
            </w:pPr>
            <w:r>
              <w:rPr>
                <w:rFonts w:ascii="Arial" w:cs="Arial" w:eastAsia="Arial" w:hAnsi="Arial"/>
                <w:sz w:val="18"/>
                <w:szCs w:val="18"/>
                <w:color w:val="auto"/>
                <w:w w:val="97"/>
              </w:rPr>
              <w:t>Income before cumulative effect of change in accounting principle</w:t>
            </w:r>
          </w:p>
        </w:tc>
        <w:tc>
          <w:tcPr>
            <w:tcW w:w="154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rPr>
              <w:t>23,706</w:t>
            </w:r>
          </w:p>
        </w:tc>
        <w:tc>
          <w:tcPr>
            <w:tcW w:w="166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rPr>
              <w:t>51,144</w:t>
            </w:r>
          </w:p>
        </w:tc>
        <w:tc>
          <w:tcPr>
            <w:tcW w:w="158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47,773</w:t>
            </w:r>
          </w:p>
        </w:tc>
        <w:tc>
          <w:tcPr>
            <w:tcW w:w="124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rPr>
              <w:t>93,745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80" w:type="dxa"/>
            <w:vAlign w:val="bottom"/>
          </w:tcPr>
          <w:p>
            <w:pPr>
              <w:ind w:left="280"/>
              <w:spacing w:after="0"/>
              <w:rPr>
                <w:sz w:val="20"/>
                <w:szCs w:val="20"/>
                <w:color w:val="auto"/>
              </w:rPr>
            </w:pPr>
            <w:r>
              <w:rPr>
                <w:rFonts w:ascii="Arial" w:cs="Arial" w:eastAsia="Arial" w:hAnsi="Arial"/>
                <w:sz w:val="18"/>
                <w:szCs w:val="18"/>
                <w:color w:val="auto"/>
                <w:w w:val="98"/>
              </w:rPr>
              <w:t>Cumulative effect of change in method of accounting for goodwill</w:t>
            </w:r>
          </w:p>
        </w:tc>
        <w:tc>
          <w:tcPr>
            <w:tcW w:w="15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900" w:orient="portrait"/>
          <w:cols w:equalWidth="0" w:num="1">
            <w:col w:w="11420"/>
          </w:cols>
          <w:pgMar w:left="240" w:top="1157" w:right="239" w:bottom="0" w:gutter="0" w:footer="0" w:header="0"/>
        </w:sectPr>
      </w:pPr>
    </w:p>
    <w:p>
      <w:pPr>
        <w:ind w:left="420"/>
        <w:spacing w:after="0"/>
        <w:rPr>
          <w:sz w:val="20"/>
          <w:szCs w:val="20"/>
          <w:color w:val="auto"/>
        </w:rPr>
      </w:pPr>
      <w:r>
        <w:rPr>
          <w:rFonts w:ascii="Arial" w:cs="Arial" w:eastAsia="Arial" w:hAnsi="Arial"/>
          <w:sz w:val="18"/>
          <w:szCs w:val="18"/>
          <w:color w:val="auto"/>
        </w:rPr>
        <w:t>and other intangible assets,net of taxes</w:t>
      </w:r>
      <w:r>
        <w:rPr>
          <w:rFonts w:ascii="Arial" w:cs="Arial" w:eastAsia="Arial" w:hAnsi="Arial"/>
          <w:sz w:val="29"/>
          <w:szCs w:val="29"/>
          <w:color w:val="auto"/>
          <w:vertAlign w:val="superscript"/>
        </w:rPr>
        <w:t>(1)</w:t>
      </w:r>
    </w:p>
    <w:p>
      <w:pPr>
        <w:spacing w:after="0" w:line="14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Net income</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Redeemable preferred stock dividends</w:t>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Net income available for common shares</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Basic earnings per common share:</w:t>
      </w:r>
    </w:p>
    <w:p>
      <w:pPr>
        <w:spacing w:after="0" w:line="15" w:lineRule="exact"/>
        <w:rPr>
          <w:sz w:val="20"/>
          <w:szCs w:val="20"/>
          <w:color w:val="auto"/>
        </w:rPr>
      </w:pPr>
    </w:p>
    <w:p>
      <w:pPr>
        <w:ind w:left="580"/>
        <w:spacing w:after="0" w:line="323" w:lineRule="auto"/>
        <w:rPr>
          <w:sz w:val="20"/>
          <w:szCs w:val="20"/>
          <w:color w:val="auto"/>
        </w:rPr>
      </w:pPr>
      <w:r>
        <w:rPr>
          <w:rFonts w:ascii="Arial" w:cs="Arial" w:eastAsia="Arial" w:hAnsi="Arial"/>
          <w:sz w:val="16"/>
          <w:szCs w:val="16"/>
          <w:color w:val="auto"/>
        </w:rPr>
        <w:t>Before cumulative effect of change in accounting principle Cumulative effect of change in accounting principle</w:t>
      </w:r>
    </w:p>
    <w:p>
      <w:pPr>
        <w:spacing w:after="0" w:line="16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Net income available for common shares</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Diluted earnings per common share:</w:t>
      </w:r>
    </w:p>
    <w:p>
      <w:pPr>
        <w:spacing w:after="0" w:line="15" w:lineRule="exact"/>
        <w:rPr>
          <w:sz w:val="20"/>
          <w:szCs w:val="20"/>
          <w:color w:val="auto"/>
        </w:rPr>
      </w:pPr>
    </w:p>
    <w:p>
      <w:pPr>
        <w:ind w:left="580"/>
        <w:spacing w:after="0" w:line="323" w:lineRule="auto"/>
        <w:rPr>
          <w:sz w:val="20"/>
          <w:szCs w:val="20"/>
          <w:color w:val="auto"/>
        </w:rPr>
      </w:pPr>
      <w:r>
        <w:rPr>
          <w:rFonts w:ascii="Arial" w:cs="Arial" w:eastAsia="Arial" w:hAnsi="Arial"/>
          <w:sz w:val="16"/>
          <w:szCs w:val="16"/>
          <w:color w:val="auto"/>
        </w:rPr>
        <w:t>Before cumulative effect of change in accounting principle Cumulative effect of change in accounting principle</w:t>
      </w:r>
    </w:p>
    <w:p>
      <w:pPr>
        <w:spacing w:after="0" w:line="16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Net income available for common shares</w:t>
      </w:r>
    </w:p>
    <w:p>
      <w:pPr>
        <w:spacing w:after="0" w:line="279" w:lineRule="exact"/>
        <w:rPr>
          <w:sz w:val="20"/>
          <w:szCs w:val="20"/>
          <w:color w:val="auto"/>
        </w:rPr>
      </w:pPr>
    </w:p>
    <w:p>
      <w:pPr>
        <w:ind w:left="300" w:right="1700"/>
        <w:spacing w:after="0" w:line="335" w:lineRule="auto"/>
        <w:rPr>
          <w:sz w:val="20"/>
          <w:szCs w:val="20"/>
          <w:color w:val="auto"/>
        </w:rPr>
      </w:pPr>
      <w:r>
        <w:rPr>
          <w:rFonts w:ascii="Arial" w:cs="Arial" w:eastAsia="Arial" w:hAnsi="Arial"/>
          <w:sz w:val="15"/>
          <w:szCs w:val="15"/>
          <w:color w:val="auto"/>
        </w:rPr>
        <w:t>Basic average shares outstanding Diluted average shares outstanding 2002 Quarterly comprehensive income</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460" w:type="dxa"/>
            <w:vAlign w:val="bottom"/>
          </w:tcPr>
          <w:p>
            <w:pPr>
              <w:spacing w:after="0"/>
              <w:rPr>
                <w:sz w:val="19"/>
                <w:szCs w:val="19"/>
                <w:color w:val="auto"/>
              </w:rPr>
            </w:pPr>
          </w:p>
        </w:tc>
        <w:tc>
          <w:tcPr>
            <w:tcW w:w="1080" w:type="dxa"/>
            <w:vAlign w:val="bottom"/>
          </w:tcPr>
          <w:p>
            <w:pPr>
              <w:jc w:val="right"/>
              <w:ind w:right="372"/>
              <w:spacing w:after="0"/>
              <w:rPr>
                <w:sz w:val="20"/>
                <w:szCs w:val="20"/>
                <w:color w:val="auto"/>
              </w:rPr>
            </w:pPr>
            <w:r>
              <w:rPr>
                <w:rFonts w:ascii="Arial" w:cs="Arial" w:eastAsia="Arial" w:hAnsi="Arial"/>
                <w:sz w:val="18"/>
                <w:szCs w:val="18"/>
                <w:color w:val="auto"/>
                <w:w w:val="89"/>
              </w:rPr>
              <w:t>(12,100)</w:t>
            </w:r>
          </w:p>
        </w:tc>
        <w:tc>
          <w:tcPr>
            <w:tcW w:w="620" w:type="dxa"/>
            <w:vAlign w:val="bottom"/>
          </w:tcPr>
          <w:p>
            <w:pPr>
              <w:spacing w:after="0"/>
              <w:rPr>
                <w:sz w:val="19"/>
                <w:szCs w:val="19"/>
                <w:color w:val="auto"/>
              </w:rPr>
            </w:pPr>
          </w:p>
        </w:tc>
        <w:tc>
          <w:tcPr>
            <w:tcW w:w="10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96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110"/>
        </w:trPr>
        <w:tc>
          <w:tcPr>
            <w:tcW w:w="4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r>
      <w:tr>
        <w:trPr>
          <w:trHeight w:val="309"/>
        </w:trPr>
        <w:tc>
          <w:tcPr>
            <w:tcW w:w="460" w:type="dxa"/>
            <w:vAlign w:val="bottom"/>
          </w:tcPr>
          <w:p>
            <w:pPr>
              <w:spacing w:after="0"/>
              <w:rPr>
                <w:sz w:val="24"/>
                <w:szCs w:val="24"/>
                <w:color w:val="auto"/>
              </w:rPr>
            </w:pPr>
          </w:p>
        </w:tc>
        <w:tc>
          <w:tcPr>
            <w:tcW w:w="1080" w:type="dxa"/>
            <w:vAlign w:val="bottom"/>
          </w:tcPr>
          <w:p>
            <w:pPr>
              <w:jc w:val="right"/>
              <w:ind w:right="432"/>
              <w:spacing w:after="0"/>
              <w:rPr>
                <w:sz w:val="20"/>
                <w:szCs w:val="20"/>
                <w:color w:val="auto"/>
              </w:rPr>
            </w:pPr>
            <w:r>
              <w:rPr>
                <w:rFonts w:ascii="Arial" w:cs="Arial" w:eastAsia="Arial" w:hAnsi="Arial"/>
                <w:sz w:val="18"/>
                <w:szCs w:val="18"/>
                <w:color w:val="auto"/>
                <w:w w:val="98"/>
              </w:rPr>
              <w:t>11,606</w:t>
            </w:r>
          </w:p>
        </w:tc>
        <w:tc>
          <w:tcPr>
            <w:tcW w:w="620" w:type="dxa"/>
            <w:vAlign w:val="bottom"/>
          </w:tcPr>
          <w:p>
            <w:pPr>
              <w:spacing w:after="0"/>
              <w:rPr>
                <w:sz w:val="24"/>
                <w:szCs w:val="24"/>
                <w:color w:val="auto"/>
              </w:rPr>
            </w:pPr>
          </w:p>
        </w:tc>
        <w:tc>
          <w:tcPr>
            <w:tcW w:w="1040" w:type="dxa"/>
            <w:vAlign w:val="bottom"/>
          </w:tcPr>
          <w:p>
            <w:pPr>
              <w:jc w:val="right"/>
              <w:ind w:right="432"/>
              <w:spacing w:after="0"/>
              <w:rPr>
                <w:sz w:val="20"/>
                <w:szCs w:val="20"/>
                <w:color w:val="auto"/>
              </w:rPr>
            </w:pPr>
            <w:r>
              <w:rPr>
                <w:rFonts w:ascii="Arial" w:cs="Arial" w:eastAsia="Arial" w:hAnsi="Arial"/>
                <w:sz w:val="18"/>
                <w:szCs w:val="18"/>
                <w:color w:val="auto"/>
                <w:w w:val="90"/>
              </w:rPr>
              <w:t>51,144</w:t>
            </w:r>
          </w:p>
        </w:tc>
        <w:tc>
          <w:tcPr>
            <w:tcW w:w="620" w:type="dxa"/>
            <w:vAlign w:val="bottom"/>
          </w:tcPr>
          <w:p>
            <w:pPr>
              <w:spacing w:after="0"/>
              <w:rPr>
                <w:sz w:val="24"/>
                <w:szCs w:val="24"/>
                <w:color w:val="auto"/>
              </w:rPr>
            </w:pPr>
          </w:p>
        </w:tc>
        <w:tc>
          <w:tcPr>
            <w:tcW w:w="960" w:type="dxa"/>
            <w:vAlign w:val="bottom"/>
          </w:tcPr>
          <w:p>
            <w:pPr>
              <w:jc w:val="right"/>
              <w:ind w:right="352"/>
              <w:spacing w:after="0"/>
              <w:rPr>
                <w:sz w:val="20"/>
                <w:szCs w:val="20"/>
                <w:color w:val="auto"/>
              </w:rPr>
            </w:pPr>
            <w:r>
              <w:rPr>
                <w:rFonts w:ascii="Arial" w:cs="Arial" w:eastAsia="Arial" w:hAnsi="Arial"/>
                <w:sz w:val="18"/>
                <w:szCs w:val="18"/>
                <w:color w:val="auto"/>
                <w:w w:val="90"/>
              </w:rPr>
              <w:t>47,773</w:t>
            </w:r>
          </w:p>
        </w:tc>
        <w:tc>
          <w:tcPr>
            <w:tcW w:w="520" w:type="dxa"/>
            <w:vAlign w:val="bottom"/>
          </w:tcPr>
          <w:p>
            <w:pPr>
              <w:spacing w:after="0"/>
              <w:rPr>
                <w:sz w:val="24"/>
                <w:szCs w:val="24"/>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w w:val="94"/>
              </w:rPr>
              <w:t>93,745</w:t>
            </w:r>
          </w:p>
        </w:tc>
      </w:tr>
      <w:tr>
        <w:trPr>
          <w:trHeight w:val="222"/>
        </w:trPr>
        <w:tc>
          <w:tcPr>
            <w:tcW w:w="460" w:type="dxa"/>
            <w:vAlign w:val="bottom"/>
          </w:tcPr>
          <w:p>
            <w:pPr>
              <w:spacing w:after="0"/>
              <w:rPr>
                <w:sz w:val="19"/>
                <w:szCs w:val="19"/>
                <w:color w:val="auto"/>
              </w:rPr>
            </w:pPr>
          </w:p>
        </w:tc>
        <w:tc>
          <w:tcPr>
            <w:tcW w:w="1080" w:type="dxa"/>
            <w:vAlign w:val="bottom"/>
          </w:tcPr>
          <w:p>
            <w:pPr>
              <w:jc w:val="right"/>
              <w:ind w:right="372"/>
              <w:spacing w:after="0"/>
              <w:rPr>
                <w:sz w:val="20"/>
                <w:szCs w:val="20"/>
                <w:color w:val="auto"/>
              </w:rPr>
            </w:pPr>
            <w:r>
              <w:rPr>
                <w:rFonts w:ascii="Arial" w:cs="Arial" w:eastAsia="Arial" w:hAnsi="Arial"/>
                <w:sz w:val="18"/>
                <w:szCs w:val="18"/>
                <w:color w:val="auto"/>
              </w:rPr>
              <w:t>(525)</w:t>
            </w:r>
          </w:p>
        </w:tc>
        <w:tc>
          <w:tcPr>
            <w:tcW w:w="620" w:type="dxa"/>
            <w:vAlign w:val="bottom"/>
          </w:tcPr>
          <w:p>
            <w:pPr>
              <w:spacing w:after="0"/>
              <w:rPr>
                <w:sz w:val="19"/>
                <w:szCs w:val="19"/>
                <w:color w:val="auto"/>
              </w:rPr>
            </w:pPr>
          </w:p>
        </w:tc>
        <w:tc>
          <w:tcPr>
            <w:tcW w:w="1040" w:type="dxa"/>
            <w:vAlign w:val="bottom"/>
          </w:tcPr>
          <w:p>
            <w:pPr>
              <w:jc w:val="right"/>
              <w:ind w:right="372"/>
              <w:spacing w:after="0"/>
              <w:rPr>
                <w:sz w:val="20"/>
                <w:szCs w:val="20"/>
                <w:color w:val="auto"/>
              </w:rPr>
            </w:pPr>
            <w:r>
              <w:rPr>
                <w:rFonts w:ascii="Arial" w:cs="Arial" w:eastAsia="Arial" w:hAnsi="Arial"/>
                <w:sz w:val="18"/>
                <w:szCs w:val="18"/>
                <w:color w:val="auto"/>
              </w:rPr>
              <w:t>(259)</w:t>
            </w:r>
          </w:p>
        </w:tc>
        <w:tc>
          <w:tcPr>
            <w:tcW w:w="620" w:type="dxa"/>
            <w:vAlign w:val="bottom"/>
          </w:tcPr>
          <w:p>
            <w:pPr>
              <w:spacing w:after="0"/>
              <w:rPr>
                <w:sz w:val="19"/>
                <w:szCs w:val="19"/>
                <w:color w:val="auto"/>
              </w:rPr>
            </w:pPr>
          </w:p>
        </w:tc>
        <w:tc>
          <w:tcPr>
            <w:tcW w:w="960" w:type="dxa"/>
            <w:vAlign w:val="bottom"/>
          </w:tcPr>
          <w:p>
            <w:pPr>
              <w:jc w:val="right"/>
              <w:ind w:right="292"/>
              <w:spacing w:after="0"/>
              <w:rPr>
                <w:sz w:val="20"/>
                <w:szCs w:val="20"/>
                <w:color w:val="auto"/>
              </w:rPr>
            </w:pPr>
            <w:r>
              <w:rPr>
                <w:rFonts w:ascii="Arial" w:cs="Arial" w:eastAsia="Arial" w:hAnsi="Arial"/>
                <w:sz w:val="18"/>
                <w:szCs w:val="18"/>
                <w:color w:val="auto"/>
              </w:rPr>
              <w:t>(249)</w:t>
            </w:r>
          </w:p>
        </w:tc>
        <w:tc>
          <w:tcPr>
            <w:tcW w:w="520" w:type="dxa"/>
            <w:vAlign w:val="bottom"/>
          </w:tcPr>
          <w:p>
            <w:pPr>
              <w:spacing w:after="0"/>
              <w:rPr>
                <w:sz w:val="19"/>
                <w:szCs w:val="19"/>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110"/>
        </w:trPr>
        <w:tc>
          <w:tcPr>
            <w:tcW w:w="4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r>
      <w:tr>
        <w:trPr>
          <w:trHeight w:val="316"/>
        </w:trPr>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432"/>
              <w:spacing w:after="0"/>
              <w:rPr>
                <w:sz w:val="20"/>
                <w:szCs w:val="20"/>
                <w:color w:val="auto"/>
              </w:rPr>
            </w:pPr>
            <w:r>
              <w:rPr>
                <w:rFonts w:ascii="Arial" w:cs="Arial" w:eastAsia="Arial" w:hAnsi="Arial"/>
                <w:sz w:val="18"/>
                <w:szCs w:val="18"/>
                <w:color w:val="auto"/>
                <w:w w:val="98"/>
              </w:rPr>
              <w:t>11,081</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432"/>
              <w:spacing w:after="0"/>
              <w:rPr>
                <w:sz w:val="20"/>
                <w:szCs w:val="20"/>
                <w:color w:val="auto"/>
              </w:rPr>
            </w:pPr>
            <w:r>
              <w:rPr>
                <w:rFonts w:ascii="Arial" w:cs="Arial" w:eastAsia="Arial" w:hAnsi="Arial"/>
                <w:sz w:val="18"/>
                <w:szCs w:val="18"/>
                <w:color w:val="auto"/>
                <w:w w:val="90"/>
              </w:rPr>
              <w:t>50,885</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52"/>
              <w:spacing w:after="0"/>
              <w:rPr>
                <w:sz w:val="20"/>
                <w:szCs w:val="20"/>
                <w:color w:val="auto"/>
              </w:rPr>
            </w:pPr>
            <w:r>
              <w:rPr>
                <w:rFonts w:ascii="Arial" w:cs="Arial" w:eastAsia="Arial" w:hAnsi="Arial"/>
                <w:sz w:val="18"/>
                <w:szCs w:val="18"/>
                <w:color w:val="auto"/>
                <w:w w:val="90"/>
              </w:rPr>
              <w:t>47,524</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2"/>
              <w:spacing w:after="0"/>
              <w:rPr>
                <w:sz w:val="20"/>
                <w:szCs w:val="20"/>
                <w:color w:val="auto"/>
              </w:rPr>
            </w:pPr>
            <w:r>
              <w:rPr>
                <w:rFonts w:ascii="Arial" w:cs="Arial" w:eastAsia="Arial" w:hAnsi="Arial"/>
                <w:sz w:val="18"/>
                <w:szCs w:val="18"/>
                <w:color w:val="auto"/>
                <w:w w:val="94"/>
              </w:rPr>
              <w:t>93,745</w:t>
            </w:r>
          </w:p>
        </w:tc>
      </w:tr>
      <w:tr>
        <w:trPr>
          <w:trHeight w:val="107"/>
        </w:trPr>
        <w:tc>
          <w:tcPr>
            <w:tcW w:w="4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20" w:type="dxa"/>
            <w:vAlign w:val="bottom"/>
          </w:tcPr>
          <w:p>
            <w:pPr>
              <w:spacing w:after="0"/>
              <w:rPr>
                <w:sz w:val="9"/>
                <w:szCs w:val="9"/>
                <w:color w:val="auto"/>
              </w:rPr>
            </w:pPr>
          </w:p>
        </w:tc>
        <w:tc>
          <w:tcPr>
            <w:tcW w:w="9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61"/>
        </w:trPr>
        <w:tc>
          <w:tcPr>
            <w:tcW w:w="46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r>
      <w:tr>
        <w:trPr>
          <w:trHeight w:val="529"/>
        </w:trPr>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432"/>
              <w:spacing w:after="0"/>
              <w:rPr>
                <w:sz w:val="20"/>
                <w:szCs w:val="20"/>
                <w:color w:val="auto"/>
              </w:rPr>
            </w:pPr>
            <w:r>
              <w:rPr>
                <w:rFonts w:ascii="Arial" w:cs="Arial" w:eastAsia="Arial" w:hAnsi="Arial"/>
                <w:sz w:val="18"/>
                <w:szCs w:val="18"/>
                <w:color w:val="auto"/>
              </w:rPr>
              <w:t>2.44</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432"/>
              <w:spacing w:after="0"/>
              <w:rPr>
                <w:sz w:val="20"/>
                <w:szCs w:val="20"/>
                <w:color w:val="auto"/>
              </w:rPr>
            </w:pPr>
            <w:r>
              <w:rPr>
                <w:rFonts w:ascii="Arial" w:cs="Arial" w:eastAsia="Arial" w:hAnsi="Arial"/>
                <w:sz w:val="18"/>
                <w:szCs w:val="18"/>
                <w:color w:val="auto"/>
              </w:rPr>
              <w:t>5.35</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52"/>
              <w:spacing w:after="0"/>
              <w:rPr>
                <w:sz w:val="20"/>
                <w:szCs w:val="20"/>
                <w:color w:val="auto"/>
              </w:rPr>
            </w:pPr>
            <w:r>
              <w:rPr>
                <w:rFonts w:ascii="Arial" w:cs="Arial" w:eastAsia="Arial" w:hAnsi="Arial"/>
                <w:sz w:val="18"/>
                <w:szCs w:val="18"/>
                <w:color w:val="auto"/>
              </w:rPr>
              <w:t>5.00</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9.86</w:t>
            </w:r>
          </w:p>
        </w:tc>
      </w:tr>
      <w:tr>
        <w:trPr>
          <w:trHeight w:val="222"/>
        </w:trPr>
        <w:tc>
          <w:tcPr>
            <w:tcW w:w="460" w:type="dxa"/>
            <w:vAlign w:val="bottom"/>
          </w:tcPr>
          <w:p>
            <w:pPr>
              <w:spacing w:after="0"/>
              <w:rPr>
                <w:sz w:val="19"/>
                <w:szCs w:val="19"/>
                <w:color w:val="auto"/>
              </w:rPr>
            </w:pPr>
          </w:p>
        </w:tc>
        <w:tc>
          <w:tcPr>
            <w:tcW w:w="1080" w:type="dxa"/>
            <w:vAlign w:val="bottom"/>
          </w:tcPr>
          <w:p>
            <w:pPr>
              <w:jc w:val="right"/>
              <w:ind w:right="372"/>
              <w:spacing w:after="0"/>
              <w:rPr>
                <w:sz w:val="20"/>
                <w:szCs w:val="20"/>
                <w:color w:val="auto"/>
              </w:rPr>
            </w:pPr>
            <w:r>
              <w:rPr>
                <w:rFonts w:ascii="Arial" w:cs="Arial" w:eastAsia="Arial" w:hAnsi="Arial"/>
                <w:sz w:val="18"/>
                <w:szCs w:val="18"/>
                <w:color w:val="auto"/>
              </w:rPr>
              <w:t>(1.27)</w:t>
            </w:r>
          </w:p>
        </w:tc>
        <w:tc>
          <w:tcPr>
            <w:tcW w:w="620" w:type="dxa"/>
            <w:vAlign w:val="bottom"/>
          </w:tcPr>
          <w:p>
            <w:pPr>
              <w:spacing w:after="0"/>
              <w:rPr>
                <w:sz w:val="19"/>
                <w:szCs w:val="19"/>
                <w:color w:val="auto"/>
              </w:rPr>
            </w:pPr>
          </w:p>
        </w:tc>
        <w:tc>
          <w:tcPr>
            <w:tcW w:w="10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96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110"/>
        </w:trPr>
        <w:tc>
          <w:tcPr>
            <w:tcW w:w="4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r>
      <w:tr>
        <w:trPr>
          <w:trHeight w:val="316"/>
        </w:trPr>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432"/>
              <w:spacing w:after="0"/>
              <w:rPr>
                <w:sz w:val="20"/>
                <w:szCs w:val="20"/>
                <w:color w:val="auto"/>
              </w:rPr>
            </w:pPr>
            <w:r>
              <w:rPr>
                <w:rFonts w:ascii="Arial" w:cs="Arial" w:eastAsia="Arial" w:hAnsi="Arial"/>
                <w:sz w:val="18"/>
                <w:szCs w:val="18"/>
                <w:color w:val="auto"/>
              </w:rPr>
              <w:t>1.17</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432"/>
              <w:spacing w:after="0"/>
              <w:rPr>
                <w:sz w:val="20"/>
                <w:szCs w:val="20"/>
                <w:color w:val="auto"/>
              </w:rPr>
            </w:pPr>
            <w:r>
              <w:rPr>
                <w:rFonts w:ascii="Arial" w:cs="Arial" w:eastAsia="Arial" w:hAnsi="Arial"/>
                <w:sz w:val="18"/>
                <w:szCs w:val="18"/>
                <w:color w:val="auto"/>
              </w:rPr>
              <w:t>5.35</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52"/>
              <w:spacing w:after="0"/>
              <w:rPr>
                <w:sz w:val="20"/>
                <w:szCs w:val="20"/>
                <w:color w:val="auto"/>
              </w:rPr>
            </w:pPr>
            <w:r>
              <w:rPr>
                <w:rFonts w:ascii="Arial" w:cs="Arial" w:eastAsia="Arial" w:hAnsi="Arial"/>
                <w:sz w:val="18"/>
                <w:szCs w:val="18"/>
                <w:color w:val="auto"/>
              </w:rPr>
              <w:t>5.00</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9.86</w:t>
            </w:r>
          </w:p>
        </w:tc>
      </w:tr>
      <w:tr>
        <w:trPr>
          <w:trHeight w:val="107"/>
        </w:trPr>
        <w:tc>
          <w:tcPr>
            <w:tcW w:w="4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20" w:type="dxa"/>
            <w:vAlign w:val="bottom"/>
          </w:tcPr>
          <w:p>
            <w:pPr>
              <w:spacing w:after="0"/>
              <w:rPr>
                <w:sz w:val="9"/>
                <w:szCs w:val="9"/>
                <w:color w:val="auto"/>
              </w:rPr>
            </w:pPr>
          </w:p>
        </w:tc>
        <w:tc>
          <w:tcPr>
            <w:tcW w:w="9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61"/>
        </w:trPr>
        <w:tc>
          <w:tcPr>
            <w:tcW w:w="46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r>
      <w:tr>
        <w:trPr>
          <w:trHeight w:val="529"/>
        </w:trPr>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432"/>
              <w:spacing w:after="0"/>
              <w:rPr>
                <w:sz w:val="20"/>
                <w:szCs w:val="20"/>
                <w:color w:val="auto"/>
              </w:rPr>
            </w:pPr>
            <w:r>
              <w:rPr>
                <w:rFonts w:ascii="Arial" w:cs="Arial" w:eastAsia="Arial" w:hAnsi="Arial"/>
                <w:sz w:val="18"/>
                <w:szCs w:val="18"/>
                <w:color w:val="auto"/>
              </w:rPr>
              <w:t>2.43</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432"/>
              <w:spacing w:after="0"/>
              <w:rPr>
                <w:sz w:val="20"/>
                <w:szCs w:val="20"/>
                <w:color w:val="auto"/>
              </w:rPr>
            </w:pPr>
            <w:r>
              <w:rPr>
                <w:rFonts w:ascii="Arial" w:cs="Arial" w:eastAsia="Arial" w:hAnsi="Arial"/>
                <w:sz w:val="18"/>
                <w:szCs w:val="18"/>
                <w:color w:val="auto"/>
              </w:rPr>
              <w:t>5.34</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52"/>
              <w:spacing w:after="0"/>
              <w:rPr>
                <w:sz w:val="20"/>
                <w:szCs w:val="20"/>
                <w:color w:val="auto"/>
              </w:rPr>
            </w:pPr>
            <w:r>
              <w:rPr>
                <w:rFonts w:ascii="Arial" w:cs="Arial" w:eastAsia="Arial" w:hAnsi="Arial"/>
                <w:sz w:val="18"/>
                <w:szCs w:val="18"/>
                <w:color w:val="auto"/>
              </w:rPr>
              <w:t>4.99</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9.83</w:t>
            </w:r>
          </w:p>
        </w:tc>
      </w:tr>
      <w:tr>
        <w:trPr>
          <w:trHeight w:val="222"/>
        </w:trPr>
        <w:tc>
          <w:tcPr>
            <w:tcW w:w="460" w:type="dxa"/>
            <w:vAlign w:val="bottom"/>
          </w:tcPr>
          <w:p>
            <w:pPr>
              <w:spacing w:after="0"/>
              <w:rPr>
                <w:sz w:val="19"/>
                <w:szCs w:val="19"/>
                <w:color w:val="auto"/>
              </w:rPr>
            </w:pPr>
          </w:p>
        </w:tc>
        <w:tc>
          <w:tcPr>
            <w:tcW w:w="1080" w:type="dxa"/>
            <w:vAlign w:val="bottom"/>
          </w:tcPr>
          <w:p>
            <w:pPr>
              <w:jc w:val="right"/>
              <w:ind w:right="372"/>
              <w:spacing w:after="0"/>
              <w:rPr>
                <w:sz w:val="20"/>
                <w:szCs w:val="20"/>
                <w:color w:val="auto"/>
              </w:rPr>
            </w:pPr>
            <w:r>
              <w:rPr>
                <w:rFonts w:ascii="Arial" w:cs="Arial" w:eastAsia="Arial" w:hAnsi="Arial"/>
                <w:sz w:val="18"/>
                <w:szCs w:val="18"/>
                <w:color w:val="auto"/>
              </w:rPr>
              <w:t>(1.27)</w:t>
            </w:r>
          </w:p>
        </w:tc>
        <w:tc>
          <w:tcPr>
            <w:tcW w:w="620" w:type="dxa"/>
            <w:vAlign w:val="bottom"/>
          </w:tcPr>
          <w:p>
            <w:pPr>
              <w:spacing w:after="0"/>
              <w:rPr>
                <w:sz w:val="19"/>
                <w:szCs w:val="19"/>
                <w:color w:val="auto"/>
              </w:rPr>
            </w:pPr>
          </w:p>
        </w:tc>
        <w:tc>
          <w:tcPr>
            <w:tcW w:w="10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96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110"/>
        </w:trPr>
        <w:tc>
          <w:tcPr>
            <w:tcW w:w="4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r>
      <w:tr>
        <w:trPr>
          <w:trHeight w:val="316"/>
        </w:trPr>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432"/>
              <w:spacing w:after="0"/>
              <w:rPr>
                <w:sz w:val="20"/>
                <w:szCs w:val="20"/>
                <w:color w:val="auto"/>
              </w:rPr>
            </w:pPr>
            <w:r>
              <w:rPr>
                <w:rFonts w:ascii="Arial" w:cs="Arial" w:eastAsia="Arial" w:hAnsi="Arial"/>
                <w:sz w:val="18"/>
                <w:szCs w:val="18"/>
                <w:color w:val="auto"/>
              </w:rPr>
              <w:t>1.16</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432"/>
              <w:spacing w:after="0"/>
              <w:rPr>
                <w:sz w:val="20"/>
                <w:szCs w:val="20"/>
                <w:color w:val="auto"/>
              </w:rPr>
            </w:pPr>
            <w:r>
              <w:rPr>
                <w:rFonts w:ascii="Arial" w:cs="Arial" w:eastAsia="Arial" w:hAnsi="Arial"/>
                <w:sz w:val="18"/>
                <w:szCs w:val="18"/>
                <w:color w:val="auto"/>
              </w:rPr>
              <w:t>5.34</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52"/>
              <w:spacing w:after="0"/>
              <w:rPr>
                <w:sz w:val="20"/>
                <w:szCs w:val="20"/>
                <w:color w:val="auto"/>
              </w:rPr>
            </w:pPr>
            <w:r>
              <w:rPr>
                <w:rFonts w:ascii="Arial" w:cs="Arial" w:eastAsia="Arial" w:hAnsi="Arial"/>
                <w:sz w:val="18"/>
                <w:szCs w:val="18"/>
                <w:color w:val="auto"/>
              </w:rPr>
              <w:t>4.99</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9.83</w:t>
            </w:r>
          </w:p>
        </w:tc>
      </w:tr>
      <w:tr>
        <w:trPr>
          <w:trHeight w:val="107"/>
        </w:trPr>
        <w:tc>
          <w:tcPr>
            <w:tcW w:w="4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20" w:type="dxa"/>
            <w:vAlign w:val="bottom"/>
          </w:tcPr>
          <w:p>
            <w:pPr>
              <w:spacing w:after="0"/>
              <w:rPr>
                <w:sz w:val="9"/>
                <w:szCs w:val="9"/>
                <w:color w:val="auto"/>
              </w:rPr>
            </w:pPr>
          </w:p>
        </w:tc>
        <w:tc>
          <w:tcPr>
            <w:tcW w:w="9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61"/>
        </w:trPr>
        <w:tc>
          <w:tcPr>
            <w:tcW w:w="46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r>
      <w:tr>
        <w:trPr>
          <w:trHeight w:val="313"/>
        </w:trPr>
        <w:tc>
          <w:tcPr>
            <w:tcW w:w="460" w:type="dxa"/>
            <w:vAlign w:val="bottom"/>
          </w:tcPr>
          <w:p>
            <w:pPr>
              <w:spacing w:after="0"/>
              <w:rPr>
                <w:sz w:val="24"/>
                <w:szCs w:val="24"/>
                <w:color w:val="auto"/>
              </w:rPr>
            </w:pPr>
          </w:p>
        </w:tc>
        <w:tc>
          <w:tcPr>
            <w:tcW w:w="1080" w:type="dxa"/>
            <w:vAlign w:val="bottom"/>
          </w:tcPr>
          <w:p>
            <w:pPr>
              <w:jc w:val="right"/>
              <w:ind w:right="432"/>
              <w:spacing w:after="0"/>
              <w:rPr>
                <w:sz w:val="20"/>
                <w:szCs w:val="20"/>
                <w:color w:val="auto"/>
              </w:rPr>
            </w:pPr>
            <w:r>
              <w:rPr>
                <w:rFonts w:ascii="Arial" w:cs="Arial" w:eastAsia="Arial" w:hAnsi="Arial"/>
                <w:sz w:val="18"/>
                <w:szCs w:val="18"/>
                <w:color w:val="auto"/>
              </w:rPr>
              <w:t>9,498</w:t>
            </w:r>
          </w:p>
        </w:tc>
        <w:tc>
          <w:tcPr>
            <w:tcW w:w="620" w:type="dxa"/>
            <w:vAlign w:val="bottom"/>
          </w:tcPr>
          <w:p>
            <w:pPr>
              <w:spacing w:after="0"/>
              <w:rPr>
                <w:sz w:val="24"/>
                <w:szCs w:val="24"/>
                <w:color w:val="auto"/>
              </w:rPr>
            </w:pPr>
          </w:p>
        </w:tc>
        <w:tc>
          <w:tcPr>
            <w:tcW w:w="1040" w:type="dxa"/>
            <w:vAlign w:val="bottom"/>
          </w:tcPr>
          <w:p>
            <w:pPr>
              <w:jc w:val="right"/>
              <w:ind w:right="432"/>
              <w:spacing w:after="0"/>
              <w:rPr>
                <w:sz w:val="20"/>
                <w:szCs w:val="20"/>
                <w:color w:val="auto"/>
              </w:rPr>
            </w:pPr>
            <w:r>
              <w:rPr>
                <w:rFonts w:ascii="Arial" w:cs="Arial" w:eastAsia="Arial" w:hAnsi="Arial"/>
                <w:sz w:val="18"/>
                <w:szCs w:val="18"/>
                <w:color w:val="auto"/>
              </w:rPr>
              <w:t>9,503</w:t>
            </w:r>
          </w:p>
        </w:tc>
        <w:tc>
          <w:tcPr>
            <w:tcW w:w="620" w:type="dxa"/>
            <w:vAlign w:val="bottom"/>
          </w:tcPr>
          <w:p>
            <w:pPr>
              <w:spacing w:after="0"/>
              <w:rPr>
                <w:sz w:val="24"/>
                <w:szCs w:val="24"/>
                <w:color w:val="auto"/>
              </w:rPr>
            </w:pPr>
          </w:p>
        </w:tc>
        <w:tc>
          <w:tcPr>
            <w:tcW w:w="960" w:type="dxa"/>
            <w:vAlign w:val="bottom"/>
          </w:tcPr>
          <w:p>
            <w:pPr>
              <w:jc w:val="right"/>
              <w:ind w:right="352"/>
              <w:spacing w:after="0"/>
              <w:rPr>
                <w:sz w:val="20"/>
                <w:szCs w:val="20"/>
                <w:color w:val="auto"/>
              </w:rPr>
            </w:pPr>
            <w:r>
              <w:rPr>
                <w:rFonts w:ascii="Arial" w:cs="Arial" w:eastAsia="Arial" w:hAnsi="Arial"/>
                <w:sz w:val="18"/>
                <w:szCs w:val="18"/>
                <w:color w:val="auto"/>
              </w:rPr>
              <w:t>9,506</w:t>
            </w:r>
          </w:p>
        </w:tc>
        <w:tc>
          <w:tcPr>
            <w:tcW w:w="520" w:type="dxa"/>
            <w:vAlign w:val="bottom"/>
          </w:tcPr>
          <w:p>
            <w:pPr>
              <w:spacing w:after="0"/>
              <w:rPr>
                <w:sz w:val="24"/>
                <w:szCs w:val="24"/>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9,509</w:t>
            </w:r>
          </w:p>
        </w:tc>
      </w:tr>
      <w:tr>
        <w:trPr>
          <w:trHeight w:val="216"/>
        </w:trPr>
        <w:tc>
          <w:tcPr>
            <w:tcW w:w="460" w:type="dxa"/>
            <w:vAlign w:val="bottom"/>
          </w:tcPr>
          <w:p>
            <w:pPr>
              <w:spacing w:after="0"/>
              <w:rPr>
                <w:sz w:val="18"/>
                <w:szCs w:val="18"/>
                <w:color w:val="auto"/>
              </w:rPr>
            </w:pPr>
          </w:p>
        </w:tc>
        <w:tc>
          <w:tcPr>
            <w:tcW w:w="1080" w:type="dxa"/>
            <w:vAlign w:val="bottom"/>
          </w:tcPr>
          <w:p>
            <w:pPr>
              <w:jc w:val="right"/>
              <w:ind w:right="432"/>
              <w:spacing w:after="0"/>
              <w:rPr>
                <w:sz w:val="20"/>
                <w:szCs w:val="20"/>
                <w:color w:val="auto"/>
              </w:rPr>
            </w:pPr>
            <w:r>
              <w:rPr>
                <w:rFonts w:ascii="Arial" w:cs="Arial" w:eastAsia="Arial" w:hAnsi="Arial"/>
                <w:sz w:val="18"/>
                <w:szCs w:val="18"/>
                <w:color w:val="auto"/>
              </w:rPr>
              <w:t>9,512</w:t>
            </w:r>
          </w:p>
        </w:tc>
        <w:tc>
          <w:tcPr>
            <w:tcW w:w="620" w:type="dxa"/>
            <w:vAlign w:val="bottom"/>
          </w:tcPr>
          <w:p>
            <w:pPr>
              <w:spacing w:after="0"/>
              <w:rPr>
                <w:sz w:val="18"/>
                <w:szCs w:val="18"/>
                <w:color w:val="auto"/>
              </w:rPr>
            </w:pPr>
          </w:p>
        </w:tc>
        <w:tc>
          <w:tcPr>
            <w:tcW w:w="1040" w:type="dxa"/>
            <w:vAlign w:val="bottom"/>
          </w:tcPr>
          <w:p>
            <w:pPr>
              <w:jc w:val="right"/>
              <w:ind w:right="432"/>
              <w:spacing w:after="0"/>
              <w:rPr>
                <w:sz w:val="20"/>
                <w:szCs w:val="20"/>
                <w:color w:val="auto"/>
              </w:rPr>
            </w:pPr>
            <w:r>
              <w:rPr>
                <w:rFonts w:ascii="Arial" w:cs="Arial" w:eastAsia="Arial" w:hAnsi="Arial"/>
                <w:sz w:val="18"/>
                <w:szCs w:val="18"/>
                <w:color w:val="auto"/>
              </w:rPr>
              <w:t>9,521</w:t>
            </w:r>
          </w:p>
        </w:tc>
        <w:tc>
          <w:tcPr>
            <w:tcW w:w="620" w:type="dxa"/>
            <w:vAlign w:val="bottom"/>
          </w:tcPr>
          <w:p>
            <w:pPr>
              <w:spacing w:after="0"/>
              <w:rPr>
                <w:sz w:val="18"/>
                <w:szCs w:val="18"/>
                <w:color w:val="auto"/>
              </w:rPr>
            </w:pPr>
          </w:p>
        </w:tc>
        <w:tc>
          <w:tcPr>
            <w:tcW w:w="960" w:type="dxa"/>
            <w:vAlign w:val="bottom"/>
          </w:tcPr>
          <w:p>
            <w:pPr>
              <w:jc w:val="right"/>
              <w:ind w:right="352"/>
              <w:spacing w:after="0"/>
              <w:rPr>
                <w:sz w:val="20"/>
                <w:szCs w:val="20"/>
                <w:color w:val="auto"/>
              </w:rPr>
            </w:pPr>
            <w:r>
              <w:rPr>
                <w:rFonts w:ascii="Arial" w:cs="Arial" w:eastAsia="Arial" w:hAnsi="Arial"/>
                <w:sz w:val="18"/>
                <w:szCs w:val="18"/>
                <w:color w:val="auto"/>
              </w:rPr>
              <w:t>9,523</w:t>
            </w:r>
          </w:p>
        </w:tc>
        <w:tc>
          <w:tcPr>
            <w:tcW w:w="520" w:type="dxa"/>
            <w:vAlign w:val="bottom"/>
          </w:tcPr>
          <w:p>
            <w:pPr>
              <w:spacing w:after="0"/>
              <w:rPr>
                <w:sz w:val="18"/>
                <w:szCs w:val="18"/>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9,537</w:t>
            </w:r>
          </w:p>
        </w:tc>
      </w:tr>
      <w:tr>
        <w:trPr>
          <w:trHeight w:val="222"/>
        </w:trPr>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432"/>
              <w:spacing w:after="0"/>
              <w:rPr>
                <w:sz w:val="20"/>
                <w:szCs w:val="20"/>
                <w:color w:val="auto"/>
              </w:rPr>
            </w:pPr>
            <w:r>
              <w:rPr>
                <w:rFonts w:ascii="Arial" w:cs="Arial" w:eastAsia="Arial" w:hAnsi="Arial"/>
                <w:sz w:val="18"/>
                <w:szCs w:val="18"/>
                <w:color w:val="auto"/>
              </w:rPr>
              <w:t>3,380</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432"/>
              <w:spacing w:after="0"/>
              <w:rPr>
                <w:sz w:val="20"/>
                <w:szCs w:val="20"/>
                <w:color w:val="auto"/>
              </w:rPr>
            </w:pPr>
            <w:r>
              <w:rPr>
                <w:rFonts w:ascii="Arial" w:cs="Arial" w:eastAsia="Arial" w:hAnsi="Arial"/>
                <w:sz w:val="18"/>
                <w:szCs w:val="18"/>
                <w:color w:val="auto"/>
                <w:w w:val="90"/>
              </w:rPr>
              <w:t>47,493</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52"/>
              <w:spacing w:after="0"/>
              <w:rPr>
                <w:sz w:val="20"/>
                <w:szCs w:val="20"/>
                <w:color w:val="auto"/>
              </w:rPr>
            </w:pPr>
            <w:r>
              <w:rPr>
                <w:rFonts w:ascii="Arial" w:cs="Arial" w:eastAsia="Arial" w:hAnsi="Arial"/>
                <w:sz w:val="18"/>
                <w:szCs w:val="18"/>
                <w:color w:val="auto"/>
                <w:w w:val="90"/>
              </w:rPr>
              <w:t>58,333</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2"/>
              <w:spacing w:after="0"/>
              <w:rPr>
                <w:sz w:val="20"/>
                <w:szCs w:val="20"/>
                <w:color w:val="auto"/>
              </w:rPr>
            </w:pPr>
            <w:r>
              <w:rPr>
                <w:rFonts w:ascii="Arial" w:cs="Arial" w:eastAsia="Arial" w:hAnsi="Arial"/>
                <w:sz w:val="18"/>
                <w:szCs w:val="18"/>
                <w:color w:val="auto"/>
                <w:w w:val="94"/>
              </w:rPr>
              <w:t>90,861</w:t>
            </w:r>
          </w:p>
        </w:tc>
      </w:tr>
      <w:tr>
        <w:trPr>
          <w:trHeight w:val="107"/>
        </w:trPr>
        <w:tc>
          <w:tcPr>
            <w:tcW w:w="4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20" w:type="dxa"/>
            <w:vAlign w:val="bottom"/>
          </w:tcPr>
          <w:p>
            <w:pPr>
              <w:spacing w:after="0"/>
              <w:rPr>
                <w:sz w:val="9"/>
                <w:szCs w:val="9"/>
                <w:color w:val="auto"/>
              </w:rPr>
            </w:pPr>
          </w:p>
        </w:tc>
        <w:tc>
          <w:tcPr>
            <w:tcW w:w="9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61"/>
        </w:trPr>
        <w:tc>
          <w:tcPr>
            <w:tcW w:w="46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-2977515</wp:posOffset>
            </wp:positionV>
            <wp:extent cx="724662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-2557145</wp:posOffset>
            </wp:positionV>
            <wp:extent cx="724662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-2111375</wp:posOffset>
            </wp:positionV>
            <wp:extent cx="72466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-1691005</wp:posOffset>
            </wp:positionV>
            <wp:extent cx="724662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-1245235</wp:posOffset>
            </wp:positionV>
            <wp:extent cx="724662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-824865</wp:posOffset>
            </wp:positionV>
            <wp:extent cx="724662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-378460</wp:posOffset>
            </wp:positionV>
            <wp:extent cx="724662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4720" w:space="680"/>
            <w:col w:w="6020"/>
          </w:cols>
          <w:pgMar w:left="240" w:top="1157" w:right="239" w:bottom="0" w:gutter="0" w:footer="0" w:header="0"/>
          <w:type w:val="continuous"/>
        </w:sectPr>
      </w:pP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sum of the four quarters may not necessarily be equal to the annual amounts reported in the Consolidated Statements of Income due to rounding.</w:t>
      </w:r>
    </w:p>
    <w:p>
      <w:pPr>
        <w:spacing w:after="0" w:line="248" w:lineRule="exact"/>
        <w:rPr>
          <w:sz w:val="20"/>
          <w:szCs w:val="20"/>
          <w:color w:val="auto"/>
        </w:rPr>
      </w:pPr>
    </w:p>
    <w:p>
      <w:pPr>
        <w:ind w:right="5200" w:firstLine="8"/>
        <w:spacing w:after="0" w:line="613" w:lineRule="auto"/>
        <w:tabs>
          <w:tab w:leader="none" w:pos="2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Cumulative effect charge presented in the first quarter in accordance with SFAS 142. Quarterly impact from certain unusual items (after-tax and diluted EPS amounts):</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20" w:type="dxa"/>
            <w:vAlign w:val="bottom"/>
          </w:tcPr>
          <w:p>
            <w:pPr>
              <w:jc w:val="center"/>
              <w:ind w:left="5932"/>
              <w:spacing w:after="0"/>
              <w:rPr>
                <w:sz w:val="20"/>
                <w:szCs w:val="20"/>
                <w:color w:val="auto"/>
              </w:rPr>
            </w:pPr>
            <w:r>
              <w:rPr>
                <w:rFonts w:ascii="Arial" w:cs="Arial" w:eastAsia="Arial" w:hAnsi="Arial"/>
                <w:sz w:val="18"/>
                <w:szCs w:val="18"/>
                <w:color w:val="auto"/>
                <w:w w:val="91"/>
              </w:rPr>
              <w:t>First</w:t>
            </w:r>
          </w:p>
        </w:tc>
        <w:tc>
          <w:tcPr>
            <w:tcW w:w="1420" w:type="dxa"/>
            <w:vAlign w:val="bottom"/>
          </w:tcPr>
          <w:p>
            <w:pPr>
              <w:ind w:left="460"/>
              <w:spacing w:after="0"/>
              <w:rPr>
                <w:sz w:val="20"/>
                <w:szCs w:val="20"/>
                <w:color w:val="auto"/>
              </w:rPr>
            </w:pPr>
            <w:r>
              <w:rPr>
                <w:rFonts w:ascii="Arial" w:cs="Arial" w:eastAsia="Arial" w:hAnsi="Arial"/>
                <w:sz w:val="18"/>
                <w:szCs w:val="18"/>
                <w:color w:val="auto"/>
              </w:rPr>
              <w:t>Second</w:t>
            </w:r>
          </w:p>
        </w:tc>
        <w:tc>
          <w:tcPr>
            <w:tcW w:w="1380" w:type="dxa"/>
            <w:vAlign w:val="bottom"/>
          </w:tcPr>
          <w:p>
            <w:pPr>
              <w:jc w:val="center"/>
              <w:spacing w:after="0"/>
              <w:rPr>
                <w:sz w:val="20"/>
                <w:szCs w:val="20"/>
                <w:color w:val="auto"/>
              </w:rPr>
            </w:pPr>
            <w:r>
              <w:rPr>
                <w:rFonts w:ascii="Arial" w:cs="Arial" w:eastAsia="Arial" w:hAnsi="Arial"/>
                <w:sz w:val="18"/>
                <w:szCs w:val="18"/>
                <w:color w:val="auto"/>
                <w:w w:val="97"/>
              </w:rPr>
              <w:t>Third</w:t>
            </w:r>
          </w:p>
        </w:tc>
        <w:tc>
          <w:tcPr>
            <w:tcW w:w="1200" w:type="dxa"/>
            <w:vAlign w:val="bottom"/>
          </w:tcPr>
          <w:p>
            <w:pPr>
              <w:jc w:val="center"/>
              <w:ind w:left="92"/>
              <w:spacing w:after="0"/>
              <w:rPr>
                <w:sz w:val="20"/>
                <w:szCs w:val="20"/>
                <w:color w:val="auto"/>
              </w:rPr>
            </w:pPr>
            <w:r>
              <w:rPr>
                <w:rFonts w:ascii="Arial" w:cs="Arial" w:eastAsia="Arial" w:hAnsi="Arial"/>
                <w:sz w:val="18"/>
                <w:szCs w:val="18"/>
                <w:color w:val="auto"/>
                <w:w w:val="88"/>
              </w:rPr>
              <w:t>Fourth</w:t>
            </w:r>
          </w:p>
        </w:tc>
      </w:tr>
      <w:tr>
        <w:trPr>
          <w:trHeight w:val="222"/>
        </w:trPr>
        <w:tc>
          <w:tcPr>
            <w:tcW w:w="7420" w:type="dxa"/>
            <w:vAlign w:val="bottom"/>
          </w:tcPr>
          <w:p>
            <w:pPr>
              <w:jc w:val="center"/>
              <w:ind w:left="5952"/>
              <w:spacing w:after="0"/>
              <w:rPr>
                <w:sz w:val="20"/>
                <w:szCs w:val="20"/>
                <w:color w:val="auto"/>
              </w:rPr>
            </w:pPr>
            <w:r>
              <w:rPr>
                <w:rFonts w:ascii="Arial" w:cs="Arial" w:eastAsia="Arial" w:hAnsi="Arial"/>
                <w:sz w:val="18"/>
                <w:szCs w:val="18"/>
                <w:color w:val="auto"/>
                <w:w w:val="88"/>
              </w:rPr>
              <w:t>Quarter</w:t>
            </w:r>
          </w:p>
        </w:tc>
        <w:tc>
          <w:tcPr>
            <w:tcW w:w="1420" w:type="dxa"/>
            <w:vAlign w:val="bottom"/>
          </w:tcPr>
          <w:p>
            <w:pPr>
              <w:ind w:left="440"/>
              <w:spacing w:after="0"/>
              <w:rPr>
                <w:sz w:val="20"/>
                <w:szCs w:val="20"/>
                <w:color w:val="auto"/>
              </w:rPr>
            </w:pPr>
            <w:r>
              <w:rPr>
                <w:rFonts w:ascii="Arial" w:cs="Arial" w:eastAsia="Arial" w:hAnsi="Arial"/>
                <w:sz w:val="18"/>
                <w:szCs w:val="18"/>
                <w:color w:val="auto"/>
              </w:rPr>
              <w:t>Quarter</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Quarter</w:t>
            </w:r>
          </w:p>
        </w:tc>
        <w:tc>
          <w:tcPr>
            <w:tcW w:w="1200" w:type="dxa"/>
            <w:vAlign w:val="bottom"/>
          </w:tcPr>
          <w:p>
            <w:pPr>
              <w:jc w:val="center"/>
              <w:ind w:left="92"/>
              <w:spacing w:after="0"/>
              <w:rPr>
                <w:sz w:val="20"/>
                <w:szCs w:val="20"/>
                <w:color w:val="auto"/>
              </w:rPr>
            </w:pPr>
            <w:r>
              <w:rPr>
                <w:rFonts w:ascii="Arial" w:cs="Arial" w:eastAsia="Arial" w:hAnsi="Arial"/>
                <w:sz w:val="18"/>
                <w:szCs w:val="18"/>
                <w:color w:val="auto"/>
                <w:w w:val="88"/>
              </w:rPr>
              <w:t>Quarter</w:t>
            </w:r>
          </w:p>
        </w:tc>
      </w:tr>
      <w:tr>
        <w:trPr>
          <w:trHeight w:val="110"/>
        </w:trPr>
        <w:tc>
          <w:tcPr>
            <w:tcW w:w="742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r>
      <w:tr>
        <w:trPr>
          <w:trHeight w:val="102"/>
        </w:trPr>
        <w:tc>
          <w:tcPr>
            <w:tcW w:w="74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00" w:type="dxa"/>
            <w:vAlign w:val="bottom"/>
          </w:tcPr>
          <w:p>
            <w:pPr>
              <w:spacing w:after="0"/>
              <w:rPr>
                <w:sz w:val="8"/>
                <w:szCs w:val="8"/>
                <w:color w:val="auto"/>
              </w:rPr>
            </w:pPr>
          </w:p>
        </w:tc>
      </w:tr>
      <w:tr>
        <w:trPr>
          <w:trHeight w:val="97"/>
        </w:trPr>
        <w:tc>
          <w:tcPr>
            <w:tcW w:w="7420" w:type="dxa"/>
            <w:vAlign w:val="bottom"/>
            <w:shd w:val="clear" w:color="auto" w:fill="EEEEEE"/>
          </w:tcPr>
          <w:p>
            <w:pPr>
              <w:spacing w:after="0"/>
              <w:rPr>
                <w:sz w:val="8"/>
                <w:szCs w:val="8"/>
                <w:color w:val="auto"/>
              </w:rPr>
            </w:pPr>
          </w:p>
        </w:tc>
        <w:tc>
          <w:tcPr>
            <w:tcW w:w="1420" w:type="dxa"/>
            <w:vAlign w:val="bottom"/>
            <w:shd w:val="clear" w:color="auto" w:fill="EEEEEE"/>
          </w:tcPr>
          <w:p>
            <w:pPr>
              <w:spacing w:after="0"/>
              <w:rPr>
                <w:sz w:val="8"/>
                <w:szCs w:val="8"/>
                <w:color w:val="auto"/>
              </w:rPr>
            </w:pPr>
          </w:p>
        </w:tc>
        <w:tc>
          <w:tcPr>
            <w:tcW w:w="1380" w:type="dxa"/>
            <w:vAlign w:val="bottom"/>
            <w:shd w:val="clear" w:color="auto" w:fill="EEEEEE"/>
          </w:tcPr>
          <w:p>
            <w:pPr>
              <w:spacing w:after="0"/>
              <w:rPr>
                <w:sz w:val="8"/>
                <w:szCs w:val="8"/>
                <w:color w:val="auto"/>
              </w:rPr>
            </w:pPr>
          </w:p>
        </w:tc>
        <w:tc>
          <w:tcPr>
            <w:tcW w:w="1200" w:type="dxa"/>
            <w:vAlign w:val="bottom"/>
            <w:shd w:val="clear" w:color="auto" w:fill="EEEEEE"/>
          </w:tcPr>
          <w:p>
            <w:pPr>
              <w:spacing w:after="0"/>
              <w:rPr>
                <w:sz w:val="8"/>
                <w:szCs w:val="8"/>
                <w:color w:val="auto"/>
              </w:rPr>
            </w:pPr>
          </w:p>
        </w:tc>
      </w:tr>
    </w:tbl>
    <w:p>
      <w:pPr>
        <w:sectPr>
          <w:pgSz w:w="11900" w:h="16900" w:orient="portrait"/>
          <w:cols w:equalWidth="0" w:num="1">
            <w:col w:w="11420"/>
          </w:cols>
          <w:pgMar w:left="240" w:top="1157" w:right="239" w:bottom="0" w:gutter="0" w:footer="0" w:header="0"/>
          <w:type w:val="continuous"/>
        </w:sectPr>
      </w:pPr>
    </w:p>
    <w:bookmarkStart w:id="78" w:name="page79"/>
    <w:bookmarkEnd w:id="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180" w:type="dxa"/>
            <w:vAlign w:val="bottom"/>
            <w:shd w:val="clear" w:color="auto" w:fill="EEEEEE"/>
          </w:tcPr>
          <w:p>
            <w:pPr>
              <w:spacing w:after="0"/>
              <w:rPr>
                <w:sz w:val="20"/>
                <w:szCs w:val="20"/>
                <w:color w:val="auto"/>
              </w:rPr>
            </w:pPr>
            <w:r>
              <w:rPr>
                <w:rFonts w:ascii="Arial" w:cs="Arial" w:eastAsia="Arial" w:hAnsi="Arial"/>
                <w:sz w:val="18"/>
                <w:szCs w:val="18"/>
                <w:color w:val="auto"/>
                <w:w w:val="99"/>
              </w:rPr>
              <w:t>Early retirement program charges ($6.1 million, $1.6 million and $3.6 million in</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w w:val="84"/>
              </w:rPr>
              <w:t>(0.64)</w:t>
            </w:r>
          </w:p>
        </w:tc>
        <w:tc>
          <w:tcPr>
            <w:tcW w:w="1420" w:type="dxa"/>
            <w:vAlign w:val="bottom"/>
            <w:shd w:val="clear" w:color="auto" w:fill="EEEEEE"/>
          </w:tcPr>
          <w:p>
            <w:pPr>
              <w:jc w:val="right"/>
              <w:ind w:right="372"/>
              <w:spacing w:after="0"/>
              <w:rPr>
                <w:sz w:val="20"/>
                <w:szCs w:val="20"/>
                <w:color w:val="auto"/>
              </w:rPr>
            </w:pPr>
            <w:r>
              <w:rPr>
                <w:rFonts w:ascii="Arial" w:cs="Arial" w:eastAsia="Arial" w:hAnsi="Arial"/>
                <w:sz w:val="18"/>
                <w:szCs w:val="18"/>
                <w:color w:val="auto"/>
              </w:rPr>
              <w:t>$(0.17)</w:t>
            </w:r>
          </w:p>
        </w:tc>
        <w:tc>
          <w:tcPr>
            <w:tcW w:w="136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$(0.38)</w:t>
            </w:r>
          </w:p>
        </w:tc>
        <w:tc>
          <w:tcPr>
            <w:tcW w:w="1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1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the first, second and third quarters, respectively)</w:t>
            </w:r>
          </w:p>
        </w:tc>
        <w:tc>
          <w:tcPr>
            <w:tcW w:w="420" w:type="dxa"/>
            <w:vAlign w:val="bottom"/>
            <w:shd w:val="clear" w:color="auto" w:fill="EEEEEE"/>
          </w:tcPr>
          <w:p>
            <w:pPr>
              <w:spacing w:after="0"/>
              <w:rPr>
                <w:sz w:val="19"/>
                <w:szCs w:val="19"/>
                <w:color w:val="auto"/>
              </w:rPr>
            </w:pPr>
          </w:p>
        </w:tc>
        <w:tc>
          <w:tcPr>
            <w:tcW w:w="860" w:type="dxa"/>
            <w:vAlign w:val="bottom"/>
            <w:shd w:val="clear" w:color="auto" w:fill="EEEEEE"/>
          </w:tcPr>
          <w:p>
            <w:pPr>
              <w:spacing w:after="0"/>
              <w:rPr>
                <w:sz w:val="19"/>
                <w:szCs w:val="19"/>
                <w:color w:val="auto"/>
              </w:rPr>
            </w:pPr>
          </w:p>
        </w:tc>
        <w:tc>
          <w:tcPr>
            <w:tcW w:w="1420" w:type="dxa"/>
            <w:vAlign w:val="bottom"/>
            <w:shd w:val="clear" w:color="auto" w:fill="EEEEEE"/>
          </w:tcPr>
          <w:p>
            <w:pPr>
              <w:spacing w:after="0"/>
              <w:rPr>
                <w:sz w:val="19"/>
                <w:szCs w:val="19"/>
                <w:color w:val="auto"/>
              </w:rPr>
            </w:pPr>
          </w:p>
        </w:tc>
        <w:tc>
          <w:tcPr>
            <w:tcW w:w="1360" w:type="dxa"/>
            <w:vAlign w:val="bottom"/>
            <w:shd w:val="clear" w:color="auto" w:fill="EEEEEE"/>
          </w:tcPr>
          <w:p>
            <w:pPr>
              <w:spacing w:after="0"/>
              <w:rPr>
                <w:sz w:val="19"/>
                <w:szCs w:val="19"/>
                <w:color w:val="auto"/>
              </w:rPr>
            </w:pPr>
          </w:p>
        </w:tc>
        <w:tc>
          <w:tcPr>
            <w:tcW w:w="11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180" w:type="dxa"/>
            <w:vAlign w:val="bottom"/>
          </w:tcPr>
          <w:p>
            <w:pPr>
              <w:spacing w:after="0"/>
              <w:rPr>
                <w:sz w:val="20"/>
                <w:szCs w:val="20"/>
                <w:color w:val="auto"/>
              </w:rPr>
            </w:pPr>
            <w:r>
              <w:rPr>
                <w:rFonts w:ascii="Arial" w:cs="Arial" w:eastAsia="Arial" w:hAnsi="Arial"/>
                <w:sz w:val="18"/>
                <w:szCs w:val="18"/>
                <w:color w:val="auto"/>
              </w:rPr>
              <w:t>Net investment gain/(loss) ($3.8 million, ($3.3 million), ($0.9 million) and</w:t>
            </w: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80" w:type="dxa"/>
            <w:vAlign w:val="bottom"/>
          </w:tcPr>
          <w:p>
            <w:pPr>
              <w:ind w:left="140"/>
              <w:spacing w:after="0"/>
              <w:rPr>
                <w:sz w:val="20"/>
                <w:szCs w:val="20"/>
                <w:color w:val="auto"/>
              </w:rPr>
            </w:pPr>
            <w:r>
              <w:rPr>
                <w:rFonts w:ascii="Arial" w:cs="Arial" w:eastAsia="Arial" w:hAnsi="Arial"/>
                <w:sz w:val="18"/>
                <w:szCs w:val="18"/>
                <w:color w:val="auto"/>
              </w:rPr>
              <w:t>($1.9 million) in the first, second, third and fourth quarters, respectively)</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412"/>
              <w:spacing w:after="0"/>
              <w:rPr>
                <w:sz w:val="20"/>
                <w:szCs w:val="20"/>
                <w:color w:val="auto"/>
              </w:rPr>
            </w:pPr>
            <w:r>
              <w:rPr>
                <w:rFonts w:ascii="Arial" w:cs="Arial" w:eastAsia="Arial" w:hAnsi="Arial"/>
                <w:sz w:val="18"/>
                <w:szCs w:val="18"/>
                <w:color w:val="auto"/>
                <w:w w:val="96"/>
              </w:rPr>
              <w:t>0.40</w:t>
            </w:r>
          </w:p>
        </w:tc>
        <w:tc>
          <w:tcPr>
            <w:tcW w:w="1420" w:type="dxa"/>
            <w:vAlign w:val="bottom"/>
          </w:tcPr>
          <w:p>
            <w:pPr>
              <w:jc w:val="right"/>
              <w:ind w:right="372"/>
              <w:spacing w:after="0"/>
              <w:rPr>
                <w:sz w:val="20"/>
                <w:szCs w:val="20"/>
                <w:color w:val="auto"/>
              </w:rPr>
            </w:pPr>
            <w:r>
              <w:rPr>
                <w:rFonts w:ascii="Arial" w:cs="Arial" w:eastAsia="Arial" w:hAnsi="Arial"/>
                <w:sz w:val="18"/>
                <w:szCs w:val="18"/>
                <w:color w:val="auto"/>
              </w:rPr>
              <w:t>$(0.34)</w:t>
            </w:r>
          </w:p>
        </w:tc>
        <w:tc>
          <w:tcPr>
            <w:tcW w:w="1360" w:type="dxa"/>
            <w:vAlign w:val="bottom"/>
          </w:tcPr>
          <w:p>
            <w:pPr>
              <w:jc w:val="right"/>
              <w:ind w:right="312"/>
              <w:spacing w:after="0"/>
              <w:rPr>
                <w:sz w:val="20"/>
                <w:szCs w:val="20"/>
                <w:color w:val="auto"/>
              </w:rPr>
            </w:pPr>
            <w:r>
              <w:rPr>
                <w:rFonts w:ascii="Arial" w:cs="Arial" w:eastAsia="Arial" w:hAnsi="Arial"/>
                <w:sz w:val="18"/>
                <w:szCs w:val="18"/>
                <w:color w:val="auto"/>
              </w:rPr>
              <w:t>$(0.09)</w:t>
            </w:r>
          </w:p>
        </w:tc>
        <w:tc>
          <w:tcPr>
            <w:tcW w:w="1180" w:type="dxa"/>
            <w:vAlign w:val="bottom"/>
          </w:tcPr>
          <w:p>
            <w:pPr>
              <w:ind w:left="4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8"/>
        </w:trPr>
        <w:tc>
          <w:tcPr>
            <w:tcW w:w="6180" w:type="dxa"/>
            <w:vAlign w:val="bottom"/>
            <w:shd w:val="clear" w:color="auto" w:fill="EEEEEE"/>
          </w:tcPr>
          <w:p>
            <w:pPr>
              <w:spacing w:after="0"/>
              <w:rPr>
                <w:sz w:val="20"/>
                <w:szCs w:val="20"/>
                <w:color w:val="auto"/>
              </w:rPr>
            </w:pPr>
            <w:r>
              <w:rPr>
                <w:rFonts w:ascii="Arial" w:cs="Arial" w:eastAsia="Arial" w:hAnsi="Arial"/>
                <w:sz w:val="18"/>
                <w:szCs w:val="18"/>
                <w:color w:val="auto"/>
              </w:rPr>
              <w:t>Gain on exchange of cable systems ($16.7 million)</w:t>
            </w:r>
          </w:p>
        </w:tc>
        <w:tc>
          <w:tcPr>
            <w:tcW w:w="42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180" w:type="dxa"/>
            <w:vAlign w:val="bottom"/>
            <w:shd w:val="clear" w:color="auto" w:fill="EEEEEE"/>
          </w:tcPr>
          <w:p>
            <w:pPr>
              <w:ind w:left="400"/>
              <w:spacing w:after="0"/>
              <w:rPr>
                <w:sz w:val="20"/>
                <w:szCs w:val="20"/>
                <w:color w:val="auto"/>
              </w:rPr>
            </w:pPr>
            <w:r>
              <w:rPr>
                <w:rFonts w:ascii="Arial" w:cs="Arial" w:eastAsia="Arial" w:hAnsi="Arial"/>
                <w:sz w:val="18"/>
                <w:szCs w:val="18"/>
                <w:color w:val="auto"/>
              </w:rPr>
              <w:t>$ 1.75</w:t>
            </w:r>
          </w:p>
        </w:tc>
        <w:tc>
          <w:tcPr>
            <w:tcW w:w="0" w:type="dxa"/>
            <w:vAlign w:val="bottom"/>
          </w:tcPr>
          <w:p>
            <w:pPr>
              <w:spacing w:after="0"/>
              <w:rPr>
                <w:sz w:val="1"/>
                <w:szCs w:val="1"/>
                <w:color w:val="auto"/>
              </w:rPr>
            </w:pPr>
          </w:p>
        </w:tc>
      </w:tr>
      <w:tr>
        <w:trPr>
          <w:trHeight w:val="105"/>
        </w:trPr>
        <w:tc>
          <w:tcPr>
            <w:tcW w:w="6180" w:type="dxa"/>
            <w:vAlign w:val="bottom"/>
            <w:vMerge w:val="restart"/>
          </w:tcPr>
          <w:p>
            <w:pPr>
              <w:ind w:left="5620"/>
              <w:spacing w:after="0"/>
              <w:rPr>
                <w:sz w:val="20"/>
                <w:szCs w:val="20"/>
                <w:color w:val="auto"/>
              </w:rPr>
            </w:pPr>
            <w:r>
              <w:rPr>
                <w:rFonts w:ascii="Arial" w:cs="Arial" w:eastAsia="Arial" w:hAnsi="Arial"/>
                <w:sz w:val="18"/>
                <w:szCs w:val="18"/>
                <w:color w:val="auto"/>
              </w:rPr>
              <w:t>58</w:t>
            </w: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62"/>
        </w:trPr>
        <w:tc>
          <w:tcPr>
            <w:tcW w:w="61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1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79" w:name="page80"/>
    <w:bookmarkEnd w:id="79"/>
    <w:p>
      <w:pPr>
        <w:ind w:left="10280"/>
        <w:spacing w:after="0"/>
        <w:rPr>
          <w:sz w:val="20"/>
          <w:szCs w:val="20"/>
          <w:color w:val="auto"/>
        </w:rPr>
      </w:pPr>
      <w:r>
        <w:rPr>
          <w:rFonts w:ascii="Arial" w:cs="Arial" w:eastAsia="Arial" w:hAnsi="Arial"/>
          <w:sz w:val="16"/>
          <w:szCs w:val="16"/>
          <w:b w:val="1"/>
          <w:bCs w:val="1"/>
          <w:color w:val="auto"/>
        </w:rPr>
        <w:t>SCHEDULE II</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220" w:type="dxa"/>
            <w:vAlign w:val="bottom"/>
          </w:tcPr>
          <w:p>
            <w:pPr>
              <w:ind w:left="1600"/>
              <w:spacing w:after="0"/>
              <w:rPr>
                <w:sz w:val="20"/>
                <w:szCs w:val="20"/>
                <w:color w:val="auto"/>
              </w:rPr>
            </w:pPr>
            <w:r>
              <w:rPr>
                <w:rFonts w:ascii="Arial" w:cs="Arial" w:eastAsia="Arial" w:hAnsi="Arial"/>
                <w:sz w:val="18"/>
                <w:szCs w:val="18"/>
                <w:color w:val="auto"/>
              </w:rPr>
              <w:t>Column A</w:t>
            </w:r>
          </w:p>
        </w:tc>
        <w:tc>
          <w:tcPr>
            <w:tcW w:w="1300" w:type="dxa"/>
            <w:vAlign w:val="bottom"/>
          </w:tcPr>
          <w:p>
            <w:pPr>
              <w:jc w:val="center"/>
              <w:ind w:left="132"/>
              <w:spacing w:after="0"/>
              <w:rPr>
                <w:sz w:val="20"/>
                <w:szCs w:val="20"/>
                <w:color w:val="auto"/>
              </w:rPr>
            </w:pPr>
            <w:r>
              <w:rPr>
                <w:rFonts w:ascii="Arial" w:cs="Arial" w:eastAsia="Arial" w:hAnsi="Arial"/>
                <w:sz w:val="18"/>
                <w:szCs w:val="18"/>
                <w:color w:val="auto"/>
                <w:w w:val="91"/>
              </w:rPr>
              <w:t>Column B</w:t>
            </w:r>
          </w:p>
        </w:tc>
        <w:tc>
          <w:tcPr>
            <w:tcW w:w="1080" w:type="dxa"/>
            <w:vAlign w:val="bottom"/>
          </w:tcPr>
          <w:p>
            <w:pPr>
              <w:spacing w:after="0"/>
              <w:rPr>
                <w:sz w:val="19"/>
                <w:szCs w:val="19"/>
                <w:color w:val="auto"/>
              </w:rPr>
            </w:pPr>
          </w:p>
        </w:tc>
        <w:tc>
          <w:tcPr>
            <w:tcW w:w="1360" w:type="dxa"/>
            <w:vAlign w:val="bottom"/>
          </w:tcPr>
          <w:p>
            <w:pPr>
              <w:jc w:val="center"/>
              <w:ind w:right="512"/>
              <w:spacing w:after="0"/>
              <w:rPr>
                <w:sz w:val="20"/>
                <w:szCs w:val="20"/>
                <w:color w:val="auto"/>
              </w:rPr>
            </w:pPr>
            <w:r>
              <w:rPr>
                <w:rFonts w:ascii="Arial" w:cs="Arial" w:eastAsia="Arial" w:hAnsi="Arial"/>
                <w:sz w:val="18"/>
                <w:szCs w:val="18"/>
                <w:color w:val="auto"/>
                <w:w w:val="89"/>
              </w:rPr>
              <w:t>Column C</w:t>
            </w:r>
          </w:p>
        </w:tc>
        <w:tc>
          <w:tcPr>
            <w:tcW w:w="580" w:type="dxa"/>
            <w:vAlign w:val="bottom"/>
          </w:tcPr>
          <w:p>
            <w:pPr>
              <w:spacing w:after="0"/>
              <w:rPr>
                <w:sz w:val="19"/>
                <w:szCs w:val="19"/>
                <w:color w:val="auto"/>
              </w:rPr>
            </w:pPr>
          </w:p>
        </w:tc>
        <w:tc>
          <w:tcPr>
            <w:tcW w:w="1260" w:type="dxa"/>
            <w:vAlign w:val="bottom"/>
          </w:tcPr>
          <w:p>
            <w:pPr>
              <w:jc w:val="right"/>
              <w:ind w:right="392"/>
              <w:spacing w:after="0"/>
              <w:rPr>
                <w:sz w:val="20"/>
                <w:szCs w:val="20"/>
                <w:color w:val="auto"/>
              </w:rPr>
            </w:pPr>
            <w:r>
              <w:rPr>
                <w:rFonts w:ascii="Arial" w:cs="Arial" w:eastAsia="Arial" w:hAnsi="Arial"/>
                <w:sz w:val="18"/>
                <w:szCs w:val="18"/>
                <w:color w:val="auto"/>
                <w:w w:val="94"/>
              </w:rPr>
              <w:t>Column D</w:t>
            </w:r>
          </w:p>
        </w:tc>
        <w:tc>
          <w:tcPr>
            <w:tcW w:w="1600" w:type="dxa"/>
            <w:vAlign w:val="bottom"/>
          </w:tcPr>
          <w:p>
            <w:pPr>
              <w:jc w:val="center"/>
              <w:ind w:left="52"/>
              <w:spacing w:after="0"/>
              <w:rPr>
                <w:sz w:val="20"/>
                <w:szCs w:val="20"/>
                <w:color w:val="auto"/>
              </w:rPr>
            </w:pPr>
            <w:r>
              <w:rPr>
                <w:rFonts w:ascii="Arial" w:cs="Arial" w:eastAsia="Arial" w:hAnsi="Arial"/>
                <w:sz w:val="18"/>
                <w:szCs w:val="18"/>
                <w:color w:val="auto"/>
                <w:w w:val="88"/>
              </w:rPr>
              <w:t>Column 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2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440" w:type="dxa"/>
            <w:vAlign w:val="bottom"/>
            <w:tcBorders>
              <w:bottom w:val="single" w:sz="8" w:color="808080"/>
            </w:tcBorders>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40" w:type="dxa"/>
            <w:vAlign w:val="bottom"/>
            <w:gridSpan w:val="2"/>
          </w:tcPr>
          <w:p>
            <w:pPr>
              <w:jc w:val="center"/>
              <w:ind w:left="412"/>
              <w:spacing w:after="0"/>
              <w:rPr>
                <w:sz w:val="20"/>
                <w:szCs w:val="20"/>
                <w:color w:val="auto"/>
              </w:rPr>
            </w:pPr>
            <w:r>
              <w:rPr>
                <w:rFonts w:ascii="Arial" w:cs="Arial" w:eastAsia="Arial" w:hAnsi="Arial"/>
                <w:sz w:val="18"/>
                <w:szCs w:val="18"/>
                <w:color w:val="auto"/>
                <w:w w:val="92"/>
              </w:rPr>
              <w:t>Additions –</w:t>
            </w: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300" w:type="dxa"/>
            <w:vAlign w:val="bottom"/>
          </w:tcPr>
          <w:p>
            <w:pPr>
              <w:jc w:val="center"/>
              <w:ind w:left="152"/>
              <w:spacing w:after="0"/>
              <w:rPr>
                <w:sz w:val="20"/>
                <w:szCs w:val="20"/>
                <w:color w:val="auto"/>
              </w:rPr>
            </w:pPr>
            <w:r>
              <w:rPr>
                <w:rFonts w:ascii="Arial" w:cs="Arial" w:eastAsia="Arial" w:hAnsi="Arial"/>
                <w:sz w:val="18"/>
                <w:szCs w:val="18"/>
                <w:color w:val="auto"/>
                <w:w w:val="86"/>
              </w:rPr>
              <w:t>Balance at</w:t>
            </w:r>
          </w:p>
        </w:tc>
        <w:tc>
          <w:tcPr>
            <w:tcW w:w="1080" w:type="dxa"/>
            <w:vAlign w:val="bottom"/>
          </w:tcPr>
          <w:p>
            <w:pPr>
              <w:spacing w:after="0"/>
              <w:rPr>
                <w:sz w:val="18"/>
                <w:szCs w:val="18"/>
                <w:color w:val="auto"/>
              </w:rPr>
            </w:pPr>
          </w:p>
        </w:tc>
        <w:tc>
          <w:tcPr>
            <w:tcW w:w="1360" w:type="dxa"/>
            <w:vAlign w:val="bottom"/>
          </w:tcPr>
          <w:p>
            <w:pPr>
              <w:jc w:val="center"/>
              <w:ind w:right="492"/>
              <w:spacing w:after="0"/>
              <w:rPr>
                <w:sz w:val="20"/>
                <w:szCs w:val="20"/>
                <w:color w:val="auto"/>
              </w:rPr>
            </w:pPr>
            <w:r>
              <w:rPr>
                <w:rFonts w:ascii="Arial" w:cs="Arial" w:eastAsia="Arial" w:hAnsi="Arial"/>
                <w:sz w:val="18"/>
                <w:szCs w:val="18"/>
                <w:color w:val="auto"/>
                <w:w w:val="87"/>
              </w:rPr>
              <w:t>Charged to</w:t>
            </w: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Pr>
          <w:p>
            <w:pPr>
              <w:jc w:val="center"/>
              <w:ind w:left="52"/>
              <w:spacing w:after="0"/>
              <w:rPr>
                <w:sz w:val="20"/>
                <w:szCs w:val="20"/>
                <w:color w:val="auto"/>
              </w:rPr>
            </w:pPr>
            <w:r>
              <w:rPr>
                <w:rFonts w:ascii="Arial" w:cs="Arial" w:eastAsia="Arial" w:hAnsi="Arial"/>
                <w:sz w:val="18"/>
                <w:szCs w:val="18"/>
                <w:color w:val="auto"/>
                <w:w w:val="86"/>
              </w:rPr>
              <w:t>Balance 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300" w:type="dxa"/>
            <w:vAlign w:val="bottom"/>
          </w:tcPr>
          <w:p>
            <w:pPr>
              <w:jc w:val="center"/>
              <w:ind w:left="152"/>
              <w:spacing w:after="0"/>
              <w:rPr>
                <w:sz w:val="20"/>
                <w:szCs w:val="20"/>
                <w:color w:val="auto"/>
              </w:rPr>
            </w:pPr>
            <w:r>
              <w:rPr>
                <w:rFonts w:ascii="Arial" w:cs="Arial" w:eastAsia="Arial" w:hAnsi="Arial"/>
                <w:sz w:val="18"/>
                <w:szCs w:val="18"/>
                <w:color w:val="auto"/>
                <w:w w:val="92"/>
              </w:rPr>
              <w:t>Beginning</w:t>
            </w:r>
          </w:p>
        </w:tc>
        <w:tc>
          <w:tcPr>
            <w:tcW w:w="1080" w:type="dxa"/>
            <w:vAlign w:val="bottom"/>
          </w:tcPr>
          <w:p>
            <w:pPr>
              <w:spacing w:after="0"/>
              <w:rPr>
                <w:sz w:val="18"/>
                <w:szCs w:val="18"/>
                <w:color w:val="auto"/>
              </w:rPr>
            </w:pPr>
          </w:p>
        </w:tc>
        <w:tc>
          <w:tcPr>
            <w:tcW w:w="1360" w:type="dxa"/>
            <w:vAlign w:val="bottom"/>
          </w:tcPr>
          <w:p>
            <w:pPr>
              <w:jc w:val="center"/>
              <w:ind w:right="512"/>
              <w:spacing w:after="0"/>
              <w:rPr>
                <w:sz w:val="20"/>
                <w:szCs w:val="20"/>
                <w:color w:val="auto"/>
              </w:rPr>
            </w:pPr>
            <w:r>
              <w:rPr>
                <w:rFonts w:ascii="Arial" w:cs="Arial" w:eastAsia="Arial" w:hAnsi="Arial"/>
                <w:sz w:val="18"/>
                <w:szCs w:val="18"/>
                <w:color w:val="auto"/>
                <w:w w:val="83"/>
              </w:rPr>
              <w:t>Costs and</w:t>
            </w: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Pr>
          <w:p>
            <w:pPr>
              <w:jc w:val="center"/>
              <w:ind w:left="52"/>
              <w:spacing w:after="0"/>
              <w:rPr>
                <w:sz w:val="20"/>
                <w:szCs w:val="20"/>
                <w:color w:val="auto"/>
              </w:rPr>
            </w:pPr>
            <w:r>
              <w:rPr>
                <w:rFonts w:ascii="Arial" w:cs="Arial" w:eastAsia="Arial" w:hAnsi="Arial"/>
                <w:sz w:val="18"/>
                <w:szCs w:val="18"/>
                <w:color w:val="auto"/>
                <w:w w:val="88"/>
              </w:rPr>
              <w:t>End of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ind w:left="1560"/>
              <w:spacing w:after="0"/>
              <w:rPr>
                <w:sz w:val="20"/>
                <w:szCs w:val="20"/>
                <w:color w:val="auto"/>
              </w:rPr>
            </w:pPr>
            <w:r>
              <w:rPr>
                <w:rFonts w:ascii="Arial" w:cs="Arial" w:eastAsia="Arial" w:hAnsi="Arial"/>
                <w:sz w:val="18"/>
                <w:szCs w:val="18"/>
                <w:color w:val="auto"/>
              </w:rPr>
              <w:t>Description</w:t>
            </w:r>
          </w:p>
        </w:tc>
        <w:tc>
          <w:tcPr>
            <w:tcW w:w="1300" w:type="dxa"/>
            <w:vAlign w:val="bottom"/>
          </w:tcPr>
          <w:p>
            <w:pPr>
              <w:jc w:val="center"/>
              <w:ind w:left="132"/>
              <w:spacing w:after="0"/>
              <w:rPr>
                <w:sz w:val="20"/>
                <w:szCs w:val="20"/>
                <w:color w:val="auto"/>
              </w:rPr>
            </w:pPr>
            <w:r>
              <w:rPr>
                <w:rFonts w:ascii="Arial" w:cs="Arial" w:eastAsia="Arial" w:hAnsi="Arial"/>
                <w:sz w:val="18"/>
                <w:szCs w:val="18"/>
                <w:color w:val="auto"/>
                <w:w w:val="88"/>
              </w:rPr>
              <w:t>of Period</w:t>
            </w:r>
          </w:p>
        </w:tc>
        <w:tc>
          <w:tcPr>
            <w:tcW w:w="1080" w:type="dxa"/>
            <w:vAlign w:val="bottom"/>
          </w:tcPr>
          <w:p>
            <w:pPr>
              <w:spacing w:after="0"/>
              <w:rPr>
                <w:sz w:val="19"/>
                <w:szCs w:val="19"/>
                <w:color w:val="auto"/>
              </w:rPr>
            </w:pPr>
          </w:p>
        </w:tc>
        <w:tc>
          <w:tcPr>
            <w:tcW w:w="1360" w:type="dxa"/>
            <w:vAlign w:val="bottom"/>
          </w:tcPr>
          <w:p>
            <w:pPr>
              <w:jc w:val="center"/>
              <w:ind w:right="492"/>
              <w:spacing w:after="0"/>
              <w:rPr>
                <w:sz w:val="20"/>
                <w:szCs w:val="20"/>
                <w:color w:val="auto"/>
              </w:rPr>
            </w:pPr>
            <w:r>
              <w:rPr>
                <w:rFonts w:ascii="Arial" w:cs="Arial" w:eastAsia="Arial" w:hAnsi="Arial"/>
                <w:sz w:val="18"/>
                <w:szCs w:val="18"/>
                <w:color w:val="auto"/>
                <w:w w:val="83"/>
              </w:rPr>
              <w:t>Expenses</w:t>
            </w:r>
          </w:p>
        </w:tc>
        <w:tc>
          <w:tcPr>
            <w:tcW w:w="580" w:type="dxa"/>
            <w:vAlign w:val="bottom"/>
          </w:tcPr>
          <w:p>
            <w:pPr>
              <w:spacing w:after="0"/>
              <w:rPr>
                <w:sz w:val="19"/>
                <w:szCs w:val="19"/>
                <w:color w:val="auto"/>
              </w:rPr>
            </w:pPr>
          </w:p>
        </w:tc>
        <w:tc>
          <w:tcPr>
            <w:tcW w:w="1260" w:type="dxa"/>
            <w:vAlign w:val="bottom"/>
          </w:tcPr>
          <w:p>
            <w:pPr>
              <w:jc w:val="right"/>
              <w:ind w:right="372"/>
              <w:spacing w:after="0"/>
              <w:rPr>
                <w:sz w:val="20"/>
                <w:szCs w:val="20"/>
                <w:color w:val="auto"/>
              </w:rPr>
            </w:pPr>
            <w:r>
              <w:rPr>
                <w:rFonts w:ascii="Arial" w:cs="Arial" w:eastAsia="Arial" w:hAnsi="Arial"/>
                <w:sz w:val="18"/>
                <w:szCs w:val="18"/>
                <w:color w:val="auto"/>
                <w:w w:val="86"/>
              </w:rPr>
              <w:t>Deductions</w:t>
            </w:r>
          </w:p>
        </w:tc>
        <w:tc>
          <w:tcPr>
            <w:tcW w:w="1600" w:type="dxa"/>
            <w:vAlign w:val="bottom"/>
          </w:tcPr>
          <w:p>
            <w:pPr>
              <w:jc w:val="center"/>
              <w:ind w:left="52"/>
              <w:spacing w:after="0"/>
              <w:rPr>
                <w:sz w:val="20"/>
                <w:szCs w:val="20"/>
                <w:color w:val="auto"/>
              </w:rPr>
            </w:pPr>
            <w:r>
              <w:rPr>
                <w:rFonts w:ascii="Arial" w:cs="Arial" w:eastAsia="Arial" w:hAnsi="Arial"/>
                <w:sz w:val="18"/>
                <w:szCs w:val="18"/>
                <w:color w:val="auto"/>
                <w:w w:val="88"/>
              </w:rPr>
              <w:t>Period</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2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Year Ended December 30, 2001</w:t>
            </w:r>
          </w:p>
        </w:tc>
        <w:tc>
          <w:tcPr>
            <w:tcW w:w="1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40"/>
              <w:spacing w:after="0"/>
              <w:rPr>
                <w:sz w:val="20"/>
                <w:szCs w:val="20"/>
                <w:color w:val="auto"/>
              </w:rPr>
            </w:pPr>
            <w:r>
              <w:rPr>
                <w:rFonts w:ascii="Arial" w:cs="Arial" w:eastAsia="Arial" w:hAnsi="Arial"/>
                <w:sz w:val="18"/>
                <w:szCs w:val="18"/>
                <w:color w:val="auto"/>
              </w:rPr>
              <w:t>Allowance for doubtful accounts and returns</w:t>
            </w:r>
          </w:p>
        </w:tc>
        <w:tc>
          <w:tcPr>
            <w:tcW w:w="1300" w:type="dxa"/>
            <w:vAlign w:val="bottom"/>
          </w:tcPr>
          <w:p>
            <w:pPr>
              <w:jc w:val="right"/>
              <w:spacing w:after="0"/>
              <w:rPr>
                <w:sz w:val="20"/>
                <w:szCs w:val="20"/>
                <w:color w:val="auto"/>
              </w:rPr>
            </w:pPr>
            <w:r>
              <w:rPr>
                <w:rFonts w:ascii="Arial" w:cs="Arial" w:eastAsia="Arial" w:hAnsi="Arial"/>
                <w:sz w:val="18"/>
                <w:szCs w:val="18"/>
                <w:color w:val="auto"/>
              </w:rPr>
              <w:t>$58,003,000</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92"/>
              <w:spacing w:after="0"/>
              <w:rPr>
                <w:sz w:val="20"/>
                <w:szCs w:val="20"/>
                <w:color w:val="auto"/>
              </w:rPr>
            </w:pPr>
            <w:r>
              <w:rPr>
                <w:rFonts w:ascii="Arial" w:cs="Arial" w:eastAsia="Arial" w:hAnsi="Arial"/>
                <w:sz w:val="18"/>
                <w:szCs w:val="18"/>
                <w:color w:val="auto"/>
                <w:w w:val="95"/>
              </w:rPr>
              <w:t>98,655,000</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92"/>
              <w:spacing w:after="0"/>
              <w:rPr>
                <w:sz w:val="20"/>
                <w:szCs w:val="20"/>
                <w:color w:val="auto"/>
              </w:rPr>
            </w:pPr>
            <w:r>
              <w:rPr>
                <w:rFonts w:ascii="Arial" w:cs="Arial" w:eastAsia="Arial" w:hAnsi="Arial"/>
                <w:sz w:val="18"/>
                <w:szCs w:val="18"/>
                <w:color w:val="auto"/>
                <w:w w:val="95"/>
              </w:rPr>
              <w:t>88,689,000</w:t>
            </w:r>
          </w:p>
        </w:tc>
        <w:tc>
          <w:tcPr>
            <w:tcW w:w="1600" w:type="dxa"/>
            <w:vAlign w:val="bottom"/>
          </w:tcPr>
          <w:p>
            <w:pPr>
              <w:jc w:val="right"/>
              <w:ind w:right="232"/>
              <w:spacing w:after="0"/>
              <w:rPr>
                <w:sz w:val="20"/>
                <w:szCs w:val="20"/>
                <w:color w:val="auto"/>
              </w:rPr>
            </w:pPr>
            <w:r>
              <w:rPr>
                <w:rFonts w:ascii="Arial" w:cs="Arial" w:eastAsia="Arial" w:hAnsi="Arial"/>
                <w:sz w:val="18"/>
                <w:szCs w:val="18"/>
                <w:color w:val="auto"/>
              </w:rPr>
              <w:t>$67,969,000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Allowance for advertising rate adjustments and</w:t>
            </w:r>
          </w:p>
        </w:tc>
        <w:tc>
          <w:tcPr>
            <w:tcW w:w="1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discounts</w:t>
            </w: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7,195,000</w:t>
            </w:r>
          </w:p>
        </w:tc>
        <w:tc>
          <w:tcPr>
            <w:tcW w:w="1080" w:type="dxa"/>
            <w:vAlign w:val="bottom"/>
            <w:shd w:val="clear" w:color="auto" w:fill="EEEEEE"/>
          </w:tcPr>
          <w:p>
            <w:pPr>
              <w:spacing w:after="0"/>
              <w:rPr>
                <w:sz w:val="19"/>
                <w:szCs w:val="19"/>
                <w:color w:val="auto"/>
              </w:rPr>
            </w:pPr>
          </w:p>
        </w:tc>
        <w:tc>
          <w:tcPr>
            <w:tcW w:w="1360" w:type="dxa"/>
            <w:vAlign w:val="bottom"/>
            <w:shd w:val="clear" w:color="auto" w:fill="EEEEEE"/>
          </w:tcPr>
          <w:p>
            <w:pPr>
              <w:jc w:val="right"/>
              <w:ind w:right="392"/>
              <w:spacing w:after="0"/>
              <w:rPr>
                <w:sz w:val="20"/>
                <w:szCs w:val="20"/>
                <w:color w:val="auto"/>
              </w:rPr>
            </w:pPr>
            <w:r>
              <w:rPr>
                <w:rFonts w:ascii="Arial" w:cs="Arial" w:eastAsia="Arial" w:hAnsi="Arial"/>
                <w:sz w:val="18"/>
                <w:szCs w:val="18"/>
                <w:color w:val="auto"/>
              </w:rPr>
              <w:t>4,163,000</w:t>
            </w:r>
          </w:p>
        </w:tc>
        <w:tc>
          <w:tcPr>
            <w:tcW w:w="580" w:type="dxa"/>
            <w:vAlign w:val="bottom"/>
            <w:shd w:val="clear" w:color="auto" w:fill="EEEEEE"/>
          </w:tcPr>
          <w:p>
            <w:pPr>
              <w:spacing w:after="0"/>
              <w:rPr>
                <w:sz w:val="19"/>
                <w:szCs w:val="19"/>
                <w:color w:val="auto"/>
              </w:rPr>
            </w:pPr>
          </w:p>
        </w:tc>
        <w:tc>
          <w:tcPr>
            <w:tcW w:w="126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6,079,000</w:t>
            </w:r>
          </w:p>
        </w:tc>
        <w:tc>
          <w:tcPr>
            <w:tcW w:w="160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rPr>
              <w:t>5,279,000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$65,198,000</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92"/>
              <w:spacing w:after="0"/>
              <w:rPr>
                <w:sz w:val="20"/>
                <w:szCs w:val="20"/>
                <w:color w:val="auto"/>
              </w:rPr>
            </w:pPr>
            <w:r>
              <w:rPr>
                <w:rFonts w:ascii="Arial" w:cs="Arial" w:eastAsia="Arial" w:hAnsi="Arial"/>
                <w:sz w:val="18"/>
                <w:szCs w:val="18"/>
                <w:color w:val="auto"/>
                <w:w w:val="85"/>
              </w:rPr>
              <w:t>102,818,000</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92"/>
              <w:spacing w:after="0"/>
              <w:rPr>
                <w:sz w:val="20"/>
                <w:szCs w:val="20"/>
                <w:color w:val="auto"/>
              </w:rPr>
            </w:pPr>
            <w:r>
              <w:rPr>
                <w:rFonts w:ascii="Arial" w:cs="Arial" w:eastAsia="Arial" w:hAnsi="Arial"/>
                <w:sz w:val="18"/>
                <w:szCs w:val="18"/>
                <w:color w:val="auto"/>
                <w:w w:val="95"/>
              </w:rPr>
              <w:t>94,768,000</w:t>
            </w:r>
          </w:p>
        </w:tc>
        <w:tc>
          <w:tcPr>
            <w:tcW w:w="1600" w:type="dxa"/>
            <w:vAlign w:val="bottom"/>
          </w:tcPr>
          <w:p>
            <w:pPr>
              <w:jc w:val="right"/>
              <w:ind w:right="232"/>
              <w:spacing w:after="0"/>
              <w:rPr>
                <w:sz w:val="20"/>
                <w:szCs w:val="20"/>
                <w:color w:val="auto"/>
              </w:rPr>
            </w:pPr>
            <w:r>
              <w:rPr>
                <w:rFonts w:ascii="Arial" w:cs="Arial" w:eastAsia="Arial" w:hAnsi="Arial"/>
                <w:sz w:val="18"/>
                <w:szCs w:val="18"/>
                <w:color w:val="auto"/>
              </w:rPr>
              <w:t>$73,248,000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220" w:type="dxa"/>
            <w:vAlign w:val="bottom"/>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6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Year Ended December 29, 2002</w:t>
            </w:r>
          </w:p>
        </w:tc>
        <w:tc>
          <w:tcPr>
            <w:tcW w:w="1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40"/>
              <w:spacing w:after="0"/>
              <w:rPr>
                <w:sz w:val="20"/>
                <w:szCs w:val="20"/>
                <w:color w:val="auto"/>
              </w:rPr>
            </w:pPr>
            <w:r>
              <w:rPr>
                <w:rFonts w:ascii="Arial" w:cs="Arial" w:eastAsia="Arial" w:hAnsi="Arial"/>
                <w:sz w:val="18"/>
                <w:szCs w:val="18"/>
                <w:color w:val="auto"/>
              </w:rPr>
              <w:t>Allowance for doubtful accounts and returns</w:t>
            </w:r>
          </w:p>
        </w:tc>
        <w:tc>
          <w:tcPr>
            <w:tcW w:w="1300" w:type="dxa"/>
            <w:vAlign w:val="bottom"/>
          </w:tcPr>
          <w:p>
            <w:pPr>
              <w:jc w:val="right"/>
              <w:spacing w:after="0"/>
              <w:rPr>
                <w:sz w:val="20"/>
                <w:szCs w:val="20"/>
                <w:color w:val="auto"/>
              </w:rPr>
            </w:pPr>
            <w:r>
              <w:rPr>
                <w:rFonts w:ascii="Arial" w:cs="Arial" w:eastAsia="Arial" w:hAnsi="Arial"/>
                <w:sz w:val="18"/>
                <w:szCs w:val="18"/>
                <w:color w:val="auto"/>
              </w:rPr>
              <w:t>$67,969,000</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92"/>
              <w:spacing w:after="0"/>
              <w:rPr>
                <w:sz w:val="20"/>
                <w:szCs w:val="20"/>
                <w:color w:val="auto"/>
              </w:rPr>
            </w:pPr>
            <w:r>
              <w:rPr>
                <w:rFonts w:ascii="Arial" w:cs="Arial" w:eastAsia="Arial" w:hAnsi="Arial"/>
                <w:sz w:val="18"/>
                <w:szCs w:val="18"/>
                <w:color w:val="auto"/>
                <w:w w:val="95"/>
              </w:rPr>
              <w:t>91,091,000</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92"/>
              <w:spacing w:after="0"/>
              <w:rPr>
                <w:sz w:val="20"/>
                <w:szCs w:val="20"/>
                <w:color w:val="auto"/>
              </w:rPr>
            </w:pPr>
            <w:r>
              <w:rPr>
                <w:rFonts w:ascii="Arial" w:cs="Arial" w:eastAsia="Arial" w:hAnsi="Arial"/>
                <w:sz w:val="18"/>
                <w:szCs w:val="18"/>
                <w:color w:val="auto"/>
                <w:w w:val="95"/>
              </w:rPr>
              <w:t>98,820,000</w:t>
            </w:r>
          </w:p>
        </w:tc>
        <w:tc>
          <w:tcPr>
            <w:tcW w:w="1600" w:type="dxa"/>
            <w:vAlign w:val="bottom"/>
          </w:tcPr>
          <w:p>
            <w:pPr>
              <w:jc w:val="right"/>
              <w:ind w:right="232"/>
              <w:spacing w:after="0"/>
              <w:rPr>
                <w:sz w:val="20"/>
                <w:szCs w:val="20"/>
                <w:color w:val="auto"/>
              </w:rPr>
            </w:pPr>
            <w:r>
              <w:rPr>
                <w:rFonts w:ascii="Arial" w:cs="Arial" w:eastAsia="Arial" w:hAnsi="Arial"/>
                <w:sz w:val="18"/>
                <w:szCs w:val="18"/>
                <w:color w:val="auto"/>
              </w:rPr>
              <w:t>$60,240,000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Allowance for advertising rate adjustments and</w:t>
            </w:r>
          </w:p>
        </w:tc>
        <w:tc>
          <w:tcPr>
            <w:tcW w:w="1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discounts</w:t>
            </w: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5,279,000</w:t>
            </w:r>
          </w:p>
        </w:tc>
        <w:tc>
          <w:tcPr>
            <w:tcW w:w="1080" w:type="dxa"/>
            <w:vAlign w:val="bottom"/>
            <w:shd w:val="clear" w:color="auto" w:fill="EEEEEE"/>
          </w:tcPr>
          <w:p>
            <w:pPr>
              <w:spacing w:after="0"/>
              <w:rPr>
                <w:sz w:val="19"/>
                <w:szCs w:val="19"/>
                <w:color w:val="auto"/>
              </w:rPr>
            </w:pPr>
          </w:p>
        </w:tc>
        <w:tc>
          <w:tcPr>
            <w:tcW w:w="1360" w:type="dxa"/>
            <w:vAlign w:val="bottom"/>
            <w:shd w:val="clear" w:color="auto" w:fill="EEEEEE"/>
          </w:tcPr>
          <w:p>
            <w:pPr>
              <w:jc w:val="right"/>
              <w:ind w:right="392"/>
              <w:spacing w:after="0"/>
              <w:rPr>
                <w:sz w:val="20"/>
                <w:szCs w:val="20"/>
                <w:color w:val="auto"/>
              </w:rPr>
            </w:pPr>
            <w:r>
              <w:rPr>
                <w:rFonts w:ascii="Arial" w:cs="Arial" w:eastAsia="Arial" w:hAnsi="Arial"/>
                <w:sz w:val="18"/>
                <w:szCs w:val="18"/>
                <w:color w:val="auto"/>
              </w:rPr>
              <w:t>4,938,000</w:t>
            </w:r>
          </w:p>
        </w:tc>
        <w:tc>
          <w:tcPr>
            <w:tcW w:w="580" w:type="dxa"/>
            <w:vAlign w:val="bottom"/>
            <w:shd w:val="clear" w:color="auto" w:fill="EEEEEE"/>
          </w:tcPr>
          <w:p>
            <w:pPr>
              <w:spacing w:after="0"/>
              <w:rPr>
                <w:sz w:val="19"/>
                <w:szCs w:val="19"/>
                <w:color w:val="auto"/>
              </w:rPr>
            </w:pPr>
          </w:p>
        </w:tc>
        <w:tc>
          <w:tcPr>
            <w:tcW w:w="126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5,061,000</w:t>
            </w:r>
          </w:p>
        </w:tc>
        <w:tc>
          <w:tcPr>
            <w:tcW w:w="160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rPr>
              <w:t>5,156,000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$73,248,000</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92"/>
              <w:spacing w:after="0"/>
              <w:rPr>
                <w:sz w:val="20"/>
                <w:szCs w:val="20"/>
                <w:color w:val="auto"/>
              </w:rPr>
            </w:pPr>
            <w:r>
              <w:rPr>
                <w:rFonts w:ascii="Arial" w:cs="Arial" w:eastAsia="Arial" w:hAnsi="Arial"/>
                <w:sz w:val="18"/>
                <w:szCs w:val="18"/>
                <w:color w:val="auto"/>
                <w:w w:val="95"/>
              </w:rPr>
              <w:t>96,029,000</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92"/>
              <w:spacing w:after="0"/>
              <w:rPr>
                <w:sz w:val="20"/>
                <w:szCs w:val="20"/>
                <w:color w:val="auto"/>
              </w:rPr>
            </w:pPr>
            <w:r>
              <w:rPr>
                <w:rFonts w:ascii="Arial" w:cs="Arial" w:eastAsia="Arial" w:hAnsi="Arial"/>
                <w:sz w:val="18"/>
                <w:szCs w:val="18"/>
                <w:color w:val="auto"/>
                <w:w w:val="85"/>
              </w:rPr>
              <w:t>103,881,000</w:t>
            </w:r>
          </w:p>
        </w:tc>
        <w:tc>
          <w:tcPr>
            <w:tcW w:w="1600" w:type="dxa"/>
            <w:vAlign w:val="bottom"/>
          </w:tcPr>
          <w:p>
            <w:pPr>
              <w:jc w:val="right"/>
              <w:ind w:right="232"/>
              <w:spacing w:after="0"/>
              <w:rPr>
                <w:sz w:val="20"/>
                <w:szCs w:val="20"/>
                <w:color w:val="auto"/>
              </w:rPr>
            </w:pPr>
            <w:r>
              <w:rPr>
                <w:rFonts w:ascii="Arial" w:cs="Arial" w:eastAsia="Arial" w:hAnsi="Arial"/>
                <w:sz w:val="18"/>
                <w:szCs w:val="18"/>
                <w:color w:val="auto"/>
              </w:rPr>
              <w:t>$65,396,000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220" w:type="dxa"/>
            <w:vAlign w:val="bottom"/>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6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Year Ended December 28, 2003</w:t>
            </w:r>
          </w:p>
        </w:tc>
        <w:tc>
          <w:tcPr>
            <w:tcW w:w="1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40"/>
              <w:spacing w:after="0"/>
              <w:rPr>
                <w:sz w:val="20"/>
                <w:szCs w:val="20"/>
                <w:color w:val="auto"/>
              </w:rPr>
            </w:pPr>
            <w:r>
              <w:rPr>
                <w:rFonts w:ascii="Arial" w:cs="Arial" w:eastAsia="Arial" w:hAnsi="Arial"/>
                <w:sz w:val="18"/>
                <w:szCs w:val="18"/>
                <w:color w:val="auto"/>
              </w:rPr>
              <w:t>Allowance for doubtful accounts and returns</w:t>
            </w:r>
          </w:p>
        </w:tc>
        <w:tc>
          <w:tcPr>
            <w:tcW w:w="1300" w:type="dxa"/>
            <w:vAlign w:val="bottom"/>
          </w:tcPr>
          <w:p>
            <w:pPr>
              <w:jc w:val="right"/>
              <w:spacing w:after="0"/>
              <w:rPr>
                <w:sz w:val="20"/>
                <w:szCs w:val="20"/>
                <w:color w:val="auto"/>
              </w:rPr>
            </w:pPr>
            <w:r>
              <w:rPr>
                <w:rFonts w:ascii="Arial" w:cs="Arial" w:eastAsia="Arial" w:hAnsi="Arial"/>
                <w:sz w:val="18"/>
                <w:szCs w:val="18"/>
                <w:color w:val="auto"/>
              </w:rPr>
              <w:t>$60,240,000</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92"/>
              <w:spacing w:after="0"/>
              <w:rPr>
                <w:sz w:val="20"/>
                <w:szCs w:val="20"/>
                <w:color w:val="auto"/>
              </w:rPr>
            </w:pPr>
            <w:r>
              <w:rPr>
                <w:rFonts w:ascii="Arial" w:cs="Arial" w:eastAsia="Arial" w:hAnsi="Arial"/>
                <w:sz w:val="18"/>
                <w:szCs w:val="18"/>
                <w:color w:val="auto"/>
                <w:w w:val="95"/>
              </w:rPr>
              <w:t>93,565,000</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92"/>
              <w:spacing w:after="0"/>
              <w:rPr>
                <w:sz w:val="20"/>
                <w:szCs w:val="20"/>
                <w:color w:val="auto"/>
              </w:rPr>
            </w:pPr>
            <w:r>
              <w:rPr>
                <w:rFonts w:ascii="Arial" w:cs="Arial" w:eastAsia="Arial" w:hAnsi="Arial"/>
                <w:sz w:val="18"/>
                <w:szCs w:val="18"/>
                <w:color w:val="auto"/>
                <w:w w:val="95"/>
              </w:rPr>
              <w:t>91,951,000</w:t>
            </w:r>
          </w:p>
        </w:tc>
        <w:tc>
          <w:tcPr>
            <w:tcW w:w="1600" w:type="dxa"/>
            <w:vAlign w:val="bottom"/>
          </w:tcPr>
          <w:p>
            <w:pPr>
              <w:jc w:val="right"/>
              <w:ind w:right="232"/>
              <w:spacing w:after="0"/>
              <w:rPr>
                <w:sz w:val="20"/>
                <w:szCs w:val="20"/>
                <w:color w:val="auto"/>
              </w:rPr>
            </w:pPr>
            <w:r>
              <w:rPr>
                <w:rFonts w:ascii="Arial" w:cs="Arial" w:eastAsia="Arial" w:hAnsi="Arial"/>
                <w:sz w:val="18"/>
                <w:szCs w:val="18"/>
                <w:color w:val="auto"/>
              </w:rPr>
              <w:t>$61,854,000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Allowance for advertising rate adjustments and</w:t>
            </w:r>
          </w:p>
        </w:tc>
        <w:tc>
          <w:tcPr>
            <w:tcW w:w="1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discounts</w:t>
            </w: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5,156,000</w:t>
            </w:r>
          </w:p>
        </w:tc>
        <w:tc>
          <w:tcPr>
            <w:tcW w:w="1080" w:type="dxa"/>
            <w:vAlign w:val="bottom"/>
            <w:shd w:val="clear" w:color="auto" w:fill="EEEEEE"/>
          </w:tcPr>
          <w:p>
            <w:pPr>
              <w:spacing w:after="0"/>
              <w:rPr>
                <w:sz w:val="19"/>
                <w:szCs w:val="19"/>
                <w:color w:val="auto"/>
              </w:rPr>
            </w:pPr>
          </w:p>
        </w:tc>
        <w:tc>
          <w:tcPr>
            <w:tcW w:w="1360" w:type="dxa"/>
            <w:vAlign w:val="bottom"/>
            <w:shd w:val="clear" w:color="auto" w:fill="EEEEEE"/>
          </w:tcPr>
          <w:p>
            <w:pPr>
              <w:jc w:val="right"/>
              <w:ind w:right="392"/>
              <w:spacing w:after="0"/>
              <w:rPr>
                <w:sz w:val="20"/>
                <w:szCs w:val="20"/>
                <w:color w:val="auto"/>
              </w:rPr>
            </w:pPr>
            <w:r>
              <w:rPr>
                <w:rFonts w:ascii="Arial" w:cs="Arial" w:eastAsia="Arial" w:hAnsi="Arial"/>
                <w:sz w:val="18"/>
                <w:szCs w:val="18"/>
                <w:color w:val="auto"/>
              </w:rPr>
              <w:t>6,371,000</w:t>
            </w:r>
          </w:p>
        </w:tc>
        <w:tc>
          <w:tcPr>
            <w:tcW w:w="580" w:type="dxa"/>
            <w:vAlign w:val="bottom"/>
            <w:shd w:val="clear" w:color="auto" w:fill="EEEEEE"/>
          </w:tcPr>
          <w:p>
            <w:pPr>
              <w:spacing w:after="0"/>
              <w:rPr>
                <w:sz w:val="19"/>
                <w:szCs w:val="19"/>
                <w:color w:val="auto"/>
              </w:rPr>
            </w:pPr>
          </w:p>
        </w:tc>
        <w:tc>
          <w:tcPr>
            <w:tcW w:w="126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6,857,000</w:t>
            </w:r>
          </w:p>
        </w:tc>
        <w:tc>
          <w:tcPr>
            <w:tcW w:w="160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rPr>
              <w:t>4,670,000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$65,396,000</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92"/>
              <w:spacing w:after="0"/>
              <w:rPr>
                <w:sz w:val="20"/>
                <w:szCs w:val="20"/>
                <w:color w:val="auto"/>
              </w:rPr>
            </w:pPr>
            <w:r>
              <w:rPr>
                <w:rFonts w:ascii="Arial" w:cs="Arial" w:eastAsia="Arial" w:hAnsi="Arial"/>
                <w:sz w:val="18"/>
                <w:szCs w:val="18"/>
                <w:color w:val="auto"/>
                <w:w w:val="95"/>
              </w:rPr>
              <w:t>99,936,000</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92"/>
              <w:spacing w:after="0"/>
              <w:rPr>
                <w:sz w:val="20"/>
                <w:szCs w:val="20"/>
                <w:color w:val="auto"/>
              </w:rPr>
            </w:pPr>
            <w:r>
              <w:rPr>
                <w:rFonts w:ascii="Arial" w:cs="Arial" w:eastAsia="Arial" w:hAnsi="Arial"/>
                <w:sz w:val="18"/>
                <w:szCs w:val="18"/>
                <w:color w:val="auto"/>
                <w:w w:val="95"/>
              </w:rPr>
              <w:t>98,808,000</w:t>
            </w:r>
          </w:p>
        </w:tc>
        <w:tc>
          <w:tcPr>
            <w:tcW w:w="1600" w:type="dxa"/>
            <w:vAlign w:val="bottom"/>
          </w:tcPr>
          <w:p>
            <w:pPr>
              <w:jc w:val="right"/>
              <w:ind w:right="232"/>
              <w:spacing w:after="0"/>
              <w:rPr>
                <w:sz w:val="20"/>
                <w:szCs w:val="20"/>
                <w:color w:val="auto"/>
              </w:rPr>
            </w:pPr>
            <w:r>
              <w:rPr>
                <w:rFonts w:ascii="Arial" w:cs="Arial" w:eastAsia="Arial" w:hAnsi="Arial"/>
                <w:sz w:val="18"/>
                <w:szCs w:val="18"/>
                <w:color w:val="auto"/>
              </w:rPr>
              <w:t>$66,524,000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220" w:type="dxa"/>
            <w:vAlign w:val="bottom"/>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6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62"/>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80" w:type="dxa"/>
            <w:vAlign w:val="bottom"/>
          </w:tcPr>
          <w:p>
            <w:pPr>
              <w:jc w:val="right"/>
              <w:ind w:right="712"/>
              <w:spacing w:after="0"/>
              <w:rPr>
                <w:sz w:val="20"/>
                <w:szCs w:val="20"/>
                <w:color w:val="auto"/>
              </w:rPr>
            </w:pPr>
            <w:r>
              <w:rPr>
                <w:rFonts w:ascii="Arial" w:cs="Arial" w:eastAsia="Arial" w:hAnsi="Arial"/>
                <w:sz w:val="18"/>
                <w:szCs w:val="18"/>
                <w:color w:val="auto"/>
              </w:rPr>
              <w:t>59</w:t>
            </w: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2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TEN-YEAR SUMMARY OF SELECTED HISTORICAL FINANCIAL DATA</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 for the summary of significant accounting policies and additional information relative to the years 2001–2003.</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Operating results prior to 2002 include amortization of goodwill and certain other intangible assets that are no longer amortized under SFAS 142.</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(in thousands, except per share amounts)</w:t>
            </w:r>
          </w:p>
        </w:tc>
        <w:tc>
          <w:tcPr>
            <w:tcW w:w="440" w:type="dxa"/>
            <w:vAlign w:val="bottom"/>
          </w:tcPr>
          <w:p>
            <w:pPr>
              <w:spacing w:after="0"/>
              <w:rPr>
                <w:sz w:val="19"/>
                <w:szCs w:val="19"/>
                <w:color w:val="auto"/>
              </w:rPr>
            </w:pPr>
          </w:p>
        </w:tc>
        <w:tc>
          <w:tcPr>
            <w:tcW w:w="1280" w:type="dxa"/>
            <w:vAlign w:val="bottom"/>
          </w:tcPr>
          <w:p>
            <w:pPr>
              <w:jc w:val="right"/>
              <w:ind w:right="672"/>
              <w:spacing w:after="0"/>
              <w:rPr>
                <w:sz w:val="20"/>
                <w:szCs w:val="20"/>
                <w:color w:val="auto"/>
              </w:rPr>
            </w:pPr>
            <w:r>
              <w:rPr>
                <w:rFonts w:ascii="Arial" w:cs="Arial" w:eastAsia="Arial" w:hAnsi="Arial"/>
                <w:sz w:val="18"/>
                <w:szCs w:val="18"/>
                <w:b w:val="1"/>
                <w:bCs w:val="1"/>
                <w:color w:val="auto"/>
              </w:rPr>
              <w:t>2003</w:t>
            </w:r>
          </w:p>
        </w:tc>
        <w:tc>
          <w:tcPr>
            <w:tcW w:w="600" w:type="dxa"/>
            <w:vAlign w:val="bottom"/>
          </w:tcPr>
          <w:p>
            <w:pPr>
              <w:spacing w:after="0"/>
              <w:rPr>
                <w:sz w:val="19"/>
                <w:szCs w:val="19"/>
                <w:color w:val="auto"/>
              </w:rPr>
            </w:pPr>
          </w:p>
        </w:tc>
        <w:tc>
          <w:tcPr>
            <w:tcW w:w="1240" w:type="dxa"/>
            <w:vAlign w:val="bottom"/>
          </w:tcPr>
          <w:p>
            <w:pPr>
              <w:jc w:val="right"/>
              <w:ind w:right="672"/>
              <w:spacing w:after="0"/>
              <w:rPr>
                <w:sz w:val="20"/>
                <w:szCs w:val="20"/>
                <w:color w:val="auto"/>
              </w:rPr>
            </w:pPr>
            <w:r>
              <w:rPr>
                <w:rFonts w:ascii="Arial" w:cs="Arial" w:eastAsia="Arial" w:hAnsi="Arial"/>
                <w:sz w:val="18"/>
                <w:szCs w:val="18"/>
                <w:color w:val="auto"/>
              </w:rPr>
              <w:t>2002</w:t>
            </w:r>
          </w:p>
        </w:tc>
        <w:tc>
          <w:tcPr>
            <w:tcW w:w="580" w:type="dxa"/>
            <w:vAlign w:val="bottom"/>
          </w:tcPr>
          <w:p>
            <w:pPr>
              <w:spacing w:after="0"/>
              <w:rPr>
                <w:sz w:val="19"/>
                <w:szCs w:val="19"/>
                <w:color w:val="auto"/>
              </w:rPr>
            </w:pPr>
          </w:p>
        </w:tc>
        <w:tc>
          <w:tcPr>
            <w:tcW w:w="1060" w:type="dxa"/>
            <w:vAlign w:val="bottom"/>
          </w:tcPr>
          <w:p>
            <w:pPr>
              <w:jc w:val="right"/>
              <w:ind w:right="492"/>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2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Results of Operations</w:t>
            </w:r>
          </w:p>
        </w:tc>
        <w:tc>
          <w:tcPr>
            <w:tcW w:w="44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280"/>
              <w:spacing w:after="0"/>
              <w:rPr>
                <w:sz w:val="20"/>
                <w:szCs w:val="20"/>
                <w:color w:val="auto"/>
              </w:rPr>
            </w:pPr>
            <w:r>
              <w:rPr>
                <w:rFonts w:ascii="Arial" w:cs="Arial" w:eastAsia="Arial" w:hAnsi="Arial"/>
                <w:sz w:val="18"/>
                <w:szCs w:val="18"/>
                <w:color w:val="auto"/>
              </w:rPr>
              <w:t>Operating revenues</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492"/>
              <w:spacing w:after="0"/>
              <w:rPr>
                <w:sz w:val="20"/>
                <w:szCs w:val="20"/>
                <w:color w:val="auto"/>
              </w:rPr>
            </w:pPr>
            <w:r>
              <w:rPr>
                <w:rFonts w:ascii="Arial" w:cs="Arial" w:eastAsia="Arial" w:hAnsi="Arial"/>
                <w:sz w:val="18"/>
                <w:szCs w:val="18"/>
                <w:b w:val="1"/>
                <w:bCs w:val="1"/>
                <w:color w:val="auto"/>
                <w:w w:val="84"/>
              </w:rPr>
              <w:t>2,838,911</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452"/>
              <w:spacing w:after="0"/>
              <w:rPr>
                <w:sz w:val="20"/>
                <w:szCs w:val="20"/>
                <w:color w:val="auto"/>
              </w:rPr>
            </w:pPr>
            <w:r>
              <w:rPr>
                <w:rFonts w:ascii="Arial" w:cs="Arial" w:eastAsia="Arial" w:hAnsi="Arial"/>
                <w:sz w:val="18"/>
                <w:szCs w:val="18"/>
                <w:color w:val="auto"/>
                <w:w w:val="84"/>
              </w:rPr>
              <w:t>2,584,203</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72"/>
              <w:spacing w:after="0"/>
              <w:rPr>
                <w:sz w:val="20"/>
                <w:szCs w:val="20"/>
                <w:color w:val="auto"/>
              </w:rPr>
            </w:pPr>
            <w:r>
              <w:rPr>
                <w:rFonts w:ascii="Arial" w:cs="Arial" w:eastAsia="Arial" w:hAnsi="Arial"/>
                <w:sz w:val="18"/>
                <w:szCs w:val="18"/>
                <w:color w:val="auto"/>
                <w:w w:val="84"/>
              </w:rPr>
              <w:t>2,411,024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Borders>
              <w:right w:val="single" w:sz="8" w:color="EEEEEE"/>
            </w:tcBorders>
            <w:shd w:val="clear" w:color="auto" w:fill="EEEEEE"/>
          </w:tcPr>
          <w:p>
            <w:pPr>
              <w:ind w:left="280"/>
              <w:spacing w:after="0"/>
              <w:rPr>
                <w:sz w:val="20"/>
                <w:szCs w:val="20"/>
                <w:color w:val="auto"/>
              </w:rPr>
            </w:pPr>
            <w:r>
              <w:rPr>
                <w:rFonts w:ascii="Arial" w:cs="Arial" w:eastAsia="Arial" w:hAnsi="Arial"/>
                <w:sz w:val="18"/>
                <w:szCs w:val="18"/>
                <w:color w:val="auto"/>
              </w:rPr>
              <w:t>Income from operations</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EEEEEE"/>
          </w:tcPr>
          <w:p>
            <w:pPr>
              <w:jc w:val="right"/>
              <w:ind w:right="492"/>
              <w:spacing w:after="0"/>
              <w:rPr>
                <w:sz w:val="20"/>
                <w:szCs w:val="20"/>
                <w:color w:val="auto"/>
              </w:rPr>
            </w:pPr>
            <w:r>
              <w:rPr>
                <w:rFonts w:ascii="Arial" w:cs="Arial" w:eastAsia="Arial" w:hAnsi="Arial"/>
                <w:sz w:val="18"/>
                <w:szCs w:val="18"/>
                <w:b w:val="1"/>
                <w:bCs w:val="1"/>
                <w:color w:val="auto"/>
              </w:rPr>
              <w:t>363,820</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EEEEEE"/>
          </w:tcPr>
          <w:p>
            <w:pPr>
              <w:jc w:val="right"/>
              <w:ind w:right="452"/>
              <w:spacing w:after="0"/>
              <w:rPr>
                <w:sz w:val="20"/>
                <w:szCs w:val="20"/>
                <w:color w:val="auto"/>
              </w:rPr>
            </w:pPr>
            <w:r>
              <w:rPr>
                <w:rFonts w:ascii="Arial" w:cs="Arial" w:eastAsia="Arial" w:hAnsi="Arial"/>
                <w:sz w:val="18"/>
                <w:szCs w:val="18"/>
                <w:color w:val="auto"/>
              </w:rPr>
              <w:t>377,590</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rPr>
              <w:t>219,932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280"/>
              <w:spacing w:after="0"/>
              <w:rPr>
                <w:sz w:val="20"/>
                <w:szCs w:val="20"/>
                <w:color w:val="auto"/>
              </w:rPr>
            </w:pPr>
            <w:r>
              <w:rPr>
                <w:rFonts w:ascii="Arial" w:cs="Arial" w:eastAsia="Arial" w:hAnsi="Arial"/>
                <w:sz w:val="18"/>
                <w:szCs w:val="18"/>
                <w:color w:val="auto"/>
              </w:rPr>
              <w:t>Income before cumulative effect of change in accounting principle</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492"/>
              <w:spacing w:after="0"/>
              <w:rPr>
                <w:sz w:val="20"/>
                <w:szCs w:val="20"/>
                <w:color w:val="auto"/>
              </w:rPr>
            </w:pPr>
            <w:r>
              <w:rPr>
                <w:rFonts w:ascii="Arial" w:cs="Arial" w:eastAsia="Arial" w:hAnsi="Arial"/>
                <w:sz w:val="18"/>
                <w:szCs w:val="18"/>
                <w:b w:val="1"/>
                <w:bCs w:val="1"/>
                <w:color w:val="auto"/>
              </w:rPr>
              <w:t>241,088</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452"/>
              <w:spacing w:after="0"/>
              <w:rPr>
                <w:sz w:val="20"/>
                <w:szCs w:val="20"/>
                <w:color w:val="auto"/>
              </w:rPr>
            </w:pPr>
            <w:r>
              <w:rPr>
                <w:rFonts w:ascii="Arial" w:cs="Arial" w:eastAsia="Arial" w:hAnsi="Arial"/>
                <w:sz w:val="18"/>
                <w:szCs w:val="18"/>
                <w:color w:val="auto"/>
              </w:rPr>
              <w:t>216,368</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229,639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00" w:type="dxa"/>
            <w:vAlign w:val="bottom"/>
            <w:tcBorders>
              <w:right w:val="single" w:sz="8" w:color="EEEEEE"/>
            </w:tcBorders>
            <w:shd w:val="clear" w:color="auto" w:fill="EEEEEE"/>
          </w:tcPr>
          <w:p>
            <w:pPr>
              <w:ind w:left="280"/>
              <w:spacing w:after="0"/>
              <w:rPr>
                <w:sz w:val="20"/>
                <w:szCs w:val="20"/>
                <w:color w:val="auto"/>
              </w:rPr>
            </w:pPr>
            <w:r>
              <w:rPr>
                <w:rFonts w:ascii="Arial" w:cs="Arial" w:eastAsia="Arial" w:hAnsi="Arial"/>
                <w:sz w:val="18"/>
                <w:szCs w:val="18"/>
                <w:color w:val="auto"/>
                <w:w w:val="98"/>
              </w:rPr>
              <w:t>Cumulative effect of change in method of accounting for goodwill and other</w:t>
            </w:r>
          </w:p>
        </w:tc>
        <w:tc>
          <w:tcPr>
            <w:tcW w:w="440" w:type="dxa"/>
            <w:vAlign w:val="bottom"/>
            <w:shd w:val="clear" w:color="auto" w:fill="EEEEEE"/>
          </w:tcPr>
          <w:p>
            <w:pPr>
              <w:spacing w:after="0"/>
              <w:rPr>
                <w:sz w:val="18"/>
                <w:szCs w:val="18"/>
                <w:color w:val="auto"/>
              </w:rPr>
            </w:pPr>
          </w:p>
        </w:tc>
        <w:tc>
          <w:tcPr>
            <w:tcW w:w="1280" w:type="dxa"/>
            <w:vAlign w:val="bottom"/>
            <w:vMerge w:val="restart"/>
            <w:shd w:val="clear" w:color="auto" w:fill="EEEEEE"/>
          </w:tcPr>
          <w:p>
            <w:pPr>
              <w:jc w:val="right"/>
              <w:ind w:right="492"/>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00" w:type="dxa"/>
            <w:vAlign w:val="bottom"/>
            <w:tcBorders>
              <w:right w:val="single" w:sz="8" w:color="EEEEEE"/>
            </w:tcBorders>
            <w:shd w:val="clear" w:color="auto" w:fill="EEEEEE"/>
          </w:tcPr>
          <w:p>
            <w:pPr>
              <w:ind w:left="400"/>
              <w:spacing w:after="0"/>
              <w:rPr>
                <w:sz w:val="20"/>
                <w:szCs w:val="20"/>
                <w:color w:val="auto"/>
              </w:rPr>
            </w:pPr>
            <w:r>
              <w:rPr>
                <w:rFonts w:ascii="Arial" w:cs="Arial" w:eastAsia="Arial" w:hAnsi="Arial"/>
                <w:sz w:val="18"/>
                <w:szCs w:val="18"/>
                <w:color w:val="auto"/>
              </w:rPr>
              <w:t>intangibles</w:t>
            </w:r>
          </w:p>
        </w:tc>
        <w:tc>
          <w:tcPr>
            <w:tcW w:w="440" w:type="dxa"/>
            <w:vAlign w:val="bottom"/>
            <w:shd w:val="clear" w:color="auto" w:fill="EEEEEE"/>
          </w:tcPr>
          <w:p>
            <w:pPr>
              <w:spacing w:after="0"/>
              <w:rPr>
                <w:sz w:val="19"/>
                <w:szCs w:val="19"/>
                <w:color w:val="auto"/>
              </w:rPr>
            </w:pPr>
          </w:p>
        </w:tc>
        <w:tc>
          <w:tcPr>
            <w:tcW w:w="1280" w:type="dxa"/>
            <w:vAlign w:val="bottom"/>
            <w:vMerge w:val="continue"/>
            <w:shd w:val="clear" w:color="auto" w:fill="EEEEEE"/>
          </w:tcPr>
          <w:p>
            <w:pPr>
              <w:spacing w:after="0"/>
              <w:rPr>
                <w:sz w:val="19"/>
                <w:szCs w:val="19"/>
                <w:color w:val="auto"/>
              </w:rPr>
            </w:pPr>
          </w:p>
        </w:tc>
        <w:tc>
          <w:tcPr>
            <w:tcW w:w="600" w:type="dxa"/>
            <w:vAlign w:val="bottom"/>
            <w:shd w:val="clear" w:color="auto" w:fill="EEEEEE"/>
          </w:tcPr>
          <w:p>
            <w:pPr>
              <w:spacing w:after="0"/>
              <w:rPr>
                <w:sz w:val="19"/>
                <w:szCs w:val="19"/>
                <w:color w:val="auto"/>
              </w:rPr>
            </w:pPr>
          </w:p>
        </w:tc>
        <w:tc>
          <w:tcPr>
            <w:tcW w:w="1240" w:type="dxa"/>
            <w:vAlign w:val="bottom"/>
            <w:shd w:val="clear" w:color="auto" w:fill="EEEEEE"/>
          </w:tcPr>
          <w:p>
            <w:pPr>
              <w:jc w:val="right"/>
              <w:ind w:right="392"/>
              <w:spacing w:after="0"/>
              <w:rPr>
                <w:sz w:val="20"/>
                <w:szCs w:val="20"/>
                <w:color w:val="auto"/>
              </w:rPr>
            </w:pPr>
            <w:r>
              <w:rPr>
                <w:rFonts w:ascii="Arial" w:cs="Arial" w:eastAsia="Arial" w:hAnsi="Arial"/>
                <w:sz w:val="18"/>
                <w:szCs w:val="18"/>
                <w:color w:val="auto"/>
              </w:rPr>
              <w:t>(12,100)</w:t>
            </w:r>
          </w:p>
        </w:tc>
        <w:tc>
          <w:tcPr>
            <w:tcW w:w="580" w:type="dxa"/>
            <w:vAlign w:val="bottom"/>
            <w:shd w:val="clear" w:color="auto" w:fill="EEEEEE"/>
          </w:tcPr>
          <w:p>
            <w:pPr>
              <w:spacing w:after="0"/>
              <w:rPr>
                <w:sz w:val="19"/>
                <w:szCs w:val="19"/>
                <w:color w:val="auto"/>
              </w:rPr>
            </w:pPr>
          </w:p>
        </w:tc>
        <w:tc>
          <w:tcPr>
            <w:tcW w:w="106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20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492"/>
              <w:spacing w:after="0"/>
              <w:rPr>
                <w:sz w:val="20"/>
                <w:szCs w:val="20"/>
                <w:color w:val="auto"/>
              </w:rPr>
            </w:pPr>
            <w:r>
              <w:rPr>
                <w:rFonts w:ascii="Arial" w:cs="Arial" w:eastAsia="Arial" w:hAnsi="Arial"/>
                <w:sz w:val="18"/>
                <w:szCs w:val="18"/>
                <w:b w:val="1"/>
                <w:bCs w:val="1"/>
                <w:color w:val="auto"/>
              </w:rPr>
              <w:t>241,088</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452"/>
              <w:spacing w:after="0"/>
              <w:rPr>
                <w:sz w:val="20"/>
                <w:szCs w:val="20"/>
                <w:color w:val="auto"/>
              </w:rPr>
            </w:pPr>
            <w:r>
              <w:rPr>
                <w:rFonts w:ascii="Arial" w:cs="Arial" w:eastAsia="Arial" w:hAnsi="Arial"/>
                <w:sz w:val="18"/>
                <w:szCs w:val="18"/>
                <w:color w:val="auto"/>
              </w:rPr>
              <w:t>204,268</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229,639</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00" w:type="dxa"/>
            <w:vAlign w:val="bottom"/>
            <w:tcBorders>
              <w:right w:val="single" w:sz="8" w:color="808080"/>
            </w:tcBorders>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Per Share Amounts</w:t>
            </w:r>
          </w:p>
        </w:tc>
        <w:tc>
          <w:tcPr>
            <w:tcW w:w="44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280"/>
              <w:spacing w:after="0"/>
              <w:rPr>
                <w:sz w:val="20"/>
                <w:szCs w:val="20"/>
                <w:color w:val="auto"/>
              </w:rPr>
            </w:pPr>
            <w:r>
              <w:rPr>
                <w:rFonts w:ascii="Arial" w:cs="Arial" w:eastAsia="Arial" w:hAnsi="Arial"/>
                <w:sz w:val="18"/>
                <w:szCs w:val="18"/>
                <w:color w:val="auto"/>
              </w:rPr>
              <w:t>Basic earnings per common share</w:t>
            </w: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Borders>
              <w:right w:val="single" w:sz="8" w:color="EEEEEE"/>
            </w:tcBorders>
            <w:shd w:val="clear" w:color="auto" w:fill="EEEEEE"/>
          </w:tcPr>
          <w:p>
            <w:pPr>
              <w:ind w:left="560"/>
              <w:spacing w:after="0"/>
              <w:rPr>
                <w:sz w:val="20"/>
                <w:szCs w:val="20"/>
                <w:color w:val="auto"/>
              </w:rPr>
            </w:pPr>
            <w:r>
              <w:rPr>
                <w:rFonts w:ascii="Arial" w:cs="Arial" w:eastAsia="Arial" w:hAnsi="Arial"/>
                <w:sz w:val="18"/>
                <w:szCs w:val="18"/>
                <w:color w:val="auto"/>
              </w:rPr>
              <w:t>Before cumulative effect of change in accounting principle</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EEEEEE"/>
          </w:tcPr>
          <w:p>
            <w:pPr>
              <w:jc w:val="right"/>
              <w:ind w:right="492"/>
              <w:spacing w:after="0"/>
              <w:rPr>
                <w:sz w:val="20"/>
                <w:szCs w:val="20"/>
                <w:color w:val="auto"/>
              </w:rPr>
            </w:pPr>
            <w:r>
              <w:rPr>
                <w:rFonts w:ascii="Arial" w:cs="Arial" w:eastAsia="Arial" w:hAnsi="Arial"/>
                <w:sz w:val="18"/>
                <w:szCs w:val="18"/>
                <w:b w:val="1"/>
                <w:bCs w:val="1"/>
                <w:color w:val="auto"/>
              </w:rPr>
              <w:t>25.19</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EEEEEE"/>
          </w:tcPr>
          <w:p>
            <w:pPr>
              <w:jc w:val="right"/>
              <w:ind w:right="452"/>
              <w:spacing w:after="0"/>
              <w:rPr>
                <w:sz w:val="20"/>
                <w:szCs w:val="20"/>
                <w:color w:val="auto"/>
              </w:rPr>
            </w:pPr>
            <w:r>
              <w:rPr>
                <w:rFonts w:ascii="Arial" w:cs="Arial" w:eastAsia="Arial" w:hAnsi="Arial"/>
                <w:sz w:val="18"/>
                <w:szCs w:val="18"/>
                <w:color w:val="auto"/>
              </w:rPr>
              <w:t>22.65</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rPr>
              <w:t>24.10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00" w:type="dxa"/>
            <w:vAlign w:val="bottom"/>
          </w:tcPr>
          <w:p>
            <w:pPr>
              <w:ind w:left="560"/>
              <w:spacing w:after="0"/>
              <w:rPr>
                <w:sz w:val="20"/>
                <w:szCs w:val="20"/>
                <w:color w:val="auto"/>
              </w:rPr>
            </w:pPr>
            <w:r>
              <w:rPr>
                <w:rFonts w:ascii="Arial" w:cs="Arial" w:eastAsia="Arial" w:hAnsi="Arial"/>
                <w:sz w:val="18"/>
                <w:szCs w:val="18"/>
                <w:color w:val="auto"/>
              </w:rPr>
              <w:t>Cumulative effect of change in accounting principle</w:t>
            </w:r>
          </w:p>
        </w:tc>
        <w:tc>
          <w:tcPr>
            <w:tcW w:w="440" w:type="dxa"/>
            <w:vAlign w:val="bottom"/>
          </w:tcPr>
          <w:p>
            <w:pPr>
              <w:spacing w:after="0"/>
              <w:rPr>
                <w:sz w:val="19"/>
                <w:szCs w:val="19"/>
                <w:color w:val="auto"/>
              </w:rPr>
            </w:pPr>
          </w:p>
        </w:tc>
        <w:tc>
          <w:tcPr>
            <w:tcW w:w="1280" w:type="dxa"/>
            <w:vAlign w:val="bottom"/>
          </w:tcPr>
          <w:p>
            <w:pPr>
              <w:jc w:val="right"/>
              <w:ind w:right="492"/>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spacing w:after="0"/>
              <w:rPr>
                <w:sz w:val="19"/>
                <w:szCs w:val="19"/>
                <w:color w:val="auto"/>
              </w:rPr>
            </w:pPr>
          </w:p>
        </w:tc>
        <w:tc>
          <w:tcPr>
            <w:tcW w:w="1240" w:type="dxa"/>
            <w:vAlign w:val="bottom"/>
          </w:tcPr>
          <w:p>
            <w:pPr>
              <w:jc w:val="right"/>
              <w:ind w:right="392"/>
              <w:spacing w:after="0"/>
              <w:rPr>
                <w:sz w:val="20"/>
                <w:szCs w:val="20"/>
                <w:color w:val="auto"/>
              </w:rPr>
            </w:pPr>
            <w:r>
              <w:rPr>
                <w:rFonts w:ascii="Arial" w:cs="Arial" w:eastAsia="Arial" w:hAnsi="Arial"/>
                <w:sz w:val="18"/>
                <w:szCs w:val="18"/>
                <w:color w:val="auto"/>
              </w:rPr>
              <w:t>(1.27)</w:t>
            </w:r>
          </w:p>
        </w:tc>
        <w:tc>
          <w:tcPr>
            <w:tcW w:w="580" w:type="dxa"/>
            <w:vAlign w:val="bottom"/>
          </w:tcPr>
          <w:p>
            <w:pPr>
              <w:spacing w:after="0"/>
              <w:rPr>
                <w:sz w:val="19"/>
                <w:szCs w:val="19"/>
                <w:color w:val="auto"/>
              </w:rPr>
            </w:pP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20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Borders>
              <w:right w:val="single" w:sz="8" w:color="EEEEEE"/>
            </w:tcBorders>
            <w:shd w:val="clear" w:color="auto" w:fill="EEEEEE"/>
          </w:tcPr>
          <w:p>
            <w:pPr>
              <w:ind w:left="560"/>
              <w:spacing w:after="0"/>
              <w:rPr>
                <w:sz w:val="20"/>
                <w:szCs w:val="20"/>
                <w:color w:val="auto"/>
              </w:rPr>
            </w:pPr>
            <w:r>
              <w:rPr>
                <w:rFonts w:ascii="Arial" w:cs="Arial" w:eastAsia="Arial" w:hAnsi="Arial"/>
                <w:sz w:val="18"/>
                <w:szCs w:val="18"/>
                <w:color w:val="auto"/>
              </w:rPr>
              <w:t>Net income available for common shares</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EEEEEE"/>
          </w:tcPr>
          <w:p>
            <w:pPr>
              <w:jc w:val="right"/>
              <w:ind w:right="492"/>
              <w:spacing w:after="0"/>
              <w:rPr>
                <w:sz w:val="20"/>
                <w:szCs w:val="20"/>
                <w:color w:val="auto"/>
              </w:rPr>
            </w:pPr>
            <w:r>
              <w:rPr>
                <w:rFonts w:ascii="Arial" w:cs="Arial" w:eastAsia="Arial" w:hAnsi="Arial"/>
                <w:sz w:val="18"/>
                <w:szCs w:val="18"/>
                <w:b w:val="1"/>
                <w:bCs w:val="1"/>
                <w:color w:val="auto"/>
              </w:rPr>
              <w:t>25.19</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EEEEEE"/>
          </w:tcPr>
          <w:p>
            <w:pPr>
              <w:jc w:val="right"/>
              <w:ind w:right="452"/>
              <w:spacing w:after="0"/>
              <w:rPr>
                <w:sz w:val="20"/>
                <w:szCs w:val="20"/>
                <w:color w:val="auto"/>
              </w:rPr>
            </w:pPr>
            <w:r>
              <w:rPr>
                <w:rFonts w:ascii="Arial" w:cs="Arial" w:eastAsia="Arial" w:hAnsi="Arial"/>
                <w:sz w:val="18"/>
                <w:szCs w:val="18"/>
                <w:color w:val="auto"/>
              </w:rPr>
              <w:t>21.38</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rPr>
              <w:t>24.10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00" w:type="dxa"/>
            <w:vAlign w:val="bottom"/>
            <w:tcBorders>
              <w:right w:val="single" w:sz="8" w:color="808080"/>
            </w:tcBorders>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6200" w:type="dxa"/>
            <w:vAlign w:val="bottom"/>
          </w:tcPr>
          <w:p>
            <w:pPr>
              <w:ind w:left="560"/>
              <w:spacing w:after="0"/>
              <w:rPr>
                <w:sz w:val="20"/>
                <w:szCs w:val="20"/>
                <w:color w:val="auto"/>
              </w:rPr>
            </w:pPr>
            <w:r>
              <w:rPr>
                <w:rFonts w:ascii="Arial" w:cs="Arial" w:eastAsia="Arial" w:hAnsi="Arial"/>
                <w:sz w:val="18"/>
                <w:szCs w:val="18"/>
                <w:color w:val="auto"/>
              </w:rPr>
              <w:t>Basic average shares outstanding</w:t>
            </w:r>
          </w:p>
        </w:tc>
        <w:tc>
          <w:tcPr>
            <w:tcW w:w="440" w:type="dxa"/>
            <w:vAlign w:val="bottom"/>
          </w:tcPr>
          <w:p>
            <w:pPr>
              <w:spacing w:after="0"/>
              <w:rPr>
                <w:sz w:val="24"/>
                <w:szCs w:val="24"/>
                <w:color w:val="auto"/>
              </w:rPr>
            </w:pPr>
          </w:p>
        </w:tc>
        <w:tc>
          <w:tcPr>
            <w:tcW w:w="1280" w:type="dxa"/>
            <w:vAlign w:val="bottom"/>
          </w:tcPr>
          <w:p>
            <w:pPr>
              <w:jc w:val="right"/>
              <w:ind w:right="492"/>
              <w:spacing w:after="0"/>
              <w:rPr>
                <w:sz w:val="20"/>
                <w:szCs w:val="20"/>
                <w:color w:val="auto"/>
              </w:rPr>
            </w:pPr>
            <w:r>
              <w:rPr>
                <w:rFonts w:ascii="Arial" w:cs="Arial" w:eastAsia="Arial" w:hAnsi="Arial"/>
                <w:sz w:val="18"/>
                <w:szCs w:val="18"/>
                <w:b w:val="1"/>
                <w:bCs w:val="1"/>
                <w:color w:val="auto"/>
              </w:rPr>
              <w:t>9,530</w:t>
            </w:r>
          </w:p>
        </w:tc>
        <w:tc>
          <w:tcPr>
            <w:tcW w:w="600" w:type="dxa"/>
            <w:vAlign w:val="bottom"/>
          </w:tcPr>
          <w:p>
            <w:pPr>
              <w:spacing w:after="0"/>
              <w:rPr>
                <w:sz w:val="24"/>
                <w:szCs w:val="24"/>
                <w:color w:val="auto"/>
              </w:rPr>
            </w:pPr>
          </w:p>
        </w:tc>
        <w:tc>
          <w:tcPr>
            <w:tcW w:w="1240" w:type="dxa"/>
            <w:vAlign w:val="bottom"/>
          </w:tcPr>
          <w:p>
            <w:pPr>
              <w:jc w:val="right"/>
              <w:ind w:right="452"/>
              <w:spacing w:after="0"/>
              <w:rPr>
                <w:sz w:val="20"/>
                <w:szCs w:val="20"/>
                <w:color w:val="auto"/>
              </w:rPr>
            </w:pPr>
            <w:r>
              <w:rPr>
                <w:rFonts w:ascii="Arial" w:cs="Arial" w:eastAsia="Arial" w:hAnsi="Arial"/>
                <w:sz w:val="18"/>
                <w:szCs w:val="18"/>
                <w:color w:val="auto"/>
              </w:rPr>
              <w:t>9,504</w:t>
            </w:r>
          </w:p>
        </w:tc>
        <w:tc>
          <w:tcPr>
            <w:tcW w:w="580" w:type="dxa"/>
            <w:vAlign w:val="bottom"/>
          </w:tcPr>
          <w:p>
            <w:pPr>
              <w:spacing w:after="0"/>
              <w:rPr>
                <w:sz w:val="24"/>
                <w:szCs w:val="24"/>
                <w:color w:val="auto"/>
              </w:rPr>
            </w:pP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9,486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00" w:type="dxa"/>
            <w:vAlign w:val="bottom"/>
            <w:tcBorders>
              <w:right w:val="single" w:sz="8" w:color="EEEEEE"/>
            </w:tcBorders>
            <w:shd w:val="clear" w:color="auto" w:fill="EEEEEE"/>
          </w:tcPr>
          <w:p>
            <w:pPr>
              <w:ind w:left="280"/>
              <w:spacing w:after="0"/>
              <w:rPr>
                <w:sz w:val="20"/>
                <w:szCs w:val="20"/>
                <w:color w:val="auto"/>
              </w:rPr>
            </w:pPr>
            <w:r>
              <w:rPr>
                <w:rFonts w:ascii="Arial" w:cs="Arial" w:eastAsia="Arial" w:hAnsi="Arial"/>
                <w:sz w:val="18"/>
                <w:szCs w:val="18"/>
                <w:color w:val="auto"/>
              </w:rPr>
              <w:t>Diluted earnings per share</w:t>
            </w:r>
          </w:p>
        </w:tc>
        <w:tc>
          <w:tcPr>
            <w:tcW w:w="44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560"/>
              <w:spacing w:after="0"/>
              <w:rPr>
                <w:sz w:val="20"/>
                <w:szCs w:val="20"/>
                <w:color w:val="auto"/>
              </w:rPr>
            </w:pPr>
            <w:r>
              <w:rPr>
                <w:rFonts w:ascii="Arial" w:cs="Arial" w:eastAsia="Arial" w:hAnsi="Arial"/>
                <w:sz w:val="18"/>
                <w:szCs w:val="18"/>
                <w:color w:val="auto"/>
              </w:rPr>
              <w:t>Before cumulative effect of change in accounting principle</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492"/>
              <w:spacing w:after="0"/>
              <w:rPr>
                <w:sz w:val="20"/>
                <w:szCs w:val="20"/>
                <w:color w:val="auto"/>
              </w:rPr>
            </w:pPr>
            <w:r>
              <w:rPr>
                <w:rFonts w:ascii="Arial" w:cs="Arial" w:eastAsia="Arial" w:hAnsi="Arial"/>
                <w:sz w:val="18"/>
                <w:szCs w:val="18"/>
                <w:b w:val="1"/>
                <w:bCs w:val="1"/>
                <w:color w:val="auto"/>
              </w:rPr>
              <w:t>25.12</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452"/>
              <w:spacing w:after="0"/>
              <w:rPr>
                <w:sz w:val="20"/>
                <w:szCs w:val="20"/>
                <w:color w:val="auto"/>
              </w:rPr>
            </w:pPr>
            <w:r>
              <w:rPr>
                <w:rFonts w:ascii="Arial" w:cs="Arial" w:eastAsia="Arial" w:hAnsi="Arial"/>
                <w:sz w:val="18"/>
                <w:szCs w:val="18"/>
                <w:color w:val="auto"/>
              </w:rPr>
              <w:t>22.61</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24.06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Borders>
              <w:right w:val="single" w:sz="8" w:color="EEEEEE"/>
            </w:tcBorders>
            <w:shd w:val="clear" w:color="auto" w:fill="EEEEEE"/>
          </w:tcPr>
          <w:p>
            <w:pPr>
              <w:ind w:left="560"/>
              <w:spacing w:after="0"/>
              <w:rPr>
                <w:sz w:val="20"/>
                <w:szCs w:val="20"/>
                <w:color w:val="auto"/>
              </w:rPr>
            </w:pPr>
            <w:r>
              <w:rPr>
                <w:rFonts w:ascii="Arial" w:cs="Arial" w:eastAsia="Arial" w:hAnsi="Arial"/>
                <w:sz w:val="18"/>
                <w:szCs w:val="18"/>
                <w:color w:val="auto"/>
              </w:rPr>
              <w:t>Cumulative effect of change in accounting principle</w:t>
            </w:r>
          </w:p>
        </w:tc>
        <w:tc>
          <w:tcPr>
            <w:tcW w:w="440" w:type="dxa"/>
            <w:vAlign w:val="bottom"/>
            <w:shd w:val="clear" w:color="auto" w:fill="EEEEEE"/>
          </w:tcPr>
          <w:p>
            <w:pPr>
              <w:spacing w:after="0"/>
              <w:rPr>
                <w:sz w:val="18"/>
                <w:szCs w:val="18"/>
                <w:color w:val="auto"/>
              </w:rPr>
            </w:pPr>
          </w:p>
        </w:tc>
        <w:tc>
          <w:tcPr>
            <w:tcW w:w="1280" w:type="dxa"/>
            <w:vAlign w:val="bottom"/>
            <w:shd w:val="clear" w:color="auto" w:fill="EEEEEE"/>
          </w:tcPr>
          <w:p>
            <w:pPr>
              <w:jc w:val="right"/>
              <w:ind w:right="492"/>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EEEEEE"/>
          </w:tcPr>
          <w:p>
            <w:pPr>
              <w:spacing w:after="0"/>
              <w:rPr>
                <w:sz w:val="18"/>
                <w:szCs w:val="18"/>
                <w:color w:val="auto"/>
              </w:rPr>
            </w:pPr>
          </w:p>
        </w:tc>
        <w:tc>
          <w:tcPr>
            <w:tcW w:w="1240" w:type="dxa"/>
            <w:vAlign w:val="bottom"/>
            <w:shd w:val="clear" w:color="auto" w:fill="EEEEEE"/>
          </w:tcPr>
          <w:p>
            <w:pPr>
              <w:jc w:val="right"/>
              <w:ind w:right="392"/>
              <w:spacing w:after="0"/>
              <w:rPr>
                <w:sz w:val="20"/>
                <w:szCs w:val="20"/>
                <w:color w:val="auto"/>
              </w:rPr>
            </w:pPr>
            <w:r>
              <w:rPr>
                <w:rFonts w:ascii="Arial" w:cs="Arial" w:eastAsia="Arial" w:hAnsi="Arial"/>
                <w:sz w:val="18"/>
                <w:szCs w:val="18"/>
                <w:color w:val="auto"/>
              </w:rPr>
              <w:t>(1.27)</w:t>
            </w:r>
          </w:p>
        </w:tc>
        <w:tc>
          <w:tcPr>
            <w:tcW w:w="58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200" w:type="dxa"/>
            <w:vAlign w:val="bottom"/>
          </w:tcPr>
          <w:p>
            <w:pPr>
              <w:ind w:left="560"/>
              <w:spacing w:after="0"/>
              <w:rPr>
                <w:sz w:val="20"/>
                <w:szCs w:val="20"/>
                <w:color w:val="auto"/>
              </w:rPr>
            </w:pPr>
            <w:r>
              <w:rPr>
                <w:rFonts w:ascii="Arial" w:cs="Arial" w:eastAsia="Arial" w:hAnsi="Arial"/>
                <w:sz w:val="18"/>
                <w:szCs w:val="18"/>
                <w:color w:val="auto"/>
              </w:rPr>
              <w:t>Net income available for common shares</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492"/>
              <w:spacing w:after="0"/>
              <w:rPr>
                <w:sz w:val="20"/>
                <w:szCs w:val="20"/>
                <w:color w:val="auto"/>
              </w:rPr>
            </w:pPr>
            <w:r>
              <w:rPr>
                <w:rFonts w:ascii="Arial" w:cs="Arial" w:eastAsia="Arial" w:hAnsi="Arial"/>
                <w:sz w:val="18"/>
                <w:szCs w:val="18"/>
                <w:b w:val="1"/>
                <w:bCs w:val="1"/>
                <w:color w:val="auto"/>
              </w:rPr>
              <w:t>25.12</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452"/>
              <w:spacing w:after="0"/>
              <w:rPr>
                <w:sz w:val="20"/>
                <w:szCs w:val="20"/>
                <w:color w:val="auto"/>
              </w:rPr>
            </w:pPr>
            <w:r>
              <w:rPr>
                <w:rFonts w:ascii="Arial" w:cs="Arial" w:eastAsia="Arial" w:hAnsi="Arial"/>
                <w:sz w:val="18"/>
                <w:szCs w:val="18"/>
                <w:color w:val="auto"/>
              </w:rPr>
              <w:t>21.34</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24.06</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00" w:type="dxa"/>
            <w:vAlign w:val="bottom"/>
            <w:tcBorders>
              <w:right w:val="single" w:sz="8" w:color="808080"/>
            </w:tcBorders>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Borders>
              <w:right w:val="single" w:sz="8" w:color="EEEEEE"/>
            </w:tcBorders>
            <w:shd w:val="clear" w:color="auto" w:fill="EEEEEE"/>
          </w:tcPr>
          <w:p>
            <w:pPr>
              <w:ind w:left="560"/>
              <w:spacing w:after="0"/>
              <w:rPr>
                <w:sz w:val="20"/>
                <w:szCs w:val="20"/>
                <w:color w:val="auto"/>
              </w:rPr>
            </w:pPr>
            <w:r>
              <w:rPr>
                <w:rFonts w:ascii="Arial" w:cs="Arial" w:eastAsia="Arial" w:hAnsi="Arial"/>
                <w:sz w:val="18"/>
                <w:szCs w:val="18"/>
                <w:color w:val="auto"/>
              </w:rPr>
              <w:t>Diluted average shares outstanding</w:t>
            </w:r>
          </w:p>
        </w:tc>
        <w:tc>
          <w:tcPr>
            <w:tcW w:w="440" w:type="dxa"/>
            <w:vAlign w:val="bottom"/>
            <w:shd w:val="clear" w:color="auto" w:fill="EEEEEE"/>
          </w:tcPr>
          <w:p>
            <w:pPr>
              <w:spacing w:after="0"/>
              <w:rPr>
                <w:sz w:val="18"/>
                <w:szCs w:val="18"/>
                <w:color w:val="auto"/>
              </w:rPr>
            </w:pPr>
          </w:p>
        </w:tc>
        <w:tc>
          <w:tcPr>
            <w:tcW w:w="1280" w:type="dxa"/>
            <w:vAlign w:val="bottom"/>
            <w:shd w:val="clear" w:color="auto" w:fill="EEEEEE"/>
          </w:tcPr>
          <w:p>
            <w:pPr>
              <w:jc w:val="right"/>
              <w:ind w:right="492"/>
              <w:spacing w:after="0"/>
              <w:rPr>
                <w:sz w:val="20"/>
                <w:szCs w:val="20"/>
                <w:color w:val="auto"/>
              </w:rPr>
            </w:pPr>
            <w:r>
              <w:rPr>
                <w:rFonts w:ascii="Arial" w:cs="Arial" w:eastAsia="Arial" w:hAnsi="Arial"/>
                <w:sz w:val="18"/>
                <w:szCs w:val="18"/>
                <w:b w:val="1"/>
                <w:bCs w:val="1"/>
                <w:color w:val="auto"/>
              </w:rPr>
              <w:t>9,555</w:t>
            </w:r>
          </w:p>
        </w:tc>
        <w:tc>
          <w:tcPr>
            <w:tcW w:w="600" w:type="dxa"/>
            <w:vAlign w:val="bottom"/>
            <w:shd w:val="clear" w:color="auto" w:fill="EEEEEE"/>
          </w:tcPr>
          <w:p>
            <w:pPr>
              <w:spacing w:after="0"/>
              <w:rPr>
                <w:sz w:val="18"/>
                <w:szCs w:val="18"/>
                <w:color w:val="auto"/>
              </w:rPr>
            </w:pPr>
          </w:p>
        </w:tc>
        <w:tc>
          <w:tcPr>
            <w:tcW w:w="1240" w:type="dxa"/>
            <w:vAlign w:val="bottom"/>
            <w:shd w:val="clear" w:color="auto" w:fill="EEEEEE"/>
          </w:tcPr>
          <w:p>
            <w:pPr>
              <w:jc w:val="right"/>
              <w:ind w:right="452"/>
              <w:spacing w:after="0"/>
              <w:rPr>
                <w:sz w:val="20"/>
                <w:szCs w:val="20"/>
                <w:color w:val="auto"/>
              </w:rPr>
            </w:pPr>
            <w:r>
              <w:rPr>
                <w:rFonts w:ascii="Arial" w:cs="Arial" w:eastAsia="Arial" w:hAnsi="Arial"/>
                <w:sz w:val="18"/>
                <w:szCs w:val="18"/>
                <w:color w:val="auto"/>
              </w:rPr>
              <w:t>9,523</w:t>
            </w:r>
          </w:p>
        </w:tc>
        <w:tc>
          <w:tcPr>
            <w:tcW w:w="58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rPr>
              <w:t>9,500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280"/>
              <w:spacing w:after="0"/>
              <w:rPr>
                <w:sz w:val="20"/>
                <w:szCs w:val="20"/>
                <w:color w:val="auto"/>
              </w:rPr>
            </w:pPr>
            <w:r>
              <w:rPr>
                <w:rFonts w:ascii="Arial" w:cs="Arial" w:eastAsia="Arial" w:hAnsi="Arial"/>
                <w:sz w:val="18"/>
                <w:szCs w:val="18"/>
                <w:color w:val="auto"/>
              </w:rPr>
              <w:t>Cash dividends</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492"/>
              <w:spacing w:after="0"/>
              <w:rPr>
                <w:sz w:val="20"/>
                <w:szCs w:val="20"/>
                <w:color w:val="auto"/>
              </w:rPr>
            </w:pPr>
            <w:r>
              <w:rPr>
                <w:rFonts w:ascii="Arial" w:cs="Arial" w:eastAsia="Arial" w:hAnsi="Arial"/>
                <w:sz w:val="18"/>
                <w:szCs w:val="18"/>
                <w:b w:val="1"/>
                <w:bCs w:val="1"/>
                <w:color w:val="auto"/>
              </w:rPr>
              <w:t>5.80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452"/>
              <w:spacing w:after="0"/>
              <w:rPr>
                <w:sz w:val="20"/>
                <w:szCs w:val="20"/>
                <w:color w:val="auto"/>
              </w:rPr>
            </w:pPr>
            <w:r>
              <w:rPr>
                <w:rFonts w:ascii="Arial" w:cs="Arial" w:eastAsia="Arial" w:hAnsi="Arial"/>
                <w:sz w:val="18"/>
                <w:szCs w:val="18"/>
                <w:color w:val="auto"/>
              </w:rPr>
              <w:t>5.60</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Borders>
              <w:right w:val="single" w:sz="8" w:color="EEEEEE"/>
            </w:tcBorders>
            <w:shd w:val="clear" w:color="auto" w:fill="EEEEEE"/>
          </w:tcPr>
          <w:p>
            <w:pPr>
              <w:ind w:left="280"/>
              <w:spacing w:after="0"/>
              <w:rPr>
                <w:sz w:val="20"/>
                <w:szCs w:val="20"/>
                <w:color w:val="auto"/>
              </w:rPr>
            </w:pPr>
            <w:r>
              <w:rPr>
                <w:rFonts w:ascii="Arial" w:cs="Arial" w:eastAsia="Arial" w:hAnsi="Arial"/>
                <w:sz w:val="18"/>
                <w:szCs w:val="18"/>
                <w:color w:val="auto"/>
              </w:rPr>
              <w:t>Common shareholders’ equity</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EEEEEE"/>
          </w:tcPr>
          <w:p>
            <w:pPr>
              <w:jc w:val="right"/>
              <w:ind w:right="492"/>
              <w:spacing w:after="0"/>
              <w:rPr>
                <w:sz w:val="20"/>
                <w:szCs w:val="20"/>
                <w:color w:val="auto"/>
              </w:rPr>
            </w:pPr>
            <w:r>
              <w:rPr>
                <w:rFonts w:ascii="Arial" w:cs="Arial" w:eastAsia="Arial" w:hAnsi="Arial"/>
                <w:sz w:val="18"/>
                <w:szCs w:val="18"/>
                <w:b w:val="1"/>
                <w:bCs w:val="1"/>
                <w:color w:val="auto"/>
              </w:rPr>
              <w:t>217.46</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EEEEEE"/>
          </w:tcPr>
          <w:p>
            <w:pPr>
              <w:jc w:val="right"/>
              <w:ind w:right="452"/>
              <w:spacing w:after="0"/>
              <w:rPr>
                <w:sz w:val="20"/>
                <w:szCs w:val="20"/>
                <w:color w:val="auto"/>
              </w:rPr>
            </w:pPr>
            <w:r>
              <w:rPr>
                <w:rFonts w:ascii="Arial" w:cs="Arial" w:eastAsia="Arial" w:hAnsi="Arial"/>
                <w:sz w:val="18"/>
                <w:szCs w:val="18"/>
                <w:color w:val="auto"/>
              </w:rPr>
              <w:t>193.18</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rPr>
              <w:t>177.30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b w:val="1"/>
                <w:bCs w:val="1"/>
                <w:color w:val="auto"/>
              </w:rPr>
              <w:t>Financial Position</w:t>
            </w: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Borders>
              <w:right w:val="single" w:sz="8" w:color="EEEEEE"/>
            </w:tcBorders>
            <w:shd w:val="clear" w:color="auto" w:fill="EEEEEE"/>
          </w:tcPr>
          <w:p>
            <w:pPr>
              <w:ind w:left="280"/>
              <w:spacing w:after="0"/>
              <w:rPr>
                <w:sz w:val="20"/>
                <w:szCs w:val="20"/>
                <w:color w:val="auto"/>
              </w:rPr>
            </w:pPr>
            <w:r>
              <w:rPr>
                <w:rFonts w:ascii="Arial" w:cs="Arial" w:eastAsia="Arial" w:hAnsi="Arial"/>
                <w:sz w:val="18"/>
                <w:szCs w:val="18"/>
                <w:color w:val="auto"/>
              </w:rPr>
              <w:t>Current assets</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EEEEEE"/>
          </w:tcPr>
          <w:p>
            <w:pPr>
              <w:jc w:val="right"/>
              <w:ind w:right="492"/>
              <w:spacing w:after="0"/>
              <w:rPr>
                <w:sz w:val="20"/>
                <w:szCs w:val="20"/>
                <w:color w:val="auto"/>
              </w:rPr>
            </w:pPr>
            <w:r>
              <w:rPr>
                <w:rFonts w:ascii="Arial" w:cs="Arial" w:eastAsia="Arial" w:hAnsi="Arial"/>
                <w:sz w:val="18"/>
                <w:szCs w:val="18"/>
                <w:b w:val="1"/>
                <w:bCs w:val="1"/>
                <w:color w:val="auto"/>
              </w:rPr>
              <w:t>495,836</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EEEEEE"/>
          </w:tcPr>
          <w:p>
            <w:pPr>
              <w:jc w:val="right"/>
              <w:ind w:right="452"/>
              <w:spacing w:after="0"/>
              <w:rPr>
                <w:sz w:val="20"/>
                <w:szCs w:val="20"/>
                <w:color w:val="auto"/>
              </w:rPr>
            </w:pPr>
            <w:r>
              <w:rPr>
                <w:rFonts w:ascii="Arial" w:cs="Arial" w:eastAsia="Arial" w:hAnsi="Arial"/>
                <w:sz w:val="18"/>
                <w:szCs w:val="18"/>
                <w:color w:val="auto"/>
              </w:rPr>
              <w:t>382,955</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rPr>
              <w:t>396,857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280"/>
              <w:spacing w:after="0"/>
              <w:rPr>
                <w:sz w:val="20"/>
                <w:szCs w:val="20"/>
                <w:color w:val="auto"/>
              </w:rPr>
            </w:pPr>
            <w:r>
              <w:rPr>
                <w:rFonts w:ascii="Arial" w:cs="Arial" w:eastAsia="Arial" w:hAnsi="Arial"/>
                <w:sz w:val="18"/>
                <w:szCs w:val="18"/>
                <w:color w:val="auto"/>
              </w:rPr>
              <w:t>Working capital (deficit)</w:t>
            </w:r>
          </w:p>
        </w:tc>
        <w:tc>
          <w:tcPr>
            <w:tcW w:w="440" w:type="dxa"/>
            <w:vAlign w:val="bottom"/>
          </w:tcPr>
          <w:p>
            <w:pPr>
              <w:spacing w:after="0"/>
              <w:rPr>
                <w:sz w:val="18"/>
                <w:szCs w:val="18"/>
                <w:color w:val="auto"/>
              </w:rPr>
            </w:pPr>
          </w:p>
        </w:tc>
        <w:tc>
          <w:tcPr>
            <w:tcW w:w="1280" w:type="dxa"/>
            <w:vAlign w:val="bottom"/>
          </w:tcPr>
          <w:p>
            <w:pPr>
              <w:jc w:val="right"/>
              <w:ind w:right="432"/>
              <w:spacing w:after="0"/>
              <w:rPr>
                <w:sz w:val="20"/>
                <w:szCs w:val="20"/>
                <w:color w:val="auto"/>
              </w:rPr>
            </w:pPr>
            <w:r>
              <w:rPr>
                <w:rFonts w:ascii="Arial" w:cs="Arial" w:eastAsia="Arial" w:hAnsi="Arial"/>
                <w:sz w:val="18"/>
                <w:szCs w:val="18"/>
                <w:b w:val="1"/>
                <w:bCs w:val="1"/>
                <w:color w:val="auto"/>
                <w:w w:val="95"/>
              </w:rPr>
              <w:t>(216,037)</w:t>
            </w:r>
          </w:p>
        </w:tc>
        <w:tc>
          <w:tcPr>
            <w:tcW w:w="600" w:type="dxa"/>
            <w:vAlign w:val="bottom"/>
          </w:tcPr>
          <w:p>
            <w:pPr>
              <w:spacing w:after="0"/>
              <w:rPr>
                <w:sz w:val="18"/>
                <w:szCs w:val="18"/>
                <w:color w:val="auto"/>
              </w:rPr>
            </w:pPr>
          </w:p>
        </w:tc>
        <w:tc>
          <w:tcPr>
            <w:tcW w:w="1240" w:type="dxa"/>
            <w:vAlign w:val="bottom"/>
          </w:tcPr>
          <w:p>
            <w:pPr>
              <w:jc w:val="right"/>
              <w:ind w:right="392"/>
              <w:spacing w:after="0"/>
              <w:rPr>
                <w:sz w:val="20"/>
                <w:szCs w:val="20"/>
                <w:color w:val="auto"/>
              </w:rPr>
            </w:pPr>
            <w:r>
              <w:rPr>
                <w:rFonts w:ascii="Arial" w:cs="Arial" w:eastAsia="Arial" w:hAnsi="Arial"/>
                <w:sz w:val="18"/>
                <w:szCs w:val="18"/>
                <w:color w:val="auto"/>
                <w:w w:val="95"/>
              </w:rPr>
              <w:t>(353,157)</w:t>
            </w:r>
          </w:p>
        </w:tc>
        <w:tc>
          <w:tcPr>
            <w:tcW w:w="580" w:type="dxa"/>
            <w:vAlign w:val="bottom"/>
          </w:tcPr>
          <w:p>
            <w:pPr>
              <w:spacing w:after="0"/>
              <w:rPr>
                <w:sz w:val="18"/>
                <w:szCs w:val="18"/>
                <w:color w:val="auto"/>
              </w:rPr>
            </w:pPr>
          </w:p>
        </w:tc>
        <w:tc>
          <w:tcPr>
            <w:tcW w:w="1060" w:type="dxa"/>
            <w:vAlign w:val="bottom"/>
          </w:tcPr>
          <w:p>
            <w:pPr>
              <w:jc w:val="right"/>
              <w:ind w:right="212"/>
              <w:spacing w:after="0"/>
              <w:rPr>
                <w:sz w:val="20"/>
                <w:szCs w:val="20"/>
                <w:color w:val="auto"/>
              </w:rPr>
            </w:pPr>
            <w:r>
              <w:rPr>
                <w:rFonts w:ascii="Arial" w:cs="Arial" w:eastAsia="Arial" w:hAnsi="Arial"/>
                <w:sz w:val="18"/>
                <w:szCs w:val="18"/>
                <w:color w:val="auto"/>
              </w:rPr>
              <w:t>(37,233)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Borders>
              <w:right w:val="single" w:sz="8" w:color="EEEEEE"/>
            </w:tcBorders>
            <w:shd w:val="clear" w:color="auto" w:fill="EEEEEE"/>
          </w:tcPr>
          <w:p>
            <w:pPr>
              <w:ind w:left="280"/>
              <w:spacing w:after="0"/>
              <w:rPr>
                <w:sz w:val="20"/>
                <w:szCs w:val="20"/>
                <w:color w:val="auto"/>
              </w:rPr>
            </w:pPr>
            <w:r>
              <w:rPr>
                <w:rFonts w:ascii="Arial" w:cs="Arial" w:eastAsia="Arial" w:hAnsi="Arial"/>
                <w:sz w:val="18"/>
                <w:szCs w:val="18"/>
                <w:color w:val="auto"/>
              </w:rPr>
              <w:t>Property, plant and equipment</w:t>
            </w:r>
          </w:p>
        </w:tc>
        <w:tc>
          <w:tcPr>
            <w:tcW w:w="440" w:type="dxa"/>
            <w:vAlign w:val="bottom"/>
            <w:shd w:val="clear" w:color="auto" w:fill="EEEEEE"/>
          </w:tcPr>
          <w:p>
            <w:pPr>
              <w:spacing w:after="0"/>
              <w:rPr>
                <w:sz w:val="18"/>
                <w:szCs w:val="18"/>
                <w:color w:val="auto"/>
              </w:rPr>
            </w:pPr>
          </w:p>
        </w:tc>
        <w:tc>
          <w:tcPr>
            <w:tcW w:w="1280" w:type="dxa"/>
            <w:vAlign w:val="bottom"/>
            <w:shd w:val="clear" w:color="auto" w:fill="EEEEEE"/>
          </w:tcPr>
          <w:p>
            <w:pPr>
              <w:jc w:val="right"/>
              <w:ind w:right="492"/>
              <w:spacing w:after="0"/>
              <w:rPr>
                <w:sz w:val="20"/>
                <w:szCs w:val="20"/>
                <w:color w:val="auto"/>
              </w:rPr>
            </w:pPr>
            <w:r>
              <w:rPr>
                <w:rFonts w:ascii="Arial" w:cs="Arial" w:eastAsia="Arial" w:hAnsi="Arial"/>
                <w:sz w:val="18"/>
                <w:szCs w:val="18"/>
                <w:b w:val="1"/>
                <w:bCs w:val="1"/>
                <w:color w:val="auto"/>
                <w:w w:val="84"/>
              </w:rPr>
              <w:t>1,051,373</w:t>
            </w:r>
          </w:p>
        </w:tc>
        <w:tc>
          <w:tcPr>
            <w:tcW w:w="600" w:type="dxa"/>
            <w:vAlign w:val="bottom"/>
            <w:shd w:val="clear" w:color="auto" w:fill="EEEEEE"/>
          </w:tcPr>
          <w:p>
            <w:pPr>
              <w:spacing w:after="0"/>
              <w:rPr>
                <w:sz w:val="18"/>
                <w:szCs w:val="18"/>
                <w:color w:val="auto"/>
              </w:rPr>
            </w:pPr>
          </w:p>
        </w:tc>
        <w:tc>
          <w:tcPr>
            <w:tcW w:w="1240" w:type="dxa"/>
            <w:vAlign w:val="bottom"/>
            <w:shd w:val="clear" w:color="auto" w:fill="EEEEEE"/>
          </w:tcPr>
          <w:p>
            <w:pPr>
              <w:jc w:val="right"/>
              <w:ind w:right="452"/>
              <w:spacing w:after="0"/>
              <w:rPr>
                <w:sz w:val="20"/>
                <w:szCs w:val="20"/>
                <w:color w:val="auto"/>
              </w:rPr>
            </w:pPr>
            <w:r>
              <w:rPr>
                <w:rFonts w:ascii="Arial" w:cs="Arial" w:eastAsia="Arial" w:hAnsi="Arial"/>
                <w:sz w:val="18"/>
                <w:szCs w:val="18"/>
                <w:color w:val="auto"/>
                <w:w w:val="84"/>
              </w:rPr>
              <w:t>1,094,400</w:t>
            </w:r>
          </w:p>
        </w:tc>
        <w:tc>
          <w:tcPr>
            <w:tcW w:w="58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w w:val="84"/>
              </w:rPr>
              <w:t>1,098,211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280"/>
              <w:spacing w:after="0"/>
              <w:rPr>
                <w:sz w:val="20"/>
                <w:szCs w:val="20"/>
                <w:color w:val="auto"/>
              </w:rPr>
            </w:pPr>
            <w:r>
              <w:rPr>
                <w:rFonts w:ascii="Arial" w:cs="Arial" w:eastAsia="Arial" w:hAnsi="Arial"/>
                <w:sz w:val="18"/>
                <w:szCs w:val="18"/>
                <w:color w:val="auto"/>
              </w:rPr>
              <w:t>Total assets</w:t>
            </w:r>
          </w:p>
        </w:tc>
        <w:tc>
          <w:tcPr>
            <w:tcW w:w="440" w:type="dxa"/>
            <w:vAlign w:val="bottom"/>
          </w:tcPr>
          <w:p>
            <w:pPr>
              <w:spacing w:after="0"/>
              <w:rPr>
                <w:sz w:val="18"/>
                <w:szCs w:val="18"/>
                <w:color w:val="auto"/>
              </w:rPr>
            </w:pPr>
          </w:p>
        </w:tc>
        <w:tc>
          <w:tcPr>
            <w:tcW w:w="1280" w:type="dxa"/>
            <w:vAlign w:val="bottom"/>
          </w:tcPr>
          <w:p>
            <w:pPr>
              <w:jc w:val="right"/>
              <w:ind w:right="492"/>
              <w:spacing w:after="0"/>
              <w:rPr>
                <w:sz w:val="20"/>
                <w:szCs w:val="20"/>
                <w:color w:val="auto"/>
              </w:rPr>
            </w:pPr>
            <w:r>
              <w:rPr>
                <w:rFonts w:ascii="Arial" w:cs="Arial" w:eastAsia="Arial" w:hAnsi="Arial"/>
                <w:sz w:val="18"/>
                <w:szCs w:val="18"/>
                <w:b w:val="1"/>
                <w:bCs w:val="1"/>
                <w:color w:val="auto"/>
                <w:w w:val="84"/>
              </w:rPr>
              <w:t>3,901,558</w:t>
            </w:r>
          </w:p>
        </w:tc>
        <w:tc>
          <w:tcPr>
            <w:tcW w:w="600" w:type="dxa"/>
            <w:vAlign w:val="bottom"/>
          </w:tcPr>
          <w:p>
            <w:pPr>
              <w:spacing w:after="0"/>
              <w:rPr>
                <w:sz w:val="18"/>
                <w:szCs w:val="18"/>
                <w:color w:val="auto"/>
              </w:rPr>
            </w:pPr>
          </w:p>
        </w:tc>
        <w:tc>
          <w:tcPr>
            <w:tcW w:w="1240" w:type="dxa"/>
            <w:vAlign w:val="bottom"/>
          </w:tcPr>
          <w:p>
            <w:pPr>
              <w:jc w:val="right"/>
              <w:ind w:right="452"/>
              <w:spacing w:after="0"/>
              <w:rPr>
                <w:sz w:val="20"/>
                <w:szCs w:val="20"/>
                <w:color w:val="auto"/>
              </w:rPr>
            </w:pPr>
            <w:r>
              <w:rPr>
                <w:rFonts w:ascii="Arial" w:cs="Arial" w:eastAsia="Arial" w:hAnsi="Arial"/>
                <w:sz w:val="18"/>
                <w:szCs w:val="18"/>
                <w:color w:val="auto"/>
                <w:w w:val="84"/>
              </w:rPr>
              <w:t>3,583,894</w:t>
            </w:r>
          </w:p>
        </w:tc>
        <w:tc>
          <w:tcPr>
            <w:tcW w:w="580" w:type="dxa"/>
            <w:vAlign w:val="bottom"/>
          </w:tcPr>
          <w:p>
            <w:pPr>
              <w:spacing w:after="0"/>
              <w:rPr>
                <w:sz w:val="18"/>
                <w:szCs w:val="18"/>
                <w:color w:val="auto"/>
              </w:rPr>
            </w:pPr>
          </w:p>
        </w:tc>
        <w:tc>
          <w:tcPr>
            <w:tcW w:w="1060" w:type="dxa"/>
            <w:vAlign w:val="bottom"/>
          </w:tcPr>
          <w:p>
            <w:pPr>
              <w:jc w:val="right"/>
              <w:ind w:right="272"/>
              <w:spacing w:after="0"/>
              <w:rPr>
                <w:sz w:val="20"/>
                <w:szCs w:val="20"/>
                <w:color w:val="auto"/>
              </w:rPr>
            </w:pPr>
            <w:r>
              <w:rPr>
                <w:rFonts w:ascii="Arial" w:cs="Arial" w:eastAsia="Arial" w:hAnsi="Arial"/>
                <w:sz w:val="18"/>
                <w:szCs w:val="18"/>
                <w:color w:val="auto"/>
                <w:w w:val="84"/>
              </w:rPr>
              <w:t>3,559,098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Borders>
              <w:right w:val="single" w:sz="8" w:color="EEEEEE"/>
            </w:tcBorders>
            <w:shd w:val="clear" w:color="auto" w:fill="EEEEEE"/>
          </w:tcPr>
          <w:p>
            <w:pPr>
              <w:ind w:left="280"/>
              <w:spacing w:after="0"/>
              <w:rPr>
                <w:sz w:val="20"/>
                <w:szCs w:val="20"/>
                <w:color w:val="auto"/>
              </w:rPr>
            </w:pPr>
            <w:r>
              <w:rPr>
                <w:rFonts w:ascii="Arial" w:cs="Arial" w:eastAsia="Arial" w:hAnsi="Arial"/>
                <w:sz w:val="18"/>
                <w:szCs w:val="18"/>
                <w:color w:val="auto"/>
              </w:rPr>
              <w:t>Long-term debt</w:t>
            </w:r>
          </w:p>
        </w:tc>
        <w:tc>
          <w:tcPr>
            <w:tcW w:w="440" w:type="dxa"/>
            <w:vAlign w:val="bottom"/>
            <w:shd w:val="clear" w:color="auto" w:fill="EEEEEE"/>
          </w:tcPr>
          <w:p>
            <w:pPr>
              <w:spacing w:after="0"/>
              <w:rPr>
                <w:sz w:val="18"/>
                <w:szCs w:val="18"/>
                <w:color w:val="auto"/>
              </w:rPr>
            </w:pPr>
          </w:p>
        </w:tc>
        <w:tc>
          <w:tcPr>
            <w:tcW w:w="1280" w:type="dxa"/>
            <w:vAlign w:val="bottom"/>
            <w:shd w:val="clear" w:color="auto" w:fill="EEEEEE"/>
          </w:tcPr>
          <w:p>
            <w:pPr>
              <w:jc w:val="right"/>
              <w:ind w:right="492"/>
              <w:spacing w:after="0"/>
              <w:rPr>
                <w:sz w:val="20"/>
                <w:szCs w:val="20"/>
                <w:color w:val="auto"/>
              </w:rPr>
            </w:pPr>
            <w:r>
              <w:rPr>
                <w:rFonts w:ascii="Arial" w:cs="Arial" w:eastAsia="Arial" w:hAnsi="Arial"/>
                <w:sz w:val="18"/>
                <w:szCs w:val="18"/>
                <w:b w:val="1"/>
                <w:bCs w:val="1"/>
                <w:color w:val="auto"/>
              </w:rPr>
              <w:t>422,471</w:t>
            </w:r>
          </w:p>
        </w:tc>
        <w:tc>
          <w:tcPr>
            <w:tcW w:w="600" w:type="dxa"/>
            <w:vAlign w:val="bottom"/>
            <w:shd w:val="clear" w:color="auto" w:fill="EEEEEE"/>
          </w:tcPr>
          <w:p>
            <w:pPr>
              <w:spacing w:after="0"/>
              <w:rPr>
                <w:sz w:val="18"/>
                <w:szCs w:val="18"/>
                <w:color w:val="auto"/>
              </w:rPr>
            </w:pPr>
          </w:p>
        </w:tc>
        <w:tc>
          <w:tcPr>
            <w:tcW w:w="1240" w:type="dxa"/>
            <w:vAlign w:val="bottom"/>
            <w:shd w:val="clear" w:color="auto" w:fill="EEEEEE"/>
          </w:tcPr>
          <w:p>
            <w:pPr>
              <w:jc w:val="right"/>
              <w:ind w:right="452"/>
              <w:spacing w:after="0"/>
              <w:rPr>
                <w:sz w:val="20"/>
                <w:szCs w:val="20"/>
                <w:color w:val="auto"/>
              </w:rPr>
            </w:pPr>
            <w:r>
              <w:rPr>
                <w:rFonts w:ascii="Arial" w:cs="Arial" w:eastAsia="Arial" w:hAnsi="Arial"/>
                <w:sz w:val="18"/>
                <w:szCs w:val="18"/>
                <w:color w:val="auto"/>
              </w:rPr>
              <w:t>405,547</w:t>
            </w:r>
          </w:p>
        </w:tc>
        <w:tc>
          <w:tcPr>
            <w:tcW w:w="58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rPr>
              <w:t>883,078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00" w:type="dxa"/>
            <w:vAlign w:val="bottom"/>
          </w:tcPr>
          <w:p>
            <w:pPr>
              <w:ind w:left="280"/>
              <w:spacing w:after="0"/>
              <w:rPr>
                <w:sz w:val="20"/>
                <w:szCs w:val="20"/>
                <w:color w:val="auto"/>
              </w:rPr>
            </w:pPr>
            <w:r>
              <w:rPr>
                <w:rFonts w:ascii="Arial" w:cs="Arial" w:eastAsia="Arial" w:hAnsi="Arial"/>
                <w:sz w:val="18"/>
                <w:szCs w:val="18"/>
                <w:color w:val="auto"/>
              </w:rPr>
              <w:t>Common shareholders’ equity</w:t>
            </w:r>
          </w:p>
        </w:tc>
        <w:tc>
          <w:tcPr>
            <w:tcW w:w="440" w:type="dxa"/>
            <w:vAlign w:val="bottom"/>
          </w:tcPr>
          <w:p>
            <w:pPr>
              <w:spacing w:after="0"/>
              <w:rPr>
                <w:sz w:val="19"/>
                <w:szCs w:val="19"/>
                <w:color w:val="auto"/>
              </w:rPr>
            </w:pPr>
          </w:p>
        </w:tc>
        <w:tc>
          <w:tcPr>
            <w:tcW w:w="1280" w:type="dxa"/>
            <w:vAlign w:val="bottom"/>
          </w:tcPr>
          <w:p>
            <w:pPr>
              <w:jc w:val="right"/>
              <w:ind w:right="492"/>
              <w:spacing w:after="0"/>
              <w:rPr>
                <w:sz w:val="20"/>
                <w:szCs w:val="20"/>
                <w:color w:val="auto"/>
              </w:rPr>
            </w:pPr>
            <w:r>
              <w:rPr>
                <w:rFonts w:ascii="Arial" w:cs="Arial" w:eastAsia="Arial" w:hAnsi="Arial"/>
                <w:sz w:val="18"/>
                <w:szCs w:val="18"/>
                <w:b w:val="1"/>
                <w:bCs w:val="1"/>
                <w:color w:val="auto"/>
                <w:w w:val="84"/>
              </w:rPr>
              <w:t>2,074,941</w:t>
            </w:r>
          </w:p>
        </w:tc>
        <w:tc>
          <w:tcPr>
            <w:tcW w:w="600" w:type="dxa"/>
            <w:vAlign w:val="bottom"/>
          </w:tcPr>
          <w:p>
            <w:pPr>
              <w:spacing w:after="0"/>
              <w:rPr>
                <w:sz w:val="19"/>
                <w:szCs w:val="19"/>
                <w:color w:val="auto"/>
              </w:rPr>
            </w:pPr>
          </w:p>
        </w:tc>
        <w:tc>
          <w:tcPr>
            <w:tcW w:w="1240" w:type="dxa"/>
            <w:vAlign w:val="bottom"/>
          </w:tcPr>
          <w:p>
            <w:pPr>
              <w:jc w:val="right"/>
              <w:ind w:right="452"/>
              <w:spacing w:after="0"/>
              <w:rPr>
                <w:sz w:val="20"/>
                <w:szCs w:val="20"/>
                <w:color w:val="auto"/>
              </w:rPr>
            </w:pPr>
            <w:r>
              <w:rPr>
                <w:rFonts w:ascii="Arial" w:cs="Arial" w:eastAsia="Arial" w:hAnsi="Arial"/>
                <w:sz w:val="18"/>
                <w:szCs w:val="18"/>
                <w:color w:val="auto"/>
                <w:w w:val="84"/>
              </w:rPr>
              <w:t>1,837,293</w:t>
            </w:r>
          </w:p>
        </w:tc>
        <w:tc>
          <w:tcPr>
            <w:tcW w:w="580" w:type="dxa"/>
            <w:vAlign w:val="bottom"/>
          </w:tcPr>
          <w:p>
            <w:pPr>
              <w:spacing w:after="0"/>
              <w:rPr>
                <w:sz w:val="19"/>
                <w:szCs w:val="19"/>
                <w:color w:val="auto"/>
              </w:rPr>
            </w:pPr>
          </w:p>
        </w:tc>
        <w:tc>
          <w:tcPr>
            <w:tcW w:w="1060" w:type="dxa"/>
            <w:vAlign w:val="bottom"/>
          </w:tcPr>
          <w:p>
            <w:pPr>
              <w:jc w:val="right"/>
              <w:ind w:right="272"/>
              <w:spacing w:after="0"/>
              <w:rPr>
                <w:sz w:val="20"/>
                <w:szCs w:val="20"/>
                <w:color w:val="auto"/>
              </w:rPr>
            </w:pPr>
            <w:r>
              <w:rPr>
                <w:rFonts w:ascii="Arial" w:cs="Arial" w:eastAsia="Arial" w:hAnsi="Arial"/>
                <w:sz w:val="18"/>
                <w:szCs w:val="18"/>
                <w:color w:val="auto"/>
                <w:w w:val="84"/>
              </w:rPr>
              <w:t>1,683,485</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from certain unusual items (after-tax and diluted EPS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2003</w:t>
      </w:r>
    </w:p>
    <w:p>
      <w:pPr>
        <w:spacing w:after="0" w:line="21" w:lineRule="exact"/>
        <w:rPr>
          <w:sz w:val="20"/>
          <w:szCs w:val="20"/>
          <w:color w:val="auto"/>
        </w:rPr>
      </w:pPr>
    </w:p>
    <w:p>
      <w:pPr>
        <w:ind w:left="120" w:hanging="112"/>
        <w:spacing w:after="0"/>
        <w:tabs>
          <w:tab w:leader="none" w:pos="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gain of $32.3 million ($3.38 per share) on the sale of the Company’s 50 percent interest in the International Herald Tribune</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gain of $25.5 million ($2.66 per share) on sale of land at The Washington Post newspaper</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charge of $20.8 million ($2.18 per share) for early retirement programs at The Washington Post newspaper</w:t>
      </w:r>
    </w:p>
    <w:p>
      <w:pPr>
        <w:spacing w:after="0" w:line="9" w:lineRule="exact"/>
        <w:rPr>
          <w:rFonts w:ascii="Arial" w:cs="Arial" w:eastAsia="Arial" w:hAnsi="Arial"/>
          <w:sz w:val="18"/>
          <w:szCs w:val="18"/>
          <w:color w:val="auto"/>
        </w:rPr>
      </w:pPr>
    </w:p>
    <w:p>
      <w:pPr>
        <w:ind w:left="120" w:right="380" w:hanging="112"/>
        <w:spacing w:after="0" w:line="250" w:lineRule="auto"/>
        <w:tabs>
          <w:tab w:leader="none" w:pos="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Kaplan stock compensation expense of $6.4 million ($0.67 per share) for the 10 percent premium associated with the purchase of outstanding Kaplan stock options</w:t>
      </w:r>
    </w:p>
    <w:p>
      <w:pPr>
        <w:ind w:left="120" w:hanging="112"/>
        <w:spacing w:after="0"/>
        <w:tabs>
          <w:tab w:leader="none" w:pos="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charge of $3.9 million ($0.41 per share) in connection with the establishment of the Kaplan Educational Foundation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2002</w:t>
      </w:r>
    </w:p>
    <w:p>
      <w:pPr>
        <w:spacing w:after="0" w:line="21" w:lineRule="exact"/>
        <w:rPr>
          <w:sz w:val="20"/>
          <w:szCs w:val="20"/>
          <w:color w:val="auto"/>
        </w:rPr>
      </w:pPr>
    </w:p>
    <w:p>
      <w:pPr>
        <w:ind w:left="120" w:hanging="112"/>
        <w:spacing w:after="0"/>
        <w:tabs>
          <w:tab w:leader="none" w:pos="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gain of $16.7 million ($1.75 per share) on the exchange of certain cable systems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charge of $11.3 million ($1.18 per share) for early retirement programs at Newsweek and The Washington Post newspaper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2001</w:t>
      </w:r>
    </w:p>
    <w:p>
      <w:pPr>
        <w:spacing w:after="0" w:line="21" w:lineRule="exact"/>
        <w:rPr>
          <w:sz w:val="20"/>
          <w:szCs w:val="20"/>
          <w:color w:val="auto"/>
        </w:rPr>
      </w:pPr>
    </w:p>
    <w:p>
      <w:pPr>
        <w:ind w:left="120" w:hanging="112"/>
        <w:spacing w:after="0"/>
        <w:tabs>
          <w:tab w:leader="none" w:pos="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gain of $196.5 million ($20.69 per share) on the exchange of certain cable systems</w:t>
      </w:r>
    </w:p>
    <w:p>
      <w:pPr>
        <w:spacing w:after="0" w:line="9" w:lineRule="exact"/>
        <w:rPr>
          <w:rFonts w:ascii="Arial" w:cs="Arial" w:eastAsia="Arial" w:hAnsi="Arial"/>
          <w:sz w:val="18"/>
          <w:szCs w:val="18"/>
          <w:color w:val="auto"/>
        </w:rPr>
      </w:pPr>
    </w:p>
    <w:p>
      <w:pPr>
        <w:ind w:left="120" w:right="740" w:hanging="112"/>
        <w:spacing w:after="0" w:line="250" w:lineRule="auto"/>
        <w:tabs>
          <w:tab w:leader="none" w:pos="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non-cash goodwill and other intangibles impairment charge of $19.9 million ($2.10 per share) recorded in conjunction with the Company’s BrassRing investment</w:t>
      </w:r>
    </w:p>
    <w:p>
      <w:pPr>
        <w:ind w:left="120" w:right="320" w:hanging="112"/>
        <w:spacing w:after="0" w:line="261" w:lineRule="auto"/>
        <w:tabs>
          <w:tab w:leader="none" w:pos="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charges of $18.3 million ($1.93 per share) from the write-down of a non-operating parcel of land and certain cost-method investments to their estimated fair value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053" w:gutter="0" w:footer="0" w:header="0"/>
        </w:sectPr>
      </w:pPr>
    </w:p>
    <w:bookmarkStart w:id="81" w:name="page82"/>
    <w:bookmarkEnd w:id="81"/>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432"/>
              <w:spacing w:after="0"/>
              <w:rPr>
                <w:sz w:val="20"/>
                <w:szCs w:val="20"/>
                <w:color w:val="auto"/>
              </w:rPr>
            </w:pPr>
            <w:r>
              <w:rPr>
                <w:rFonts w:ascii="Arial" w:cs="Arial" w:eastAsia="Arial" w:hAnsi="Arial"/>
                <w:sz w:val="14"/>
                <w:szCs w:val="14"/>
                <w:color w:val="auto"/>
              </w:rPr>
              <w:t>2000</w:t>
            </w:r>
          </w:p>
        </w:tc>
        <w:tc>
          <w:tcPr>
            <w:tcW w:w="360" w:type="dxa"/>
            <w:vAlign w:val="bottom"/>
          </w:tcPr>
          <w:p>
            <w:pPr>
              <w:spacing w:after="0"/>
              <w:rPr>
                <w:sz w:val="14"/>
                <w:szCs w:val="14"/>
                <w:color w:val="auto"/>
              </w:rPr>
            </w:pPr>
          </w:p>
        </w:tc>
        <w:tc>
          <w:tcPr>
            <w:tcW w:w="860" w:type="dxa"/>
            <w:vAlign w:val="bottom"/>
          </w:tcPr>
          <w:p>
            <w:pPr>
              <w:jc w:val="right"/>
              <w:ind w:right="412"/>
              <w:spacing w:after="0"/>
              <w:rPr>
                <w:sz w:val="20"/>
                <w:szCs w:val="20"/>
                <w:color w:val="auto"/>
              </w:rPr>
            </w:pPr>
            <w:r>
              <w:rPr>
                <w:rFonts w:ascii="Arial" w:cs="Arial" w:eastAsia="Arial" w:hAnsi="Arial"/>
                <w:sz w:val="14"/>
                <w:szCs w:val="14"/>
                <w:color w:val="auto"/>
              </w:rPr>
              <w:t>1999</w:t>
            </w:r>
          </w:p>
        </w:tc>
        <w:tc>
          <w:tcPr>
            <w:tcW w:w="340" w:type="dxa"/>
            <w:vAlign w:val="bottom"/>
          </w:tcPr>
          <w:p>
            <w:pPr>
              <w:spacing w:after="0"/>
              <w:rPr>
                <w:sz w:val="14"/>
                <w:szCs w:val="14"/>
                <w:color w:val="auto"/>
              </w:rPr>
            </w:pPr>
          </w:p>
        </w:tc>
        <w:tc>
          <w:tcPr>
            <w:tcW w:w="840" w:type="dxa"/>
            <w:vAlign w:val="bottom"/>
          </w:tcPr>
          <w:p>
            <w:pPr>
              <w:jc w:val="right"/>
              <w:ind w:right="412"/>
              <w:spacing w:after="0"/>
              <w:rPr>
                <w:sz w:val="20"/>
                <w:szCs w:val="20"/>
                <w:color w:val="auto"/>
              </w:rPr>
            </w:pPr>
            <w:r>
              <w:rPr>
                <w:rFonts w:ascii="Arial" w:cs="Arial" w:eastAsia="Arial" w:hAnsi="Arial"/>
                <w:sz w:val="14"/>
                <w:szCs w:val="14"/>
                <w:color w:val="auto"/>
              </w:rPr>
              <w:t>1998</w:t>
            </w:r>
          </w:p>
        </w:tc>
        <w:tc>
          <w:tcPr>
            <w:tcW w:w="380" w:type="dxa"/>
            <w:vAlign w:val="bottom"/>
          </w:tcPr>
          <w:p>
            <w:pPr>
              <w:spacing w:after="0"/>
              <w:rPr>
                <w:sz w:val="14"/>
                <w:szCs w:val="14"/>
                <w:color w:val="auto"/>
              </w:rPr>
            </w:pPr>
          </w:p>
        </w:tc>
        <w:tc>
          <w:tcPr>
            <w:tcW w:w="860" w:type="dxa"/>
            <w:vAlign w:val="bottom"/>
          </w:tcPr>
          <w:p>
            <w:pPr>
              <w:jc w:val="right"/>
              <w:ind w:right="452"/>
              <w:spacing w:after="0"/>
              <w:rPr>
                <w:sz w:val="20"/>
                <w:szCs w:val="20"/>
                <w:color w:val="auto"/>
              </w:rPr>
            </w:pPr>
            <w:r>
              <w:rPr>
                <w:rFonts w:ascii="Arial" w:cs="Arial" w:eastAsia="Arial" w:hAnsi="Arial"/>
                <w:sz w:val="14"/>
                <w:szCs w:val="14"/>
                <w:color w:val="auto"/>
              </w:rPr>
              <w:t>1997</w:t>
            </w:r>
          </w:p>
        </w:tc>
        <w:tc>
          <w:tcPr>
            <w:tcW w:w="340" w:type="dxa"/>
            <w:vAlign w:val="bottom"/>
          </w:tcPr>
          <w:p>
            <w:pPr>
              <w:spacing w:after="0"/>
              <w:rPr>
                <w:sz w:val="14"/>
                <w:szCs w:val="14"/>
                <w:color w:val="auto"/>
              </w:rPr>
            </w:pPr>
          </w:p>
        </w:tc>
        <w:tc>
          <w:tcPr>
            <w:tcW w:w="840" w:type="dxa"/>
            <w:vAlign w:val="bottom"/>
          </w:tcPr>
          <w:p>
            <w:pPr>
              <w:jc w:val="right"/>
              <w:ind w:right="412"/>
              <w:spacing w:after="0"/>
              <w:rPr>
                <w:sz w:val="20"/>
                <w:szCs w:val="20"/>
                <w:color w:val="auto"/>
              </w:rPr>
            </w:pPr>
            <w:r>
              <w:rPr>
                <w:rFonts w:ascii="Arial" w:cs="Arial" w:eastAsia="Arial" w:hAnsi="Arial"/>
                <w:sz w:val="14"/>
                <w:szCs w:val="14"/>
                <w:color w:val="auto"/>
              </w:rPr>
              <w:t>1996</w:t>
            </w:r>
          </w:p>
        </w:tc>
        <w:tc>
          <w:tcPr>
            <w:tcW w:w="360" w:type="dxa"/>
            <w:vAlign w:val="bottom"/>
          </w:tcPr>
          <w:p>
            <w:pPr>
              <w:spacing w:after="0"/>
              <w:rPr>
                <w:sz w:val="14"/>
                <w:szCs w:val="14"/>
                <w:color w:val="auto"/>
              </w:rPr>
            </w:pPr>
          </w:p>
        </w:tc>
        <w:tc>
          <w:tcPr>
            <w:tcW w:w="840" w:type="dxa"/>
            <w:vAlign w:val="bottom"/>
          </w:tcPr>
          <w:p>
            <w:pPr>
              <w:jc w:val="right"/>
              <w:ind w:right="412"/>
              <w:spacing w:after="0"/>
              <w:rPr>
                <w:sz w:val="20"/>
                <w:szCs w:val="20"/>
                <w:color w:val="auto"/>
              </w:rPr>
            </w:pPr>
            <w:r>
              <w:rPr>
                <w:rFonts w:ascii="Arial" w:cs="Arial" w:eastAsia="Arial" w:hAnsi="Arial"/>
                <w:sz w:val="14"/>
                <w:szCs w:val="14"/>
                <w:color w:val="auto"/>
              </w:rPr>
              <w:t>1995</w:t>
            </w:r>
          </w:p>
        </w:tc>
        <w:tc>
          <w:tcPr>
            <w:tcW w:w="360" w:type="dxa"/>
            <w:vAlign w:val="bottom"/>
          </w:tcPr>
          <w:p>
            <w:pPr>
              <w:spacing w:after="0"/>
              <w:rPr>
                <w:sz w:val="14"/>
                <w:szCs w:val="14"/>
                <w:color w:val="auto"/>
              </w:rPr>
            </w:pPr>
          </w:p>
        </w:tc>
        <w:tc>
          <w:tcPr>
            <w:tcW w:w="780" w:type="dxa"/>
            <w:vAlign w:val="bottom"/>
          </w:tcPr>
          <w:p>
            <w:pPr>
              <w:jc w:val="right"/>
              <w:ind w:right="312"/>
              <w:spacing w:after="0"/>
              <w:rPr>
                <w:sz w:val="20"/>
                <w:szCs w:val="20"/>
                <w:color w:val="auto"/>
              </w:rPr>
            </w:pPr>
            <w:r>
              <w:rPr>
                <w:rFonts w:ascii="Arial" w:cs="Arial" w:eastAsia="Arial" w:hAnsi="Arial"/>
                <w:sz w:val="14"/>
                <w:szCs w:val="14"/>
                <w:color w:val="auto"/>
              </w:rPr>
              <w:t>1994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20" w:type="dxa"/>
            <w:vAlign w:val="bottom"/>
            <w:tcBorders>
              <w:right w:val="single" w:sz="8" w:color="EEEEEE"/>
            </w:tcBorders>
            <w:shd w:val="clear" w:color="auto" w:fill="EEEEEE"/>
          </w:tcPr>
          <w:p>
            <w:pPr>
              <w:spacing w:after="0" w:line="149" w:lineRule="exact"/>
              <w:rPr>
                <w:sz w:val="20"/>
                <w:szCs w:val="20"/>
                <w:color w:val="auto"/>
              </w:rPr>
            </w:pPr>
            <w:r>
              <w:rPr>
                <w:rFonts w:ascii="Arial" w:cs="Arial" w:eastAsia="Arial" w:hAnsi="Arial"/>
                <w:sz w:val="14"/>
                <w:szCs w:val="14"/>
                <w:b w:val="1"/>
                <w:bCs w:val="1"/>
                <w:color w:val="auto"/>
              </w:rPr>
              <w:t>Results of Operations</w:t>
            </w:r>
          </w:p>
        </w:tc>
        <w:tc>
          <w:tcPr>
            <w:tcW w:w="220" w:type="dxa"/>
            <w:vAlign w:val="bottom"/>
            <w:shd w:val="clear" w:color="auto" w:fill="EEEEEE"/>
          </w:tcPr>
          <w:p>
            <w:pPr>
              <w:spacing w:after="0"/>
              <w:rPr>
                <w:sz w:val="12"/>
                <w:szCs w:val="12"/>
                <w:color w:val="auto"/>
              </w:rPr>
            </w:pPr>
          </w:p>
        </w:tc>
        <w:tc>
          <w:tcPr>
            <w:tcW w:w="90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86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6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ind w:left="200"/>
              <w:spacing w:after="0" w:line="149" w:lineRule="exact"/>
              <w:rPr>
                <w:sz w:val="20"/>
                <w:szCs w:val="20"/>
                <w:color w:val="auto"/>
              </w:rPr>
            </w:pPr>
            <w:r>
              <w:rPr>
                <w:rFonts w:ascii="Arial" w:cs="Arial" w:eastAsia="Arial" w:hAnsi="Arial"/>
                <w:sz w:val="14"/>
                <w:szCs w:val="14"/>
                <w:color w:val="auto"/>
              </w:rPr>
              <w:t>Operating revenues</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92"/>
              <w:spacing w:after="0" w:line="149" w:lineRule="exact"/>
              <w:rPr>
                <w:sz w:val="20"/>
                <w:szCs w:val="20"/>
                <w:color w:val="auto"/>
              </w:rPr>
            </w:pPr>
            <w:r>
              <w:rPr>
                <w:rFonts w:ascii="Arial" w:cs="Arial" w:eastAsia="Arial" w:hAnsi="Arial"/>
                <w:sz w:val="14"/>
                <w:szCs w:val="14"/>
                <w:color w:val="auto"/>
                <w:w w:val="83"/>
              </w:rPr>
              <w:t>2,409,633</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252"/>
              <w:spacing w:after="0" w:line="149" w:lineRule="exact"/>
              <w:rPr>
                <w:sz w:val="20"/>
                <w:szCs w:val="20"/>
                <w:color w:val="auto"/>
              </w:rPr>
            </w:pPr>
            <w:r>
              <w:rPr>
                <w:rFonts w:ascii="Arial" w:cs="Arial" w:eastAsia="Arial" w:hAnsi="Arial"/>
                <w:sz w:val="14"/>
                <w:szCs w:val="14"/>
                <w:color w:val="auto"/>
                <w:w w:val="83"/>
              </w:rPr>
              <w:t>2,212,177</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232"/>
              <w:spacing w:after="0" w:line="149" w:lineRule="exact"/>
              <w:rPr>
                <w:sz w:val="20"/>
                <w:szCs w:val="20"/>
                <w:color w:val="auto"/>
              </w:rPr>
            </w:pPr>
            <w:r>
              <w:rPr>
                <w:rFonts w:ascii="Arial" w:cs="Arial" w:eastAsia="Arial" w:hAnsi="Arial"/>
                <w:sz w:val="14"/>
                <w:szCs w:val="14"/>
                <w:color w:val="auto"/>
                <w:w w:val="83"/>
              </w:rPr>
              <w:t>2,107,593</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252"/>
              <w:spacing w:after="0" w:line="149" w:lineRule="exact"/>
              <w:rPr>
                <w:sz w:val="20"/>
                <w:szCs w:val="20"/>
                <w:color w:val="auto"/>
              </w:rPr>
            </w:pPr>
            <w:r>
              <w:rPr>
                <w:rFonts w:ascii="Arial" w:cs="Arial" w:eastAsia="Arial" w:hAnsi="Arial"/>
                <w:sz w:val="14"/>
                <w:szCs w:val="14"/>
                <w:color w:val="auto"/>
                <w:w w:val="83"/>
              </w:rPr>
              <w:t>1,952,986</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232"/>
              <w:spacing w:after="0" w:line="149" w:lineRule="exact"/>
              <w:rPr>
                <w:sz w:val="20"/>
                <w:szCs w:val="20"/>
                <w:color w:val="auto"/>
              </w:rPr>
            </w:pPr>
            <w:r>
              <w:rPr>
                <w:rFonts w:ascii="Arial" w:cs="Arial" w:eastAsia="Arial" w:hAnsi="Arial"/>
                <w:sz w:val="14"/>
                <w:szCs w:val="14"/>
                <w:color w:val="auto"/>
                <w:w w:val="83"/>
              </w:rPr>
              <w:t>1,851,058</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232"/>
              <w:spacing w:after="0" w:line="149" w:lineRule="exact"/>
              <w:rPr>
                <w:sz w:val="20"/>
                <w:szCs w:val="20"/>
                <w:color w:val="auto"/>
              </w:rPr>
            </w:pPr>
            <w:r>
              <w:rPr>
                <w:rFonts w:ascii="Arial" w:cs="Arial" w:eastAsia="Arial" w:hAnsi="Arial"/>
                <w:sz w:val="14"/>
                <w:szCs w:val="14"/>
                <w:color w:val="auto"/>
                <w:w w:val="83"/>
              </w:rPr>
              <w:t>1,716,971</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72"/>
              <w:spacing w:after="0" w:line="149" w:lineRule="exact"/>
              <w:rPr>
                <w:sz w:val="20"/>
                <w:szCs w:val="20"/>
                <w:color w:val="auto"/>
              </w:rPr>
            </w:pPr>
            <w:r>
              <w:rPr>
                <w:rFonts w:ascii="Arial" w:cs="Arial" w:eastAsia="Arial" w:hAnsi="Arial"/>
                <w:sz w:val="14"/>
                <w:szCs w:val="14"/>
                <w:color w:val="auto"/>
                <w:w w:val="83"/>
              </w:rPr>
              <w:t>1,611,629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Borders>
              <w:right w:val="single" w:sz="8" w:color="EEEEEE"/>
            </w:tcBorders>
            <w:shd w:val="clear" w:color="auto" w:fill="EEEEEE"/>
          </w:tcPr>
          <w:p>
            <w:pPr>
              <w:ind w:left="200"/>
              <w:spacing w:after="0" w:line="149" w:lineRule="exact"/>
              <w:rPr>
                <w:sz w:val="20"/>
                <w:szCs w:val="20"/>
                <w:color w:val="auto"/>
              </w:rPr>
            </w:pPr>
            <w:r>
              <w:rPr>
                <w:rFonts w:ascii="Arial" w:cs="Arial" w:eastAsia="Arial" w:hAnsi="Arial"/>
                <w:sz w:val="14"/>
                <w:szCs w:val="14"/>
                <w:color w:val="auto"/>
              </w:rPr>
              <w:t>Income from operations</w:t>
            </w:r>
          </w:p>
        </w:tc>
        <w:tc>
          <w:tcPr>
            <w:tcW w:w="2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EEEEE"/>
          </w:tcPr>
          <w:p>
            <w:pPr>
              <w:jc w:val="right"/>
              <w:ind w:right="292"/>
              <w:spacing w:after="0" w:line="149" w:lineRule="exact"/>
              <w:rPr>
                <w:sz w:val="20"/>
                <w:szCs w:val="20"/>
                <w:color w:val="auto"/>
              </w:rPr>
            </w:pPr>
            <w:r>
              <w:rPr>
                <w:rFonts w:ascii="Arial" w:cs="Arial" w:eastAsia="Arial" w:hAnsi="Arial"/>
                <w:sz w:val="14"/>
                <w:szCs w:val="14"/>
                <w:color w:val="auto"/>
              </w:rPr>
              <w:t>339,882</w:t>
            </w: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EEEEEE"/>
          </w:tcPr>
          <w:p>
            <w:pPr>
              <w:jc w:val="right"/>
              <w:ind w:right="252"/>
              <w:spacing w:after="0" w:line="149" w:lineRule="exact"/>
              <w:rPr>
                <w:sz w:val="20"/>
                <w:szCs w:val="20"/>
                <w:color w:val="auto"/>
              </w:rPr>
            </w:pPr>
            <w:r>
              <w:rPr>
                <w:rFonts w:ascii="Arial" w:cs="Arial" w:eastAsia="Arial" w:hAnsi="Arial"/>
                <w:sz w:val="14"/>
                <w:szCs w:val="14"/>
                <w:color w:val="auto"/>
              </w:rPr>
              <w:t>388,453</w:t>
            </w:r>
          </w:p>
        </w:tc>
        <w:tc>
          <w:tcPr>
            <w:tcW w:w="3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EEEEEE"/>
          </w:tcPr>
          <w:p>
            <w:pPr>
              <w:jc w:val="right"/>
              <w:ind w:right="232"/>
              <w:spacing w:after="0" w:line="149" w:lineRule="exact"/>
              <w:rPr>
                <w:sz w:val="20"/>
                <w:szCs w:val="20"/>
                <w:color w:val="auto"/>
              </w:rPr>
            </w:pPr>
            <w:r>
              <w:rPr>
                <w:rFonts w:ascii="Arial" w:cs="Arial" w:eastAsia="Arial" w:hAnsi="Arial"/>
                <w:sz w:val="14"/>
                <w:szCs w:val="14"/>
                <w:color w:val="auto"/>
              </w:rPr>
              <w:t>378,897</w:t>
            </w: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EEEEEE"/>
          </w:tcPr>
          <w:p>
            <w:pPr>
              <w:jc w:val="right"/>
              <w:ind w:right="252"/>
              <w:spacing w:after="0" w:line="149" w:lineRule="exact"/>
              <w:rPr>
                <w:sz w:val="20"/>
                <w:szCs w:val="20"/>
                <w:color w:val="auto"/>
              </w:rPr>
            </w:pPr>
            <w:r>
              <w:rPr>
                <w:rFonts w:ascii="Arial" w:cs="Arial" w:eastAsia="Arial" w:hAnsi="Arial"/>
                <w:sz w:val="14"/>
                <w:szCs w:val="14"/>
                <w:color w:val="auto"/>
              </w:rPr>
              <w:t>381,351</w:t>
            </w:r>
          </w:p>
        </w:tc>
        <w:tc>
          <w:tcPr>
            <w:tcW w:w="3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EEEEEE"/>
          </w:tcPr>
          <w:p>
            <w:pPr>
              <w:jc w:val="right"/>
              <w:ind w:right="232"/>
              <w:spacing w:after="0" w:line="149" w:lineRule="exact"/>
              <w:rPr>
                <w:sz w:val="20"/>
                <w:szCs w:val="20"/>
                <w:color w:val="auto"/>
              </w:rPr>
            </w:pPr>
            <w:r>
              <w:rPr>
                <w:rFonts w:ascii="Arial" w:cs="Arial" w:eastAsia="Arial" w:hAnsi="Arial"/>
                <w:sz w:val="14"/>
                <w:szCs w:val="14"/>
                <w:color w:val="auto"/>
              </w:rPr>
              <w:t>337,169</w:t>
            </w: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EEEEEE"/>
          </w:tcPr>
          <w:p>
            <w:pPr>
              <w:jc w:val="right"/>
              <w:ind w:right="232"/>
              <w:spacing w:after="0" w:line="149" w:lineRule="exact"/>
              <w:rPr>
                <w:sz w:val="20"/>
                <w:szCs w:val="20"/>
                <w:color w:val="auto"/>
              </w:rPr>
            </w:pPr>
            <w:r>
              <w:rPr>
                <w:rFonts w:ascii="Arial" w:cs="Arial" w:eastAsia="Arial" w:hAnsi="Arial"/>
                <w:sz w:val="14"/>
                <w:szCs w:val="14"/>
                <w:color w:val="auto"/>
              </w:rPr>
              <w:t>271,018</w:t>
            </w: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EEEEEE"/>
          </w:tcPr>
          <w:p>
            <w:pPr>
              <w:jc w:val="right"/>
              <w:ind w:right="172"/>
              <w:spacing w:after="0" w:line="149" w:lineRule="exact"/>
              <w:rPr>
                <w:sz w:val="20"/>
                <w:szCs w:val="20"/>
                <w:color w:val="auto"/>
              </w:rPr>
            </w:pPr>
            <w:r>
              <w:rPr>
                <w:rFonts w:ascii="Arial" w:cs="Arial" w:eastAsia="Arial" w:hAnsi="Arial"/>
                <w:sz w:val="14"/>
                <w:szCs w:val="14"/>
                <w:color w:val="auto"/>
              </w:rPr>
              <w:t>274,875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20" w:type="dxa"/>
            <w:vAlign w:val="bottom"/>
          </w:tcPr>
          <w:p>
            <w:pPr>
              <w:ind w:left="200"/>
              <w:spacing w:after="0" w:line="138" w:lineRule="exact"/>
              <w:rPr>
                <w:sz w:val="20"/>
                <w:szCs w:val="20"/>
                <w:color w:val="auto"/>
              </w:rPr>
            </w:pPr>
            <w:r>
              <w:rPr>
                <w:rFonts w:ascii="Arial" w:cs="Arial" w:eastAsia="Arial" w:hAnsi="Arial"/>
                <w:sz w:val="14"/>
                <w:szCs w:val="14"/>
                <w:color w:val="auto"/>
              </w:rPr>
              <w:t>Income before cumulative effect of change in</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20" w:type="dxa"/>
            <w:vAlign w:val="bottom"/>
          </w:tcPr>
          <w:p>
            <w:pPr>
              <w:ind w:left="340"/>
              <w:spacing w:after="0" w:line="159" w:lineRule="exact"/>
              <w:rPr>
                <w:sz w:val="20"/>
                <w:szCs w:val="20"/>
                <w:color w:val="auto"/>
              </w:rPr>
            </w:pPr>
            <w:r>
              <w:rPr>
                <w:rFonts w:ascii="Arial" w:cs="Arial" w:eastAsia="Arial" w:hAnsi="Arial"/>
                <w:sz w:val="14"/>
                <w:szCs w:val="14"/>
                <w:color w:val="auto"/>
              </w:rPr>
              <w:t>accounting principle</w:t>
            </w:r>
          </w:p>
        </w:tc>
        <w:tc>
          <w:tcPr>
            <w:tcW w:w="2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92"/>
              <w:spacing w:after="0" w:line="159" w:lineRule="exact"/>
              <w:rPr>
                <w:sz w:val="20"/>
                <w:szCs w:val="20"/>
                <w:color w:val="auto"/>
              </w:rPr>
            </w:pPr>
            <w:r>
              <w:rPr>
                <w:rFonts w:ascii="Arial" w:cs="Arial" w:eastAsia="Arial" w:hAnsi="Arial"/>
                <w:sz w:val="14"/>
                <w:szCs w:val="14"/>
                <w:color w:val="auto"/>
              </w:rPr>
              <w:t>136,470</w:t>
            </w: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252"/>
              <w:spacing w:after="0" w:line="159" w:lineRule="exact"/>
              <w:rPr>
                <w:sz w:val="20"/>
                <w:szCs w:val="20"/>
                <w:color w:val="auto"/>
              </w:rPr>
            </w:pPr>
            <w:r>
              <w:rPr>
                <w:rFonts w:ascii="Arial" w:cs="Arial" w:eastAsia="Arial" w:hAnsi="Arial"/>
                <w:sz w:val="14"/>
                <w:szCs w:val="14"/>
                <w:color w:val="auto"/>
              </w:rPr>
              <w:t>225,785</w:t>
            </w:r>
          </w:p>
        </w:tc>
        <w:tc>
          <w:tcPr>
            <w:tcW w:w="3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232"/>
              <w:spacing w:after="0" w:line="159" w:lineRule="exact"/>
              <w:rPr>
                <w:sz w:val="20"/>
                <w:szCs w:val="20"/>
                <w:color w:val="auto"/>
              </w:rPr>
            </w:pPr>
            <w:r>
              <w:rPr>
                <w:rFonts w:ascii="Arial" w:cs="Arial" w:eastAsia="Arial" w:hAnsi="Arial"/>
                <w:sz w:val="14"/>
                <w:szCs w:val="14"/>
                <w:color w:val="auto"/>
              </w:rPr>
              <w:t>417,259</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252"/>
              <w:spacing w:after="0" w:line="159" w:lineRule="exact"/>
              <w:rPr>
                <w:sz w:val="20"/>
                <w:szCs w:val="20"/>
                <w:color w:val="auto"/>
              </w:rPr>
            </w:pPr>
            <w:r>
              <w:rPr>
                <w:rFonts w:ascii="Arial" w:cs="Arial" w:eastAsia="Arial" w:hAnsi="Arial"/>
                <w:sz w:val="14"/>
                <w:szCs w:val="14"/>
                <w:color w:val="auto"/>
              </w:rPr>
              <w:t>281,574</w:t>
            </w:r>
          </w:p>
        </w:tc>
        <w:tc>
          <w:tcPr>
            <w:tcW w:w="3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232"/>
              <w:spacing w:after="0" w:line="159" w:lineRule="exact"/>
              <w:rPr>
                <w:sz w:val="20"/>
                <w:szCs w:val="20"/>
                <w:color w:val="auto"/>
              </w:rPr>
            </w:pPr>
            <w:r>
              <w:rPr>
                <w:rFonts w:ascii="Arial" w:cs="Arial" w:eastAsia="Arial" w:hAnsi="Arial"/>
                <w:sz w:val="14"/>
                <w:szCs w:val="14"/>
                <w:color w:val="auto"/>
              </w:rPr>
              <w:t>220,817</w:t>
            </w: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232"/>
              <w:spacing w:after="0" w:line="159" w:lineRule="exact"/>
              <w:rPr>
                <w:sz w:val="20"/>
                <w:szCs w:val="20"/>
                <w:color w:val="auto"/>
              </w:rPr>
            </w:pPr>
            <w:r>
              <w:rPr>
                <w:rFonts w:ascii="Arial" w:cs="Arial" w:eastAsia="Arial" w:hAnsi="Arial"/>
                <w:sz w:val="14"/>
                <w:szCs w:val="14"/>
                <w:color w:val="auto"/>
              </w:rPr>
              <w:t>190,096</w:t>
            </w: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72"/>
              <w:spacing w:after="0" w:line="159" w:lineRule="exact"/>
              <w:rPr>
                <w:sz w:val="20"/>
                <w:szCs w:val="20"/>
                <w:color w:val="auto"/>
              </w:rPr>
            </w:pPr>
            <w:r>
              <w:rPr>
                <w:rFonts w:ascii="Arial" w:cs="Arial" w:eastAsia="Arial" w:hAnsi="Arial"/>
                <w:sz w:val="14"/>
                <w:szCs w:val="14"/>
                <w:color w:val="auto"/>
              </w:rPr>
              <w:t>169,672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20" w:type="dxa"/>
            <w:vAlign w:val="bottom"/>
            <w:tcBorders>
              <w:right w:val="single" w:sz="8" w:color="EEEEEE"/>
            </w:tcBorders>
            <w:shd w:val="clear" w:color="auto" w:fill="EEEEEE"/>
          </w:tcPr>
          <w:p>
            <w:pPr>
              <w:ind w:left="200"/>
              <w:spacing w:after="0" w:line="138" w:lineRule="exact"/>
              <w:rPr>
                <w:sz w:val="20"/>
                <w:szCs w:val="20"/>
                <w:color w:val="auto"/>
              </w:rPr>
            </w:pPr>
            <w:r>
              <w:rPr>
                <w:rFonts w:ascii="Arial" w:cs="Arial" w:eastAsia="Arial" w:hAnsi="Arial"/>
                <w:sz w:val="14"/>
                <w:szCs w:val="14"/>
                <w:color w:val="auto"/>
              </w:rPr>
              <w:t>Cumulative effect of change in method of</w:t>
            </w:r>
          </w:p>
        </w:tc>
        <w:tc>
          <w:tcPr>
            <w:tcW w:w="220" w:type="dxa"/>
            <w:vAlign w:val="bottom"/>
            <w:shd w:val="clear" w:color="auto" w:fill="EEEEEE"/>
          </w:tcPr>
          <w:p>
            <w:pPr>
              <w:spacing w:after="0"/>
              <w:rPr>
                <w:sz w:val="11"/>
                <w:szCs w:val="11"/>
                <w:color w:val="auto"/>
              </w:rPr>
            </w:pPr>
          </w:p>
        </w:tc>
        <w:tc>
          <w:tcPr>
            <w:tcW w:w="90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86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8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6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84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84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7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20" w:type="dxa"/>
            <w:vAlign w:val="bottom"/>
            <w:tcBorders>
              <w:right w:val="single" w:sz="8" w:color="EEEEEE"/>
            </w:tcBorders>
            <w:shd w:val="clear" w:color="auto" w:fill="EEEEEE"/>
          </w:tcPr>
          <w:p>
            <w:pPr>
              <w:ind w:left="340"/>
              <w:spacing w:after="0" w:line="159" w:lineRule="exact"/>
              <w:rPr>
                <w:sz w:val="20"/>
                <w:szCs w:val="20"/>
                <w:color w:val="auto"/>
              </w:rPr>
            </w:pPr>
            <w:r>
              <w:rPr>
                <w:rFonts w:ascii="Arial" w:cs="Arial" w:eastAsia="Arial" w:hAnsi="Arial"/>
                <w:sz w:val="14"/>
                <w:szCs w:val="14"/>
                <w:color w:val="auto"/>
                <w:w w:val="99"/>
              </w:rPr>
              <w:t>accounting for goodwill and other intangibles</w:t>
            </w:r>
          </w:p>
        </w:tc>
        <w:tc>
          <w:tcPr>
            <w:tcW w:w="220" w:type="dxa"/>
            <w:vAlign w:val="bottom"/>
            <w:shd w:val="clear" w:color="auto" w:fill="EEEEEE"/>
          </w:tcPr>
          <w:p>
            <w:pPr>
              <w:spacing w:after="0"/>
              <w:rPr>
                <w:sz w:val="13"/>
                <w:szCs w:val="13"/>
                <w:color w:val="auto"/>
              </w:rPr>
            </w:pPr>
          </w:p>
        </w:tc>
        <w:tc>
          <w:tcPr>
            <w:tcW w:w="900" w:type="dxa"/>
            <w:vAlign w:val="bottom"/>
            <w:shd w:val="clear" w:color="auto" w:fill="EEEEEE"/>
          </w:tcPr>
          <w:p>
            <w:pPr>
              <w:jc w:val="right"/>
              <w:ind w:right="292"/>
              <w:spacing w:after="0" w:line="159" w:lineRule="exact"/>
              <w:rPr>
                <w:sz w:val="20"/>
                <w:szCs w:val="20"/>
                <w:color w:val="auto"/>
              </w:rPr>
            </w:pPr>
            <w:r>
              <w:rPr>
                <w:rFonts w:ascii="Arial" w:cs="Arial" w:eastAsia="Arial" w:hAnsi="Arial"/>
                <w:sz w:val="14"/>
                <w:szCs w:val="14"/>
                <w:color w:val="auto"/>
              </w:rPr>
              <w:t>—</w:t>
            </w:r>
          </w:p>
        </w:tc>
        <w:tc>
          <w:tcPr>
            <w:tcW w:w="360" w:type="dxa"/>
            <w:vAlign w:val="bottom"/>
            <w:shd w:val="clear" w:color="auto" w:fill="EEEEEE"/>
          </w:tcPr>
          <w:p>
            <w:pPr>
              <w:spacing w:after="0"/>
              <w:rPr>
                <w:sz w:val="13"/>
                <w:szCs w:val="13"/>
                <w:color w:val="auto"/>
              </w:rPr>
            </w:pPr>
          </w:p>
        </w:tc>
        <w:tc>
          <w:tcPr>
            <w:tcW w:w="860" w:type="dxa"/>
            <w:vAlign w:val="bottom"/>
            <w:shd w:val="clear" w:color="auto" w:fill="EEEEEE"/>
          </w:tcPr>
          <w:p>
            <w:pPr>
              <w:jc w:val="right"/>
              <w:ind w:right="252"/>
              <w:spacing w:after="0" w:line="159" w:lineRule="exact"/>
              <w:rPr>
                <w:sz w:val="20"/>
                <w:szCs w:val="20"/>
                <w:color w:val="auto"/>
              </w:rPr>
            </w:pPr>
            <w:r>
              <w:rPr>
                <w:rFonts w:ascii="Arial" w:cs="Arial" w:eastAsia="Arial" w:hAnsi="Arial"/>
                <w:sz w:val="14"/>
                <w:szCs w:val="14"/>
                <w:color w:val="auto"/>
              </w:rPr>
              <w:t>—</w:t>
            </w:r>
          </w:p>
        </w:tc>
        <w:tc>
          <w:tcPr>
            <w:tcW w:w="340" w:type="dxa"/>
            <w:vAlign w:val="bottom"/>
            <w:shd w:val="clear" w:color="auto" w:fill="EEEEEE"/>
          </w:tcPr>
          <w:p>
            <w:pPr>
              <w:spacing w:after="0"/>
              <w:rPr>
                <w:sz w:val="13"/>
                <w:szCs w:val="13"/>
                <w:color w:val="auto"/>
              </w:rPr>
            </w:pPr>
          </w:p>
        </w:tc>
        <w:tc>
          <w:tcPr>
            <w:tcW w:w="840" w:type="dxa"/>
            <w:vAlign w:val="bottom"/>
            <w:shd w:val="clear" w:color="auto" w:fill="EEEEEE"/>
          </w:tcPr>
          <w:p>
            <w:pPr>
              <w:jc w:val="right"/>
              <w:ind w:right="232"/>
              <w:spacing w:after="0" w:line="159" w:lineRule="exact"/>
              <w:rPr>
                <w:sz w:val="20"/>
                <w:szCs w:val="20"/>
                <w:color w:val="auto"/>
              </w:rPr>
            </w:pPr>
            <w:r>
              <w:rPr>
                <w:rFonts w:ascii="Arial" w:cs="Arial" w:eastAsia="Arial" w:hAnsi="Arial"/>
                <w:sz w:val="14"/>
                <w:szCs w:val="14"/>
                <w:color w:val="auto"/>
              </w:rPr>
              <w:t>—</w:t>
            </w:r>
          </w:p>
        </w:tc>
        <w:tc>
          <w:tcPr>
            <w:tcW w:w="380" w:type="dxa"/>
            <w:vAlign w:val="bottom"/>
            <w:shd w:val="clear" w:color="auto" w:fill="EEEEEE"/>
          </w:tcPr>
          <w:p>
            <w:pPr>
              <w:spacing w:after="0"/>
              <w:rPr>
                <w:sz w:val="13"/>
                <w:szCs w:val="13"/>
                <w:color w:val="auto"/>
              </w:rPr>
            </w:pPr>
          </w:p>
        </w:tc>
        <w:tc>
          <w:tcPr>
            <w:tcW w:w="860" w:type="dxa"/>
            <w:vAlign w:val="bottom"/>
            <w:shd w:val="clear" w:color="auto" w:fill="EEEEEE"/>
          </w:tcPr>
          <w:p>
            <w:pPr>
              <w:jc w:val="right"/>
              <w:ind w:right="252"/>
              <w:spacing w:after="0" w:line="159" w:lineRule="exact"/>
              <w:rPr>
                <w:sz w:val="20"/>
                <w:szCs w:val="20"/>
                <w:color w:val="auto"/>
              </w:rPr>
            </w:pPr>
            <w:r>
              <w:rPr>
                <w:rFonts w:ascii="Arial" w:cs="Arial" w:eastAsia="Arial" w:hAnsi="Arial"/>
                <w:sz w:val="14"/>
                <w:szCs w:val="14"/>
                <w:color w:val="auto"/>
              </w:rPr>
              <w:t>—</w:t>
            </w:r>
          </w:p>
        </w:tc>
        <w:tc>
          <w:tcPr>
            <w:tcW w:w="340" w:type="dxa"/>
            <w:vAlign w:val="bottom"/>
            <w:shd w:val="clear" w:color="auto" w:fill="EEEEEE"/>
          </w:tcPr>
          <w:p>
            <w:pPr>
              <w:spacing w:after="0"/>
              <w:rPr>
                <w:sz w:val="13"/>
                <w:szCs w:val="13"/>
                <w:color w:val="auto"/>
              </w:rPr>
            </w:pPr>
          </w:p>
        </w:tc>
        <w:tc>
          <w:tcPr>
            <w:tcW w:w="840" w:type="dxa"/>
            <w:vAlign w:val="bottom"/>
            <w:shd w:val="clear" w:color="auto" w:fill="EEEEEE"/>
          </w:tcPr>
          <w:p>
            <w:pPr>
              <w:jc w:val="right"/>
              <w:ind w:right="232"/>
              <w:spacing w:after="0" w:line="159" w:lineRule="exact"/>
              <w:rPr>
                <w:sz w:val="20"/>
                <w:szCs w:val="20"/>
                <w:color w:val="auto"/>
              </w:rPr>
            </w:pPr>
            <w:r>
              <w:rPr>
                <w:rFonts w:ascii="Arial" w:cs="Arial" w:eastAsia="Arial" w:hAnsi="Arial"/>
                <w:sz w:val="14"/>
                <w:szCs w:val="14"/>
                <w:color w:val="auto"/>
              </w:rPr>
              <w:t>—</w:t>
            </w:r>
          </w:p>
        </w:tc>
        <w:tc>
          <w:tcPr>
            <w:tcW w:w="360" w:type="dxa"/>
            <w:vAlign w:val="bottom"/>
            <w:shd w:val="clear" w:color="auto" w:fill="EEEEEE"/>
          </w:tcPr>
          <w:p>
            <w:pPr>
              <w:spacing w:after="0"/>
              <w:rPr>
                <w:sz w:val="13"/>
                <w:szCs w:val="13"/>
                <w:color w:val="auto"/>
              </w:rPr>
            </w:pPr>
          </w:p>
        </w:tc>
        <w:tc>
          <w:tcPr>
            <w:tcW w:w="840" w:type="dxa"/>
            <w:vAlign w:val="bottom"/>
            <w:shd w:val="clear" w:color="auto" w:fill="EEEEEE"/>
          </w:tcPr>
          <w:p>
            <w:pPr>
              <w:jc w:val="right"/>
              <w:ind w:right="232"/>
              <w:spacing w:after="0" w:line="159" w:lineRule="exact"/>
              <w:rPr>
                <w:sz w:val="20"/>
                <w:szCs w:val="20"/>
                <w:color w:val="auto"/>
              </w:rPr>
            </w:pPr>
            <w:r>
              <w:rPr>
                <w:rFonts w:ascii="Arial" w:cs="Arial" w:eastAsia="Arial" w:hAnsi="Arial"/>
                <w:sz w:val="14"/>
                <w:szCs w:val="14"/>
                <w:color w:val="auto"/>
              </w:rPr>
              <w:t>—</w:t>
            </w:r>
          </w:p>
        </w:tc>
        <w:tc>
          <w:tcPr>
            <w:tcW w:w="360" w:type="dxa"/>
            <w:vAlign w:val="bottom"/>
            <w:shd w:val="clear" w:color="auto" w:fill="EEEEEE"/>
          </w:tcPr>
          <w:p>
            <w:pPr>
              <w:spacing w:after="0"/>
              <w:rPr>
                <w:sz w:val="13"/>
                <w:szCs w:val="13"/>
                <w:color w:val="auto"/>
              </w:rPr>
            </w:pPr>
          </w:p>
        </w:tc>
        <w:tc>
          <w:tcPr>
            <w:tcW w:w="780" w:type="dxa"/>
            <w:vAlign w:val="bottom"/>
            <w:shd w:val="clear" w:color="auto" w:fill="EEEEEE"/>
          </w:tcPr>
          <w:p>
            <w:pPr>
              <w:jc w:val="right"/>
              <w:ind w:right="172"/>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120" w:type="dxa"/>
            <w:vAlign w:val="bottom"/>
          </w:tcPr>
          <w:p>
            <w:pPr>
              <w:ind w:left="200"/>
              <w:spacing w:after="0"/>
              <w:rPr>
                <w:sz w:val="20"/>
                <w:szCs w:val="20"/>
                <w:color w:val="auto"/>
              </w:rPr>
            </w:pPr>
            <w:r>
              <w:rPr>
                <w:rFonts w:ascii="Arial" w:cs="Arial" w:eastAsia="Arial" w:hAnsi="Arial"/>
                <w:sz w:val="14"/>
                <w:szCs w:val="14"/>
                <w:color w:val="auto"/>
              </w:rPr>
              <w:t>Net income</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92"/>
              <w:spacing w:after="0"/>
              <w:rPr>
                <w:sz w:val="20"/>
                <w:szCs w:val="20"/>
                <w:color w:val="auto"/>
              </w:rPr>
            </w:pPr>
            <w:r>
              <w:rPr>
                <w:rFonts w:ascii="Arial" w:cs="Arial" w:eastAsia="Arial" w:hAnsi="Arial"/>
                <w:sz w:val="14"/>
                <w:szCs w:val="14"/>
                <w:color w:val="auto"/>
              </w:rPr>
              <w:t>136,470</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52"/>
              <w:spacing w:after="0"/>
              <w:rPr>
                <w:sz w:val="20"/>
                <w:szCs w:val="20"/>
                <w:color w:val="auto"/>
              </w:rPr>
            </w:pPr>
            <w:r>
              <w:rPr>
                <w:rFonts w:ascii="Arial" w:cs="Arial" w:eastAsia="Arial" w:hAnsi="Arial"/>
                <w:sz w:val="14"/>
                <w:szCs w:val="14"/>
                <w:color w:val="auto"/>
              </w:rPr>
              <w:t>225,785</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32"/>
              <w:spacing w:after="0"/>
              <w:rPr>
                <w:sz w:val="20"/>
                <w:szCs w:val="20"/>
                <w:color w:val="auto"/>
              </w:rPr>
            </w:pPr>
            <w:r>
              <w:rPr>
                <w:rFonts w:ascii="Arial" w:cs="Arial" w:eastAsia="Arial" w:hAnsi="Arial"/>
                <w:sz w:val="14"/>
                <w:szCs w:val="14"/>
                <w:color w:val="auto"/>
              </w:rPr>
              <w:t>417,259</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52"/>
              <w:spacing w:after="0"/>
              <w:rPr>
                <w:sz w:val="20"/>
                <w:szCs w:val="20"/>
                <w:color w:val="auto"/>
              </w:rPr>
            </w:pPr>
            <w:r>
              <w:rPr>
                <w:rFonts w:ascii="Arial" w:cs="Arial" w:eastAsia="Arial" w:hAnsi="Arial"/>
                <w:sz w:val="14"/>
                <w:szCs w:val="14"/>
                <w:color w:val="auto"/>
              </w:rPr>
              <w:t>281,574</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32"/>
              <w:spacing w:after="0"/>
              <w:rPr>
                <w:sz w:val="20"/>
                <w:szCs w:val="20"/>
                <w:color w:val="auto"/>
              </w:rPr>
            </w:pPr>
            <w:r>
              <w:rPr>
                <w:rFonts w:ascii="Arial" w:cs="Arial" w:eastAsia="Arial" w:hAnsi="Arial"/>
                <w:sz w:val="14"/>
                <w:szCs w:val="14"/>
                <w:color w:val="auto"/>
              </w:rPr>
              <w:t>220,817</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32"/>
              <w:spacing w:after="0"/>
              <w:rPr>
                <w:sz w:val="20"/>
                <w:szCs w:val="20"/>
                <w:color w:val="auto"/>
              </w:rPr>
            </w:pPr>
            <w:r>
              <w:rPr>
                <w:rFonts w:ascii="Arial" w:cs="Arial" w:eastAsia="Arial" w:hAnsi="Arial"/>
                <w:sz w:val="14"/>
                <w:szCs w:val="14"/>
                <w:color w:val="auto"/>
              </w:rPr>
              <w:t>190,096</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72"/>
              <w:spacing w:after="0"/>
              <w:rPr>
                <w:sz w:val="20"/>
                <w:szCs w:val="20"/>
                <w:color w:val="auto"/>
              </w:rPr>
            </w:pPr>
            <w:r>
              <w:rPr>
                <w:rFonts w:ascii="Arial" w:cs="Arial" w:eastAsia="Arial" w:hAnsi="Arial"/>
                <w:sz w:val="14"/>
                <w:szCs w:val="14"/>
                <w:color w:val="auto"/>
              </w:rPr>
              <w:t>169,672</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20" w:type="dxa"/>
            <w:vAlign w:val="bottom"/>
            <w:tcBorders>
              <w:right w:val="single" w:sz="8" w:color="EEEEEE"/>
            </w:tcBorders>
            <w:shd w:val="clear" w:color="auto" w:fill="EEEEEE"/>
          </w:tcPr>
          <w:p>
            <w:pPr>
              <w:spacing w:after="0" w:line="149" w:lineRule="exact"/>
              <w:rPr>
                <w:sz w:val="20"/>
                <w:szCs w:val="20"/>
                <w:color w:val="auto"/>
              </w:rPr>
            </w:pPr>
            <w:r>
              <w:rPr>
                <w:rFonts w:ascii="Arial" w:cs="Arial" w:eastAsia="Arial" w:hAnsi="Arial"/>
                <w:sz w:val="14"/>
                <w:szCs w:val="14"/>
                <w:b w:val="1"/>
                <w:bCs w:val="1"/>
                <w:color w:val="auto"/>
              </w:rPr>
              <w:t>Per Share Amounts</w:t>
            </w:r>
          </w:p>
        </w:tc>
        <w:tc>
          <w:tcPr>
            <w:tcW w:w="220" w:type="dxa"/>
            <w:vAlign w:val="bottom"/>
            <w:shd w:val="clear" w:color="auto" w:fill="EEEEEE"/>
          </w:tcPr>
          <w:p>
            <w:pPr>
              <w:spacing w:after="0"/>
              <w:rPr>
                <w:sz w:val="12"/>
                <w:szCs w:val="12"/>
                <w:color w:val="auto"/>
              </w:rPr>
            </w:pPr>
          </w:p>
        </w:tc>
        <w:tc>
          <w:tcPr>
            <w:tcW w:w="90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86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6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ind w:left="200"/>
              <w:spacing w:after="0" w:line="149" w:lineRule="exact"/>
              <w:rPr>
                <w:sz w:val="20"/>
                <w:szCs w:val="20"/>
                <w:color w:val="auto"/>
              </w:rPr>
            </w:pPr>
            <w:r>
              <w:rPr>
                <w:rFonts w:ascii="Arial" w:cs="Arial" w:eastAsia="Arial" w:hAnsi="Arial"/>
                <w:sz w:val="14"/>
                <w:szCs w:val="14"/>
                <w:color w:val="auto"/>
              </w:rPr>
              <w:t>Basic earnings per common share</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20" w:type="dxa"/>
            <w:vAlign w:val="bottom"/>
            <w:tcBorders>
              <w:right w:val="single" w:sz="8" w:color="EEEEEE"/>
            </w:tcBorders>
            <w:shd w:val="clear" w:color="auto" w:fill="EEEEEE"/>
          </w:tcPr>
          <w:p>
            <w:pPr>
              <w:ind w:left="460"/>
              <w:spacing w:after="0" w:line="138" w:lineRule="exact"/>
              <w:rPr>
                <w:sz w:val="20"/>
                <w:szCs w:val="20"/>
                <w:color w:val="auto"/>
              </w:rPr>
            </w:pPr>
            <w:r>
              <w:rPr>
                <w:rFonts w:ascii="Arial" w:cs="Arial" w:eastAsia="Arial" w:hAnsi="Arial"/>
                <w:sz w:val="14"/>
                <w:szCs w:val="14"/>
                <w:color w:val="auto"/>
              </w:rPr>
              <w:t>Before cumulative effect of change in</w:t>
            </w:r>
          </w:p>
        </w:tc>
        <w:tc>
          <w:tcPr>
            <w:tcW w:w="220" w:type="dxa"/>
            <w:vAlign w:val="bottom"/>
            <w:shd w:val="clear" w:color="auto" w:fill="EEEEEE"/>
          </w:tcPr>
          <w:p>
            <w:pPr>
              <w:spacing w:after="0"/>
              <w:rPr>
                <w:sz w:val="11"/>
                <w:szCs w:val="11"/>
                <w:color w:val="auto"/>
              </w:rPr>
            </w:pPr>
          </w:p>
        </w:tc>
        <w:tc>
          <w:tcPr>
            <w:tcW w:w="90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86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8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6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84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84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7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20" w:type="dxa"/>
            <w:vAlign w:val="bottom"/>
            <w:tcBorders>
              <w:right w:val="single" w:sz="8" w:color="EEEEEE"/>
            </w:tcBorders>
            <w:shd w:val="clear" w:color="auto" w:fill="EEEEEE"/>
          </w:tcPr>
          <w:p>
            <w:pPr>
              <w:ind w:left="600"/>
              <w:spacing w:after="0" w:line="159" w:lineRule="exact"/>
              <w:rPr>
                <w:sz w:val="20"/>
                <w:szCs w:val="20"/>
                <w:color w:val="auto"/>
              </w:rPr>
            </w:pPr>
            <w:r>
              <w:rPr>
                <w:rFonts w:ascii="Arial" w:cs="Arial" w:eastAsia="Arial" w:hAnsi="Arial"/>
                <w:sz w:val="14"/>
                <w:szCs w:val="14"/>
                <w:color w:val="auto"/>
              </w:rPr>
              <w:t>accounting principle</w:t>
            </w:r>
          </w:p>
        </w:tc>
        <w:tc>
          <w:tcPr>
            <w:tcW w:w="220" w:type="dxa"/>
            <w:vAlign w:val="bottom"/>
            <w:shd w:val="clear" w:color="auto" w:fill="EEEEEE"/>
          </w:tcPr>
          <w:p>
            <w:pPr>
              <w:jc w:val="right"/>
              <w:spacing w:after="0" w:line="159" w:lineRule="exact"/>
              <w:rPr>
                <w:sz w:val="20"/>
                <w:szCs w:val="20"/>
                <w:color w:val="auto"/>
              </w:rPr>
            </w:pPr>
            <w:r>
              <w:rPr>
                <w:rFonts w:ascii="Arial" w:cs="Arial" w:eastAsia="Arial" w:hAnsi="Arial"/>
                <w:sz w:val="14"/>
                <w:szCs w:val="14"/>
                <w:color w:val="auto"/>
              </w:rPr>
              <w:t>$</w:t>
            </w:r>
          </w:p>
        </w:tc>
        <w:tc>
          <w:tcPr>
            <w:tcW w:w="900" w:type="dxa"/>
            <w:vAlign w:val="bottom"/>
            <w:shd w:val="clear" w:color="auto" w:fill="EEEEEE"/>
          </w:tcPr>
          <w:p>
            <w:pPr>
              <w:jc w:val="right"/>
              <w:ind w:right="292"/>
              <w:spacing w:after="0" w:line="159" w:lineRule="exact"/>
              <w:rPr>
                <w:sz w:val="20"/>
                <w:szCs w:val="20"/>
                <w:color w:val="auto"/>
              </w:rPr>
            </w:pPr>
            <w:r>
              <w:rPr>
                <w:rFonts w:ascii="Arial" w:cs="Arial" w:eastAsia="Arial" w:hAnsi="Arial"/>
                <w:sz w:val="14"/>
                <w:szCs w:val="14"/>
                <w:color w:val="auto"/>
              </w:rPr>
              <w:t>14.34</w:t>
            </w:r>
          </w:p>
        </w:tc>
        <w:tc>
          <w:tcPr>
            <w:tcW w:w="360" w:type="dxa"/>
            <w:vAlign w:val="bottom"/>
            <w:shd w:val="clear" w:color="auto" w:fill="EEEEEE"/>
          </w:tcPr>
          <w:p>
            <w:pPr>
              <w:jc w:val="right"/>
              <w:spacing w:after="0" w:line="159" w:lineRule="exact"/>
              <w:rPr>
                <w:sz w:val="20"/>
                <w:szCs w:val="20"/>
                <w:color w:val="auto"/>
              </w:rPr>
            </w:pPr>
            <w:r>
              <w:rPr>
                <w:rFonts w:ascii="Arial" w:cs="Arial" w:eastAsia="Arial" w:hAnsi="Arial"/>
                <w:sz w:val="14"/>
                <w:szCs w:val="14"/>
                <w:color w:val="auto"/>
              </w:rPr>
              <w:t>$</w:t>
            </w:r>
          </w:p>
        </w:tc>
        <w:tc>
          <w:tcPr>
            <w:tcW w:w="860" w:type="dxa"/>
            <w:vAlign w:val="bottom"/>
            <w:shd w:val="clear" w:color="auto" w:fill="EEEEEE"/>
          </w:tcPr>
          <w:p>
            <w:pPr>
              <w:jc w:val="right"/>
              <w:ind w:right="252"/>
              <w:spacing w:after="0" w:line="159" w:lineRule="exact"/>
              <w:rPr>
                <w:sz w:val="20"/>
                <w:szCs w:val="20"/>
                <w:color w:val="auto"/>
              </w:rPr>
            </w:pPr>
            <w:r>
              <w:rPr>
                <w:rFonts w:ascii="Arial" w:cs="Arial" w:eastAsia="Arial" w:hAnsi="Arial"/>
                <w:sz w:val="14"/>
                <w:szCs w:val="14"/>
                <w:color w:val="auto"/>
              </w:rPr>
              <w:t>22.35</w:t>
            </w:r>
          </w:p>
        </w:tc>
        <w:tc>
          <w:tcPr>
            <w:tcW w:w="340" w:type="dxa"/>
            <w:vAlign w:val="bottom"/>
            <w:shd w:val="clear" w:color="auto" w:fill="EEEEEE"/>
          </w:tcPr>
          <w:p>
            <w:pPr>
              <w:jc w:val="right"/>
              <w:spacing w:after="0" w:line="159" w:lineRule="exact"/>
              <w:rPr>
                <w:sz w:val="20"/>
                <w:szCs w:val="20"/>
                <w:color w:val="auto"/>
              </w:rPr>
            </w:pPr>
            <w:r>
              <w:rPr>
                <w:rFonts w:ascii="Arial" w:cs="Arial" w:eastAsia="Arial" w:hAnsi="Arial"/>
                <w:sz w:val="14"/>
                <w:szCs w:val="14"/>
                <w:color w:val="auto"/>
              </w:rPr>
              <w:t>$</w:t>
            </w:r>
          </w:p>
        </w:tc>
        <w:tc>
          <w:tcPr>
            <w:tcW w:w="840" w:type="dxa"/>
            <w:vAlign w:val="bottom"/>
            <w:shd w:val="clear" w:color="auto" w:fill="EEEEEE"/>
          </w:tcPr>
          <w:p>
            <w:pPr>
              <w:jc w:val="right"/>
              <w:ind w:right="232"/>
              <w:spacing w:after="0" w:line="159" w:lineRule="exact"/>
              <w:rPr>
                <w:sz w:val="20"/>
                <w:szCs w:val="20"/>
                <w:color w:val="auto"/>
              </w:rPr>
            </w:pPr>
            <w:r>
              <w:rPr>
                <w:rFonts w:ascii="Arial" w:cs="Arial" w:eastAsia="Arial" w:hAnsi="Arial"/>
                <w:sz w:val="14"/>
                <w:szCs w:val="14"/>
                <w:color w:val="auto"/>
              </w:rPr>
              <w:t>41.27</w:t>
            </w:r>
          </w:p>
        </w:tc>
        <w:tc>
          <w:tcPr>
            <w:tcW w:w="380" w:type="dxa"/>
            <w:vAlign w:val="bottom"/>
            <w:shd w:val="clear" w:color="auto" w:fill="EEEEEE"/>
          </w:tcPr>
          <w:p>
            <w:pPr>
              <w:jc w:val="right"/>
              <w:spacing w:after="0" w:line="159" w:lineRule="exact"/>
              <w:rPr>
                <w:sz w:val="20"/>
                <w:szCs w:val="20"/>
                <w:color w:val="auto"/>
              </w:rPr>
            </w:pPr>
            <w:r>
              <w:rPr>
                <w:rFonts w:ascii="Arial" w:cs="Arial" w:eastAsia="Arial" w:hAnsi="Arial"/>
                <w:sz w:val="14"/>
                <w:szCs w:val="14"/>
                <w:color w:val="auto"/>
              </w:rPr>
              <w:t>$</w:t>
            </w:r>
          </w:p>
        </w:tc>
        <w:tc>
          <w:tcPr>
            <w:tcW w:w="860" w:type="dxa"/>
            <w:vAlign w:val="bottom"/>
            <w:shd w:val="clear" w:color="auto" w:fill="EEEEEE"/>
          </w:tcPr>
          <w:p>
            <w:pPr>
              <w:jc w:val="right"/>
              <w:ind w:right="252"/>
              <w:spacing w:after="0" w:line="159" w:lineRule="exact"/>
              <w:rPr>
                <w:sz w:val="20"/>
                <w:szCs w:val="20"/>
                <w:color w:val="auto"/>
              </w:rPr>
            </w:pPr>
            <w:r>
              <w:rPr>
                <w:rFonts w:ascii="Arial" w:cs="Arial" w:eastAsia="Arial" w:hAnsi="Arial"/>
                <w:sz w:val="14"/>
                <w:szCs w:val="14"/>
                <w:color w:val="auto"/>
              </w:rPr>
              <w:t>26.23</w:t>
            </w:r>
          </w:p>
        </w:tc>
        <w:tc>
          <w:tcPr>
            <w:tcW w:w="340" w:type="dxa"/>
            <w:vAlign w:val="bottom"/>
            <w:shd w:val="clear" w:color="auto" w:fill="EEEEEE"/>
          </w:tcPr>
          <w:p>
            <w:pPr>
              <w:jc w:val="right"/>
              <w:spacing w:after="0" w:line="159" w:lineRule="exact"/>
              <w:rPr>
                <w:sz w:val="20"/>
                <w:szCs w:val="20"/>
                <w:color w:val="auto"/>
              </w:rPr>
            </w:pPr>
            <w:r>
              <w:rPr>
                <w:rFonts w:ascii="Arial" w:cs="Arial" w:eastAsia="Arial" w:hAnsi="Arial"/>
                <w:sz w:val="14"/>
                <w:szCs w:val="14"/>
                <w:color w:val="auto"/>
              </w:rPr>
              <w:t>$</w:t>
            </w:r>
          </w:p>
        </w:tc>
        <w:tc>
          <w:tcPr>
            <w:tcW w:w="840" w:type="dxa"/>
            <w:vAlign w:val="bottom"/>
            <w:shd w:val="clear" w:color="auto" w:fill="EEEEEE"/>
          </w:tcPr>
          <w:p>
            <w:pPr>
              <w:jc w:val="right"/>
              <w:ind w:right="232"/>
              <w:spacing w:after="0" w:line="159" w:lineRule="exact"/>
              <w:rPr>
                <w:sz w:val="20"/>
                <w:szCs w:val="20"/>
                <w:color w:val="auto"/>
              </w:rPr>
            </w:pPr>
            <w:r>
              <w:rPr>
                <w:rFonts w:ascii="Arial" w:cs="Arial" w:eastAsia="Arial" w:hAnsi="Arial"/>
                <w:sz w:val="14"/>
                <w:szCs w:val="14"/>
                <w:color w:val="auto"/>
              </w:rPr>
              <w:t>20.08</w:t>
            </w:r>
          </w:p>
        </w:tc>
        <w:tc>
          <w:tcPr>
            <w:tcW w:w="360" w:type="dxa"/>
            <w:vAlign w:val="bottom"/>
            <w:shd w:val="clear" w:color="auto" w:fill="EEEEEE"/>
          </w:tcPr>
          <w:p>
            <w:pPr>
              <w:jc w:val="right"/>
              <w:spacing w:after="0" w:line="159" w:lineRule="exact"/>
              <w:rPr>
                <w:sz w:val="20"/>
                <w:szCs w:val="20"/>
                <w:color w:val="auto"/>
              </w:rPr>
            </w:pPr>
            <w:r>
              <w:rPr>
                <w:rFonts w:ascii="Arial" w:cs="Arial" w:eastAsia="Arial" w:hAnsi="Arial"/>
                <w:sz w:val="14"/>
                <w:szCs w:val="14"/>
                <w:color w:val="auto"/>
              </w:rPr>
              <w:t>$</w:t>
            </w:r>
          </w:p>
        </w:tc>
        <w:tc>
          <w:tcPr>
            <w:tcW w:w="840" w:type="dxa"/>
            <w:vAlign w:val="bottom"/>
            <w:shd w:val="clear" w:color="auto" w:fill="EEEEEE"/>
          </w:tcPr>
          <w:p>
            <w:pPr>
              <w:jc w:val="right"/>
              <w:ind w:right="232"/>
              <w:spacing w:after="0" w:line="159" w:lineRule="exact"/>
              <w:rPr>
                <w:sz w:val="20"/>
                <w:szCs w:val="20"/>
                <w:color w:val="auto"/>
              </w:rPr>
            </w:pPr>
            <w:r>
              <w:rPr>
                <w:rFonts w:ascii="Arial" w:cs="Arial" w:eastAsia="Arial" w:hAnsi="Arial"/>
                <w:sz w:val="14"/>
                <w:szCs w:val="14"/>
                <w:color w:val="auto"/>
              </w:rPr>
              <w:t>17.16</w:t>
            </w:r>
          </w:p>
        </w:tc>
        <w:tc>
          <w:tcPr>
            <w:tcW w:w="360" w:type="dxa"/>
            <w:vAlign w:val="bottom"/>
            <w:shd w:val="clear" w:color="auto" w:fill="EEEEEE"/>
          </w:tcPr>
          <w:p>
            <w:pPr>
              <w:jc w:val="right"/>
              <w:spacing w:after="0" w:line="159" w:lineRule="exact"/>
              <w:rPr>
                <w:sz w:val="20"/>
                <w:szCs w:val="20"/>
                <w:color w:val="auto"/>
              </w:rPr>
            </w:pPr>
            <w:r>
              <w:rPr>
                <w:rFonts w:ascii="Arial" w:cs="Arial" w:eastAsia="Arial" w:hAnsi="Arial"/>
                <w:sz w:val="14"/>
                <w:szCs w:val="14"/>
                <w:color w:val="auto"/>
              </w:rPr>
              <w:t>$</w:t>
            </w:r>
          </w:p>
        </w:tc>
        <w:tc>
          <w:tcPr>
            <w:tcW w:w="780" w:type="dxa"/>
            <w:vAlign w:val="bottom"/>
            <w:shd w:val="clear" w:color="auto" w:fill="EEEEEE"/>
          </w:tcPr>
          <w:p>
            <w:pPr>
              <w:jc w:val="right"/>
              <w:ind w:right="172"/>
              <w:spacing w:after="0" w:line="159" w:lineRule="exact"/>
              <w:rPr>
                <w:sz w:val="20"/>
                <w:szCs w:val="20"/>
                <w:color w:val="auto"/>
              </w:rPr>
            </w:pPr>
            <w:r>
              <w:rPr>
                <w:rFonts w:ascii="Arial" w:cs="Arial" w:eastAsia="Arial" w:hAnsi="Arial"/>
                <w:sz w:val="14"/>
                <w:szCs w:val="14"/>
                <w:color w:val="auto"/>
              </w:rPr>
              <w:t>14.66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20" w:type="dxa"/>
            <w:vAlign w:val="bottom"/>
          </w:tcPr>
          <w:p>
            <w:pPr>
              <w:ind w:left="460"/>
              <w:spacing w:after="0" w:line="138" w:lineRule="exact"/>
              <w:rPr>
                <w:sz w:val="20"/>
                <w:szCs w:val="20"/>
                <w:color w:val="auto"/>
              </w:rPr>
            </w:pPr>
            <w:r>
              <w:rPr>
                <w:rFonts w:ascii="Arial" w:cs="Arial" w:eastAsia="Arial" w:hAnsi="Arial"/>
                <w:sz w:val="14"/>
                <w:szCs w:val="14"/>
                <w:color w:val="auto"/>
              </w:rPr>
              <w:t>Cumulative effect of change in accounting</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20" w:type="dxa"/>
            <w:vAlign w:val="bottom"/>
          </w:tcPr>
          <w:p>
            <w:pPr>
              <w:ind w:left="600"/>
              <w:spacing w:after="0"/>
              <w:rPr>
                <w:sz w:val="20"/>
                <w:szCs w:val="20"/>
                <w:color w:val="auto"/>
              </w:rPr>
            </w:pPr>
            <w:r>
              <w:rPr>
                <w:rFonts w:ascii="Arial" w:cs="Arial" w:eastAsia="Arial" w:hAnsi="Arial"/>
                <w:sz w:val="14"/>
                <w:szCs w:val="14"/>
                <w:color w:val="auto"/>
              </w:rPr>
              <w:t>principle</w:t>
            </w:r>
          </w:p>
        </w:tc>
        <w:tc>
          <w:tcPr>
            <w:tcW w:w="220" w:type="dxa"/>
            <w:vAlign w:val="bottom"/>
          </w:tcPr>
          <w:p>
            <w:pPr>
              <w:spacing w:after="0"/>
              <w:rPr>
                <w:sz w:val="14"/>
                <w:szCs w:val="14"/>
                <w:color w:val="auto"/>
              </w:rPr>
            </w:pPr>
          </w:p>
        </w:tc>
        <w:tc>
          <w:tcPr>
            <w:tcW w:w="90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86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84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86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84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84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78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Borders>
              <w:right w:val="single" w:sz="8" w:color="EEEEEE"/>
            </w:tcBorders>
            <w:shd w:val="clear" w:color="auto" w:fill="EEEEEE"/>
          </w:tcPr>
          <w:p>
            <w:pPr>
              <w:ind w:left="460"/>
              <w:spacing w:after="0" w:line="149" w:lineRule="exact"/>
              <w:rPr>
                <w:sz w:val="20"/>
                <w:szCs w:val="20"/>
                <w:color w:val="auto"/>
              </w:rPr>
            </w:pPr>
            <w:r>
              <w:rPr>
                <w:rFonts w:ascii="Arial" w:cs="Arial" w:eastAsia="Arial" w:hAnsi="Arial"/>
                <w:sz w:val="14"/>
                <w:szCs w:val="14"/>
                <w:color w:val="auto"/>
              </w:rPr>
              <w:t>Net income available for common shares</w:t>
            </w:r>
          </w:p>
        </w:tc>
        <w:tc>
          <w:tcPr>
            <w:tcW w:w="2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EEEEE"/>
          </w:tcPr>
          <w:p>
            <w:pPr>
              <w:jc w:val="right"/>
              <w:ind w:right="292"/>
              <w:spacing w:after="0" w:line="149" w:lineRule="exact"/>
              <w:rPr>
                <w:sz w:val="20"/>
                <w:szCs w:val="20"/>
                <w:color w:val="auto"/>
              </w:rPr>
            </w:pPr>
            <w:r>
              <w:rPr>
                <w:rFonts w:ascii="Arial" w:cs="Arial" w:eastAsia="Arial" w:hAnsi="Arial"/>
                <w:sz w:val="14"/>
                <w:szCs w:val="14"/>
                <w:color w:val="auto"/>
              </w:rPr>
              <w:t>14.34</w:t>
            </w: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EEEEEE"/>
          </w:tcPr>
          <w:p>
            <w:pPr>
              <w:jc w:val="right"/>
              <w:ind w:right="252"/>
              <w:spacing w:after="0" w:line="149" w:lineRule="exact"/>
              <w:rPr>
                <w:sz w:val="20"/>
                <w:szCs w:val="20"/>
                <w:color w:val="auto"/>
              </w:rPr>
            </w:pPr>
            <w:r>
              <w:rPr>
                <w:rFonts w:ascii="Arial" w:cs="Arial" w:eastAsia="Arial" w:hAnsi="Arial"/>
                <w:sz w:val="14"/>
                <w:szCs w:val="14"/>
                <w:color w:val="auto"/>
              </w:rPr>
              <w:t>22.35</w:t>
            </w:r>
          </w:p>
        </w:tc>
        <w:tc>
          <w:tcPr>
            <w:tcW w:w="3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EEEEEE"/>
          </w:tcPr>
          <w:p>
            <w:pPr>
              <w:jc w:val="right"/>
              <w:ind w:right="232"/>
              <w:spacing w:after="0" w:line="149" w:lineRule="exact"/>
              <w:rPr>
                <w:sz w:val="20"/>
                <w:szCs w:val="20"/>
                <w:color w:val="auto"/>
              </w:rPr>
            </w:pPr>
            <w:r>
              <w:rPr>
                <w:rFonts w:ascii="Arial" w:cs="Arial" w:eastAsia="Arial" w:hAnsi="Arial"/>
                <w:sz w:val="14"/>
                <w:szCs w:val="14"/>
                <w:color w:val="auto"/>
              </w:rPr>
              <w:t>41.27</w:t>
            </w: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EEEEEE"/>
          </w:tcPr>
          <w:p>
            <w:pPr>
              <w:jc w:val="right"/>
              <w:ind w:right="252"/>
              <w:spacing w:after="0" w:line="149" w:lineRule="exact"/>
              <w:rPr>
                <w:sz w:val="20"/>
                <w:szCs w:val="20"/>
                <w:color w:val="auto"/>
              </w:rPr>
            </w:pPr>
            <w:r>
              <w:rPr>
                <w:rFonts w:ascii="Arial" w:cs="Arial" w:eastAsia="Arial" w:hAnsi="Arial"/>
                <w:sz w:val="14"/>
                <w:szCs w:val="14"/>
                <w:color w:val="auto"/>
              </w:rPr>
              <w:t>26.23</w:t>
            </w:r>
          </w:p>
        </w:tc>
        <w:tc>
          <w:tcPr>
            <w:tcW w:w="3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EEEEEE"/>
          </w:tcPr>
          <w:p>
            <w:pPr>
              <w:jc w:val="right"/>
              <w:ind w:right="232"/>
              <w:spacing w:after="0" w:line="149" w:lineRule="exact"/>
              <w:rPr>
                <w:sz w:val="20"/>
                <w:szCs w:val="20"/>
                <w:color w:val="auto"/>
              </w:rPr>
            </w:pPr>
            <w:r>
              <w:rPr>
                <w:rFonts w:ascii="Arial" w:cs="Arial" w:eastAsia="Arial" w:hAnsi="Arial"/>
                <w:sz w:val="14"/>
                <w:szCs w:val="14"/>
                <w:color w:val="auto"/>
              </w:rPr>
              <w:t>20.08</w:t>
            </w: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EEEEEE"/>
          </w:tcPr>
          <w:p>
            <w:pPr>
              <w:jc w:val="right"/>
              <w:ind w:right="232"/>
              <w:spacing w:after="0" w:line="149" w:lineRule="exact"/>
              <w:rPr>
                <w:sz w:val="20"/>
                <w:szCs w:val="20"/>
                <w:color w:val="auto"/>
              </w:rPr>
            </w:pPr>
            <w:r>
              <w:rPr>
                <w:rFonts w:ascii="Arial" w:cs="Arial" w:eastAsia="Arial" w:hAnsi="Arial"/>
                <w:sz w:val="14"/>
                <w:szCs w:val="14"/>
                <w:color w:val="auto"/>
              </w:rPr>
              <w:t>17.16</w:t>
            </w: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EEEEEE"/>
          </w:tcPr>
          <w:p>
            <w:pPr>
              <w:jc w:val="right"/>
              <w:ind w:right="172"/>
              <w:spacing w:after="0" w:line="149" w:lineRule="exact"/>
              <w:rPr>
                <w:sz w:val="20"/>
                <w:szCs w:val="20"/>
                <w:color w:val="auto"/>
              </w:rPr>
            </w:pPr>
            <w:r>
              <w:rPr>
                <w:rFonts w:ascii="Arial" w:cs="Arial" w:eastAsia="Arial" w:hAnsi="Arial"/>
                <w:sz w:val="14"/>
                <w:szCs w:val="14"/>
                <w:color w:val="auto"/>
              </w:rPr>
              <w:t>14.66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3120" w:type="dxa"/>
            <w:vAlign w:val="bottom"/>
          </w:tcPr>
          <w:p>
            <w:pPr>
              <w:ind w:left="460"/>
              <w:spacing w:after="0"/>
              <w:rPr>
                <w:sz w:val="20"/>
                <w:szCs w:val="20"/>
                <w:color w:val="auto"/>
              </w:rPr>
            </w:pPr>
            <w:r>
              <w:rPr>
                <w:rFonts w:ascii="Arial" w:cs="Arial" w:eastAsia="Arial" w:hAnsi="Arial"/>
                <w:sz w:val="14"/>
                <w:szCs w:val="14"/>
                <w:color w:val="auto"/>
              </w:rPr>
              <w:t>Basic average shares outstanding</w:t>
            </w:r>
          </w:p>
        </w:tc>
        <w:tc>
          <w:tcPr>
            <w:tcW w:w="220" w:type="dxa"/>
            <w:vAlign w:val="bottom"/>
          </w:tcPr>
          <w:p>
            <w:pPr>
              <w:spacing w:after="0"/>
              <w:rPr>
                <w:sz w:val="22"/>
                <w:szCs w:val="22"/>
                <w:color w:val="auto"/>
              </w:rPr>
            </w:pPr>
          </w:p>
        </w:tc>
        <w:tc>
          <w:tcPr>
            <w:tcW w:w="900" w:type="dxa"/>
            <w:vAlign w:val="bottom"/>
          </w:tcPr>
          <w:p>
            <w:pPr>
              <w:jc w:val="right"/>
              <w:ind w:right="292"/>
              <w:spacing w:after="0"/>
              <w:rPr>
                <w:sz w:val="20"/>
                <w:szCs w:val="20"/>
                <w:color w:val="auto"/>
              </w:rPr>
            </w:pPr>
            <w:r>
              <w:rPr>
                <w:rFonts w:ascii="Arial" w:cs="Arial" w:eastAsia="Arial" w:hAnsi="Arial"/>
                <w:sz w:val="14"/>
                <w:szCs w:val="14"/>
                <w:color w:val="auto"/>
              </w:rPr>
              <w:t>9,445</w:t>
            </w:r>
          </w:p>
        </w:tc>
        <w:tc>
          <w:tcPr>
            <w:tcW w:w="360" w:type="dxa"/>
            <w:vAlign w:val="bottom"/>
          </w:tcPr>
          <w:p>
            <w:pPr>
              <w:spacing w:after="0"/>
              <w:rPr>
                <w:sz w:val="22"/>
                <w:szCs w:val="22"/>
                <w:color w:val="auto"/>
              </w:rPr>
            </w:pPr>
          </w:p>
        </w:tc>
        <w:tc>
          <w:tcPr>
            <w:tcW w:w="860" w:type="dxa"/>
            <w:vAlign w:val="bottom"/>
          </w:tcPr>
          <w:p>
            <w:pPr>
              <w:jc w:val="right"/>
              <w:ind w:right="252"/>
              <w:spacing w:after="0"/>
              <w:rPr>
                <w:sz w:val="20"/>
                <w:szCs w:val="20"/>
                <w:color w:val="auto"/>
              </w:rPr>
            </w:pPr>
            <w:r>
              <w:rPr>
                <w:rFonts w:ascii="Arial" w:cs="Arial" w:eastAsia="Arial" w:hAnsi="Arial"/>
                <w:sz w:val="14"/>
                <w:szCs w:val="14"/>
                <w:color w:val="auto"/>
              </w:rPr>
              <w:t>10,061</w:t>
            </w:r>
          </w:p>
        </w:tc>
        <w:tc>
          <w:tcPr>
            <w:tcW w:w="340" w:type="dxa"/>
            <w:vAlign w:val="bottom"/>
          </w:tcPr>
          <w:p>
            <w:pPr>
              <w:spacing w:after="0"/>
              <w:rPr>
                <w:sz w:val="22"/>
                <w:szCs w:val="22"/>
                <w:color w:val="auto"/>
              </w:rPr>
            </w:pPr>
          </w:p>
        </w:tc>
        <w:tc>
          <w:tcPr>
            <w:tcW w:w="840" w:type="dxa"/>
            <w:vAlign w:val="bottom"/>
          </w:tcPr>
          <w:p>
            <w:pPr>
              <w:jc w:val="right"/>
              <w:ind w:right="232"/>
              <w:spacing w:after="0"/>
              <w:rPr>
                <w:sz w:val="20"/>
                <w:szCs w:val="20"/>
                <w:color w:val="auto"/>
              </w:rPr>
            </w:pPr>
            <w:r>
              <w:rPr>
                <w:rFonts w:ascii="Arial" w:cs="Arial" w:eastAsia="Arial" w:hAnsi="Arial"/>
                <w:sz w:val="14"/>
                <w:szCs w:val="14"/>
                <w:color w:val="auto"/>
              </w:rPr>
              <w:t>10,087</w:t>
            </w:r>
          </w:p>
        </w:tc>
        <w:tc>
          <w:tcPr>
            <w:tcW w:w="380" w:type="dxa"/>
            <w:vAlign w:val="bottom"/>
          </w:tcPr>
          <w:p>
            <w:pPr>
              <w:spacing w:after="0"/>
              <w:rPr>
                <w:sz w:val="22"/>
                <w:szCs w:val="22"/>
                <w:color w:val="auto"/>
              </w:rPr>
            </w:pPr>
          </w:p>
        </w:tc>
        <w:tc>
          <w:tcPr>
            <w:tcW w:w="860" w:type="dxa"/>
            <w:vAlign w:val="bottom"/>
          </w:tcPr>
          <w:p>
            <w:pPr>
              <w:jc w:val="right"/>
              <w:ind w:right="252"/>
              <w:spacing w:after="0"/>
              <w:rPr>
                <w:sz w:val="20"/>
                <w:szCs w:val="20"/>
                <w:color w:val="auto"/>
              </w:rPr>
            </w:pPr>
            <w:r>
              <w:rPr>
                <w:rFonts w:ascii="Arial" w:cs="Arial" w:eastAsia="Arial" w:hAnsi="Arial"/>
                <w:sz w:val="14"/>
                <w:szCs w:val="14"/>
                <w:color w:val="auto"/>
              </w:rPr>
              <w:t>10,700</w:t>
            </w:r>
          </w:p>
        </w:tc>
        <w:tc>
          <w:tcPr>
            <w:tcW w:w="340" w:type="dxa"/>
            <w:vAlign w:val="bottom"/>
          </w:tcPr>
          <w:p>
            <w:pPr>
              <w:spacing w:after="0"/>
              <w:rPr>
                <w:sz w:val="22"/>
                <w:szCs w:val="22"/>
                <w:color w:val="auto"/>
              </w:rPr>
            </w:pPr>
          </w:p>
        </w:tc>
        <w:tc>
          <w:tcPr>
            <w:tcW w:w="840" w:type="dxa"/>
            <w:vAlign w:val="bottom"/>
          </w:tcPr>
          <w:p>
            <w:pPr>
              <w:jc w:val="right"/>
              <w:ind w:right="232"/>
              <w:spacing w:after="0"/>
              <w:rPr>
                <w:sz w:val="20"/>
                <w:szCs w:val="20"/>
                <w:color w:val="auto"/>
              </w:rPr>
            </w:pPr>
            <w:r>
              <w:rPr>
                <w:rFonts w:ascii="Arial" w:cs="Arial" w:eastAsia="Arial" w:hAnsi="Arial"/>
                <w:sz w:val="14"/>
                <w:szCs w:val="14"/>
                <w:color w:val="auto"/>
              </w:rPr>
              <w:t>10,964</w:t>
            </w:r>
          </w:p>
        </w:tc>
        <w:tc>
          <w:tcPr>
            <w:tcW w:w="360" w:type="dxa"/>
            <w:vAlign w:val="bottom"/>
          </w:tcPr>
          <w:p>
            <w:pPr>
              <w:spacing w:after="0"/>
              <w:rPr>
                <w:sz w:val="22"/>
                <w:szCs w:val="22"/>
                <w:color w:val="auto"/>
              </w:rPr>
            </w:pPr>
          </w:p>
        </w:tc>
        <w:tc>
          <w:tcPr>
            <w:tcW w:w="840" w:type="dxa"/>
            <w:vAlign w:val="bottom"/>
          </w:tcPr>
          <w:p>
            <w:pPr>
              <w:jc w:val="right"/>
              <w:ind w:right="232"/>
              <w:spacing w:after="0"/>
              <w:rPr>
                <w:sz w:val="20"/>
                <w:szCs w:val="20"/>
                <w:color w:val="auto"/>
              </w:rPr>
            </w:pPr>
            <w:r>
              <w:rPr>
                <w:rFonts w:ascii="Arial" w:cs="Arial" w:eastAsia="Arial" w:hAnsi="Arial"/>
                <w:sz w:val="14"/>
                <w:szCs w:val="14"/>
                <w:color w:val="auto"/>
              </w:rPr>
              <w:t>11,075</w:t>
            </w:r>
          </w:p>
        </w:tc>
        <w:tc>
          <w:tcPr>
            <w:tcW w:w="360" w:type="dxa"/>
            <w:vAlign w:val="bottom"/>
          </w:tcPr>
          <w:p>
            <w:pPr>
              <w:spacing w:after="0"/>
              <w:rPr>
                <w:sz w:val="22"/>
                <w:szCs w:val="22"/>
                <w:color w:val="auto"/>
              </w:rPr>
            </w:pPr>
          </w:p>
        </w:tc>
        <w:tc>
          <w:tcPr>
            <w:tcW w:w="780" w:type="dxa"/>
            <w:vAlign w:val="bottom"/>
          </w:tcPr>
          <w:p>
            <w:pPr>
              <w:jc w:val="right"/>
              <w:ind w:right="172"/>
              <w:spacing w:after="0"/>
              <w:rPr>
                <w:sz w:val="20"/>
                <w:szCs w:val="20"/>
                <w:color w:val="auto"/>
              </w:rPr>
            </w:pPr>
            <w:r>
              <w:rPr>
                <w:rFonts w:ascii="Arial" w:cs="Arial" w:eastAsia="Arial" w:hAnsi="Arial"/>
                <w:sz w:val="14"/>
                <w:szCs w:val="14"/>
                <w:color w:val="auto"/>
              </w:rPr>
              <w:t>11,577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Borders>
              <w:right w:val="single" w:sz="8" w:color="EEEEEE"/>
            </w:tcBorders>
            <w:shd w:val="clear" w:color="auto" w:fill="EEEEEE"/>
          </w:tcPr>
          <w:p>
            <w:pPr>
              <w:ind w:left="200"/>
              <w:spacing w:after="0" w:line="149" w:lineRule="exact"/>
              <w:rPr>
                <w:sz w:val="20"/>
                <w:szCs w:val="20"/>
                <w:color w:val="auto"/>
              </w:rPr>
            </w:pPr>
            <w:r>
              <w:rPr>
                <w:rFonts w:ascii="Arial" w:cs="Arial" w:eastAsia="Arial" w:hAnsi="Arial"/>
                <w:sz w:val="14"/>
                <w:szCs w:val="14"/>
                <w:color w:val="auto"/>
              </w:rPr>
              <w:t>Diluted earnings per share</w:t>
            </w:r>
          </w:p>
        </w:tc>
        <w:tc>
          <w:tcPr>
            <w:tcW w:w="220" w:type="dxa"/>
            <w:vAlign w:val="bottom"/>
            <w:shd w:val="clear" w:color="auto" w:fill="EEEEEE"/>
          </w:tcPr>
          <w:p>
            <w:pPr>
              <w:spacing w:after="0"/>
              <w:rPr>
                <w:sz w:val="12"/>
                <w:szCs w:val="12"/>
                <w:color w:val="auto"/>
              </w:rPr>
            </w:pPr>
          </w:p>
        </w:tc>
        <w:tc>
          <w:tcPr>
            <w:tcW w:w="90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86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6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20" w:type="dxa"/>
            <w:vAlign w:val="bottom"/>
          </w:tcPr>
          <w:p>
            <w:pPr>
              <w:ind w:left="460"/>
              <w:spacing w:after="0" w:line="138" w:lineRule="exact"/>
              <w:rPr>
                <w:sz w:val="20"/>
                <w:szCs w:val="20"/>
                <w:color w:val="auto"/>
              </w:rPr>
            </w:pPr>
            <w:r>
              <w:rPr>
                <w:rFonts w:ascii="Arial" w:cs="Arial" w:eastAsia="Arial" w:hAnsi="Arial"/>
                <w:sz w:val="14"/>
                <w:szCs w:val="14"/>
                <w:color w:val="auto"/>
              </w:rPr>
              <w:t>Before cumulative effect of change in</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20" w:type="dxa"/>
            <w:vAlign w:val="bottom"/>
          </w:tcPr>
          <w:p>
            <w:pPr>
              <w:ind w:left="600"/>
              <w:spacing w:after="0" w:line="159" w:lineRule="exact"/>
              <w:rPr>
                <w:sz w:val="20"/>
                <w:szCs w:val="20"/>
                <w:color w:val="auto"/>
              </w:rPr>
            </w:pPr>
            <w:r>
              <w:rPr>
                <w:rFonts w:ascii="Arial" w:cs="Arial" w:eastAsia="Arial" w:hAnsi="Arial"/>
                <w:sz w:val="14"/>
                <w:szCs w:val="14"/>
                <w:color w:val="auto"/>
              </w:rPr>
              <w:t>accounting principle</w:t>
            </w:r>
          </w:p>
        </w:tc>
        <w:tc>
          <w:tcPr>
            <w:tcW w:w="2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92"/>
              <w:spacing w:after="0" w:line="159" w:lineRule="exact"/>
              <w:rPr>
                <w:sz w:val="20"/>
                <w:szCs w:val="20"/>
                <w:color w:val="auto"/>
              </w:rPr>
            </w:pPr>
            <w:r>
              <w:rPr>
                <w:rFonts w:ascii="Arial" w:cs="Arial" w:eastAsia="Arial" w:hAnsi="Arial"/>
                <w:sz w:val="14"/>
                <w:szCs w:val="14"/>
                <w:color w:val="auto"/>
              </w:rPr>
              <w:t>14.32</w:t>
            </w: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252"/>
              <w:spacing w:after="0" w:line="159" w:lineRule="exact"/>
              <w:rPr>
                <w:sz w:val="20"/>
                <w:szCs w:val="20"/>
                <w:color w:val="auto"/>
              </w:rPr>
            </w:pPr>
            <w:r>
              <w:rPr>
                <w:rFonts w:ascii="Arial" w:cs="Arial" w:eastAsia="Arial" w:hAnsi="Arial"/>
                <w:sz w:val="14"/>
                <w:szCs w:val="14"/>
                <w:color w:val="auto"/>
              </w:rPr>
              <w:t>22.30</w:t>
            </w:r>
          </w:p>
        </w:tc>
        <w:tc>
          <w:tcPr>
            <w:tcW w:w="3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232"/>
              <w:spacing w:after="0" w:line="159" w:lineRule="exact"/>
              <w:rPr>
                <w:sz w:val="20"/>
                <w:szCs w:val="20"/>
                <w:color w:val="auto"/>
              </w:rPr>
            </w:pPr>
            <w:r>
              <w:rPr>
                <w:rFonts w:ascii="Arial" w:cs="Arial" w:eastAsia="Arial" w:hAnsi="Arial"/>
                <w:sz w:val="14"/>
                <w:szCs w:val="14"/>
                <w:color w:val="auto"/>
              </w:rPr>
              <w:t>41.10</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252"/>
              <w:spacing w:after="0" w:line="159" w:lineRule="exact"/>
              <w:rPr>
                <w:sz w:val="20"/>
                <w:szCs w:val="20"/>
                <w:color w:val="auto"/>
              </w:rPr>
            </w:pPr>
            <w:r>
              <w:rPr>
                <w:rFonts w:ascii="Arial" w:cs="Arial" w:eastAsia="Arial" w:hAnsi="Arial"/>
                <w:sz w:val="14"/>
                <w:szCs w:val="14"/>
                <w:color w:val="auto"/>
              </w:rPr>
              <w:t>26.15</w:t>
            </w:r>
          </w:p>
        </w:tc>
        <w:tc>
          <w:tcPr>
            <w:tcW w:w="3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232"/>
              <w:spacing w:after="0" w:line="159" w:lineRule="exact"/>
              <w:rPr>
                <w:sz w:val="20"/>
                <w:szCs w:val="20"/>
                <w:color w:val="auto"/>
              </w:rPr>
            </w:pPr>
            <w:r>
              <w:rPr>
                <w:rFonts w:ascii="Arial" w:cs="Arial" w:eastAsia="Arial" w:hAnsi="Arial"/>
                <w:sz w:val="14"/>
                <w:szCs w:val="14"/>
                <w:color w:val="auto"/>
              </w:rPr>
              <w:t>20.05</w:t>
            </w: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232"/>
              <w:spacing w:after="0" w:line="159" w:lineRule="exact"/>
              <w:rPr>
                <w:sz w:val="20"/>
                <w:szCs w:val="20"/>
                <w:color w:val="auto"/>
              </w:rPr>
            </w:pPr>
            <w:r>
              <w:rPr>
                <w:rFonts w:ascii="Arial" w:cs="Arial" w:eastAsia="Arial" w:hAnsi="Arial"/>
                <w:sz w:val="14"/>
                <w:szCs w:val="14"/>
                <w:color w:val="auto"/>
              </w:rPr>
              <w:t>17.15</w:t>
            </w: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72"/>
              <w:spacing w:after="0" w:line="159" w:lineRule="exact"/>
              <w:rPr>
                <w:sz w:val="20"/>
                <w:szCs w:val="20"/>
                <w:color w:val="auto"/>
              </w:rPr>
            </w:pPr>
            <w:r>
              <w:rPr>
                <w:rFonts w:ascii="Arial" w:cs="Arial" w:eastAsia="Arial" w:hAnsi="Arial"/>
                <w:sz w:val="14"/>
                <w:szCs w:val="14"/>
                <w:color w:val="auto"/>
              </w:rPr>
              <w:t>14.65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20" w:type="dxa"/>
            <w:vAlign w:val="bottom"/>
            <w:tcBorders>
              <w:right w:val="single" w:sz="8" w:color="EEEEEE"/>
            </w:tcBorders>
            <w:shd w:val="clear" w:color="auto" w:fill="EEEEEE"/>
          </w:tcPr>
          <w:p>
            <w:pPr>
              <w:ind w:left="460"/>
              <w:spacing w:after="0" w:line="138" w:lineRule="exact"/>
              <w:rPr>
                <w:sz w:val="20"/>
                <w:szCs w:val="20"/>
                <w:color w:val="auto"/>
              </w:rPr>
            </w:pPr>
            <w:r>
              <w:rPr>
                <w:rFonts w:ascii="Arial" w:cs="Arial" w:eastAsia="Arial" w:hAnsi="Arial"/>
                <w:sz w:val="14"/>
                <w:szCs w:val="14"/>
                <w:color w:val="auto"/>
              </w:rPr>
              <w:t>Cumulative effect of change in accounting</w:t>
            </w:r>
          </w:p>
        </w:tc>
        <w:tc>
          <w:tcPr>
            <w:tcW w:w="220" w:type="dxa"/>
            <w:vAlign w:val="bottom"/>
            <w:shd w:val="clear" w:color="auto" w:fill="EEEEEE"/>
          </w:tcPr>
          <w:p>
            <w:pPr>
              <w:spacing w:after="0"/>
              <w:rPr>
                <w:sz w:val="11"/>
                <w:szCs w:val="11"/>
                <w:color w:val="auto"/>
              </w:rPr>
            </w:pPr>
          </w:p>
        </w:tc>
        <w:tc>
          <w:tcPr>
            <w:tcW w:w="90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86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8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6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84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84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7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20" w:type="dxa"/>
            <w:vAlign w:val="bottom"/>
            <w:tcBorders>
              <w:right w:val="single" w:sz="8" w:color="EEEEEE"/>
            </w:tcBorders>
            <w:shd w:val="clear" w:color="auto" w:fill="EEEEEE"/>
          </w:tcPr>
          <w:p>
            <w:pPr>
              <w:ind w:left="600"/>
              <w:spacing w:after="0" w:line="159" w:lineRule="exact"/>
              <w:rPr>
                <w:sz w:val="20"/>
                <w:szCs w:val="20"/>
                <w:color w:val="auto"/>
              </w:rPr>
            </w:pPr>
            <w:r>
              <w:rPr>
                <w:rFonts w:ascii="Arial" w:cs="Arial" w:eastAsia="Arial" w:hAnsi="Arial"/>
                <w:sz w:val="14"/>
                <w:szCs w:val="14"/>
                <w:color w:val="auto"/>
              </w:rPr>
              <w:t>principle</w:t>
            </w:r>
          </w:p>
        </w:tc>
        <w:tc>
          <w:tcPr>
            <w:tcW w:w="220" w:type="dxa"/>
            <w:vAlign w:val="bottom"/>
            <w:shd w:val="clear" w:color="auto" w:fill="EEEEEE"/>
          </w:tcPr>
          <w:p>
            <w:pPr>
              <w:spacing w:after="0"/>
              <w:rPr>
                <w:sz w:val="13"/>
                <w:szCs w:val="13"/>
                <w:color w:val="auto"/>
              </w:rPr>
            </w:pPr>
          </w:p>
        </w:tc>
        <w:tc>
          <w:tcPr>
            <w:tcW w:w="900" w:type="dxa"/>
            <w:vAlign w:val="bottom"/>
            <w:shd w:val="clear" w:color="auto" w:fill="EEEEEE"/>
          </w:tcPr>
          <w:p>
            <w:pPr>
              <w:jc w:val="right"/>
              <w:ind w:right="292"/>
              <w:spacing w:after="0" w:line="159" w:lineRule="exact"/>
              <w:rPr>
                <w:sz w:val="20"/>
                <w:szCs w:val="20"/>
                <w:color w:val="auto"/>
              </w:rPr>
            </w:pPr>
            <w:r>
              <w:rPr>
                <w:rFonts w:ascii="Arial" w:cs="Arial" w:eastAsia="Arial" w:hAnsi="Arial"/>
                <w:sz w:val="14"/>
                <w:szCs w:val="14"/>
                <w:color w:val="auto"/>
              </w:rPr>
              <w:t>—</w:t>
            </w:r>
          </w:p>
        </w:tc>
        <w:tc>
          <w:tcPr>
            <w:tcW w:w="360" w:type="dxa"/>
            <w:vAlign w:val="bottom"/>
            <w:shd w:val="clear" w:color="auto" w:fill="EEEEEE"/>
          </w:tcPr>
          <w:p>
            <w:pPr>
              <w:spacing w:after="0"/>
              <w:rPr>
                <w:sz w:val="13"/>
                <w:szCs w:val="13"/>
                <w:color w:val="auto"/>
              </w:rPr>
            </w:pPr>
          </w:p>
        </w:tc>
        <w:tc>
          <w:tcPr>
            <w:tcW w:w="860" w:type="dxa"/>
            <w:vAlign w:val="bottom"/>
            <w:shd w:val="clear" w:color="auto" w:fill="EEEEEE"/>
          </w:tcPr>
          <w:p>
            <w:pPr>
              <w:jc w:val="right"/>
              <w:ind w:right="252"/>
              <w:spacing w:after="0" w:line="159" w:lineRule="exact"/>
              <w:rPr>
                <w:sz w:val="20"/>
                <w:szCs w:val="20"/>
                <w:color w:val="auto"/>
              </w:rPr>
            </w:pPr>
            <w:r>
              <w:rPr>
                <w:rFonts w:ascii="Arial" w:cs="Arial" w:eastAsia="Arial" w:hAnsi="Arial"/>
                <w:sz w:val="14"/>
                <w:szCs w:val="14"/>
                <w:color w:val="auto"/>
              </w:rPr>
              <w:t>—</w:t>
            </w:r>
          </w:p>
        </w:tc>
        <w:tc>
          <w:tcPr>
            <w:tcW w:w="340" w:type="dxa"/>
            <w:vAlign w:val="bottom"/>
            <w:shd w:val="clear" w:color="auto" w:fill="EEEEEE"/>
          </w:tcPr>
          <w:p>
            <w:pPr>
              <w:spacing w:after="0"/>
              <w:rPr>
                <w:sz w:val="13"/>
                <w:szCs w:val="13"/>
                <w:color w:val="auto"/>
              </w:rPr>
            </w:pPr>
          </w:p>
        </w:tc>
        <w:tc>
          <w:tcPr>
            <w:tcW w:w="840" w:type="dxa"/>
            <w:vAlign w:val="bottom"/>
            <w:shd w:val="clear" w:color="auto" w:fill="EEEEEE"/>
          </w:tcPr>
          <w:p>
            <w:pPr>
              <w:jc w:val="right"/>
              <w:ind w:right="232"/>
              <w:spacing w:after="0" w:line="159" w:lineRule="exact"/>
              <w:rPr>
                <w:sz w:val="20"/>
                <w:szCs w:val="20"/>
                <w:color w:val="auto"/>
              </w:rPr>
            </w:pPr>
            <w:r>
              <w:rPr>
                <w:rFonts w:ascii="Arial" w:cs="Arial" w:eastAsia="Arial" w:hAnsi="Arial"/>
                <w:sz w:val="14"/>
                <w:szCs w:val="14"/>
                <w:color w:val="auto"/>
              </w:rPr>
              <w:t>—</w:t>
            </w:r>
          </w:p>
        </w:tc>
        <w:tc>
          <w:tcPr>
            <w:tcW w:w="380" w:type="dxa"/>
            <w:vAlign w:val="bottom"/>
            <w:shd w:val="clear" w:color="auto" w:fill="EEEEEE"/>
          </w:tcPr>
          <w:p>
            <w:pPr>
              <w:spacing w:after="0"/>
              <w:rPr>
                <w:sz w:val="13"/>
                <w:szCs w:val="13"/>
                <w:color w:val="auto"/>
              </w:rPr>
            </w:pPr>
          </w:p>
        </w:tc>
        <w:tc>
          <w:tcPr>
            <w:tcW w:w="860" w:type="dxa"/>
            <w:vAlign w:val="bottom"/>
            <w:shd w:val="clear" w:color="auto" w:fill="EEEEEE"/>
          </w:tcPr>
          <w:p>
            <w:pPr>
              <w:jc w:val="right"/>
              <w:ind w:right="252"/>
              <w:spacing w:after="0" w:line="159" w:lineRule="exact"/>
              <w:rPr>
                <w:sz w:val="20"/>
                <w:szCs w:val="20"/>
                <w:color w:val="auto"/>
              </w:rPr>
            </w:pPr>
            <w:r>
              <w:rPr>
                <w:rFonts w:ascii="Arial" w:cs="Arial" w:eastAsia="Arial" w:hAnsi="Arial"/>
                <w:sz w:val="14"/>
                <w:szCs w:val="14"/>
                <w:color w:val="auto"/>
              </w:rPr>
              <w:t>—</w:t>
            </w:r>
          </w:p>
        </w:tc>
        <w:tc>
          <w:tcPr>
            <w:tcW w:w="340" w:type="dxa"/>
            <w:vAlign w:val="bottom"/>
            <w:shd w:val="clear" w:color="auto" w:fill="EEEEEE"/>
          </w:tcPr>
          <w:p>
            <w:pPr>
              <w:spacing w:after="0"/>
              <w:rPr>
                <w:sz w:val="13"/>
                <w:szCs w:val="13"/>
                <w:color w:val="auto"/>
              </w:rPr>
            </w:pPr>
          </w:p>
        </w:tc>
        <w:tc>
          <w:tcPr>
            <w:tcW w:w="840" w:type="dxa"/>
            <w:vAlign w:val="bottom"/>
            <w:shd w:val="clear" w:color="auto" w:fill="EEEEEE"/>
          </w:tcPr>
          <w:p>
            <w:pPr>
              <w:jc w:val="right"/>
              <w:ind w:right="232"/>
              <w:spacing w:after="0" w:line="159" w:lineRule="exact"/>
              <w:rPr>
                <w:sz w:val="20"/>
                <w:szCs w:val="20"/>
                <w:color w:val="auto"/>
              </w:rPr>
            </w:pPr>
            <w:r>
              <w:rPr>
                <w:rFonts w:ascii="Arial" w:cs="Arial" w:eastAsia="Arial" w:hAnsi="Arial"/>
                <w:sz w:val="14"/>
                <w:szCs w:val="14"/>
                <w:color w:val="auto"/>
              </w:rPr>
              <w:t>—</w:t>
            </w:r>
          </w:p>
        </w:tc>
        <w:tc>
          <w:tcPr>
            <w:tcW w:w="360" w:type="dxa"/>
            <w:vAlign w:val="bottom"/>
            <w:shd w:val="clear" w:color="auto" w:fill="EEEEEE"/>
          </w:tcPr>
          <w:p>
            <w:pPr>
              <w:spacing w:after="0"/>
              <w:rPr>
                <w:sz w:val="13"/>
                <w:szCs w:val="13"/>
                <w:color w:val="auto"/>
              </w:rPr>
            </w:pPr>
          </w:p>
        </w:tc>
        <w:tc>
          <w:tcPr>
            <w:tcW w:w="840" w:type="dxa"/>
            <w:vAlign w:val="bottom"/>
            <w:shd w:val="clear" w:color="auto" w:fill="EEEEEE"/>
          </w:tcPr>
          <w:p>
            <w:pPr>
              <w:jc w:val="right"/>
              <w:ind w:right="232"/>
              <w:spacing w:after="0" w:line="159" w:lineRule="exact"/>
              <w:rPr>
                <w:sz w:val="20"/>
                <w:szCs w:val="20"/>
                <w:color w:val="auto"/>
              </w:rPr>
            </w:pPr>
            <w:r>
              <w:rPr>
                <w:rFonts w:ascii="Arial" w:cs="Arial" w:eastAsia="Arial" w:hAnsi="Arial"/>
                <w:sz w:val="14"/>
                <w:szCs w:val="14"/>
                <w:color w:val="auto"/>
              </w:rPr>
              <w:t>—</w:t>
            </w:r>
          </w:p>
        </w:tc>
        <w:tc>
          <w:tcPr>
            <w:tcW w:w="360" w:type="dxa"/>
            <w:vAlign w:val="bottom"/>
            <w:shd w:val="clear" w:color="auto" w:fill="EEEEEE"/>
          </w:tcPr>
          <w:p>
            <w:pPr>
              <w:spacing w:after="0"/>
              <w:rPr>
                <w:sz w:val="13"/>
                <w:szCs w:val="13"/>
                <w:color w:val="auto"/>
              </w:rPr>
            </w:pPr>
          </w:p>
        </w:tc>
        <w:tc>
          <w:tcPr>
            <w:tcW w:w="780" w:type="dxa"/>
            <w:vAlign w:val="bottom"/>
            <w:shd w:val="clear" w:color="auto" w:fill="EEEEEE"/>
          </w:tcPr>
          <w:p>
            <w:pPr>
              <w:jc w:val="right"/>
              <w:ind w:right="172"/>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120" w:type="dxa"/>
            <w:vAlign w:val="bottom"/>
          </w:tcPr>
          <w:p>
            <w:pPr>
              <w:ind w:left="460"/>
              <w:spacing w:after="0"/>
              <w:rPr>
                <w:sz w:val="20"/>
                <w:szCs w:val="20"/>
                <w:color w:val="auto"/>
              </w:rPr>
            </w:pPr>
            <w:r>
              <w:rPr>
                <w:rFonts w:ascii="Arial" w:cs="Arial" w:eastAsia="Arial" w:hAnsi="Arial"/>
                <w:sz w:val="14"/>
                <w:szCs w:val="14"/>
                <w:color w:val="auto"/>
              </w:rPr>
              <w:t>Net income available for common shares</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92"/>
              <w:spacing w:after="0"/>
              <w:rPr>
                <w:sz w:val="20"/>
                <w:szCs w:val="20"/>
                <w:color w:val="auto"/>
              </w:rPr>
            </w:pPr>
            <w:r>
              <w:rPr>
                <w:rFonts w:ascii="Arial" w:cs="Arial" w:eastAsia="Arial" w:hAnsi="Arial"/>
                <w:sz w:val="14"/>
                <w:szCs w:val="14"/>
                <w:color w:val="auto"/>
              </w:rPr>
              <w:t>14.32</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52"/>
              <w:spacing w:after="0"/>
              <w:rPr>
                <w:sz w:val="20"/>
                <w:szCs w:val="20"/>
                <w:color w:val="auto"/>
              </w:rPr>
            </w:pPr>
            <w:r>
              <w:rPr>
                <w:rFonts w:ascii="Arial" w:cs="Arial" w:eastAsia="Arial" w:hAnsi="Arial"/>
                <w:sz w:val="14"/>
                <w:szCs w:val="14"/>
                <w:color w:val="auto"/>
              </w:rPr>
              <w:t>22.30</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32"/>
              <w:spacing w:after="0"/>
              <w:rPr>
                <w:sz w:val="20"/>
                <w:szCs w:val="20"/>
                <w:color w:val="auto"/>
              </w:rPr>
            </w:pPr>
            <w:r>
              <w:rPr>
                <w:rFonts w:ascii="Arial" w:cs="Arial" w:eastAsia="Arial" w:hAnsi="Arial"/>
                <w:sz w:val="14"/>
                <w:szCs w:val="14"/>
                <w:color w:val="auto"/>
              </w:rPr>
              <w:t>41.10</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52"/>
              <w:spacing w:after="0"/>
              <w:rPr>
                <w:sz w:val="20"/>
                <w:szCs w:val="20"/>
                <w:color w:val="auto"/>
              </w:rPr>
            </w:pPr>
            <w:r>
              <w:rPr>
                <w:rFonts w:ascii="Arial" w:cs="Arial" w:eastAsia="Arial" w:hAnsi="Arial"/>
                <w:sz w:val="14"/>
                <w:szCs w:val="14"/>
                <w:color w:val="auto"/>
              </w:rPr>
              <w:t>26.15</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32"/>
              <w:spacing w:after="0"/>
              <w:rPr>
                <w:sz w:val="20"/>
                <w:szCs w:val="20"/>
                <w:color w:val="auto"/>
              </w:rPr>
            </w:pPr>
            <w:r>
              <w:rPr>
                <w:rFonts w:ascii="Arial" w:cs="Arial" w:eastAsia="Arial" w:hAnsi="Arial"/>
                <w:sz w:val="14"/>
                <w:szCs w:val="14"/>
                <w:color w:val="auto"/>
              </w:rPr>
              <w:t>20.05</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32"/>
              <w:spacing w:after="0"/>
              <w:rPr>
                <w:sz w:val="20"/>
                <w:szCs w:val="20"/>
                <w:color w:val="auto"/>
              </w:rPr>
            </w:pPr>
            <w:r>
              <w:rPr>
                <w:rFonts w:ascii="Arial" w:cs="Arial" w:eastAsia="Arial" w:hAnsi="Arial"/>
                <w:sz w:val="14"/>
                <w:szCs w:val="14"/>
                <w:color w:val="auto"/>
              </w:rPr>
              <w:t>17.15</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72"/>
              <w:spacing w:after="0"/>
              <w:rPr>
                <w:sz w:val="20"/>
                <w:szCs w:val="20"/>
                <w:color w:val="auto"/>
              </w:rPr>
            </w:pPr>
            <w:r>
              <w:rPr>
                <w:rFonts w:ascii="Arial" w:cs="Arial" w:eastAsia="Arial" w:hAnsi="Arial"/>
                <w:sz w:val="14"/>
                <w:szCs w:val="14"/>
                <w:color w:val="auto"/>
              </w:rPr>
              <w:t>14.65</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Borders>
              <w:right w:val="single" w:sz="8" w:color="EEEEEE"/>
            </w:tcBorders>
            <w:shd w:val="clear" w:color="auto" w:fill="EEEEEE"/>
          </w:tcPr>
          <w:p>
            <w:pPr>
              <w:ind w:left="460"/>
              <w:spacing w:after="0" w:line="149" w:lineRule="exact"/>
              <w:rPr>
                <w:sz w:val="20"/>
                <w:szCs w:val="20"/>
                <w:color w:val="auto"/>
              </w:rPr>
            </w:pPr>
            <w:r>
              <w:rPr>
                <w:rFonts w:ascii="Arial" w:cs="Arial" w:eastAsia="Arial" w:hAnsi="Arial"/>
                <w:sz w:val="14"/>
                <w:szCs w:val="14"/>
                <w:color w:val="auto"/>
              </w:rPr>
              <w:t>Diluted average shares outstanding</w:t>
            </w:r>
          </w:p>
        </w:tc>
        <w:tc>
          <w:tcPr>
            <w:tcW w:w="220" w:type="dxa"/>
            <w:vAlign w:val="bottom"/>
            <w:shd w:val="clear" w:color="auto" w:fill="EEEEEE"/>
          </w:tcPr>
          <w:p>
            <w:pPr>
              <w:spacing w:after="0"/>
              <w:rPr>
                <w:sz w:val="12"/>
                <w:szCs w:val="12"/>
                <w:color w:val="auto"/>
              </w:rPr>
            </w:pPr>
          </w:p>
        </w:tc>
        <w:tc>
          <w:tcPr>
            <w:tcW w:w="900" w:type="dxa"/>
            <w:vAlign w:val="bottom"/>
            <w:shd w:val="clear" w:color="auto" w:fill="EEEEEE"/>
          </w:tcPr>
          <w:p>
            <w:pPr>
              <w:jc w:val="right"/>
              <w:ind w:right="292"/>
              <w:spacing w:after="0" w:line="149" w:lineRule="exact"/>
              <w:rPr>
                <w:sz w:val="20"/>
                <w:szCs w:val="20"/>
                <w:color w:val="auto"/>
              </w:rPr>
            </w:pPr>
            <w:r>
              <w:rPr>
                <w:rFonts w:ascii="Arial" w:cs="Arial" w:eastAsia="Arial" w:hAnsi="Arial"/>
                <w:sz w:val="14"/>
                <w:szCs w:val="14"/>
                <w:color w:val="auto"/>
              </w:rPr>
              <w:t>9,460</w:t>
            </w:r>
          </w:p>
        </w:tc>
        <w:tc>
          <w:tcPr>
            <w:tcW w:w="360" w:type="dxa"/>
            <w:vAlign w:val="bottom"/>
            <w:shd w:val="clear" w:color="auto" w:fill="EEEEEE"/>
          </w:tcPr>
          <w:p>
            <w:pPr>
              <w:spacing w:after="0"/>
              <w:rPr>
                <w:sz w:val="12"/>
                <w:szCs w:val="12"/>
                <w:color w:val="auto"/>
              </w:rPr>
            </w:pPr>
          </w:p>
        </w:tc>
        <w:tc>
          <w:tcPr>
            <w:tcW w:w="860" w:type="dxa"/>
            <w:vAlign w:val="bottom"/>
            <w:shd w:val="clear" w:color="auto" w:fill="EEEEEE"/>
          </w:tcPr>
          <w:p>
            <w:pPr>
              <w:jc w:val="right"/>
              <w:ind w:right="252"/>
              <w:spacing w:after="0" w:line="149" w:lineRule="exact"/>
              <w:rPr>
                <w:sz w:val="20"/>
                <w:szCs w:val="20"/>
                <w:color w:val="auto"/>
              </w:rPr>
            </w:pPr>
            <w:r>
              <w:rPr>
                <w:rFonts w:ascii="Arial" w:cs="Arial" w:eastAsia="Arial" w:hAnsi="Arial"/>
                <w:sz w:val="14"/>
                <w:szCs w:val="14"/>
                <w:color w:val="auto"/>
              </w:rPr>
              <w:t>10,082</w:t>
            </w:r>
          </w:p>
        </w:tc>
        <w:tc>
          <w:tcPr>
            <w:tcW w:w="340" w:type="dxa"/>
            <w:vAlign w:val="bottom"/>
            <w:shd w:val="clear" w:color="auto" w:fill="EEEEEE"/>
          </w:tcPr>
          <w:p>
            <w:pPr>
              <w:spacing w:after="0"/>
              <w:rPr>
                <w:sz w:val="12"/>
                <w:szCs w:val="12"/>
                <w:color w:val="auto"/>
              </w:rPr>
            </w:pPr>
          </w:p>
        </w:tc>
        <w:tc>
          <w:tcPr>
            <w:tcW w:w="840" w:type="dxa"/>
            <w:vAlign w:val="bottom"/>
            <w:shd w:val="clear" w:color="auto" w:fill="EEEEEE"/>
          </w:tcPr>
          <w:p>
            <w:pPr>
              <w:jc w:val="right"/>
              <w:ind w:right="232"/>
              <w:spacing w:after="0" w:line="149" w:lineRule="exact"/>
              <w:rPr>
                <w:sz w:val="20"/>
                <w:szCs w:val="20"/>
                <w:color w:val="auto"/>
              </w:rPr>
            </w:pPr>
            <w:r>
              <w:rPr>
                <w:rFonts w:ascii="Arial" w:cs="Arial" w:eastAsia="Arial" w:hAnsi="Arial"/>
                <w:sz w:val="14"/>
                <w:szCs w:val="14"/>
                <w:color w:val="auto"/>
              </w:rPr>
              <w:t>10,129</w:t>
            </w:r>
          </w:p>
        </w:tc>
        <w:tc>
          <w:tcPr>
            <w:tcW w:w="380" w:type="dxa"/>
            <w:vAlign w:val="bottom"/>
            <w:shd w:val="clear" w:color="auto" w:fill="EEEEEE"/>
          </w:tcPr>
          <w:p>
            <w:pPr>
              <w:spacing w:after="0"/>
              <w:rPr>
                <w:sz w:val="12"/>
                <w:szCs w:val="12"/>
                <w:color w:val="auto"/>
              </w:rPr>
            </w:pPr>
          </w:p>
        </w:tc>
        <w:tc>
          <w:tcPr>
            <w:tcW w:w="860" w:type="dxa"/>
            <w:vAlign w:val="bottom"/>
            <w:shd w:val="clear" w:color="auto" w:fill="EEEEEE"/>
          </w:tcPr>
          <w:p>
            <w:pPr>
              <w:jc w:val="right"/>
              <w:ind w:right="252"/>
              <w:spacing w:after="0" w:line="149" w:lineRule="exact"/>
              <w:rPr>
                <w:sz w:val="20"/>
                <w:szCs w:val="20"/>
                <w:color w:val="auto"/>
              </w:rPr>
            </w:pPr>
            <w:r>
              <w:rPr>
                <w:rFonts w:ascii="Arial" w:cs="Arial" w:eastAsia="Arial" w:hAnsi="Arial"/>
                <w:sz w:val="14"/>
                <w:szCs w:val="14"/>
                <w:color w:val="auto"/>
              </w:rPr>
              <w:t>10,733</w:t>
            </w:r>
          </w:p>
        </w:tc>
        <w:tc>
          <w:tcPr>
            <w:tcW w:w="340" w:type="dxa"/>
            <w:vAlign w:val="bottom"/>
            <w:shd w:val="clear" w:color="auto" w:fill="EEEEEE"/>
          </w:tcPr>
          <w:p>
            <w:pPr>
              <w:spacing w:after="0"/>
              <w:rPr>
                <w:sz w:val="12"/>
                <w:szCs w:val="12"/>
                <w:color w:val="auto"/>
              </w:rPr>
            </w:pPr>
          </w:p>
        </w:tc>
        <w:tc>
          <w:tcPr>
            <w:tcW w:w="840" w:type="dxa"/>
            <w:vAlign w:val="bottom"/>
            <w:shd w:val="clear" w:color="auto" w:fill="EEEEEE"/>
          </w:tcPr>
          <w:p>
            <w:pPr>
              <w:jc w:val="right"/>
              <w:ind w:right="232"/>
              <w:spacing w:after="0" w:line="149" w:lineRule="exact"/>
              <w:rPr>
                <w:sz w:val="20"/>
                <w:szCs w:val="20"/>
                <w:color w:val="auto"/>
              </w:rPr>
            </w:pPr>
            <w:r>
              <w:rPr>
                <w:rFonts w:ascii="Arial" w:cs="Arial" w:eastAsia="Arial" w:hAnsi="Arial"/>
                <w:sz w:val="14"/>
                <w:szCs w:val="14"/>
                <w:color w:val="auto"/>
              </w:rPr>
              <w:t>10,980</w:t>
            </w:r>
          </w:p>
        </w:tc>
        <w:tc>
          <w:tcPr>
            <w:tcW w:w="360" w:type="dxa"/>
            <w:vAlign w:val="bottom"/>
            <w:shd w:val="clear" w:color="auto" w:fill="EEEEEE"/>
          </w:tcPr>
          <w:p>
            <w:pPr>
              <w:spacing w:after="0"/>
              <w:rPr>
                <w:sz w:val="12"/>
                <w:szCs w:val="12"/>
                <w:color w:val="auto"/>
              </w:rPr>
            </w:pPr>
          </w:p>
        </w:tc>
        <w:tc>
          <w:tcPr>
            <w:tcW w:w="840" w:type="dxa"/>
            <w:vAlign w:val="bottom"/>
            <w:shd w:val="clear" w:color="auto" w:fill="EEEEEE"/>
          </w:tcPr>
          <w:p>
            <w:pPr>
              <w:jc w:val="right"/>
              <w:ind w:right="232"/>
              <w:spacing w:after="0" w:line="149" w:lineRule="exact"/>
              <w:rPr>
                <w:sz w:val="20"/>
                <w:szCs w:val="20"/>
                <w:color w:val="auto"/>
              </w:rPr>
            </w:pPr>
            <w:r>
              <w:rPr>
                <w:rFonts w:ascii="Arial" w:cs="Arial" w:eastAsia="Arial" w:hAnsi="Arial"/>
                <w:sz w:val="14"/>
                <w:szCs w:val="14"/>
                <w:color w:val="auto"/>
              </w:rPr>
              <w:t>11,086</w:t>
            </w:r>
          </w:p>
        </w:tc>
        <w:tc>
          <w:tcPr>
            <w:tcW w:w="360" w:type="dxa"/>
            <w:vAlign w:val="bottom"/>
            <w:shd w:val="clear" w:color="auto" w:fill="EEEEEE"/>
          </w:tcPr>
          <w:p>
            <w:pPr>
              <w:spacing w:after="0"/>
              <w:rPr>
                <w:sz w:val="12"/>
                <w:szCs w:val="12"/>
                <w:color w:val="auto"/>
              </w:rPr>
            </w:pPr>
          </w:p>
        </w:tc>
        <w:tc>
          <w:tcPr>
            <w:tcW w:w="780" w:type="dxa"/>
            <w:vAlign w:val="bottom"/>
            <w:shd w:val="clear" w:color="auto" w:fill="EEEEEE"/>
          </w:tcPr>
          <w:p>
            <w:pPr>
              <w:jc w:val="right"/>
              <w:ind w:right="172"/>
              <w:spacing w:after="0" w:line="149" w:lineRule="exact"/>
              <w:rPr>
                <w:sz w:val="20"/>
                <w:szCs w:val="20"/>
                <w:color w:val="auto"/>
              </w:rPr>
            </w:pPr>
            <w:r>
              <w:rPr>
                <w:rFonts w:ascii="Arial" w:cs="Arial" w:eastAsia="Arial" w:hAnsi="Arial"/>
                <w:sz w:val="14"/>
                <w:szCs w:val="14"/>
                <w:color w:val="auto"/>
              </w:rPr>
              <w:t>11,582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ind w:left="200"/>
              <w:spacing w:after="0" w:line="149" w:lineRule="exact"/>
              <w:rPr>
                <w:sz w:val="20"/>
                <w:szCs w:val="20"/>
                <w:color w:val="auto"/>
              </w:rPr>
            </w:pPr>
            <w:r>
              <w:rPr>
                <w:rFonts w:ascii="Arial" w:cs="Arial" w:eastAsia="Arial" w:hAnsi="Arial"/>
                <w:sz w:val="14"/>
                <w:szCs w:val="14"/>
                <w:color w:val="auto"/>
              </w:rPr>
              <w:t>Cash dividends</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5.40</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5.20</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5.00</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4.80</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4.60</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4.40</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Borders>
              <w:right w:val="single" w:sz="8" w:color="EEEEEE"/>
            </w:tcBorders>
            <w:shd w:val="clear" w:color="auto" w:fill="EEEEEE"/>
          </w:tcPr>
          <w:p>
            <w:pPr>
              <w:ind w:left="200"/>
              <w:spacing w:after="0" w:line="149" w:lineRule="exact"/>
              <w:rPr>
                <w:sz w:val="20"/>
                <w:szCs w:val="20"/>
                <w:color w:val="auto"/>
              </w:rPr>
            </w:pPr>
            <w:r>
              <w:rPr>
                <w:rFonts w:ascii="Arial" w:cs="Arial" w:eastAsia="Arial" w:hAnsi="Arial"/>
                <w:sz w:val="14"/>
                <w:szCs w:val="14"/>
                <w:color w:val="auto"/>
              </w:rPr>
              <w:t>Common shareholders’ equity</w:t>
            </w:r>
          </w:p>
        </w:tc>
        <w:tc>
          <w:tcPr>
            <w:tcW w:w="2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EEEEE"/>
          </w:tcPr>
          <w:p>
            <w:pPr>
              <w:jc w:val="right"/>
              <w:ind w:right="292"/>
              <w:spacing w:after="0" w:line="149" w:lineRule="exact"/>
              <w:rPr>
                <w:sz w:val="20"/>
                <w:szCs w:val="20"/>
                <w:color w:val="auto"/>
              </w:rPr>
            </w:pPr>
            <w:r>
              <w:rPr>
                <w:rFonts w:ascii="Arial" w:cs="Arial" w:eastAsia="Arial" w:hAnsi="Arial"/>
                <w:sz w:val="14"/>
                <w:szCs w:val="14"/>
                <w:color w:val="auto"/>
              </w:rPr>
              <w:t>156.55</w:t>
            </w: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EEEEEE"/>
          </w:tcPr>
          <w:p>
            <w:pPr>
              <w:jc w:val="right"/>
              <w:ind w:right="252"/>
              <w:spacing w:after="0" w:line="149" w:lineRule="exact"/>
              <w:rPr>
                <w:sz w:val="20"/>
                <w:szCs w:val="20"/>
                <w:color w:val="auto"/>
              </w:rPr>
            </w:pPr>
            <w:r>
              <w:rPr>
                <w:rFonts w:ascii="Arial" w:cs="Arial" w:eastAsia="Arial" w:hAnsi="Arial"/>
                <w:sz w:val="14"/>
                <w:szCs w:val="14"/>
                <w:color w:val="auto"/>
              </w:rPr>
              <w:t>144.90</w:t>
            </w:r>
          </w:p>
        </w:tc>
        <w:tc>
          <w:tcPr>
            <w:tcW w:w="3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EEEEEE"/>
          </w:tcPr>
          <w:p>
            <w:pPr>
              <w:jc w:val="right"/>
              <w:ind w:right="232"/>
              <w:spacing w:after="0" w:line="149" w:lineRule="exact"/>
              <w:rPr>
                <w:sz w:val="20"/>
                <w:szCs w:val="20"/>
                <w:color w:val="auto"/>
              </w:rPr>
            </w:pPr>
            <w:r>
              <w:rPr>
                <w:rFonts w:ascii="Arial" w:cs="Arial" w:eastAsia="Arial" w:hAnsi="Arial"/>
                <w:sz w:val="14"/>
                <w:szCs w:val="14"/>
                <w:color w:val="auto"/>
              </w:rPr>
              <w:t>157.34</w:t>
            </w: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EEEEEE"/>
          </w:tcPr>
          <w:p>
            <w:pPr>
              <w:jc w:val="right"/>
              <w:ind w:right="252"/>
              <w:spacing w:after="0" w:line="149" w:lineRule="exact"/>
              <w:rPr>
                <w:sz w:val="20"/>
                <w:szCs w:val="20"/>
                <w:color w:val="auto"/>
              </w:rPr>
            </w:pPr>
            <w:r>
              <w:rPr>
                <w:rFonts w:ascii="Arial" w:cs="Arial" w:eastAsia="Arial" w:hAnsi="Arial"/>
                <w:sz w:val="14"/>
                <w:szCs w:val="14"/>
                <w:color w:val="auto"/>
              </w:rPr>
              <w:t>117.36</w:t>
            </w:r>
          </w:p>
        </w:tc>
        <w:tc>
          <w:tcPr>
            <w:tcW w:w="3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EEEEEE"/>
          </w:tcPr>
          <w:p>
            <w:pPr>
              <w:jc w:val="right"/>
              <w:ind w:right="232"/>
              <w:spacing w:after="0" w:line="149" w:lineRule="exact"/>
              <w:rPr>
                <w:sz w:val="20"/>
                <w:szCs w:val="20"/>
                <w:color w:val="auto"/>
              </w:rPr>
            </w:pPr>
            <w:r>
              <w:rPr>
                <w:rFonts w:ascii="Arial" w:cs="Arial" w:eastAsia="Arial" w:hAnsi="Arial"/>
                <w:sz w:val="14"/>
                <w:szCs w:val="14"/>
                <w:color w:val="auto"/>
              </w:rPr>
              <w:t>121.24</w:t>
            </w: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EEEEEE"/>
          </w:tcPr>
          <w:p>
            <w:pPr>
              <w:jc w:val="right"/>
              <w:ind w:right="232"/>
              <w:spacing w:after="0" w:line="149" w:lineRule="exact"/>
              <w:rPr>
                <w:sz w:val="20"/>
                <w:szCs w:val="20"/>
                <w:color w:val="auto"/>
              </w:rPr>
            </w:pPr>
            <w:r>
              <w:rPr>
                <w:rFonts w:ascii="Arial" w:cs="Arial" w:eastAsia="Arial" w:hAnsi="Arial"/>
                <w:sz w:val="14"/>
                <w:szCs w:val="14"/>
                <w:color w:val="auto"/>
              </w:rPr>
              <w:t>107.60</w:t>
            </w: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EEEEEE"/>
          </w:tcPr>
          <w:p>
            <w:pPr>
              <w:jc w:val="right"/>
              <w:ind w:right="172"/>
              <w:spacing w:after="0" w:line="149" w:lineRule="exact"/>
              <w:rPr>
                <w:sz w:val="20"/>
                <w:szCs w:val="20"/>
                <w:color w:val="auto"/>
              </w:rPr>
            </w:pPr>
            <w:r>
              <w:rPr>
                <w:rFonts w:ascii="Arial" w:cs="Arial" w:eastAsia="Arial" w:hAnsi="Arial"/>
                <w:sz w:val="14"/>
                <w:szCs w:val="14"/>
                <w:color w:val="auto"/>
              </w:rPr>
              <w:t>99.32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line="149" w:lineRule="exact"/>
              <w:rPr>
                <w:sz w:val="20"/>
                <w:szCs w:val="20"/>
                <w:color w:val="auto"/>
              </w:rPr>
            </w:pPr>
            <w:r>
              <w:rPr>
                <w:rFonts w:ascii="Arial" w:cs="Arial" w:eastAsia="Arial" w:hAnsi="Arial"/>
                <w:sz w:val="14"/>
                <w:szCs w:val="14"/>
                <w:b w:val="1"/>
                <w:bCs w:val="1"/>
                <w:color w:val="auto"/>
              </w:rPr>
              <w:t>Financial Position</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Borders>
              <w:right w:val="single" w:sz="8" w:color="EEEEEE"/>
            </w:tcBorders>
            <w:shd w:val="clear" w:color="auto" w:fill="EEEEEE"/>
          </w:tcPr>
          <w:p>
            <w:pPr>
              <w:ind w:left="200"/>
              <w:spacing w:after="0" w:line="149" w:lineRule="exact"/>
              <w:rPr>
                <w:sz w:val="20"/>
                <w:szCs w:val="20"/>
                <w:color w:val="auto"/>
              </w:rPr>
            </w:pPr>
            <w:r>
              <w:rPr>
                <w:rFonts w:ascii="Arial" w:cs="Arial" w:eastAsia="Arial" w:hAnsi="Arial"/>
                <w:sz w:val="14"/>
                <w:szCs w:val="14"/>
                <w:color w:val="auto"/>
              </w:rPr>
              <w:t>Current assets</w:t>
            </w:r>
          </w:p>
        </w:tc>
        <w:tc>
          <w:tcPr>
            <w:tcW w:w="2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EEEEE"/>
          </w:tcPr>
          <w:p>
            <w:pPr>
              <w:jc w:val="right"/>
              <w:ind w:right="292"/>
              <w:spacing w:after="0" w:line="149" w:lineRule="exact"/>
              <w:rPr>
                <w:sz w:val="20"/>
                <w:szCs w:val="20"/>
                <w:color w:val="auto"/>
              </w:rPr>
            </w:pPr>
            <w:r>
              <w:rPr>
                <w:rFonts w:ascii="Arial" w:cs="Arial" w:eastAsia="Arial" w:hAnsi="Arial"/>
                <w:sz w:val="14"/>
                <w:szCs w:val="14"/>
                <w:color w:val="auto"/>
              </w:rPr>
              <w:t>405,067</w:t>
            </w: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EEEEEE"/>
          </w:tcPr>
          <w:p>
            <w:pPr>
              <w:jc w:val="right"/>
              <w:ind w:right="252"/>
              <w:spacing w:after="0" w:line="149" w:lineRule="exact"/>
              <w:rPr>
                <w:sz w:val="20"/>
                <w:szCs w:val="20"/>
                <w:color w:val="auto"/>
              </w:rPr>
            </w:pPr>
            <w:r>
              <w:rPr>
                <w:rFonts w:ascii="Arial" w:cs="Arial" w:eastAsia="Arial" w:hAnsi="Arial"/>
                <w:sz w:val="14"/>
                <w:szCs w:val="14"/>
                <w:color w:val="auto"/>
              </w:rPr>
              <w:t>476,159</w:t>
            </w:r>
          </w:p>
        </w:tc>
        <w:tc>
          <w:tcPr>
            <w:tcW w:w="3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EEEEEE"/>
          </w:tcPr>
          <w:p>
            <w:pPr>
              <w:jc w:val="right"/>
              <w:ind w:right="232"/>
              <w:spacing w:after="0" w:line="149" w:lineRule="exact"/>
              <w:rPr>
                <w:sz w:val="20"/>
                <w:szCs w:val="20"/>
                <w:color w:val="auto"/>
              </w:rPr>
            </w:pPr>
            <w:r>
              <w:rPr>
                <w:rFonts w:ascii="Arial" w:cs="Arial" w:eastAsia="Arial" w:hAnsi="Arial"/>
                <w:sz w:val="14"/>
                <w:szCs w:val="14"/>
                <w:color w:val="auto"/>
              </w:rPr>
              <w:t>404,878</w:t>
            </w: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EEEEEE"/>
          </w:tcPr>
          <w:p>
            <w:pPr>
              <w:jc w:val="right"/>
              <w:ind w:right="252"/>
              <w:spacing w:after="0" w:line="149" w:lineRule="exact"/>
              <w:rPr>
                <w:sz w:val="20"/>
                <w:szCs w:val="20"/>
                <w:color w:val="auto"/>
              </w:rPr>
            </w:pPr>
            <w:r>
              <w:rPr>
                <w:rFonts w:ascii="Arial" w:cs="Arial" w:eastAsia="Arial" w:hAnsi="Arial"/>
                <w:sz w:val="14"/>
                <w:szCs w:val="14"/>
                <w:color w:val="auto"/>
              </w:rPr>
              <w:t>308,492</w:t>
            </w:r>
          </w:p>
        </w:tc>
        <w:tc>
          <w:tcPr>
            <w:tcW w:w="3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EEEEEE"/>
          </w:tcPr>
          <w:p>
            <w:pPr>
              <w:jc w:val="right"/>
              <w:ind w:right="232"/>
              <w:spacing w:after="0" w:line="149" w:lineRule="exact"/>
              <w:rPr>
                <w:sz w:val="20"/>
                <w:szCs w:val="20"/>
                <w:color w:val="auto"/>
              </w:rPr>
            </w:pPr>
            <w:r>
              <w:rPr>
                <w:rFonts w:ascii="Arial" w:cs="Arial" w:eastAsia="Arial" w:hAnsi="Arial"/>
                <w:sz w:val="14"/>
                <w:szCs w:val="14"/>
                <w:color w:val="auto"/>
              </w:rPr>
              <w:t>382,631</w:t>
            </w: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EEEEEE"/>
          </w:tcPr>
          <w:p>
            <w:pPr>
              <w:jc w:val="right"/>
              <w:ind w:right="232"/>
              <w:spacing w:after="0" w:line="149" w:lineRule="exact"/>
              <w:rPr>
                <w:sz w:val="20"/>
                <w:szCs w:val="20"/>
                <w:color w:val="auto"/>
              </w:rPr>
            </w:pPr>
            <w:r>
              <w:rPr>
                <w:rFonts w:ascii="Arial" w:cs="Arial" w:eastAsia="Arial" w:hAnsi="Arial"/>
                <w:sz w:val="14"/>
                <w:szCs w:val="14"/>
                <w:color w:val="auto"/>
              </w:rPr>
              <w:t>406,570</w:t>
            </w:r>
          </w:p>
        </w:tc>
        <w:tc>
          <w:tcPr>
            <w:tcW w:w="3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EEEEEE"/>
          </w:tcPr>
          <w:p>
            <w:pPr>
              <w:jc w:val="right"/>
              <w:ind w:right="172"/>
              <w:spacing w:after="0" w:line="149" w:lineRule="exact"/>
              <w:rPr>
                <w:sz w:val="20"/>
                <w:szCs w:val="20"/>
                <w:color w:val="auto"/>
              </w:rPr>
            </w:pPr>
            <w:r>
              <w:rPr>
                <w:rFonts w:ascii="Arial" w:cs="Arial" w:eastAsia="Arial" w:hAnsi="Arial"/>
                <w:sz w:val="14"/>
                <w:szCs w:val="14"/>
                <w:color w:val="auto"/>
              </w:rPr>
              <w:t>375,879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ind w:left="200"/>
              <w:spacing w:after="0" w:line="149" w:lineRule="exact"/>
              <w:rPr>
                <w:sz w:val="20"/>
                <w:szCs w:val="20"/>
                <w:color w:val="auto"/>
              </w:rPr>
            </w:pPr>
            <w:r>
              <w:rPr>
                <w:rFonts w:ascii="Arial" w:cs="Arial" w:eastAsia="Arial" w:hAnsi="Arial"/>
                <w:sz w:val="14"/>
                <w:szCs w:val="14"/>
                <w:color w:val="auto"/>
              </w:rPr>
              <w:t>Working capital (deficit)</w:t>
            </w:r>
          </w:p>
        </w:tc>
        <w:tc>
          <w:tcPr>
            <w:tcW w:w="220" w:type="dxa"/>
            <w:vAlign w:val="bottom"/>
          </w:tcPr>
          <w:p>
            <w:pPr>
              <w:spacing w:after="0"/>
              <w:rPr>
                <w:sz w:val="12"/>
                <w:szCs w:val="12"/>
                <w:color w:val="auto"/>
              </w:rPr>
            </w:pPr>
          </w:p>
        </w:tc>
        <w:tc>
          <w:tcPr>
            <w:tcW w:w="90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(3,730)</w:t>
            </w:r>
          </w:p>
        </w:tc>
        <w:tc>
          <w:tcPr>
            <w:tcW w:w="360" w:type="dxa"/>
            <w:vAlign w:val="bottom"/>
          </w:tcPr>
          <w:p>
            <w:pPr>
              <w:spacing w:after="0"/>
              <w:rPr>
                <w:sz w:val="12"/>
                <w:szCs w:val="12"/>
                <w:color w:val="auto"/>
              </w:rPr>
            </w:pPr>
          </w:p>
        </w:tc>
        <w:tc>
          <w:tcPr>
            <w:tcW w:w="860" w:type="dxa"/>
            <w:vAlign w:val="bottom"/>
          </w:tcPr>
          <w:p>
            <w:pPr>
              <w:jc w:val="right"/>
              <w:ind w:right="192"/>
              <w:spacing w:after="0" w:line="149" w:lineRule="exact"/>
              <w:rPr>
                <w:sz w:val="20"/>
                <w:szCs w:val="20"/>
                <w:color w:val="auto"/>
              </w:rPr>
            </w:pPr>
            <w:r>
              <w:rPr>
                <w:rFonts w:ascii="Arial" w:cs="Arial" w:eastAsia="Arial" w:hAnsi="Arial"/>
                <w:sz w:val="14"/>
                <w:szCs w:val="14"/>
                <w:color w:val="auto"/>
                <w:w w:val="96"/>
              </w:rPr>
              <w:t>(346,389)</w:t>
            </w:r>
          </w:p>
        </w:tc>
        <w:tc>
          <w:tcPr>
            <w:tcW w:w="340" w:type="dxa"/>
            <w:vAlign w:val="bottom"/>
          </w:tcPr>
          <w:p>
            <w:pPr>
              <w:spacing w:after="0"/>
              <w:rPr>
                <w:sz w:val="12"/>
                <w:szCs w:val="12"/>
                <w:color w:val="auto"/>
              </w:rPr>
            </w:pPr>
          </w:p>
        </w:tc>
        <w:tc>
          <w:tcPr>
            <w:tcW w:w="84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15,799</w:t>
            </w:r>
          </w:p>
        </w:tc>
        <w:tc>
          <w:tcPr>
            <w:tcW w:w="380" w:type="dxa"/>
            <w:vAlign w:val="bottom"/>
          </w:tcPr>
          <w:p>
            <w:pPr>
              <w:spacing w:after="0"/>
              <w:rPr>
                <w:sz w:val="12"/>
                <w:szCs w:val="12"/>
                <w:color w:val="auto"/>
              </w:rPr>
            </w:pPr>
          </w:p>
        </w:tc>
        <w:tc>
          <w:tcPr>
            <w:tcW w:w="86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93"/>
              </w:rPr>
              <w:t>(300,264)</w:t>
            </w:r>
          </w:p>
        </w:tc>
        <w:tc>
          <w:tcPr>
            <w:tcW w:w="340" w:type="dxa"/>
            <w:vAlign w:val="bottom"/>
          </w:tcPr>
          <w:p>
            <w:pPr>
              <w:spacing w:after="0"/>
              <w:rPr>
                <w:sz w:val="12"/>
                <w:szCs w:val="12"/>
                <w:color w:val="auto"/>
              </w:rPr>
            </w:pPr>
          </w:p>
        </w:tc>
        <w:tc>
          <w:tcPr>
            <w:tcW w:w="84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100,995</w:t>
            </w:r>
          </w:p>
        </w:tc>
        <w:tc>
          <w:tcPr>
            <w:tcW w:w="360" w:type="dxa"/>
            <w:vAlign w:val="bottom"/>
          </w:tcPr>
          <w:p>
            <w:pPr>
              <w:spacing w:after="0"/>
              <w:rPr>
                <w:sz w:val="12"/>
                <w:szCs w:val="12"/>
                <w:color w:val="auto"/>
              </w:rPr>
            </w:pPr>
          </w:p>
        </w:tc>
        <w:tc>
          <w:tcPr>
            <w:tcW w:w="84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98,393</w:t>
            </w:r>
          </w:p>
        </w:tc>
        <w:tc>
          <w:tcPr>
            <w:tcW w:w="360" w:type="dxa"/>
            <w:vAlign w:val="bottom"/>
          </w:tcPr>
          <w:p>
            <w:pPr>
              <w:spacing w:after="0"/>
              <w:rPr>
                <w:sz w:val="12"/>
                <w:szCs w:val="12"/>
                <w:color w:val="auto"/>
              </w:rPr>
            </w:pPr>
          </w:p>
        </w:tc>
        <w:tc>
          <w:tcPr>
            <w:tcW w:w="78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102,806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Borders>
              <w:right w:val="single" w:sz="8" w:color="EEEEEE"/>
            </w:tcBorders>
            <w:shd w:val="clear" w:color="auto" w:fill="EEEEEE"/>
          </w:tcPr>
          <w:p>
            <w:pPr>
              <w:ind w:left="200"/>
              <w:spacing w:after="0" w:line="149" w:lineRule="exact"/>
              <w:rPr>
                <w:sz w:val="20"/>
                <w:szCs w:val="20"/>
                <w:color w:val="auto"/>
              </w:rPr>
            </w:pPr>
            <w:r>
              <w:rPr>
                <w:rFonts w:ascii="Arial" w:cs="Arial" w:eastAsia="Arial" w:hAnsi="Arial"/>
                <w:sz w:val="14"/>
                <w:szCs w:val="14"/>
                <w:color w:val="auto"/>
              </w:rPr>
              <w:t>Property, plant and equipment</w:t>
            </w:r>
          </w:p>
        </w:tc>
        <w:tc>
          <w:tcPr>
            <w:tcW w:w="220" w:type="dxa"/>
            <w:vAlign w:val="bottom"/>
            <w:shd w:val="clear" w:color="auto" w:fill="EEEEEE"/>
          </w:tcPr>
          <w:p>
            <w:pPr>
              <w:spacing w:after="0"/>
              <w:rPr>
                <w:sz w:val="12"/>
                <w:szCs w:val="12"/>
                <w:color w:val="auto"/>
              </w:rPr>
            </w:pPr>
          </w:p>
        </w:tc>
        <w:tc>
          <w:tcPr>
            <w:tcW w:w="900" w:type="dxa"/>
            <w:vAlign w:val="bottom"/>
            <w:shd w:val="clear" w:color="auto" w:fill="EEEEEE"/>
          </w:tcPr>
          <w:p>
            <w:pPr>
              <w:jc w:val="right"/>
              <w:ind w:right="292"/>
              <w:spacing w:after="0" w:line="149" w:lineRule="exact"/>
              <w:rPr>
                <w:sz w:val="20"/>
                <w:szCs w:val="20"/>
                <w:color w:val="auto"/>
              </w:rPr>
            </w:pPr>
            <w:r>
              <w:rPr>
                <w:rFonts w:ascii="Arial" w:cs="Arial" w:eastAsia="Arial" w:hAnsi="Arial"/>
                <w:sz w:val="14"/>
                <w:szCs w:val="14"/>
                <w:color w:val="auto"/>
              </w:rPr>
              <w:t>927,061</w:t>
            </w:r>
          </w:p>
        </w:tc>
        <w:tc>
          <w:tcPr>
            <w:tcW w:w="360" w:type="dxa"/>
            <w:vAlign w:val="bottom"/>
            <w:shd w:val="clear" w:color="auto" w:fill="EEEEEE"/>
          </w:tcPr>
          <w:p>
            <w:pPr>
              <w:spacing w:after="0"/>
              <w:rPr>
                <w:sz w:val="12"/>
                <w:szCs w:val="12"/>
                <w:color w:val="auto"/>
              </w:rPr>
            </w:pPr>
          </w:p>
        </w:tc>
        <w:tc>
          <w:tcPr>
            <w:tcW w:w="860" w:type="dxa"/>
            <w:vAlign w:val="bottom"/>
            <w:shd w:val="clear" w:color="auto" w:fill="EEEEEE"/>
          </w:tcPr>
          <w:p>
            <w:pPr>
              <w:jc w:val="right"/>
              <w:ind w:right="252"/>
              <w:spacing w:after="0" w:line="149" w:lineRule="exact"/>
              <w:rPr>
                <w:sz w:val="20"/>
                <w:szCs w:val="20"/>
                <w:color w:val="auto"/>
              </w:rPr>
            </w:pPr>
            <w:r>
              <w:rPr>
                <w:rFonts w:ascii="Arial" w:cs="Arial" w:eastAsia="Arial" w:hAnsi="Arial"/>
                <w:sz w:val="14"/>
                <w:szCs w:val="14"/>
                <w:color w:val="auto"/>
              </w:rPr>
              <w:t>854,906</w:t>
            </w:r>
          </w:p>
        </w:tc>
        <w:tc>
          <w:tcPr>
            <w:tcW w:w="340" w:type="dxa"/>
            <w:vAlign w:val="bottom"/>
            <w:shd w:val="clear" w:color="auto" w:fill="EEEEEE"/>
          </w:tcPr>
          <w:p>
            <w:pPr>
              <w:spacing w:after="0"/>
              <w:rPr>
                <w:sz w:val="12"/>
                <w:szCs w:val="12"/>
                <w:color w:val="auto"/>
              </w:rPr>
            </w:pPr>
          </w:p>
        </w:tc>
        <w:tc>
          <w:tcPr>
            <w:tcW w:w="840" w:type="dxa"/>
            <w:vAlign w:val="bottom"/>
            <w:shd w:val="clear" w:color="auto" w:fill="EEEEEE"/>
          </w:tcPr>
          <w:p>
            <w:pPr>
              <w:jc w:val="right"/>
              <w:ind w:right="232"/>
              <w:spacing w:after="0" w:line="149" w:lineRule="exact"/>
              <w:rPr>
                <w:sz w:val="20"/>
                <w:szCs w:val="20"/>
                <w:color w:val="auto"/>
              </w:rPr>
            </w:pPr>
            <w:r>
              <w:rPr>
                <w:rFonts w:ascii="Arial" w:cs="Arial" w:eastAsia="Arial" w:hAnsi="Arial"/>
                <w:sz w:val="14"/>
                <w:szCs w:val="14"/>
                <w:color w:val="auto"/>
              </w:rPr>
              <w:t>841,062</w:t>
            </w:r>
          </w:p>
        </w:tc>
        <w:tc>
          <w:tcPr>
            <w:tcW w:w="380" w:type="dxa"/>
            <w:vAlign w:val="bottom"/>
            <w:shd w:val="clear" w:color="auto" w:fill="EEEEEE"/>
          </w:tcPr>
          <w:p>
            <w:pPr>
              <w:spacing w:after="0"/>
              <w:rPr>
                <w:sz w:val="12"/>
                <w:szCs w:val="12"/>
                <w:color w:val="auto"/>
              </w:rPr>
            </w:pPr>
          </w:p>
        </w:tc>
        <w:tc>
          <w:tcPr>
            <w:tcW w:w="860" w:type="dxa"/>
            <w:vAlign w:val="bottom"/>
            <w:shd w:val="clear" w:color="auto" w:fill="EEEEEE"/>
          </w:tcPr>
          <w:p>
            <w:pPr>
              <w:jc w:val="right"/>
              <w:ind w:right="252"/>
              <w:spacing w:after="0" w:line="149" w:lineRule="exact"/>
              <w:rPr>
                <w:sz w:val="20"/>
                <w:szCs w:val="20"/>
                <w:color w:val="auto"/>
              </w:rPr>
            </w:pPr>
            <w:r>
              <w:rPr>
                <w:rFonts w:ascii="Arial" w:cs="Arial" w:eastAsia="Arial" w:hAnsi="Arial"/>
                <w:sz w:val="14"/>
                <w:szCs w:val="14"/>
                <w:color w:val="auto"/>
              </w:rPr>
              <w:t>653,750</w:t>
            </w:r>
          </w:p>
        </w:tc>
        <w:tc>
          <w:tcPr>
            <w:tcW w:w="340" w:type="dxa"/>
            <w:vAlign w:val="bottom"/>
            <w:shd w:val="clear" w:color="auto" w:fill="EEEEEE"/>
          </w:tcPr>
          <w:p>
            <w:pPr>
              <w:spacing w:after="0"/>
              <w:rPr>
                <w:sz w:val="12"/>
                <w:szCs w:val="12"/>
                <w:color w:val="auto"/>
              </w:rPr>
            </w:pPr>
          </w:p>
        </w:tc>
        <w:tc>
          <w:tcPr>
            <w:tcW w:w="840" w:type="dxa"/>
            <w:vAlign w:val="bottom"/>
            <w:shd w:val="clear" w:color="auto" w:fill="EEEEEE"/>
          </w:tcPr>
          <w:p>
            <w:pPr>
              <w:jc w:val="right"/>
              <w:ind w:right="232"/>
              <w:spacing w:after="0" w:line="149" w:lineRule="exact"/>
              <w:rPr>
                <w:sz w:val="20"/>
                <w:szCs w:val="20"/>
                <w:color w:val="auto"/>
              </w:rPr>
            </w:pPr>
            <w:r>
              <w:rPr>
                <w:rFonts w:ascii="Arial" w:cs="Arial" w:eastAsia="Arial" w:hAnsi="Arial"/>
                <w:sz w:val="14"/>
                <w:szCs w:val="14"/>
                <w:color w:val="auto"/>
              </w:rPr>
              <w:t>511,363</w:t>
            </w:r>
          </w:p>
        </w:tc>
        <w:tc>
          <w:tcPr>
            <w:tcW w:w="360" w:type="dxa"/>
            <w:vAlign w:val="bottom"/>
            <w:shd w:val="clear" w:color="auto" w:fill="EEEEEE"/>
          </w:tcPr>
          <w:p>
            <w:pPr>
              <w:spacing w:after="0"/>
              <w:rPr>
                <w:sz w:val="12"/>
                <w:szCs w:val="12"/>
                <w:color w:val="auto"/>
              </w:rPr>
            </w:pPr>
          </w:p>
        </w:tc>
        <w:tc>
          <w:tcPr>
            <w:tcW w:w="840" w:type="dxa"/>
            <w:vAlign w:val="bottom"/>
            <w:shd w:val="clear" w:color="auto" w:fill="EEEEEE"/>
          </w:tcPr>
          <w:p>
            <w:pPr>
              <w:jc w:val="right"/>
              <w:ind w:right="232"/>
              <w:spacing w:after="0" w:line="149" w:lineRule="exact"/>
              <w:rPr>
                <w:sz w:val="20"/>
                <w:szCs w:val="20"/>
                <w:color w:val="auto"/>
              </w:rPr>
            </w:pPr>
            <w:r>
              <w:rPr>
                <w:rFonts w:ascii="Arial" w:cs="Arial" w:eastAsia="Arial" w:hAnsi="Arial"/>
                <w:sz w:val="14"/>
                <w:szCs w:val="14"/>
                <w:color w:val="auto"/>
              </w:rPr>
              <w:t>457,359</w:t>
            </w:r>
          </w:p>
        </w:tc>
        <w:tc>
          <w:tcPr>
            <w:tcW w:w="360" w:type="dxa"/>
            <w:vAlign w:val="bottom"/>
            <w:shd w:val="clear" w:color="auto" w:fill="EEEEEE"/>
          </w:tcPr>
          <w:p>
            <w:pPr>
              <w:spacing w:after="0"/>
              <w:rPr>
                <w:sz w:val="12"/>
                <w:szCs w:val="12"/>
                <w:color w:val="auto"/>
              </w:rPr>
            </w:pPr>
          </w:p>
        </w:tc>
        <w:tc>
          <w:tcPr>
            <w:tcW w:w="780" w:type="dxa"/>
            <w:vAlign w:val="bottom"/>
            <w:shd w:val="clear" w:color="auto" w:fill="EEEEEE"/>
          </w:tcPr>
          <w:p>
            <w:pPr>
              <w:jc w:val="right"/>
              <w:ind w:right="172"/>
              <w:spacing w:after="0" w:line="149" w:lineRule="exact"/>
              <w:rPr>
                <w:sz w:val="20"/>
                <w:szCs w:val="20"/>
                <w:color w:val="auto"/>
              </w:rPr>
            </w:pPr>
            <w:r>
              <w:rPr>
                <w:rFonts w:ascii="Arial" w:cs="Arial" w:eastAsia="Arial" w:hAnsi="Arial"/>
                <w:sz w:val="14"/>
                <w:szCs w:val="14"/>
                <w:color w:val="auto"/>
              </w:rPr>
              <w:t>411,396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ind w:left="200"/>
              <w:spacing w:after="0" w:line="149" w:lineRule="exact"/>
              <w:rPr>
                <w:sz w:val="20"/>
                <w:szCs w:val="20"/>
                <w:color w:val="auto"/>
              </w:rPr>
            </w:pPr>
            <w:r>
              <w:rPr>
                <w:rFonts w:ascii="Arial" w:cs="Arial" w:eastAsia="Arial" w:hAnsi="Arial"/>
                <w:sz w:val="14"/>
                <w:szCs w:val="14"/>
                <w:color w:val="auto"/>
              </w:rPr>
              <w:t>Total assets</w:t>
            </w:r>
          </w:p>
        </w:tc>
        <w:tc>
          <w:tcPr>
            <w:tcW w:w="220" w:type="dxa"/>
            <w:vAlign w:val="bottom"/>
          </w:tcPr>
          <w:p>
            <w:pPr>
              <w:spacing w:after="0"/>
              <w:rPr>
                <w:sz w:val="12"/>
                <w:szCs w:val="12"/>
                <w:color w:val="auto"/>
              </w:rPr>
            </w:pPr>
          </w:p>
        </w:tc>
        <w:tc>
          <w:tcPr>
            <w:tcW w:w="900" w:type="dxa"/>
            <w:vAlign w:val="bottom"/>
          </w:tcPr>
          <w:p>
            <w:pPr>
              <w:jc w:val="right"/>
              <w:ind w:right="292"/>
              <w:spacing w:after="0" w:line="149" w:lineRule="exact"/>
              <w:rPr>
                <w:sz w:val="20"/>
                <w:szCs w:val="20"/>
                <w:color w:val="auto"/>
              </w:rPr>
            </w:pPr>
            <w:r>
              <w:rPr>
                <w:rFonts w:ascii="Arial" w:cs="Arial" w:eastAsia="Arial" w:hAnsi="Arial"/>
                <w:sz w:val="14"/>
                <w:szCs w:val="14"/>
                <w:color w:val="auto"/>
                <w:w w:val="83"/>
              </w:rPr>
              <w:t>3,200,743</w:t>
            </w:r>
          </w:p>
        </w:tc>
        <w:tc>
          <w:tcPr>
            <w:tcW w:w="360" w:type="dxa"/>
            <w:vAlign w:val="bottom"/>
          </w:tcPr>
          <w:p>
            <w:pPr>
              <w:spacing w:after="0"/>
              <w:rPr>
                <w:sz w:val="12"/>
                <w:szCs w:val="12"/>
                <w:color w:val="auto"/>
              </w:rPr>
            </w:pPr>
          </w:p>
        </w:tc>
        <w:tc>
          <w:tcPr>
            <w:tcW w:w="860" w:type="dxa"/>
            <w:vAlign w:val="bottom"/>
          </w:tcPr>
          <w:p>
            <w:pPr>
              <w:jc w:val="right"/>
              <w:ind w:right="252"/>
              <w:spacing w:after="0" w:line="149" w:lineRule="exact"/>
              <w:rPr>
                <w:sz w:val="20"/>
                <w:szCs w:val="20"/>
                <w:color w:val="auto"/>
              </w:rPr>
            </w:pPr>
            <w:r>
              <w:rPr>
                <w:rFonts w:ascii="Arial" w:cs="Arial" w:eastAsia="Arial" w:hAnsi="Arial"/>
                <w:sz w:val="14"/>
                <w:szCs w:val="14"/>
                <w:color w:val="auto"/>
                <w:w w:val="83"/>
              </w:rPr>
              <w:t>2,986,944</w:t>
            </w:r>
          </w:p>
        </w:tc>
        <w:tc>
          <w:tcPr>
            <w:tcW w:w="340" w:type="dxa"/>
            <w:vAlign w:val="bottom"/>
          </w:tcPr>
          <w:p>
            <w:pPr>
              <w:spacing w:after="0"/>
              <w:rPr>
                <w:sz w:val="12"/>
                <w:szCs w:val="12"/>
                <w:color w:val="auto"/>
              </w:rPr>
            </w:pPr>
          </w:p>
        </w:tc>
        <w:tc>
          <w:tcPr>
            <w:tcW w:w="840" w:type="dxa"/>
            <w:vAlign w:val="bottom"/>
          </w:tcPr>
          <w:p>
            <w:pPr>
              <w:jc w:val="right"/>
              <w:ind w:right="232"/>
              <w:spacing w:after="0" w:line="149" w:lineRule="exact"/>
              <w:rPr>
                <w:sz w:val="20"/>
                <w:szCs w:val="20"/>
                <w:color w:val="auto"/>
              </w:rPr>
            </w:pPr>
            <w:r>
              <w:rPr>
                <w:rFonts w:ascii="Arial" w:cs="Arial" w:eastAsia="Arial" w:hAnsi="Arial"/>
                <w:sz w:val="14"/>
                <w:szCs w:val="14"/>
                <w:color w:val="auto"/>
                <w:w w:val="83"/>
              </w:rPr>
              <w:t>2,729,661</w:t>
            </w:r>
          </w:p>
        </w:tc>
        <w:tc>
          <w:tcPr>
            <w:tcW w:w="380" w:type="dxa"/>
            <w:vAlign w:val="bottom"/>
          </w:tcPr>
          <w:p>
            <w:pPr>
              <w:spacing w:after="0"/>
              <w:rPr>
                <w:sz w:val="12"/>
                <w:szCs w:val="12"/>
                <w:color w:val="auto"/>
              </w:rPr>
            </w:pPr>
          </w:p>
        </w:tc>
        <w:tc>
          <w:tcPr>
            <w:tcW w:w="860" w:type="dxa"/>
            <w:vAlign w:val="bottom"/>
          </w:tcPr>
          <w:p>
            <w:pPr>
              <w:jc w:val="right"/>
              <w:ind w:right="252"/>
              <w:spacing w:after="0" w:line="149" w:lineRule="exact"/>
              <w:rPr>
                <w:sz w:val="20"/>
                <w:szCs w:val="20"/>
                <w:color w:val="auto"/>
              </w:rPr>
            </w:pPr>
            <w:r>
              <w:rPr>
                <w:rFonts w:ascii="Arial" w:cs="Arial" w:eastAsia="Arial" w:hAnsi="Arial"/>
                <w:sz w:val="14"/>
                <w:szCs w:val="14"/>
                <w:color w:val="auto"/>
                <w:w w:val="83"/>
              </w:rPr>
              <w:t>2,077,317</w:t>
            </w:r>
          </w:p>
        </w:tc>
        <w:tc>
          <w:tcPr>
            <w:tcW w:w="340" w:type="dxa"/>
            <w:vAlign w:val="bottom"/>
          </w:tcPr>
          <w:p>
            <w:pPr>
              <w:spacing w:after="0"/>
              <w:rPr>
                <w:sz w:val="12"/>
                <w:szCs w:val="12"/>
                <w:color w:val="auto"/>
              </w:rPr>
            </w:pPr>
          </w:p>
        </w:tc>
        <w:tc>
          <w:tcPr>
            <w:tcW w:w="840" w:type="dxa"/>
            <w:vAlign w:val="bottom"/>
          </w:tcPr>
          <w:p>
            <w:pPr>
              <w:jc w:val="right"/>
              <w:ind w:right="232"/>
              <w:spacing w:after="0" w:line="149" w:lineRule="exact"/>
              <w:rPr>
                <w:sz w:val="20"/>
                <w:szCs w:val="20"/>
                <w:color w:val="auto"/>
              </w:rPr>
            </w:pPr>
            <w:r>
              <w:rPr>
                <w:rFonts w:ascii="Arial" w:cs="Arial" w:eastAsia="Arial" w:hAnsi="Arial"/>
                <w:sz w:val="14"/>
                <w:szCs w:val="14"/>
                <w:color w:val="auto"/>
                <w:w w:val="83"/>
              </w:rPr>
              <w:t>1,870,411</w:t>
            </w:r>
          </w:p>
        </w:tc>
        <w:tc>
          <w:tcPr>
            <w:tcW w:w="360" w:type="dxa"/>
            <w:vAlign w:val="bottom"/>
          </w:tcPr>
          <w:p>
            <w:pPr>
              <w:spacing w:after="0"/>
              <w:rPr>
                <w:sz w:val="12"/>
                <w:szCs w:val="12"/>
                <w:color w:val="auto"/>
              </w:rPr>
            </w:pPr>
          </w:p>
        </w:tc>
        <w:tc>
          <w:tcPr>
            <w:tcW w:w="840" w:type="dxa"/>
            <w:vAlign w:val="bottom"/>
          </w:tcPr>
          <w:p>
            <w:pPr>
              <w:jc w:val="right"/>
              <w:ind w:right="232"/>
              <w:spacing w:after="0" w:line="149" w:lineRule="exact"/>
              <w:rPr>
                <w:sz w:val="20"/>
                <w:szCs w:val="20"/>
                <w:color w:val="auto"/>
              </w:rPr>
            </w:pPr>
            <w:r>
              <w:rPr>
                <w:rFonts w:ascii="Arial" w:cs="Arial" w:eastAsia="Arial" w:hAnsi="Arial"/>
                <w:sz w:val="14"/>
                <w:szCs w:val="14"/>
                <w:color w:val="auto"/>
                <w:w w:val="83"/>
              </w:rPr>
              <w:t>1,732,893</w:t>
            </w:r>
          </w:p>
        </w:tc>
        <w:tc>
          <w:tcPr>
            <w:tcW w:w="360" w:type="dxa"/>
            <w:vAlign w:val="bottom"/>
          </w:tcPr>
          <w:p>
            <w:pPr>
              <w:spacing w:after="0"/>
              <w:rPr>
                <w:sz w:val="12"/>
                <w:szCs w:val="12"/>
                <w:color w:val="auto"/>
              </w:rPr>
            </w:pPr>
          </w:p>
        </w:tc>
        <w:tc>
          <w:tcPr>
            <w:tcW w:w="780" w:type="dxa"/>
            <w:vAlign w:val="bottom"/>
          </w:tcPr>
          <w:p>
            <w:pPr>
              <w:jc w:val="right"/>
              <w:ind w:right="172"/>
              <w:spacing w:after="0" w:line="149" w:lineRule="exact"/>
              <w:rPr>
                <w:sz w:val="20"/>
                <w:szCs w:val="20"/>
                <w:color w:val="auto"/>
              </w:rPr>
            </w:pPr>
            <w:r>
              <w:rPr>
                <w:rFonts w:ascii="Arial" w:cs="Arial" w:eastAsia="Arial" w:hAnsi="Arial"/>
                <w:sz w:val="14"/>
                <w:szCs w:val="14"/>
                <w:color w:val="auto"/>
                <w:w w:val="83"/>
              </w:rPr>
              <w:t>1,696,868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Borders>
              <w:right w:val="single" w:sz="8" w:color="EEEEEE"/>
            </w:tcBorders>
            <w:shd w:val="clear" w:color="auto" w:fill="EEEEEE"/>
          </w:tcPr>
          <w:p>
            <w:pPr>
              <w:ind w:left="200"/>
              <w:spacing w:after="0" w:line="149" w:lineRule="exact"/>
              <w:rPr>
                <w:sz w:val="20"/>
                <w:szCs w:val="20"/>
                <w:color w:val="auto"/>
              </w:rPr>
            </w:pPr>
            <w:r>
              <w:rPr>
                <w:rFonts w:ascii="Arial" w:cs="Arial" w:eastAsia="Arial" w:hAnsi="Arial"/>
                <w:sz w:val="14"/>
                <w:szCs w:val="14"/>
                <w:color w:val="auto"/>
              </w:rPr>
              <w:t>Long-term debt</w:t>
            </w:r>
          </w:p>
        </w:tc>
        <w:tc>
          <w:tcPr>
            <w:tcW w:w="220" w:type="dxa"/>
            <w:vAlign w:val="bottom"/>
            <w:shd w:val="clear" w:color="auto" w:fill="EEEEEE"/>
          </w:tcPr>
          <w:p>
            <w:pPr>
              <w:spacing w:after="0"/>
              <w:rPr>
                <w:sz w:val="12"/>
                <w:szCs w:val="12"/>
                <w:color w:val="auto"/>
              </w:rPr>
            </w:pPr>
          </w:p>
        </w:tc>
        <w:tc>
          <w:tcPr>
            <w:tcW w:w="900" w:type="dxa"/>
            <w:vAlign w:val="bottom"/>
            <w:shd w:val="clear" w:color="auto" w:fill="EEEEEE"/>
          </w:tcPr>
          <w:p>
            <w:pPr>
              <w:jc w:val="right"/>
              <w:ind w:right="292"/>
              <w:spacing w:after="0" w:line="149" w:lineRule="exact"/>
              <w:rPr>
                <w:sz w:val="20"/>
                <w:szCs w:val="20"/>
                <w:color w:val="auto"/>
              </w:rPr>
            </w:pPr>
            <w:r>
              <w:rPr>
                <w:rFonts w:ascii="Arial" w:cs="Arial" w:eastAsia="Arial" w:hAnsi="Arial"/>
                <w:sz w:val="14"/>
                <w:szCs w:val="14"/>
                <w:color w:val="auto"/>
              </w:rPr>
              <w:t>873,267</w:t>
            </w:r>
          </w:p>
        </w:tc>
        <w:tc>
          <w:tcPr>
            <w:tcW w:w="360" w:type="dxa"/>
            <w:vAlign w:val="bottom"/>
            <w:shd w:val="clear" w:color="auto" w:fill="EEEEEE"/>
          </w:tcPr>
          <w:p>
            <w:pPr>
              <w:spacing w:after="0"/>
              <w:rPr>
                <w:sz w:val="12"/>
                <w:szCs w:val="12"/>
                <w:color w:val="auto"/>
              </w:rPr>
            </w:pPr>
          </w:p>
        </w:tc>
        <w:tc>
          <w:tcPr>
            <w:tcW w:w="860" w:type="dxa"/>
            <w:vAlign w:val="bottom"/>
            <w:shd w:val="clear" w:color="auto" w:fill="EEEEEE"/>
          </w:tcPr>
          <w:p>
            <w:pPr>
              <w:jc w:val="right"/>
              <w:ind w:right="252"/>
              <w:spacing w:after="0" w:line="149" w:lineRule="exact"/>
              <w:rPr>
                <w:sz w:val="20"/>
                <w:szCs w:val="20"/>
                <w:color w:val="auto"/>
              </w:rPr>
            </w:pPr>
            <w:r>
              <w:rPr>
                <w:rFonts w:ascii="Arial" w:cs="Arial" w:eastAsia="Arial" w:hAnsi="Arial"/>
                <w:sz w:val="14"/>
                <w:szCs w:val="14"/>
                <w:color w:val="auto"/>
              </w:rPr>
              <w:t>397,620</w:t>
            </w:r>
          </w:p>
        </w:tc>
        <w:tc>
          <w:tcPr>
            <w:tcW w:w="340" w:type="dxa"/>
            <w:vAlign w:val="bottom"/>
            <w:shd w:val="clear" w:color="auto" w:fill="EEEEEE"/>
          </w:tcPr>
          <w:p>
            <w:pPr>
              <w:spacing w:after="0"/>
              <w:rPr>
                <w:sz w:val="12"/>
                <w:szCs w:val="12"/>
                <w:color w:val="auto"/>
              </w:rPr>
            </w:pPr>
          </w:p>
        </w:tc>
        <w:tc>
          <w:tcPr>
            <w:tcW w:w="840" w:type="dxa"/>
            <w:vAlign w:val="bottom"/>
            <w:shd w:val="clear" w:color="auto" w:fill="EEEEEE"/>
          </w:tcPr>
          <w:p>
            <w:pPr>
              <w:jc w:val="right"/>
              <w:ind w:right="232"/>
              <w:spacing w:after="0" w:line="149" w:lineRule="exact"/>
              <w:rPr>
                <w:sz w:val="20"/>
                <w:szCs w:val="20"/>
                <w:color w:val="auto"/>
              </w:rPr>
            </w:pPr>
            <w:r>
              <w:rPr>
                <w:rFonts w:ascii="Arial" w:cs="Arial" w:eastAsia="Arial" w:hAnsi="Arial"/>
                <w:sz w:val="14"/>
                <w:szCs w:val="14"/>
                <w:color w:val="auto"/>
              </w:rPr>
              <w:t>395,000</w:t>
            </w:r>
          </w:p>
        </w:tc>
        <w:tc>
          <w:tcPr>
            <w:tcW w:w="380" w:type="dxa"/>
            <w:vAlign w:val="bottom"/>
            <w:shd w:val="clear" w:color="auto" w:fill="EEEEEE"/>
          </w:tcPr>
          <w:p>
            <w:pPr>
              <w:spacing w:after="0"/>
              <w:rPr>
                <w:sz w:val="12"/>
                <w:szCs w:val="12"/>
                <w:color w:val="auto"/>
              </w:rPr>
            </w:pPr>
          </w:p>
        </w:tc>
        <w:tc>
          <w:tcPr>
            <w:tcW w:w="860" w:type="dxa"/>
            <w:vAlign w:val="bottom"/>
            <w:shd w:val="clear" w:color="auto" w:fill="EEEEEE"/>
          </w:tcPr>
          <w:p>
            <w:pPr>
              <w:jc w:val="right"/>
              <w:ind w:right="25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EEEEE"/>
          </w:tcPr>
          <w:p>
            <w:pPr>
              <w:spacing w:after="0"/>
              <w:rPr>
                <w:sz w:val="12"/>
                <w:szCs w:val="12"/>
                <w:color w:val="auto"/>
              </w:rPr>
            </w:pPr>
          </w:p>
        </w:tc>
        <w:tc>
          <w:tcPr>
            <w:tcW w:w="840" w:type="dxa"/>
            <w:vAlign w:val="bottom"/>
            <w:shd w:val="clear" w:color="auto" w:fill="EEEEEE"/>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EEEEE"/>
          </w:tcPr>
          <w:p>
            <w:pPr>
              <w:spacing w:after="0"/>
              <w:rPr>
                <w:sz w:val="12"/>
                <w:szCs w:val="12"/>
                <w:color w:val="auto"/>
              </w:rPr>
            </w:pPr>
          </w:p>
        </w:tc>
        <w:tc>
          <w:tcPr>
            <w:tcW w:w="840" w:type="dxa"/>
            <w:vAlign w:val="bottom"/>
            <w:shd w:val="clear" w:color="auto" w:fill="EEEEEE"/>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EEEEE"/>
          </w:tcPr>
          <w:p>
            <w:pPr>
              <w:spacing w:after="0"/>
              <w:rPr>
                <w:sz w:val="12"/>
                <w:szCs w:val="12"/>
                <w:color w:val="auto"/>
              </w:rPr>
            </w:pPr>
          </w:p>
        </w:tc>
        <w:tc>
          <w:tcPr>
            <w:tcW w:w="780" w:type="dxa"/>
            <w:vAlign w:val="bottom"/>
            <w:shd w:val="clear" w:color="auto" w:fill="EEEEEE"/>
          </w:tcPr>
          <w:p>
            <w:pPr>
              <w:jc w:val="right"/>
              <w:ind w:right="172"/>
              <w:spacing w:after="0" w:line="149" w:lineRule="exact"/>
              <w:rPr>
                <w:sz w:val="20"/>
                <w:szCs w:val="20"/>
                <w:color w:val="auto"/>
              </w:rPr>
            </w:pPr>
            <w:r>
              <w:rPr>
                <w:rFonts w:ascii="Arial" w:cs="Arial" w:eastAsia="Arial" w:hAnsi="Arial"/>
                <w:sz w:val="14"/>
                <w:szCs w:val="14"/>
                <w:color w:val="auto"/>
              </w:rPr>
              <w:t>50,297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20" w:type="dxa"/>
            <w:vAlign w:val="bottom"/>
          </w:tcPr>
          <w:p>
            <w:pPr>
              <w:ind w:left="200"/>
              <w:spacing w:after="0"/>
              <w:rPr>
                <w:sz w:val="20"/>
                <w:szCs w:val="20"/>
                <w:color w:val="auto"/>
              </w:rPr>
            </w:pPr>
            <w:r>
              <w:rPr>
                <w:rFonts w:ascii="Arial" w:cs="Arial" w:eastAsia="Arial" w:hAnsi="Arial"/>
                <w:sz w:val="14"/>
                <w:szCs w:val="14"/>
                <w:color w:val="auto"/>
              </w:rPr>
              <w:t>Common shareholders’ equity</w:t>
            </w:r>
          </w:p>
        </w:tc>
        <w:tc>
          <w:tcPr>
            <w:tcW w:w="220" w:type="dxa"/>
            <w:vAlign w:val="bottom"/>
          </w:tcPr>
          <w:p>
            <w:pPr>
              <w:spacing w:after="0"/>
              <w:rPr>
                <w:sz w:val="14"/>
                <w:szCs w:val="14"/>
                <w:color w:val="auto"/>
              </w:rPr>
            </w:pPr>
          </w:p>
        </w:tc>
        <w:tc>
          <w:tcPr>
            <w:tcW w:w="900" w:type="dxa"/>
            <w:vAlign w:val="bottom"/>
          </w:tcPr>
          <w:p>
            <w:pPr>
              <w:jc w:val="right"/>
              <w:ind w:right="292"/>
              <w:spacing w:after="0"/>
              <w:rPr>
                <w:sz w:val="20"/>
                <w:szCs w:val="20"/>
                <w:color w:val="auto"/>
              </w:rPr>
            </w:pPr>
            <w:r>
              <w:rPr>
                <w:rFonts w:ascii="Arial" w:cs="Arial" w:eastAsia="Arial" w:hAnsi="Arial"/>
                <w:sz w:val="14"/>
                <w:szCs w:val="14"/>
                <w:color w:val="auto"/>
                <w:w w:val="83"/>
              </w:rPr>
              <w:t>1,481,007</w:t>
            </w:r>
          </w:p>
        </w:tc>
        <w:tc>
          <w:tcPr>
            <w:tcW w:w="360" w:type="dxa"/>
            <w:vAlign w:val="bottom"/>
          </w:tcPr>
          <w:p>
            <w:pPr>
              <w:spacing w:after="0"/>
              <w:rPr>
                <w:sz w:val="14"/>
                <w:szCs w:val="14"/>
                <w:color w:val="auto"/>
              </w:rPr>
            </w:pPr>
          </w:p>
        </w:tc>
        <w:tc>
          <w:tcPr>
            <w:tcW w:w="860" w:type="dxa"/>
            <w:vAlign w:val="bottom"/>
          </w:tcPr>
          <w:p>
            <w:pPr>
              <w:jc w:val="right"/>
              <w:ind w:right="252"/>
              <w:spacing w:after="0"/>
              <w:rPr>
                <w:sz w:val="20"/>
                <w:szCs w:val="20"/>
                <w:color w:val="auto"/>
              </w:rPr>
            </w:pPr>
            <w:r>
              <w:rPr>
                <w:rFonts w:ascii="Arial" w:cs="Arial" w:eastAsia="Arial" w:hAnsi="Arial"/>
                <w:sz w:val="14"/>
                <w:szCs w:val="14"/>
                <w:color w:val="auto"/>
                <w:w w:val="83"/>
              </w:rPr>
              <w:t>1,367,790</w:t>
            </w:r>
          </w:p>
        </w:tc>
        <w:tc>
          <w:tcPr>
            <w:tcW w:w="340" w:type="dxa"/>
            <w:vAlign w:val="bottom"/>
          </w:tcPr>
          <w:p>
            <w:pPr>
              <w:spacing w:after="0"/>
              <w:rPr>
                <w:sz w:val="14"/>
                <w:szCs w:val="14"/>
                <w:color w:val="auto"/>
              </w:rPr>
            </w:pPr>
          </w:p>
        </w:tc>
        <w:tc>
          <w:tcPr>
            <w:tcW w:w="840" w:type="dxa"/>
            <w:vAlign w:val="bottom"/>
          </w:tcPr>
          <w:p>
            <w:pPr>
              <w:jc w:val="right"/>
              <w:ind w:right="232"/>
              <w:spacing w:after="0"/>
              <w:rPr>
                <w:sz w:val="20"/>
                <w:szCs w:val="20"/>
                <w:color w:val="auto"/>
              </w:rPr>
            </w:pPr>
            <w:r>
              <w:rPr>
                <w:rFonts w:ascii="Arial" w:cs="Arial" w:eastAsia="Arial" w:hAnsi="Arial"/>
                <w:sz w:val="14"/>
                <w:szCs w:val="14"/>
                <w:color w:val="auto"/>
                <w:w w:val="83"/>
              </w:rPr>
              <w:t>1,588,103</w:t>
            </w:r>
          </w:p>
        </w:tc>
        <w:tc>
          <w:tcPr>
            <w:tcW w:w="380" w:type="dxa"/>
            <w:vAlign w:val="bottom"/>
          </w:tcPr>
          <w:p>
            <w:pPr>
              <w:spacing w:after="0"/>
              <w:rPr>
                <w:sz w:val="14"/>
                <w:szCs w:val="14"/>
                <w:color w:val="auto"/>
              </w:rPr>
            </w:pPr>
          </w:p>
        </w:tc>
        <w:tc>
          <w:tcPr>
            <w:tcW w:w="860" w:type="dxa"/>
            <w:vAlign w:val="bottom"/>
          </w:tcPr>
          <w:p>
            <w:pPr>
              <w:jc w:val="right"/>
              <w:ind w:right="252"/>
              <w:spacing w:after="0"/>
              <w:rPr>
                <w:sz w:val="20"/>
                <w:szCs w:val="20"/>
                <w:color w:val="auto"/>
              </w:rPr>
            </w:pPr>
            <w:r>
              <w:rPr>
                <w:rFonts w:ascii="Arial" w:cs="Arial" w:eastAsia="Arial" w:hAnsi="Arial"/>
                <w:sz w:val="14"/>
                <w:szCs w:val="14"/>
                <w:color w:val="auto"/>
                <w:w w:val="83"/>
              </w:rPr>
              <w:t>1,184,074</w:t>
            </w:r>
          </w:p>
        </w:tc>
        <w:tc>
          <w:tcPr>
            <w:tcW w:w="340" w:type="dxa"/>
            <w:vAlign w:val="bottom"/>
          </w:tcPr>
          <w:p>
            <w:pPr>
              <w:spacing w:after="0"/>
              <w:rPr>
                <w:sz w:val="14"/>
                <w:szCs w:val="14"/>
                <w:color w:val="auto"/>
              </w:rPr>
            </w:pPr>
          </w:p>
        </w:tc>
        <w:tc>
          <w:tcPr>
            <w:tcW w:w="840" w:type="dxa"/>
            <w:vAlign w:val="bottom"/>
          </w:tcPr>
          <w:p>
            <w:pPr>
              <w:jc w:val="right"/>
              <w:ind w:right="232"/>
              <w:spacing w:after="0"/>
              <w:rPr>
                <w:sz w:val="20"/>
                <w:szCs w:val="20"/>
                <w:color w:val="auto"/>
              </w:rPr>
            </w:pPr>
            <w:r>
              <w:rPr>
                <w:rFonts w:ascii="Arial" w:cs="Arial" w:eastAsia="Arial" w:hAnsi="Arial"/>
                <w:sz w:val="14"/>
                <w:szCs w:val="14"/>
                <w:color w:val="auto"/>
                <w:w w:val="83"/>
              </w:rPr>
              <w:t>1,322,803</w:t>
            </w:r>
          </w:p>
        </w:tc>
        <w:tc>
          <w:tcPr>
            <w:tcW w:w="360" w:type="dxa"/>
            <w:vAlign w:val="bottom"/>
          </w:tcPr>
          <w:p>
            <w:pPr>
              <w:spacing w:after="0"/>
              <w:rPr>
                <w:sz w:val="14"/>
                <w:szCs w:val="14"/>
                <w:color w:val="auto"/>
              </w:rPr>
            </w:pPr>
          </w:p>
        </w:tc>
        <w:tc>
          <w:tcPr>
            <w:tcW w:w="840" w:type="dxa"/>
            <w:vAlign w:val="bottom"/>
          </w:tcPr>
          <w:p>
            <w:pPr>
              <w:jc w:val="right"/>
              <w:ind w:right="232"/>
              <w:spacing w:after="0"/>
              <w:rPr>
                <w:sz w:val="20"/>
                <w:szCs w:val="20"/>
                <w:color w:val="auto"/>
              </w:rPr>
            </w:pPr>
            <w:r>
              <w:rPr>
                <w:rFonts w:ascii="Arial" w:cs="Arial" w:eastAsia="Arial" w:hAnsi="Arial"/>
                <w:sz w:val="14"/>
                <w:szCs w:val="14"/>
                <w:color w:val="auto"/>
                <w:w w:val="83"/>
              </w:rPr>
              <w:t>1,184,204</w:t>
            </w:r>
          </w:p>
        </w:tc>
        <w:tc>
          <w:tcPr>
            <w:tcW w:w="360" w:type="dxa"/>
            <w:vAlign w:val="bottom"/>
          </w:tcPr>
          <w:p>
            <w:pPr>
              <w:spacing w:after="0"/>
              <w:rPr>
                <w:sz w:val="14"/>
                <w:szCs w:val="14"/>
                <w:color w:val="auto"/>
              </w:rPr>
            </w:pPr>
          </w:p>
        </w:tc>
        <w:tc>
          <w:tcPr>
            <w:tcW w:w="780" w:type="dxa"/>
            <w:vAlign w:val="bottom"/>
          </w:tcPr>
          <w:p>
            <w:pPr>
              <w:jc w:val="right"/>
              <w:ind w:right="172"/>
              <w:spacing w:after="0"/>
              <w:rPr>
                <w:sz w:val="20"/>
                <w:szCs w:val="20"/>
                <w:color w:val="auto"/>
              </w:rPr>
            </w:pPr>
            <w:r>
              <w:rPr>
                <w:rFonts w:ascii="Arial" w:cs="Arial" w:eastAsia="Arial" w:hAnsi="Arial"/>
                <w:sz w:val="14"/>
                <w:szCs w:val="14"/>
                <w:color w:val="auto"/>
                <w:w w:val="83"/>
              </w:rPr>
              <w:t>1,126,933</w:t>
            </w:r>
          </w:p>
        </w:tc>
        <w:tc>
          <w:tcPr>
            <w:tcW w:w="0" w:type="dxa"/>
            <w:vAlign w:val="bottom"/>
          </w:tcPr>
          <w:p>
            <w:pPr>
              <w:spacing w:after="0"/>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 charge of $16.5 million ($1.74 per share) for an early retirement program at The Washington Post newspaper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1999</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 gains of $18.6 million ($1.81 per share) on the sales of marketable equity securities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1998</w:t>
      </w:r>
    </w:p>
    <w:p>
      <w:pPr>
        <w:spacing w:after="0" w:line="21" w:lineRule="exact"/>
        <w:rPr>
          <w:sz w:val="20"/>
          <w:szCs w:val="20"/>
          <w:color w:val="auto"/>
        </w:rPr>
      </w:pPr>
    </w:p>
    <w:p>
      <w:pPr>
        <w:ind w:left="120" w:hanging="112"/>
        <w:spacing w:after="0"/>
        <w:tabs>
          <w:tab w:leader="none" w:pos="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gain of $168.0 million ($16.59 per share) on the disposition of the Company’s 28 percent interest in Cowles Media Company</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gain of $13.8 million ($1.36 per share) from the sale of 14 small cable systems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gain of $12.6 million ($1.24 per share) on the disposition of the Company’s investment in Junglee, a facilitator of internet commerce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1997</w:t>
      </w:r>
    </w:p>
    <w:p>
      <w:pPr>
        <w:spacing w:after="0" w:line="21" w:lineRule="exact"/>
        <w:rPr>
          <w:sz w:val="20"/>
          <w:szCs w:val="20"/>
          <w:color w:val="auto"/>
        </w:rPr>
      </w:pPr>
    </w:p>
    <w:p>
      <w:pPr>
        <w:ind w:left="120" w:right="920" w:hanging="112"/>
        <w:spacing w:after="0" w:line="250" w:lineRule="auto"/>
        <w:tabs>
          <w:tab w:leader="none" w:pos="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gain of $28.4 million ($2.65 per share) from the sale of the Company’s investments in Bear Island Paper Company LP and Bear Island Timberlands Company LP</w:t>
      </w:r>
    </w:p>
    <w:p>
      <w:pPr>
        <w:ind w:left="120" w:hanging="112"/>
        <w:spacing w:after="0"/>
        <w:tabs>
          <w:tab w:leader="none" w:pos="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gain of $16.0 million ($1.50 per share) from the sale of the PASS regional cable sports network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1995</w:t>
      </w:r>
    </w:p>
    <w:p>
      <w:pPr>
        <w:spacing w:after="0" w:line="21" w:lineRule="exact"/>
        <w:rPr>
          <w:sz w:val="20"/>
          <w:szCs w:val="20"/>
          <w:color w:val="auto"/>
        </w:rPr>
      </w:pPr>
    </w:p>
    <w:p>
      <w:pPr>
        <w:ind w:left="120" w:hanging="112"/>
        <w:spacing w:after="0"/>
        <w:tabs>
          <w:tab w:leader="none" w:pos="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gain of $8.4 million ($0.75 per share) from the sale of the Company’s investment in American PCS, LP</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charge of $5.6 million ($0.51 per share) for the write-off of the Company’s interest in Mammoth Micro Productions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1994</w:t>
      </w:r>
    </w:p>
    <w:p>
      <w:pPr>
        <w:spacing w:after="0" w:line="21" w:lineRule="exact"/>
        <w:rPr>
          <w:sz w:val="20"/>
          <w:szCs w:val="20"/>
          <w:color w:val="auto"/>
        </w:rPr>
      </w:pPr>
    </w:p>
    <w:p>
      <w:pPr>
        <w:ind w:left="5620" w:right="4180" w:hanging="5612"/>
        <w:spacing w:after="0" w:line="922" w:lineRule="auto"/>
        <w:tabs>
          <w:tab w:leader="none" w:pos="123" w:val="left"/>
        </w:tabs>
        <w:numPr>
          <w:ilvl w:val="0"/>
          <w:numId w:val="20"/>
        </w:numPr>
        <w:rPr>
          <w:rFonts w:ascii="Arial" w:cs="Arial" w:eastAsia="Arial" w:hAnsi="Arial"/>
          <w:sz w:val="16"/>
          <w:szCs w:val="16"/>
          <w:color w:val="auto"/>
        </w:rPr>
      </w:pPr>
      <w:r>
        <w:rPr>
          <w:rFonts w:ascii="Arial" w:cs="Arial" w:eastAsia="Arial" w:hAnsi="Arial"/>
          <w:sz w:val="16"/>
          <w:szCs w:val="16"/>
          <w:color w:val="auto"/>
        </w:rPr>
        <w:t>gain of $8.1 million ($0.70 per share) on the sale of land at one of the Company’s newsprint affiliates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82" w:name="page83"/>
    <w:bookmarkEnd w:id="82"/>
    <w:p>
      <w:pPr>
        <w:jc w:val="center"/>
        <w:ind w:right="-20"/>
        <w:spacing w:after="0"/>
        <w:rPr>
          <w:sz w:val="20"/>
          <w:szCs w:val="20"/>
          <w:color w:val="auto"/>
        </w:rPr>
      </w:pPr>
      <w:r>
        <w:rPr>
          <w:rFonts w:ascii="Arial" w:cs="Arial" w:eastAsia="Arial" w:hAnsi="Arial"/>
          <w:sz w:val="16"/>
          <w:szCs w:val="16"/>
          <w:color w:val="auto"/>
        </w:rPr>
        <w:t>(This page intentionally left blank)</w:t>
      </w:r>
    </w:p>
    <w:p>
      <w:pPr>
        <w:sectPr>
          <w:pgSz w:w="11900" w:h="16838" w:orient="portrait"/>
          <w:cols w:equalWidth="0" w:num="1">
            <w:col w:w="9019"/>
          </w:cols>
          <w:pgMar w:left="1440" w:top="941" w:right="1440" w:bottom="1440" w:gutter="0" w:footer="0" w:header="0"/>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160655</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41" w:right="1440" w:bottom="1440" w:gutter="0" w:footer="0" w:header="0"/>
          <w:type w:val="continuous"/>
        </w:sectPr>
      </w:pPr>
    </w:p>
    <w:bookmarkStart w:id="83" w:name="page84"/>
    <w:bookmarkEnd w:id="83"/>
    <w:tbl>
      <w:tblPr>
        <w:tblLayout w:type="fixed"/>
        <w:tblInd w:w="0" w:type="dxa"/>
        <w:tblCellMar>
          <w:top w:w="0" w:type="dxa"/>
          <w:left w:w="0" w:type="dxa"/>
          <w:bottom w:w="0" w:type="dxa"/>
          <w:right w:w="0" w:type="dxa"/>
        </w:tblCellMar>
      </w:tblPr>
      <w:tr>
        <w:trPr>
          <w:trHeight w:val="228"/>
        </w:trPr>
        <w:tc>
          <w:tcPr>
            <w:tcW w:w="1560" w:type="dxa"/>
            <w:vAlign w:val="bottom"/>
          </w:tcPr>
          <w:p>
            <w:pPr>
              <w:spacing w:after="0"/>
              <w:rPr>
                <w:sz w:val="19"/>
                <w:szCs w:val="19"/>
                <w:color w:val="auto"/>
              </w:rPr>
            </w:pPr>
          </w:p>
        </w:tc>
        <w:tc>
          <w:tcPr>
            <w:tcW w:w="9860" w:type="dxa"/>
            <w:vAlign w:val="bottom"/>
          </w:tcPr>
          <w:p>
            <w:pPr>
              <w:ind w:left="3280"/>
              <w:spacing w:after="0"/>
              <w:rPr>
                <w:sz w:val="20"/>
                <w:szCs w:val="20"/>
                <w:color w:val="auto"/>
              </w:rPr>
            </w:pPr>
            <w:r>
              <w:rPr>
                <w:rFonts w:ascii="Arial" w:cs="Arial" w:eastAsia="Arial" w:hAnsi="Arial"/>
                <w:sz w:val="18"/>
                <w:szCs w:val="18"/>
                <w:b w:val="1"/>
                <w:bCs w:val="1"/>
                <w:color w:val="auto"/>
              </w:rPr>
              <w:t>INDEX TO EXHIBITS</w:t>
            </w:r>
          </w:p>
        </w:tc>
      </w:tr>
      <w:tr>
        <w:trPr>
          <w:trHeight w:val="636"/>
        </w:trPr>
        <w:tc>
          <w:tcPr>
            <w:tcW w:w="1560" w:type="dxa"/>
            <w:vAlign w:val="bottom"/>
          </w:tcPr>
          <w:p>
            <w:pPr>
              <w:jc w:val="right"/>
              <w:ind w:right="372"/>
              <w:spacing w:after="0"/>
              <w:rPr>
                <w:sz w:val="20"/>
                <w:szCs w:val="20"/>
                <w:color w:val="auto"/>
              </w:rPr>
            </w:pPr>
            <w:r>
              <w:rPr>
                <w:rFonts w:ascii="Arial" w:cs="Arial" w:eastAsia="Arial" w:hAnsi="Arial"/>
                <w:sz w:val="18"/>
                <w:szCs w:val="18"/>
                <w:b w:val="1"/>
                <w:bCs w:val="1"/>
                <w:color w:val="auto"/>
              </w:rPr>
              <w:t>Exhibit</w:t>
            </w:r>
          </w:p>
        </w:tc>
        <w:tc>
          <w:tcPr>
            <w:tcW w:w="9860" w:type="dxa"/>
            <w:vAlign w:val="bottom"/>
          </w:tcPr>
          <w:p>
            <w:pPr>
              <w:spacing w:after="0"/>
              <w:rPr>
                <w:sz w:val="24"/>
                <w:szCs w:val="24"/>
                <w:color w:val="auto"/>
              </w:rPr>
            </w:pPr>
          </w:p>
        </w:tc>
      </w:tr>
      <w:tr>
        <w:trPr>
          <w:trHeight w:val="228"/>
        </w:trPr>
        <w:tc>
          <w:tcPr>
            <w:tcW w:w="1560" w:type="dxa"/>
            <w:vAlign w:val="bottom"/>
          </w:tcPr>
          <w:p>
            <w:pPr>
              <w:jc w:val="right"/>
              <w:ind w:right="332"/>
              <w:spacing w:after="0"/>
              <w:rPr>
                <w:sz w:val="20"/>
                <w:szCs w:val="20"/>
                <w:color w:val="auto"/>
              </w:rPr>
            </w:pPr>
            <w:r>
              <w:rPr>
                <w:rFonts w:ascii="Arial" w:cs="Arial" w:eastAsia="Arial" w:hAnsi="Arial"/>
                <w:sz w:val="18"/>
                <w:szCs w:val="18"/>
                <w:b w:val="1"/>
                <w:bCs w:val="1"/>
                <w:color w:val="auto"/>
              </w:rPr>
              <w:t>Number</w:t>
            </w:r>
          </w:p>
        </w:tc>
        <w:tc>
          <w:tcPr>
            <w:tcW w:w="9860" w:type="dxa"/>
            <w:vAlign w:val="bottom"/>
          </w:tcPr>
          <w:p>
            <w:pPr>
              <w:ind w:left="4700"/>
              <w:spacing w:after="0"/>
              <w:rPr>
                <w:sz w:val="20"/>
                <w:szCs w:val="20"/>
                <w:color w:val="auto"/>
              </w:rPr>
            </w:pPr>
            <w:r>
              <w:rPr>
                <w:rFonts w:ascii="Arial" w:cs="Arial" w:eastAsia="Arial" w:hAnsi="Arial"/>
                <w:sz w:val="18"/>
                <w:szCs w:val="18"/>
                <w:b w:val="1"/>
                <w:bCs w:val="1"/>
                <w:color w:val="auto"/>
              </w:rPr>
              <w:t>Description</w:t>
            </w:r>
          </w:p>
        </w:tc>
      </w:tr>
      <w:tr>
        <w:trPr>
          <w:trHeight w:val="110"/>
        </w:trPr>
        <w:tc>
          <w:tcPr>
            <w:tcW w:w="1560" w:type="dxa"/>
            <w:vAlign w:val="bottom"/>
            <w:tcBorders>
              <w:bottom w:val="single" w:sz="8" w:color="808080"/>
            </w:tcBorders>
          </w:tcPr>
          <w:p>
            <w:pPr>
              <w:spacing w:after="0"/>
              <w:rPr>
                <w:sz w:val="9"/>
                <w:szCs w:val="9"/>
                <w:color w:val="auto"/>
              </w:rPr>
            </w:pPr>
          </w:p>
        </w:tc>
        <w:tc>
          <w:tcPr>
            <w:tcW w:w="9860" w:type="dxa"/>
            <w:vAlign w:val="bottom"/>
            <w:tcBorders>
              <w:bottom w:val="single" w:sz="8" w:color="808080"/>
            </w:tcBorders>
          </w:tcPr>
          <w:p>
            <w:pPr>
              <w:spacing w:after="0"/>
              <w:rPr>
                <w:sz w:val="9"/>
                <w:szCs w:val="9"/>
                <w:color w:val="auto"/>
              </w:rPr>
            </w:pPr>
          </w:p>
        </w:tc>
      </w:tr>
      <w:tr>
        <w:trPr>
          <w:trHeight w:val="316"/>
        </w:trPr>
        <w:tc>
          <w:tcPr>
            <w:tcW w:w="1560" w:type="dxa"/>
            <w:vAlign w:val="bottom"/>
          </w:tcPr>
          <w:p>
            <w:pPr>
              <w:jc w:val="right"/>
              <w:ind w:right="372"/>
              <w:spacing w:after="0"/>
              <w:rPr>
                <w:sz w:val="20"/>
                <w:szCs w:val="20"/>
                <w:color w:val="auto"/>
              </w:rPr>
            </w:pPr>
            <w:r>
              <w:rPr>
                <w:rFonts w:ascii="Arial" w:cs="Arial" w:eastAsia="Arial" w:hAnsi="Arial"/>
                <w:sz w:val="18"/>
                <w:szCs w:val="18"/>
                <w:color w:val="auto"/>
              </w:rPr>
              <w:t>3.1</w:t>
            </w:r>
          </w:p>
        </w:tc>
        <w:tc>
          <w:tcPr>
            <w:tcW w:w="9860" w:type="dxa"/>
            <w:vAlign w:val="bottom"/>
          </w:tcPr>
          <w:p>
            <w:pPr>
              <w:ind w:left="420"/>
              <w:spacing w:after="0"/>
              <w:rPr>
                <w:sz w:val="20"/>
                <w:szCs w:val="20"/>
                <w:color w:val="auto"/>
              </w:rPr>
            </w:pPr>
            <w:r>
              <w:rPr>
                <w:rFonts w:ascii="Arial" w:cs="Arial" w:eastAsia="Arial" w:hAnsi="Arial"/>
                <w:sz w:val="18"/>
                <w:szCs w:val="18"/>
                <w:color w:val="auto"/>
              </w:rPr>
              <w:t>Restated Certificate of Incorporation of the Company dated November 13, 2003.</w:t>
            </w:r>
          </w:p>
        </w:tc>
      </w:tr>
      <w:tr>
        <w:trPr>
          <w:trHeight w:val="426"/>
        </w:trPr>
        <w:tc>
          <w:tcPr>
            <w:tcW w:w="1560" w:type="dxa"/>
            <w:vAlign w:val="bottom"/>
          </w:tcPr>
          <w:p>
            <w:pPr>
              <w:jc w:val="right"/>
              <w:ind w:right="372"/>
              <w:spacing w:after="0"/>
              <w:rPr>
                <w:sz w:val="20"/>
                <w:szCs w:val="20"/>
                <w:color w:val="auto"/>
              </w:rPr>
            </w:pPr>
            <w:r>
              <w:rPr>
                <w:rFonts w:ascii="Arial" w:cs="Arial" w:eastAsia="Arial" w:hAnsi="Arial"/>
                <w:sz w:val="18"/>
                <w:szCs w:val="18"/>
                <w:color w:val="auto"/>
              </w:rPr>
              <w:t>3.2</w:t>
            </w:r>
          </w:p>
        </w:tc>
        <w:tc>
          <w:tcPr>
            <w:tcW w:w="9860" w:type="dxa"/>
            <w:vAlign w:val="bottom"/>
          </w:tcPr>
          <w:p>
            <w:pPr>
              <w:ind w:left="420"/>
              <w:spacing w:after="0"/>
              <w:rPr>
                <w:sz w:val="20"/>
                <w:szCs w:val="20"/>
                <w:color w:val="auto"/>
              </w:rPr>
            </w:pPr>
            <w:r>
              <w:rPr>
                <w:rFonts w:ascii="Arial" w:cs="Arial" w:eastAsia="Arial" w:hAnsi="Arial"/>
                <w:sz w:val="18"/>
                <w:szCs w:val="18"/>
                <w:color w:val="auto"/>
                <w:w w:val="93"/>
              </w:rPr>
              <w:t>Certificate of Designation for the Company’s Series A Preferred Stock dated September 22, 2003 (incorporated by reference to</w:t>
            </w:r>
          </w:p>
        </w:tc>
      </w:tr>
      <w:tr>
        <w:trPr>
          <w:trHeight w:val="222"/>
        </w:trPr>
        <w:tc>
          <w:tcPr>
            <w:tcW w:w="1560" w:type="dxa"/>
            <w:vAlign w:val="bottom"/>
          </w:tcPr>
          <w:p>
            <w:pPr>
              <w:spacing w:after="0"/>
              <w:rPr>
                <w:sz w:val="19"/>
                <w:szCs w:val="19"/>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rPr>
              <w:t>Exhibit 3.2 to Amendment No. 1 to the Company’s Current Report on Form 8-K dated September 22, 2003).</w:t>
            </w:r>
          </w:p>
        </w:tc>
      </w:tr>
      <w:tr>
        <w:trPr>
          <w:trHeight w:val="426"/>
        </w:trPr>
        <w:tc>
          <w:tcPr>
            <w:tcW w:w="1560" w:type="dxa"/>
            <w:vAlign w:val="bottom"/>
          </w:tcPr>
          <w:p>
            <w:pPr>
              <w:jc w:val="right"/>
              <w:ind w:right="372"/>
              <w:spacing w:after="0"/>
              <w:rPr>
                <w:sz w:val="20"/>
                <w:szCs w:val="20"/>
                <w:color w:val="auto"/>
              </w:rPr>
            </w:pPr>
            <w:r>
              <w:rPr>
                <w:rFonts w:ascii="Arial" w:cs="Arial" w:eastAsia="Arial" w:hAnsi="Arial"/>
                <w:sz w:val="18"/>
                <w:szCs w:val="18"/>
                <w:color w:val="auto"/>
              </w:rPr>
              <w:t>3.3</w:t>
            </w:r>
          </w:p>
        </w:tc>
        <w:tc>
          <w:tcPr>
            <w:tcW w:w="9860" w:type="dxa"/>
            <w:vAlign w:val="bottom"/>
          </w:tcPr>
          <w:p>
            <w:pPr>
              <w:ind w:left="420"/>
              <w:spacing w:after="0"/>
              <w:rPr>
                <w:sz w:val="20"/>
                <w:szCs w:val="20"/>
                <w:color w:val="auto"/>
              </w:rPr>
            </w:pPr>
            <w:r>
              <w:rPr>
                <w:rFonts w:ascii="Arial" w:cs="Arial" w:eastAsia="Arial" w:hAnsi="Arial"/>
                <w:sz w:val="18"/>
                <w:szCs w:val="18"/>
                <w:color w:val="auto"/>
                <w:w w:val="92"/>
              </w:rPr>
              <w:t>By-Laws of the Company as amended and restated through September 22, 2003 (incorporated by reference to Exhibit 3.4 to the</w:t>
            </w:r>
          </w:p>
        </w:tc>
      </w:tr>
      <w:tr>
        <w:trPr>
          <w:trHeight w:val="222"/>
        </w:trPr>
        <w:tc>
          <w:tcPr>
            <w:tcW w:w="1560" w:type="dxa"/>
            <w:vAlign w:val="bottom"/>
          </w:tcPr>
          <w:p>
            <w:pPr>
              <w:spacing w:after="0"/>
              <w:rPr>
                <w:sz w:val="19"/>
                <w:szCs w:val="19"/>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rPr>
              <w:t>Company’s Current Report on Form 8-K dated September 22, 2003).</w:t>
            </w:r>
          </w:p>
        </w:tc>
      </w:tr>
      <w:tr>
        <w:trPr>
          <w:trHeight w:val="426"/>
        </w:trPr>
        <w:tc>
          <w:tcPr>
            <w:tcW w:w="1560" w:type="dxa"/>
            <w:vAlign w:val="bottom"/>
          </w:tcPr>
          <w:p>
            <w:pPr>
              <w:jc w:val="right"/>
              <w:ind w:right="372"/>
              <w:spacing w:after="0"/>
              <w:rPr>
                <w:sz w:val="20"/>
                <w:szCs w:val="20"/>
                <w:color w:val="auto"/>
              </w:rPr>
            </w:pPr>
            <w:r>
              <w:rPr>
                <w:rFonts w:ascii="Arial" w:cs="Arial" w:eastAsia="Arial" w:hAnsi="Arial"/>
                <w:sz w:val="18"/>
                <w:szCs w:val="18"/>
                <w:color w:val="auto"/>
              </w:rPr>
              <w:t>4.1</w:t>
            </w:r>
          </w:p>
        </w:tc>
        <w:tc>
          <w:tcPr>
            <w:tcW w:w="9860" w:type="dxa"/>
            <w:vAlign w:val="bottom"/>
          </w:tcPr>
          <w:p>
            <w:pPr>
              <w:ind w:left="420"/>
              <w:spacing w:after="0"/>
              <w:rPr>
                <w:sz w:val="20"/>
                <w:szCs w:val="20"/>
                <w:color w:val="auto"/>
              </w:rPr>
            </w:pPr>
            <w:r>
              <w:rPr>
                <w:rFonts w:ascii="Arial" w:cs="Arial" w:eastAsia="Arial" w:hAnsi="Arial"/>
                <w:sz w:val="18"/>
                <w:szCs w:val="18"/>
                <w:color w:val="auto"/>
                <w:w w:val="88"/>
              </w:rPr>
              <w:t>Form of the Company’s 5.50% Notes due February 15, 2009, issued under the Indenture dated as of February 17, 1999, between the</w:t>
            </w:r>
          </w:p>
        </w:tc>
      </w:tr>
      <w:tr>
        <w:trPr>
          <w:trHeight w:val="216"/>
        </w:trPr>
        <w:tc>
          <w:tcPr>
            <w:tcW w:w="1560" w:type="dxa"/>
            <w:vAlign w:val="bottom"/>
          </w:tcPr>
          <w:p>
            <w:pPr>
              <w:spacing w:after="0"/>
              <w:rPr>
                <w:sz w:val="18"/>
                <w:szCs w:val="18"/>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w w:val="92"/>
              </w:rPr>
              <w:t>Company and The First National Bank of Chicago, as Trustee (incorporated by reference to Exhibit 4.2 to the Company’s Annual</w:t>
            </w:r>
          </w:p>
        </w:tc>
      </w:tr>
      <w:tr>
        <w:trPr>
          <w:trHeight w:val="222"/>
        </w:trPr>
        <w:tc>
          <w:tcPr>
            <w:tcW w:w="1560" w:type="dxa"/>
            <w:vAlign w:val="bottom"/>
          </w:tcPr>
          <w:p>
            <w:pPr>
              <w:spacing w:after="0"/>
              <w:rPr>
                <w:sz w:val="19"/>
                <w:szCs w:val="19"/>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rPr>
              <w:t>Report on Form 10-K for the fiscal year ended January 3, 1999).</w:t>
            </w:r>
          </w:p>
        </w:tc>
      </w:tr>
      <w:tr>
        <w:trPr>
          <w:trHeight w:val="426"/>
        </w:trPr>
        <w:tc>
          <w:tcPr>
            <w:tcW w:w="1560" w:type="dxa"/>
            <w:vAlign w:val="bottom"/>
          </w:tcPr>
          <w:p>
            <w:pPr>
              <w:jc w:val="right"/>
              <w:ind w:right="372"/>
              <w:spacing w:after="0"/>
              <w:rPr>
                <w:sz w:val="20"/>
                <w:szCs w:val="20"/>
                <w:color w:val="auto"/>
              </w:rPr>
            </w:pPr>
            <w:r>
              <w:rPr>
                <w:rFonts w:ascii="Arial" w:cs="Arial" w:eastAsia="Arial" w:hAnsi="Arial"/>
                <w:sz w:val="18"/>
                <w:szCs w:val="18"/>
                <w:color w:val="auto"/>
              </w:rPr>
              <w:t>4.2</w:t>
            </w:r>
          </w:p>
        </w:tc>
        <w:tc>
          <w:tcPr>
            <w:tcW w:w="9860" w:type="dxa"/>
            <w:vAlign w:val="bottom"/>
          </w:tcPr>
          <w:p>
            <w:pPr>
              <w:ind w:left="420"/>
              <w:spacing w:after="0"/>
              <w:rPr>
                <w:sz w:val="20"/>
                <w:szCs w:val="20"/>
                <w:color w:val="auto"/>
              </w:rPr>
            </w:pPr>
            <w:r>
              <w:rPr>
                <w:rFonts w:ascii="Arial" w:cs="Arial" w:eastAsia="Arial" w:hAnsi="Arial"/>
                <w:sz w:val="18"/>
                <w:szCs w:val="18"/>
                <w:color w:val="auto"/>
                <w:w w:val="88"/>
              </w:rPr>
              <w:t>Indenture dated as of February 17, 1999, between the Company and The First National Bank of Chicago, as Trustee (incorporated by</w:t>
            </w:r>
          </w:p>
        </w:tc>
      </w:tr>
      <w:tr>
        <w:trPr>
          <w:trHeight w:val="222"/>
        </w:trPr>
        <w:tc>
          <w:tcPr>
            <w:tcW w:w="1560" w:type="dxa"/>
            <w:vAlign w:val="bottom"/>
          </w:tcPr>
          <w:p>
            <w:pPr>
              <w:spacing w:after="0"/>
              <w:rPr>
                <w:sz w:val="19"/>
                <w:szCs w:val="19"/>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rPr>
              <w:t>reference to Exhibit 4.3 to the Company’s Annual Report on Form 10-K for the fiscal year ended January 3, 1999).</w:t>
            </w:r>
          </w:p>
        </w:tc>
      </w:tr>
      <w:tr>
        <w:trPr>
          <w:trHeight w:val="426"/>
        </w:trPr>
        <w:tc>
          <w:tcPr>
            <w:tcW w:w="1560" w:type="dxa"/>
            <w:vAlign w:val="bottom"/>
          </w:tcPr>
          <w:p>
            <w:pPr>
              <w:jc w:val="right"/>
              <w:ind w:right="372"/>
              <w:spacing w:after="0"/>
              <w:rPr>
                <w:sz w:val="20"/>
                <w:szCs w:val="20"/>
                <w:color w:val="auto"/>
              </w:rPr>
            </w:pPr>
            <w:r>
              <w:rPr>
                <w:rFonts w:ascii="Arial" w:cs="Arial" w:eastAsia="Arial" w:hAnsi="Arial"/>
                <w:sz w:val="18"/>
                <w:szCs w:val="18"/>
                <w:color w:val="auto"/>
              </w:rPr>
              <w:t>4.3</w:t>
            </w:r>
          </w:p>
        </w:tc>
        <w:tc>
          <w:tcPr>
            <w:tcW w:w="9860" w:type="dxa"/>
            <w:vAlign w:val="bottom"/>
          </w:tcPr>
          <w:p>
            <w:pPr>
              <w:ind w:left="420"/>
              <w:spacing w:after="0"/>
              <w:rPr>
                <w:sz w:val="20"/>
                <w:szCs w:val="20"/>
                <w:color w:val="auto"/>
              </w:rPr>
            </w:pPr>
            <w:r>
              <w:rPr>
                <w:rFonts w:ascii="Arial" w:cs="Arial" w:eastAsia="Arial" w:hAnsi="Arial"/>
                <w:sz w:val="18"/>
                <w:szCs w:val="18"/>
                <w:color w:val="auto"/>
                <w:w w:val="92"/>
              </w:rPr>
              <w:t>First Supplemental Indenture dated as of September 22, 2003, among WP Company LLC, the Company and Bank One, NA, as</w:t>
            </w:r>
          </w:p>
        </w:tc>
      </w:tr>
      <w:tr>
        <w:trPr>
          <w:trHeight w:val="216"/>
        </w:trPr>
        <w:tc>
          <w:tcPr>
            <w:tcW w:w="1560" w:type="dxa"/>
            <w:vAlign w:val="bottom"/>
          </w:tcPr>
          <w:p>
            <w:pPr>
              <w:spacing w:after="0"/>
              <w:rPr>
                <w:sz w:val="18"/>
                <w:szCs w:val="18"/>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w w:val="87"/>
              </w:rPr>
              <w:t>successor to the First National Bank of Chicago, as Trustee, to the Indenture dated as of February 17, 1999, between The Washington</w:t>
            </w:r>
          </w:p>
        </w:tc>
      </w:tr>
      <w:tr>
        <w:trPr>
          <w:trHeight w:val="216"/>
        </w:trPr>
        <w:tc>
          <w:tcPr>
            <w:tcW w:w="1560" w:type="dxa"/>
            <w:vAlign w:val="bottom"/>
          </w:tcPr>
          <w:p>
            <w:pPr>
              <w:spacing w:after="0"/>
              <w:rPr>
                <w:sz w:val="18"/>
                <w:szCs w:val="18"/>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w w:val="93"/>
              </w:rPr>
              <w:t>Post Company and The First National Bank of Chicago, as Trustee (incorporated by reference to Exhibit 4.1 to the Company’s</w:t>
            </w:r>
          </w:p>
        </w:tc>
      </w:tr>
      <w:tr>
        <w:trPr>
          <w:trHeight w:val="222"/>
        </w:trPr>
        <w:tc>
          <w:tcPr>
            <w:tcW w:w="1560" w:type="dxa"/>
            <w:vAlign w:val="bottom"/>
          </w:tcPr>
          <w:p>
            <w:pPr>
              <w:spacing w:after="0"/>
              <w:rPr>
                <w:sz w:val="19"/>
                <w:szCs w:val="19"/>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rPr>
              <w:t>Current Report on Form 8-K dated September 22, 2003).</w:t>
            </w:r>
          </w:p>
        </w:tc>
      </w:tr>
      <w:tr>
        <w:trPr>
          <w:trHeight w:val="426"/>
        </w:trPr>
        <w:tc>
          <w:tcPr>
            <w:tcW w:w="1560" w:type="dxa"/>
            <w:vAlign w:val="bottom"/>
          </w:tcPr>
          <w:p>
            <w:pPr>
              <w:jc w:val="right"/>
              <w:ind w:right="372"/>
              <w:spacing w:after="0"/>
              <w:rPr>
                <w:sz w:val="20"/>
                <w:szCs w:val="20"/>
                <w:color w:val="auto"/>
              </w:rPr>
            </w:pPr>
            <w:r>
              <w:rPr>
                <w:rFonts w:ascii="Arial" w:cs="Arial" w:eastAsia="Arial" w:hAnsi="Arial"/>
                <w:sz w:val="18"/>
                <w:szCs w:val="18"/>
                <w:color w:val="auto"/>
              </w:rPr>
              <w:t>4.4</w:t>
            </w:r>
          </w:p>
        </w:tc>
        <w:tc>
          <w:tcPr>
            <w:tcW w:w="9860" w:type="dxa"/>
            <w:vAlign w:val="bottom"/>
          </w:tcPr>
          <w:p>
            <w:pPr>
              <w:ind w:left="420"/>
              <w:spacing w:after="0"/>
              <w:rPr>
                <w:sz w:val="20"/>
                <w:szCs w:val="20"/>
                <w:color w:val="auto"/>
              </w:rPr>
            </w:pPr>
            <w:r>
              <w:rPr>
                <w:rFonts w:ascii="Arial" w:cs="Arial" w:eastAsia="Arial" w:hAnsi="Arial"/>
                <w:sz w:val="18"/>
                <w:szCs w:val="18"/>
                <w:color w:val="auto"/>
                <w:w w:val="89"/>
              </w:rPr>
              <w:t>364-Day Credit Agreement dated as of August 13, 2003, among the Company, Citibank, N.A., Wachovia Bank, N.A., SunTrust Bank,</w:t>
            </w:r>
          </w:p>
        </w:tc>
      </w:tr>
      <w:tr>
        <w:trPr>
          <w:trHeight w:val="216"/>
        </w:trPr>
        <w:tc>
          <w:tcPr>
            <w:tcW w:w="1560" w:type="dxa"/>
            <w:vAlign w:val="bottom"/>
          </w:tcPr>
          <w:p>
            <w:pPr>
              <w:spacing w:after="0"/>
              <w:rPr>
                <w:sz w:val="18"/>
                <w:szCs w:val="18"/>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w w:val="89"/>
              </w:rPr>
              <w:t>Bank One, N.A., JPMorgan Chase Bank, The Bank of New York and Riggs Bank N.A.(incorporated by reference to Exhibit 4.2 to the</w:t>
            </w:r>
          </w:p>
        </w:tc>
      </w:tr>
      <w:tr>
        <w:trPr>
          <w:trHeight w:val="222"/>
        </w:trPr>
        <w:tc>
          <w:tcPr>
            <w:tcW w:w="1560" w:type="dxa"/>
            <w:vAlign w:val="bottom"/>
          </w:tcPr>
          <w:p>
            <w:pPr>
              <w:spacing w:after="0"/>
              <w:rPr>
                <w:sz w:val="19"/>
                <w:szCs w:val="19"/>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rPr>
              <w:t>Company’s Current Report on Form 8-K dated September 22, 2003).</w:t>
            </w:r>
          </w:p>
        </w:tc>
      </w:tr>
      <w:tr>
        <w:trPr>
          <w:trHeight w:val="426"/>
        </w:trPr>
        <w:tc>
          <w:tcPr>
            <w:tcW w:w="1560" w:type="dxa"/>
            <w:vAlign w:val="bottom"/>
          </w:tcPr>
          <w:p>
            <w:pPr>
              <w:jc w:val="right"/>
              <w:ind w:right="372"/>
              <w:spacing w:after="0"/>
              <w:rPr>
                <w:sz w:val="20"/>
                <w:szCs w:val="20"/>
                <w:color w:val="auto"/>
              </w:rPr>
            </w:pPr>
            <w:r>
              <w:rPr>
                <w:rFonts w:ascii="Arial" w:cs="Arial" w:eastAsia="Arial" w:hAnsi="Arial"/>
                <w:sz w:val="18"/>
                <w:szCs w:val="18"/>
                <w:color w:val="auto"/>
              </w:rPr>
              <w:t>4.5</w:t>
            </w:r>
          </w:p>
        </w:tc>
        <w:tc>
          <w:tcPr>
            <w:tcW w:w="9860" w:type="dxa"/>
            <w:vAlign w:val="bottom"/>
          </w:tcPr>
          <w:p>
            <w:pPr>
              <w:ind w:left="420"/>
              <w:spacing w:after="0"/>
              <w:rPr>
                <w:sz w:val="20"/>
                <w:szCs w:val="20"/>
                <w:color w:val="auto"/>
              </w:rPr>
            </w:pPr>
            <w:r>
              <w:rPr>
                <w:rFonts w:ascii="Arial" w:cs="Arial" w:eastAsia="Arial" w:hAnsi="Arial"/>
                <w:sz w:val="18"/>
                <w:szCs w:val="18"/>
                <w:color w:val="auto"/>
                <w:w w:val="90"/>
              </w:rPr>
              <w:t>5-Year Credit Agreement dated as of August 14, 2002, among the Company, Citibank, N.A., Wachovia Bank, N.A., SunTrust Bank,</w:t>
            </w:r>
          </w:p>
        </w:tc>
      </w:tr>
      <w:tr>
        <w:trPr>
          <w:trHeight w:val="216"/>
        </w:trPr>
        <w:tc>
          <w:tcPr>
            <w:tcW w:w="1560" w:type="dxa"/>
            <w:vAlign w:val="bottom"/>
          </w:tcPr>
          <w:p>
            <w:pPr>
              <w:spacing w:after="0"/>
              <w:rPr>
                <w:sz w:val="18"/>
                <w:szCs w:val="18"/>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w w:val="91"/>
              </w:rPr>
              <w:t>Bank One, N.A., JPMorgan Chase Bank, The Bank of New York and Riggs Bank N.A. (incorporated by reference to Exhibit 4.4 to</w:t>
            </w:r>
          </w:p>
        </w:tc>
      </w:tr>
      <w:tr>
        <w:trPr>
          <w:trHeight w:val="222"/>
        </w:trPr>
        <w:tc>
          <w:tcPr>
            <w:tcW w:w="1560" w:type="dxa"/>
            <w:vAlign w:val="bottom"/>
          </w:tcPr>
          <w:p>
            <w:pPr>
              <w:spacing w:after="0"/>
              <w:rPr>
                <w:sz w:val="19"/>
                <w:szCs w:val="19"/>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rPr>
              <w:t>the Company’s Quarterly Report on Form 10-Q for the quarter ended September 29, 2002).</w:t>
            </w:r>
          </w:p>
        </w:tc>
      </w:tr>
      <w:tr>
        <w:trPr>
          <w:trHeight w:val="426"/>
        </w:trPr>
        <w:tc>
          <w:tcPr>
            <w:tcW w:w="1560" w:type="dxa"/>
            <w:vAlign w:val="bottom"/>
          </w:tcPr>
          <w:p>
            <w:pPr>
              <w:jc w:val="right"/>
              <w:ind w:right="372"/>
              <w:spacing w:after="0"/>
              <w:rPr>
                <w:sz w:val="20"/>
                <w:szCs w:val="20"/>
                <w:color w:val="auto"/>
              </w:rPr>
            </w:pPr>
            <w:r>
              <w:rPr>
                <w:rFonts w:ascii="Arial" w:cs="Arial" w:eastAsia="Arial" w:hAnsi="Arial"/>
                <w:sz w:val="18"/>
                <w:szCs w:val="18"/>
                <w:color w:val="auto"/>
              </w:rPr>
              <w:t>4.6</w:t>
            </w:r>
          </w:p>
        </w:tc>
        <w:tc>
          <w:tcPr>
            <w:tcW w:w="9860" w:type="dxa"/>
            <w:vAlign w:val="bottom"/>
          </w:tcPr>
          <w:p>
            <w:pPr>
              <w:ind w:left="420"/>
              <w:spacing w:after="0"/>
              <w:rPr>
                <w:sz w:val="20"/>
                <w:szCs w:val="20"/>
                <w:color w:val="auto"/>
              </w:rPr>
            </w:pPr>
            <w:r>
              <w:rPr>
                <w:rFonts w:ascii="Arial" w:cs="Arial" w:eastAsia="Arial" w:hAnsi="Arial"/>
                <w:sz w:val="18"/>
                <w:szCs w:val="18"/>
                <w:color w:val="auto"/>
                <w:w w:val="88"/>
              </w:rPr>
              <w:t>Consent and Amendment No. 1 dated as of August 13, 2003, to the 5-Year Credit Agreement dated as of August 14, 2002, among the</w:t>
            </w:r>
          </w:p>
        </w:tc>
      </w:tr>
      <w:tr>
        <w:trPr>
          <w:trHeight w:val="216"/>
        </w:trPr>
        <w:tc>
          <w:tcPr>
            <w:tcW w:w="1560" w:type="dxa"/>
            <w:vAlign w:val="bottom"/>
          </w:tcPr>
          <w:p>
            <w:pPr>
              <w:spacing w:after="0"/>
              <w:rPr>
                <w:sz w:val="18"/>
                <w:szCs w:val="18"/>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w w:val="89"/>
              </w:rPr>
              <w:t>Company, Citibank, N.A. and the other lenders that are parties to such Credit Agreement (incorporated by reference to Exhibit 4.3 to</w:t>
            </w:r>
          </w:p>
        </w:tc>
      </w:tr>
      <w:tr>
        <w:trPr>
          <w:trHeight w:val="222"/>
        </w:trPr>
        <w:tc>
          <w:tcPr>
            <w:tcW w:w="1560" w:type="dxa"/>
            <w:vAlign w:val="bottom"/>
          </w:tcPr>
          <w:p>
            <w:pPr>
              <w:spacing w:after="0"/>
              <w:rPr>
                <w:sz w:val="19"/>
                <w:szCs w:val="19"/>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rPr>
              <w:t>the Company’s Current Report on Form 8-K dated September 22, 2003).</w:t>
            </w:r>
          </w:p>
        </w:tc>
      </w:tr>
      <w:tr>
        <w:trPr>
          <w:trHeight w:val="426"/>
        </w:trPr>
        <w:tc>
          <w:tcPr>
            <w:tcW w:w="1560" w:type="dxa"/>
            <w:vAlign w:val="bottom"/>
          </w:tcPr>
          <w:p>
            <w:pPr>
              <w:jc w:val="right"/>
              <w:ind w:right="372"/>
              <w:spacing w:after="0"/>
              <w:rPr>
                <w:sz w:val="20"/>
                <w:szCs w:val="20"/>
                <w:color w:val="auto"/>
              </w:rPr>
            </w:pPr>
            <w:r>
              <w:rPr>
                <w:rFonts w:ascii="Arial" w:cs="Arial" w:eastAsia="Arial" w:hAnsi="Arial"/>
                <w:sz w:val="18"/>
                <w:szCs w:val="18"/>
                <w:color w:val="auto"/>
              </w:rPr>
              <w:t>10.1</w:t>
            </w:r>
          </w:p>
        </w:tc>
        <w:tc>
          <w:tcPr>
            <w:tcW w:w="9860" w:type="dxa"/>
            <w:vAlign w:val="bottom"/>
          </w:tcPr>
          <w:p>
            <w:pPr>
              <w:ind w:left="420"/>
              <w:spacing w:after="0"/>
              <w:rPr>
                <w:sz w:val="20"/>
                <w:szCs w:val="20"/>
                <w:color w:val="auto"/>
              </w:rPr>
            </w:pPr>
            <w:r>
              <w:rPr>
                <w:rFonts w:ascii="Arial" w:cs="Arial" w:eastAsia="Arial" w:hAnsi="Arial"/>
                <w:sz w:val="18"/>
                <w:szCs w:val="18"/>
                <w:color w:val="auto"/>
                <w:w w:val="88"/>
              </w:rPr>
              <w:t>The Washington Post Company Annual Incentive Compensation Plan as amended and restated effective June 30, 1995 (incorporated</w:t>
            </w:r>
          </w:p>
        </w:tc>
      </w:tr>
      <w:tr>
        <w:trPr>
          <w:trHeight w:val="222"/>
        </w:trPr>
        <w:tc>
          <w:tcPr>
            <w:tcW w:w="1560" w:type="dxa"/>
            <w:vAlign w:val="bottom"/>
          </w:tcPr>
          <w:p>
            <w:pPr>
              <w:spacing w:after="0"/>
              <w:rPr>
                <w:sz w:val="19"/>
                <w:szCs w:val="19"/>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rPr>
              <w:t>by reference to Exhibit 10.1 to the Company’s Quarterly Report on Form 10-Q for the quarter ended March 31, 1996).*</w:t>
            </w:r>
          </w:p>
        </w:tc>
      </w:tr>
      <w:tr>
        <w:trPr>
          <w:trHeight w:val="426"/>
        </w:trPr>
        <w:tc>
          <w:tcPr>
            <w:tcW w:w="1560" w:type="dxa"/>
            <w:vAlign w:val="bottom"/>
          </w:tcPr>
          <w:p>
            <w:pPr>
              <w:jc w:val="right"/>
              <w:ind w:right="372"/>
              <w:spacing w:after="0"/>
              <w:rPr>
                <w:sz w:val="20"/>
                <w:szCs w:val="20"/>
                <w:color w:val="auto"/>
              </w:rPr>
            </w:pPr>
            <w:r>
              <w:rPr>
                <w:rFonts w:ascii="Arial" w:cs="Arial" w:eastAsia="Arial" w:hAnsi="Arial"/>
                <w:sz w:val="18"/>
                <w:szCs w:val="18"/>
                <w:color w:val="auto"/>
              </w:rPr>
              <w:t>10.2</w:t>
            </w:r>
          </w:p>
        </w:tc>
        <w:tc>
          <w:tcPr>
            <w:tcW w:w="9860" w:type="dxa"/>
            <w:vAlign w:val="bottom"/>
          </w:tcPr>
          <w:p>
            <w:pPr>
              <w:ind w:left="420"/>
              <w:spacing w:after="0"/>
              <w:rPr>
                <w:sz w:val="20"/>
                <w:szCs w:val="20"/>
                <w:color w:val="auto"/>
              </w:rPr>
            </w:pPr>
            <w:r>
              <w:rPr>
                <w:rFonts w:ascii="Arial" w:cs="Arial" w:eastAsia="Arial" w:hAnsi="Arial"/>
                <w:sz w:val="18"/>
                <w:szCs w:val="18"/>
                <w:color w:val="auto"/>
                <w:w w:val="95"/>
              </w:rPr>
              <w:t>The Washington Post Company Long-Term Incentive Compensation Plan as amended and restated effective March 9, 2000</w:t>
            </w:r>
          </w:p>
        </w:tc>
      </w:tr>
      <w:tr>
        <w:trPr>
          <w:trHeight w:val="216"/>
        </w:trPr>
        <w:tc>
          <w:tcPr>
            <w:tcW w:w="1560" w:type="dxa"/>
            <w:vAlign w:val="bottom"/>
          </w:tcPr>
          <w:p>
            <w:pPr>
              <w:spacing w:after="0"/>
              <w:rPr>
                <w:sz w:val="18"/>
                <w:szCs w:val="18"/>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w w:val="94"/>
              </w:rPr>
              <w:t>(incorporated by reference to Exhibit 10.2 to the Company’s Annual Report on Form 10-K for the fiscal year ended January 2,</w:t>
            </w:r>
          </w:p>
        </w:tc>
      </w:tr>
      <w:tr>
        <w:trPr>
          <w:trHeight w:val="222"/>
        </w:trPr>
        <w:tc>
          <w:tcPr>
            <w:tcW w:w="1560" w:type="dxa"/>
            <w:vAlign w:val="bottom"/>
          </w:tcPr>
          <w:p>
            <w:pPr>
              <w:spacing w:after="0"/>
              <w:rPr>
                <w:sz w:val="19"/>
                <w:szCs w:val="19"/>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rPr>
              <w:t>2000).*</w:t>
            </w:r>
          </w:p>
        </w:tc>
      </w:tr>
      <w:tr>
        <w:trPr>
          <w:trHeight w:val="426"/>
        </w:trPr>
        <w:tc>
          <w:tcPr>
            <w:tcW w:w="1560" w:type="dxa"/>
            <w:vAlign w:val="bottom"/>
          </w:tcPr>
          <w:p>
            <w:pPr>
              <w:jc w:val="right"/>
              <w:ind w:right="372"/>
              <w:spacing w:after="0"/>
              <w:rPr>
                <w:sz w:val="20"/>
                <w:szCs w:val="20"/>
                <w:color w:val="auto"/>
              </w:rPr>
            </w:pPr>
            <w:r>
              <w:rPr>
                <w:rFonts w:ascii="Arial" w:cs="Arial" w:eastAsia="Arial" w:hAnsi="Arial"/>
                <w:sz w:val="18"/>
                <w:szCs w:val="18"/>
                <w:color w:val="auto"/>
              </w:rPr>
              <w:t>10.3</w:t>
            </w:r>
          </w:p>
        </w:tc>
        <w:tc>
          <w:tcPr>
            <w:tcW w:w="9860" w:type="dxa"/>
            <w:vAlign w:val="bottom"/>
          </w:tcPr>
          <w:p>
            <w:pPr>
              <w:ind w:left="420"/>
              <w:spacing w:after="0"/>
              <w:rPr>
                <w:sz w:val="20"/>
                <w:szCs w:val="20"/>
                <w:color w:val="auto"/>
              </w:rPr>
            </w:pPr>
            <w:r>
              <w:rPr>
                <w:rFonts w:ascii="Arial" w:cs="Arial" w:eastAsia="Arial" w:hAnsi="Arial"/>
                <w:sz w:val="18"/>
                <w:szCs w:val="18"/>
                <w:color w:val="auto"/>
                <w:w w:val="91"/>
              </w:rPr>
              <w:t>The Washington Post Company Stock Option Plan as amended and restated effective May 31, 2003 (incorporated by reference to</w:t>
            </w:r>
          </w:p>
        </w:tc>
      </w:tr>
      <w:tr>
        <w:trPr>
          <w:trHeight w:val="222"/>
        </w:trPr>
        <w:tc>
          <w:tcPr>
            <w:tcW w:w="1560" w:type="dxa"/>
            <w:vAlign w:val="bottom"/>
          </w:tcPr>
          <w:p>
            <w:pPr>
              <w:spacing w:after="0"/>
              <w:rPr>
                <w:sz w:val="19"/>
                <w:szCs w:val="19"/>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rPr>
              <w:t>Exhibit 10.1 to the Company’s Quarterly Report on Form 10-Q for the quarter ended September 28, 2003).*</w:t>
            </w:r>
          </w:p>
        </w:tc>
      </w:tr>
      <w:tr>
        <w:trPr>
          <w:trHeight w:val="426"/>
        </w:trPr>
        <w:tc>
          <w:tcPr>
            <w:tcW w:w="1560" w:type="dxa"/>
            <w:vAlign w:val="bottom"/>
          </w:tcPr>
          <w:p>
            <w:pPr>
              <w:jc w:val="right"/>
              <w:ind w:right="372"/>
              <w:spacing w:after="0"/>
              <w:rPr>
                <w:sz w:val="20"/>
                <w:szCs w:val="20"/>
                <w:color w:val="auto"/>
              </w:rPr>
            </w:pPr>
            <w:r>
              <w:rPr>
                <w:rFonts w:ascii="Arial" w:cs="Arial" w:eastAsia="Arial" w:hAnsi="Arial"/>
                <w:sz w:val="18"/>
                <w:szCs w:val="18"/>
                <w:color w:val="auto"/>
              </w:rPr>
              <w:t>10.4</w:t>
            </w:r>
          </w:p>
        </w:tc>
        <w:tc>
          <w:tcPr>
            <w:tcW w:w="9860" w:type="dxa"/>
            <w:vAlign w:val="bottom"/>
          </w:tcPr>
          <w:p>
            <w:pPr>
              <w:ind w:left="420"/>
              <w:spacing w:after="0"/>
              <w:rPr>
                <w:sz w:val="20"/>
                <w:szCs w:val="20"/>
                <w:color w:val="auto"/>
              </w:rPr>
            </w:pPr>
            <w:r>
              <w:rPr>
                <w:rFonts w:ascii="Arial" w:cs="Arial" w:eastAsia="Arial" w:hAnsi="Arial"/>
                <w:sz w:val="18"/>
                <w:szCs w:val="18"/>
                <w:color w:val="auto"/>
                <w:w w:val="95"/>
              </w:rPr>
              <w:t>The Washington Post Company Supplemental Executive Retirement Plan as amended and restated through March 14, 2002</w:t>
            </w:r>
          </w:p>
        </w:tc>
      </w:tr>
      <w:tr>
        <w:trPr>
          <w:trHeight w:val="216"/>
        </w:trPr>
        <w:tc>
          <w:tcPr>
            <w:tcW w:w="1560" w:type="dxa"/>
            <w:vAlign w:val="bottom"/>
          </w:tcPr>
          <w:p>
            <w:pPr>
              <w:spacing w:after="0"/>
              <w:rPr>
                <w:sz w:val="18"/>
                <w:szCs w:val="18"/>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w w:val="91"/>
              </w:rPr>
              <w:t>(incorporated by reference to Exhibit 10.4 to the Company’s Annual Report on Form 10-K for the fiscal year ended December 30,</w:t>
            </w:r>
          </w:p>
        </w:tc>
      </w:tr>
      <w:tr>
        <w:trPr>
          <w:trHeight w:val="222"/>
        </w:trPr>
        <w:tc>
          <w:tcPr>
            <w:tcW w:w="1560" w:type="dxa"/>
            <w:vAlign w:val="bottom"/>
          </w:tcPr>
          <w:p>
            <w:pPr>
              <w:spacing w:after="0"/>
              <w:rPr>
                <w:sz w:val="19"/>
                <w:szCs w:val="19"/>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rPr>
              <w:t>2001).*</w:t>
            </w:r>
          </w:p>
        </w:tc>
      </w:tr>
      <w:tr>
        <w:trPr>
          <w:trHeight w:val="426"/>
        </w:trPr>
        <w:tc>
          <w:tcPr>
            <w:tcW w:w="1560" w:type="dxa"/>
            <w:vAlign w:val="bottom"/>
          </w:tcPr>
          <w:p>
            <w:pPr>
              <w:jc w:val="right"/>
              <w:ind w:right="372"/>
              <w:spacing w:after="0"/>
              <w:rPr>
                <w:sz w:val="20"/>
                <w:szCs w:val="20"/>
                <w:color w:val="auto"/>
              </w:rPr>
            </w:pPr>
            <w:r>
              <w:rPr>
                <w:rFonts w:ascii="Arial" w:cs="Arial" w:eastAsia="Arial" w:hAnsi="Arial"/>
                <w:sz w:val="18"/>
                <w:szCs w:val="18"/>
                <w:color w:val="auto"/>
              </w:rPr>
              <w:t>10.5</w:t>
            </w:r>
          </w:p>
        </w:tc>
        <w:tc>
          <w:tcPr>
            <w:tcW w:w="9860" w:type="dxa"/>
            <w:vAlign w:val="bottom"/>
          </w:tcPr>
          <w:p>
            <w:pPr>
              <w:ind w:left="420"/>
              <w:spacing w:after="0"/>
              <w:rPr>
                <w:sz w:val="20"/>
                <w:szCs w:val="20"/>
                <w:color w:val="auto"/>
              </w:rPr>
            </w:pPr>
            <w:r>
              <w:rPr>
                <w:rFonts w:ascii="Arial" w:cs="Arial" w:eastAsia="Arial" w:hAnsi="Arial"/>
                <w:sz w:val="18"/>
                <w:szCs w:val="18"/>
                <w:color w:val="auto"/>
                <w:w w:val="91"/>
              </w:rPr>
              <w:t>The Washington Post Company Deferred Compensation Plan as amended and restated effective March 9, 2000 (incorporated by</w:t>
            </w:r>
          </w:p>
        </w:tc>
      </w:tr>
      <w:tr>
        <w:trPr>
          <w:trHeight w:val="222"/>
        </w:trPr>
        <w:tc>
          <w:tcPr>
            <w:tcW w:w="1560" w:type="dxa"/>
            <w:vAlign w:val="bottom"/>
          </w:tcPr>
          <w:p>
            <w:pPr>
              <w:spacing w:after="0"/>
              <w:rPr>
                <w:sz w:val="19"/>
                <w:szCs w:val="19"/>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rPr>
              <w:t>reference to Exhibit 10.5 to the Company’s Annual Report on Form 10-K for the fiscal year ended January 2, 2000).*</w:t>
            </w:r>
          </w:p>
        </w:tc>
      </w:tr>
      <w:tr>
        <w:trPr>
          <w:trHeight w:val="432"/>
        </w:trPr>
        <w:tc>
          <w:tcPr>
            <w:tcW w:w="1560" w:type="dxa"/>
            <w:vAlign w:val="bottom"/>
          </w:tcPr>
          <w:p>
            <w:pPr>
              <w:jc w:val="right"/>
              <w:ind w:right="512"/>
              <w:spacing w:after="0"/>
              <w:rPr>
                <w:sz w:val="20"/>
                <w:szCs w:val="20"/>
                <w:color w:val="auto"/>
              </w:rPr>
            </w:pPr>
            <w:r>
              <w:rPr>
                <w:rFonts w:ascii="Arial" w:cs="Arial" w:eastAsia="Arial" w:hAnsi="Arial"/>
                <w:sz w:val="18"/>
                <w:szCs w:val="18"/>
                <w:color w:val="auto"/>
              </w:rPr>
              <w:t>11</w:t>
            </w:r>
          </w:p>
        </w:tc>
        <w:tc>
          <w:tcPr>
            <w:tcW w:w="9860" w:type="dxa"/>
            <w:vAlign w:val="bottom"/>
          </w:tcPr>
          <w:p>
            <w:pPr>
              <w:ind w:left="420"/>
              <w:spacing w:after="0"/>
              <w:rPr>
                <w:sz w:val="20"/>
                <w:szCs w:val="20"/>
                <w:color w:val="auto"/>
              </w:rPr>
            </w:pPr>
            <w:r>
              <w:rPr>
                <w:rFonts w:ascii="Arial" w:cs="Arial" w:eastAsia="Arial" w:hAnsi="Arial"/>
                <w:sz w:val="18"/>
                <w:szCs w:val="18"/>
                <w:color w:val="auto"/>
              </w:rPr>
              <w:t>Calculation of earnings per share of common stock.</w:t>
            </w:r>
          </w:p>
        </w:tc>
      </w:tr>
      <w:tr>
        <w:trPr>
          <w:trHeight w:val="432"/>
        </w:trPr>
        <w:tc>
          <w:tcPr>
            <w:tcW w:w="1560" w:type="dxa"/>
            <w:vAlign w:val="bottom"/>
          </w:tcPr>
          <w:p>
            <w:pPr>
              <w:jc w:val="right"/>
              <w:ind w:right="512"/>
              <w:spacing w:after="0"/>
              <w:rPr>
                <w:sz w:val="20"/>
                <w:szCs w:val="20"/>
                <w:color w:val="auto"/>
              </w:rPr>
            </w:pPr>
            <w:r>
              <w:rPr>
                <w:rFonts w:ascii="Arial" w:cs="Arial" w:eastAsia="Arial" w:hAnsi="Arial"/>
                <w:sz w:val="18"/>
                <w:szCs w:val="18"/>
                <w:color w:val="auto"/>
              </w:rPr>
              <w:t>21</w:t>
            </w:r>
          </w:p>
        </w:tc>
        <w:tc>
          <w:tcPr>
            <w:tcW w:w="9860" w:type="dxa"/>
            <w:vAlign w:val="bottom"/>
          </w:tcPr>
          <w:p>
            <w:pPr>
              <w:ind w:left="420"/>
              <w:spacing w:after="0"/>
              <w:rPr>
                <w:sz w:val="20"/>
                <w:szCs w:val="20"/>
                <w:color w:val="auto"/>
              </w:rPr>
            </w:pPr>
            <w:r>
              <w:rPr>
                <w:rFonts w:ascii="Arial" w:cs="Arial" w:eastAsia="Arial" w:hAnsi="Arial"/>
                <w:sz w:val="18"/>
                <w:szCs w:val="18"/>
                <w:color w:val="auto"/>
              </w:rPr>
              <w:t>List of subsidiaries of the Company.</w:t>
            </w:r>
          </w:p>
        </w:tc>
      </w:tr>
    </w:tbl>
    <w:p>
      <w:pPr>
        <w:spacing w:after="0" w:line="210" w:lineRule="exact"/>
        <w:rPr>
          <w:sz w:val="20"/>
          <w:szCs w:val="20"/>
          <w:color w:val="auto"/>
        </w:rPr>
      </w:pPr>
    </w:p>
    <w:p>
      <w:pPr>
        <w:ind w:left="1980" w:hanging="1189"/>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Consent of independent accountants.</w:t>
      </w:r>
    </w:p>
    <w:p>
      <w:pPr>
        <w:spacing w:after="0" w:line="225" w:lineRule="exact"/>
        <w:rPr>
          <w:rFonts w:ascii="Arial" w:cs="Arial" w:eastAsia="Arial" w:hAnsi="Arial"/>
          <w:sz w:val="18"/>
          <w:szCs w:val="18"/>
          <w:color w:val="auto"/>
        </w:rPr>
      </w:pPr>
    </w:p>
    <w:p>
      <w:pPr>
        <w:ind w:left="1980" w:hanging="1189"/>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Power of attorney dated March 4, 2004.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540" w:type="dxa"/>
            <w:vAlign w:val="bottom"/>
          </w:tcPr>
          <w:p>
            <w:pPr>
              <w:jc w:val="right"/>
              <w:ind w:right="352"/>
              <w:spacing w:after="0"/>
              <w:rPr>
                <w:sz w:val="20"/>
                <w:szCs w:val="20"/>
                <w:color w:val="auto"/>
              </w:rPr>
            </w:pPr>
            <w:r>
              <w:rPr>
                <w:rFonts w:ascii="Arial" w:cs="Arial" w:eastAsia="Arial" w:hAnsi="Arial"/>
                <w:sz w:val="18"/>
                <w:szCs w:val="18"/>
                <w:color w:val="auto"/>
              </w:rPr>
              <w:t>31.1</w:t>
            </w:r>
          </w:p>
        </w:tc>
        <w:tc>
          <w:tcPr>
            <w:tcW w:w="5380" w:type="dxa"/>
            <w:vAlign w:val="bottom"/>
            <w:gridSpan w:val="3"/>
          </w:tcPr>
          <w:p>
            <w:pPr>
              <w:ind w:left="440"/>
              <w:spacing w:after="0"/>
              <w:rPr>
                <w:sz w:val="20"/>
                <w:szCs w:val="20"/>
                <w:color w:val="auto"/>
              </w:rPr>
            </w:pPr>
            <w:r>
              <w:rPr>
                <w:rFonts w:ascii="Arial" w:cs="Arial" w:eastAsia="Arial" w:hAnsi="Arial"/>
                <w:sz w:val="18"/>
                <w:szCs w:val="18"/>
                <w:color w:val="auto"/>
                <w:w w:val="90"/>
              </w:rPr>
              <w:t>Rule 13a-14(a)/15d-14(a) Certification of the Chief Executive Officer.</w:t>
            </w:r>
          </w:p>
        </w:tc>
      </w:tr>
      <w:tr>
        <w:trPr>
          <w:trHeight w:val="432"/>
        </w:trPr>
        <w:tc>
          <w:tcPr>
            <w:tcW w:w="1540" w:type="dxa"/>
            <w:vAlign w:val="bottom"/>
          </w:tcPr>
          <w:p>
            <w:pPr>
              <w:jc w:val="right"/>
              <w:ind w:right="352"/>
              <w:spacing w:after="0"/>
              <w:rPr>
                <w:sz w:val="20"/>
                <w:szCs w:val="20"/>
                <w:color w:val="auto"/>
              </w:rPr>
            </w:pPr>
            <w:r>
              <w:rPr>
                <w:rFonts w:ascii="Arial" w:cs="Arial" w:eastAsia="Arial" w:hAnsi="Arial"/>
                <w:sz w:val="18"/>
                <w:szCs w:val="18"/>
                <w:color w:val="auto"/>
              </w:rPr>
              <w:t>31.2</w:t>
            </w:r>
          </w:p>
        </w:tc>
        <w:tc>
          <w:tcPr>
            <w:tcW w:w="5380" w:type="dxa"/>
            <w:vAlign w:val="bottom"/>
            <w:gridSpan w:val="3"/>
          </w:tcPr>
          <w:p>
            <w:pPr>
              <w:ind w:left="440"/>
              <w:spacing w:after="0"/>
              <w:rPr>
                <w:sz w:val="20"/>
                <w:szCs w:val="20"/>
                <w:color w:val="auto"/>
              </w:rPr>
            </w:pPr>
            <w:r>
              <w:rPr>
                <w:rFonts w:ascii="Arial" w:cs="Arial" w:eastAsia="Arial" w:hAnsi="Arial"/>
                <w:sz w:val="18"/>
                <w:szCs w:val="18"/>
                <w:color w:val="auto"/>
                <w:w w:val="91"/>
              </w:rPr>
              <w:t>Rule 13a-14(a)/15d-14(a) Certification of the Chief Financial Officer.</w:t>
            </w:r>
          </w:p>
        </w:tc>
      </w:tr>
      <w:tr>
        <w:trPr>
          <w:trHeight w:val="432"/>
        </w:trPr>
        <w:tc>
          <w:tcPr>
            <w:tcW w:w="1540" w:type="dxa"/>
            <w:vAlign w:val="bottom"/>
          </w:tcPr>
          <w:p>
            <w:pPr>
              <w:jc w:val="right"/>
              <w:ind w:right="352"/>
              <w:spacing w:after="0"/>
              <w:rPr>
                <w:sz w:val="20"/>
                <w:szCs w:val="20"/>
                <w:color w:val="auto"/>
              </w:rPr>
            </w:pPr>
            <w:r>
              <w:rPr>
                <w:rFonts w:ascii="Arial" w:cs="Arial" w:eastAsia="Arial" w:hAnsi="Arial"/>
                <w:sz w:val="18"/>
                <w:szCs w:val="18"/>
                <w:color w:val="auto"/>
              </w:rPr>
              <w:t>32.1</w:t>
            </w:r>
          </w:p>
        </w:tc>
        <w:tc>
          <w:tcPr>
            <w:tcW w:w="1380" w:type="dxa"/>
            <w:vAlign w:val="bottom"/>
            <w:gridSpan w:val="2"/>
          </w:tcPr>
          <w:p>
            <w:pPr>
              <w:ind w:left="440"/>
              <w:spacing w:after="0"/>
              <w:rPr>
                <w:sz w:val="20"/>
                <w:szCs w:val="20"/>
                <w:color w:val="auto"/>
              </w:rPr>
            </w:pPr>
            <w:r>
              <w:rPr>
                <w:rFonts w:ascii="Arial" w:cs="Arial" w:eastAsia="Arial" w:hAnsi="Arial"/>
                <w:sz w:val="18"/>
                <w:szCs w:val="18"/>
                <w:color w:val="auto"/>
                <w:w w:val="87"/>
              </w:rPr>
              <w:t>Section 1350</w:t>
            </w:r>
          </w:p>
        </w:tc>
        <w:tc>
          <w:tcPr>
            <w:tcW w:w="4000" w:type="dxa"/>
            <w:vAlign w:val="bottom"/>
          </w:tcPr>
          <w:p>
            <w:pPr>
              <w:ind w:left="20"/>
              <w:spacing w:after="0"/>
              <w:rPr>
                <w:sz w:val="20"/>
                <w:szCs w:val="20"/>
                <w:color w:val="auto"/>
              </w:rPr>
            </w:pPr>
            <w:r>
              <w:rPr>
                <w:rFonts w:ascii="Arial" w:cs="Arial" w:eastAsia="Arial" w:hAnsi="Arial"/>
                <w:sz w:val="18"/>
                <w:szCs w:val="18"/>
                <w:color w:val="auto"/>
              </w:rPr>
              <w:t>Certification of the Chief Executive Officer.</w:t>
            </w:r>
          </w:p>
        </w:tc>
      </w:tr>
      <w:tr>
        <w:trPr>
          <w:trHeight w:val="432"/>
        </w:trPr>
        <w:tc>
          <w:tcPr>
            <w:tcW w:w="1540" w:type="dxa"/>
            <w:vAlign w:val="bottom"/>
          </w:tcPr>
          <w:p>
            <w:pPr>
              <w:jc w:val="right"/>
              <w:ind w:right="352"/>
              <w:spacing w:after="0"/>
              <w:rPr>
                <w:sz w:val="20"/>
                <w:szCs w:val="20"/>
                <w:color w:val="auto"/>
              </w:rPr>
            </w:pPr>
            <w:r>
              <w:rPr>
                <w:rFonts w:ascii="Arial" w:cs="Arial" w:eastAsia="Arial" w:hAnsi="Arial"/>
                <w:sz w:val="18"/>
                <w:szCs w:val="18"/>
                <w:color w:val="auto"/>
              </w:rPr>
              <w:t>32.2</w:t>
            </w:r>
          </w:p>
        </w:tc>
        <w:tc>
          <w:tcPr>
            <w:tcW w:w="1380" w:type="dxa"/>
            <w:vAlign w:val="bottom"/>
            <w:gridSpan w:val="2"/>
          </w:tcPr>
          <w:p>
            <w:pPr>
              <w:ind w:left="440"/>
              <w:spacing w:after="0"/>
              <w:rPr>
                <w:sz w:val="20"/>
                <w:szCs w:val="20"/>
                <w:color w:val="auto"/>
              </w:rPr>
            </w:pPr>
            <w:r>
              <w:rPr>
                <w:rFonts w:ascii="Arial" w:cs="Arial" w:eastAsia="Arial" w:hAnsi="Arial"/>
                <w:sz w:val="18"/>
                <w:szCs w:val="18"/>
                <w:color w:val="auto"/>
                <w:w w:val="87"/>
              </w:rPr>
              <w:t>Section 1350</w:t>
            </w:r>
          </w:p>
        </w:tc>
        <w:tc>
          <w:tcPr>
            <w:tcW w:w="4000" w:type="dxa"/>
            <w:vAlign w:val="bottom"/>
          </w:tcPr>
          <w:p>
            <w:pPr>
              <w:ind w:left="20"/>
              <w:spacing w:after="0"/>
              <w:rPr>
                <w:sz w:val="20"/>
                <w:szCs w:val="20"/>
                <w:color w:val="auto"/>
              </w:rPr>
            </w:pPr>
            <w:r>
              <w:rPr>
                <w:rFonts w:ascii="Arial" w:cs="Arial" w:eastAsia="Arial" w:hAnsi="Arial"/>
                <w:sz w:val="18"/>
                <w:szCs w:val="18"/>
                <w:color w:val="auto"/>
              </w:rPr>
              <w:t>Certification of the Chief Financial Officer.</w:t>
            </w:r>
          </w:p>
        </w:tc>
      </w:tr>
      <w:tr>
        <w:trPr>
          <w:trHeight w:val="110"/>
        </w:trPr>
        <w:tc>
          <w:tcPr>
            <w:tcW w:w="15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40" w:type="dxa"/>
            <w:vAlign w:val="bottom"/>
          </w:tcPr>
          <w:p>
            <w:pPr>
              <w:spacing w:after="0"/>
              <w:rPr>
                <w:sz w:val="9"/>
                <w:szCs w:val="9"/>
                <w:color w:val="auto"/>
              </w:rPr>
            </w:pPr>
          </w:p>
        </w:tc>
        <w:tc>
          <w:tcPr>
            <w:tcW w:w="4000" w:type="dxa"/>
            <w:vAlign w:val="bottom"/>
          </w:tcPr>
          <w:p>
            <w:pPr>
              <w:spacing w:after="0"/>
              <w:rPr>
                <w:sz w:val="9"/>
                <w:szCs w:val="9"/>
                <w:color w:val="auto"/>
              </w:rPr>
            </w:pPr>
          </w:p>
        </w:tc>
      </w:tr>
    </w:tbl>
    <w:p>
      <w:pPr>
        <w:sectPr>
          <w:pgSz w:w="11900" w:h="16838" w:orient="portrait"/>
          <w:cols w:equalWidth="0" w:num="1">
            <w:col w:w="11420"/>
          </w:cols>
          <w:pgMar w:left="240" w:top="935" w:right="239" w:bottom="63" w:gutter="0" w:footer="0" w:header="0"/>
        </w:sectPr>
      </w:pPr>
    </w:p>
    <w:bookmarkStart w:id="84" w:name="page85"/>
    <w:bookmarkEnd w:id="84"/>
    <w:p>
      <w:pPr>
        <w:ind w:left="-8" w:right="859" w:firstLine="8"/>
        <w:spacing w:after="0" w:line="268" w:lineRule="auto"/>
        <w:tabs>
          <w:tab w:leader="none" w:pos="114"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management contract or compensatory plan or arrangement required to be included as an exhibit hereto pursuant to Item 15(c) of Form 10-K.</w:t>
      </w:r>
    </w:p>
    <w:p>
      <w:pPr>
        <w:spacing w:after="0" w:line="213"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211"/>
          </w:cols>
          <w:pgMar w:left="248" w:top="131" w:right="1440"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126365</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2300"/>
        <w:spacing w:after="0"/>
        <w:rPr>
          <w:sz w:val="20"/>
          <w:szCs w:val="20"/>
          <w:color w:val="auto"/>
        </w:rPr>
      </w:pPr>
      <w:r>
        <w:rPr>
          <w:rFonts w:ascii="Arial" w:cs="Arial" w:eastAsia="Arial" w:hAnsi="Arial"/>
          <w:sz w:val="25"/>
          <w:szCs w:val="25"/>
          <w:b w:val="1"/>
          <w:bCs w:val="1"/>
          <w:color w:val="auto"/>
        </w:rPr>
        <w:t>THE WASHINGTON POST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80"/>
        <w:spacing w:after="0"/>
        <w:rPr>
          <w:sz w:val="20"/>
          <w:szCs w:val="20"/>
          <w:color w:val="auto"/>
        </w:rPr>
      </w:pPr>
      <w:r>
        <w:rPr>
          <w:rFonts w:ascii="Arial" w:cs="Arial" w:eastAsia="Arial" w:hAnsi="Arial"/>
          <w:sz w:val="25"/>
          <w:szCs w:val="25"/>
          <w:b w:val="1"/>
          <w:bCs w:val="1"/>
          <w:color w:val="auto"/>
        </w:rPr>
        <w:t>RESTATED</w:t>
      </w:r>
    </w:p>
    <w:p>
      <w:pPr>
        <w:spacing w:after="0" w:line="38" w:lineRule="exact"/>
        <w:rPr>
          <w:sz w:val="20"/>
          <w:szCs w:val="20"/>
          <w:color w:val="auto"/>
        </w:rPr>
      </w:pPr>
    </w:p>
    <w:p>
      <w:pPr>
        <w:jc w:val="center"/>
        <w:ind w:right="1180"/>
        <w:spacing w:after="0"/>
        <w:rPr>
          <w:sz w:val="20"/>
          <w:szCs w:val="20"/>
          <w:color w:val="auto"/>
        </w:rPr>
      </w:pPr>
      <w:r>
        <w:rPr>
          <w:rFonts w:ascii="Arial" w:cs="Arial" w:eastAsia="Arial" w:hAnsi="Arial"/>
          <w:sz w:val="25"/>
          <w:szCs w:val="25"/>
          <w:b w:val="1"/>
          <w:bCs w:val="1"/>
          <w:color w:val="auto"/>
        </w:rPr>
        <w:t>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1918970</wp:posOffset>
            </wp:positionH>
            <wp:positionV relativeFrom="paragraph">
              <wp:posOffset>457200</wp:posOffset>
            </wp:positionV>
            <wp:extent cx="189547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280"/>
        <w:spacing w:after="0"/>
        <w:rPr>
          <w:sz w:val="20"/>
          <w:szCs w:val="20"/>
          <w:color w:val="auto"/>
        </w:rPr>
      </w:pPr>
      <w:r>
        <w:rPr>
          <w:rFonts w:ascii="Arial" w:cs="Arial" w:eastAsia="Arial" w:hAnsi="Arial"/>
          <w:sz w:val="22"/>
          <w:szCs w:val="22"/>
          <w:i w:val="1"/>
          <w:iCs w:val="1"/>
          <w:color w:val="auto"/>
        </w:rPr>
        <w:t>As Filed November 13,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410210</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802640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5" w:right="23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t>RESTATED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INCORPORATION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WASHINGTON POST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Filed November 13,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137795</wp:posOffset>
            </wp:positionV>
            <wp:extent cx="182689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1" w:lineRule="exact"/>
        <w:rPr>
          <w:sz w:val="20"/>
          <w:szCs w:val="20"/>
          <w:color w:val="auto"/>
        </w:rPr>
      </w:pPr>
    </w:p>
    <w:p>
      <w:pPr>
        <w:ind w:right="280" w:firstLine="222"/>
        <w:spacing w:after="0" w:line="277" w:lineRule="auto"/>
        <w:rPr>
          <w:sz w:val="20"/>
          <w:szCs w:val="20"/>
          <w:color w:val="auto"/>
        </w:rPr>
      </w:pPr>
      <w:r>
        <w:rPr>
          <w:rFonts w:ascii="Arial" w:cs="Arial" w:eastAsia="Arial" w:hAnsi="Arial"/>
          <w:sz w:val="18"/>
          <w:szCs w:val="18"/>
          <w:color w:val="auto"/>
        </w:rPr>
        <w:t>The Washington Post Company, a corporation organized and existing under the laws of the State of Delaware (hereinafter called the Company), hereby certifies as follows:</w:t>
      </w:r>
    </w:p>
    <w:p>
      <w:pPr>
        <w:spacing w:after="0" w:line="170" w:lineRule="exact"/>
        <w:rPr>
          <w:sz w:val="20"/>
          <w:szCs w:val="20"/>
          <w:color w:val="auto"/>
        </w:rPr>
      </w:pPr>
    </w:p>
    <w:p>
      <w:pPr>
        <w:ind w:left="800" w:right="120" w:hanging="252"/>
        <w:spacing w:after="0" w:line="277"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present name of the Company is The Washington Post Company. The Company was originally incorporated under the name TWPC, Inc. The date of filing of its original Certificate of Incorporation with the Secretary of State was July 21, 2003.</w:t>
      </w:r>
    </w:p>
    <w:p>
      <w:pPr>
        <w:spacing w:after="0" w:line="170" w:lineRule="exact"/>
        <w:rPr>
          <w:rFonts w:ascii="Arial" w:cs="Arial" w:eastAsia="Arial" w:hAnsi="Arial"/>
          <w:sz w:val="18"/>
          <w:szCs w:val="18"/>
          <w:color w:val="auto"/>
        </w:rPr>
      </w:pPr>
    </w:p>
    <w:p>
      <w:pPr>
        <w:jc w:val="both"/>
        <w:ind w:left="800" w:right="220" w:hanging="252"/>
        <w:spacing w:after="0" w:line="286" w:lineRule="auto"/>
        <w:tabs>
          <w:tab w:leader="none" w:pos="8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This Restated Certificate of Incorporation was duly adopted in accordance with Section 245 of the Delaware Corporation Law, only restates and integrates and does not further amend the provisions of the Company’s Certificate of Incorporation as heretofore amended or supplemented, and there is no discrepancy between those provisions and the provisions of this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114300</wp:posOffset>
            </wp:positionV>
            <wp:extent cx="182689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3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First: The name of the corporation (hereinafter called the Company) is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Washington Post Company</w:t>
      </w:r>
    </w:p>
    <w:p>
      <w:pPr>
        <w:spacing w:after="0" w:line="185" w:lineRule="exact"/>
        <w:rPr>
          <w:sz w:val="20"/>
          <w:szCs w:val="20"/>
          <w:color w:val="auto"/>
        </w:rPr>
      </w:pPr>
    </w:p>
    <w:p>
      <w:pPr>
        <w:ind w:firstLine="225"/>
        <w:spacing w:after="0" w:line="312" w:lineRule="auto"/>
        <w:rPr>
          <w:sz w:val="20"/>
          <w:szCs w:val="20"/>
          <w:color w:val="auto"/>
        </w:rPr>
      </w:pPr>
      <w:r>
        <w:rPr>
          <w:rFonts w:ascii="Arial" w:cs="Arial" w:eastAsia="Arial" w:hAnsi="Arial"/>
          <w:sz w:val="16"/>
          <w:szCs w:val="16"/>
          <w:color w:val="auto"/>
        </w:rPr>
        <w:t>Second: The respective names of the County and of the City within the County in which the registered office of the Company is to be located in the State of Delaware are the County of New Castle and the City of Wilmington. The name of the registered agent of the Company is The Corporation Trust Company. The street and number of said registered office and the address by street and number of said registered agent is 1209 Orange Street, in the City of Wilmington.</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Third: The nature of the business of the Company and the objects and purposes to be transacted, promoted or carried on by it are as follows:</w:t>
      </w:r>
    </w:p>
    <w:p>
      <w:pPr>
        <w:spacing w:after="0" w:line="210" w:lineRule="exact"/>
        <w:rPr>
          <w:sz w:val="20"/>
          <w:szCs w:val="20"/>
          <w:color w:val="auto"/>
        </w:rPr>
      </w:pPr>
    </w:p>
    <w:p>
      <w:pPr>
        <w:ind w:left="360" w:right="400" w:firstLine="215"/>
        <w:spacing w:after="0" w:line="277" w:lineRule="auto"/>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publish any newspaper owned by the Company as an independent newspaper dedicated to the welfare of the community and the nation, in keeping with the principles of a free press; and</w:t>
      </w:r>
    </w:p>
    <w:p>
      <w:pPr>
        <w:spacing w:after="0" w:line="129" w:lineRule="exact"/>
        <w:rPr>
          <w:rFonts w:ascii="Arial" w:cs="Arial" w:eastAsia="Arial" w:hAnsi="Arial"/>
          <w:sz w:val="18"/>
          <w:szCs w:val="18"/>
          <w:color w:val="auto"/>
        </w:rPr>
      </w:pPr>
    </w:p>
    <w:p>
      <w:pPr>
        <w:ind w:left="840" w:hanging="265"/>
        <w:spacing w:after="0"/>
        <w:tabs>
          <w:tab w:leader="none" w:pos="8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To engage in any lawful act or activity for which corporations may be organized under the General Corporation Law of the State of Delaware.</w:t>
      </w: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Notwithstanding any provision of this Certificate of Incorporation, the Company shall not have power to carry on the business of constructing, maintaining or operating public utilities within the State of Delaware; nor shall anything herein be deemed to authorize the Company to carry on any business or exercise any power in any state, district, territory, possession or country which under the laws thereof the Company may not lawfully carry on or exercise.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87" w:name="page88"/>
    <w:bookmarkEnd w:id="87"/>
    <w:p>
      <w:pPr>
        <w:ind w:right="60" w:firstLine="225"/>
        <w:spacing w:after="0" w:line="279" w:lineRule="auto"/>
        <w:rPr>
          <w:sz w:val="20"/>
          <w:szCs w:val="20"/>
          <w:color w:val="auto"/>
        </w:rPr>
      </w:pPr>
      <w:r>
        <w:rPr>
          <w:rFonts w:ascii="Arial" w:cs="Arial" w:eastAsia="Arial" w:hAnsi="Arial"/>
          <w:sz w:val="17"/>
          <w:szCs w:val="17"/>
          <w:color w:val="auto"/>
        </w:rPr>
        <w:t>Fourth: The total number of shares of all classes of stock which the Company shall have authority to issue is 48,000,000, consisting of 1,000,000 shares of Preferred Stock, par value $1.00 per share (hereinafter called the Preferred Stock), 7,000,000 shares of Class A Common Stock, par value $1.00 per share (hereinafter called the Class A Stock), and 40,000,000 shares of Class B Common Stock, par value $1.00 per share (hereinafter called the Class B Stock, and the Class A Stock and the Class B Stock being hereinafter collectively called the Common Stock).</w:t>
      </w:r>
    </w:p>
    <w:p>
      <w:pPr>
        <w:spacing w:after="0" w:line="144" w:lineRule="exact"/>
        <w:rPr>
          <w:sz w:val="20"/>
          <w:szCs w:val="20"/>
          <w:color w:val="auto"/>
        </w:rPr>
      </w:pPr>
    </w:p>
    <w:p>
      <w:pPr>
        <w:ind w:right="220" w:firstLine="222"/>
        <w:spacing w:after="0" w:line="259" w:lineRule="auto"/>
        <w:rPr>
          <w:sz w:val="20"/>
          <w:szCs w:val="20"/>
          <w:color w:val="auto"/>
        </w:rPr>
      </w:pPr>
      <w:r>
        <w:rPr>
          <w:rFonts w:ascii="Arial" w:cs="Arial" w:eastAsia="Arial" w:hAnsi="Arial"/>
          <w:sz w:val="18"/>
          <w:szCs w:val="18"/>
          <w:color w:val="auto"/>
        </w:rPr>
        <w:t>The designations and the powers, preferences and rights, and the qualifications, limitations or restrictions thereof, of each class of stock of the Company which are fixed by this Certificate of Incorporation, and the express grant of authority to the Board of Directors to fix by resolution or resolutions the designations, and the powers, preferences and rights, and the qualifications, limitations or restrictions thereof, of the Preferred Stock which are not fixed by this Certificate of Incorporation, are as follows: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Preferred Stock</w:t>
      </w:r>
    </w:p>
    <w:p>
      <w:pPr>
        <w:spacing w:after="0" w:line="185" w:lineRule="exact"/>
        <w:rPr>
          <w:sz w:val="20"/>
          <w:szCs w:val="20"/>
          <w:color w:val="auto"/>
        </w:rPr>
      </w:pPr>
    </w:p>
    <w:p>
      <w:pPr>
        <w:ind w:right="40" w:firstLine="233"/>
        <w:spacing w:after="0" w:line="286" w:lineRule="auto"/>
        <w:tabs>
          <w:tab w:leader="none" w:pos="4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Shares of Preferred Stock may be issued from time to time in one or more series, each such series to have such distinctive designation as shall be stated and expressed in the resolution or resolutions adopted by the Board of Directors providing for the initial issuance of shares of such series, and authority is expressly vested in the Board of Directors, by such resolution or resolutions providing for the initial issuance of shares of each series:</w:t>
      </w:r>
    </w:p>
    <w:p>
      <w:pPr>
        <w:spacing w:after="0" w:line="138" w:lineRule="exact"/>
        <w:rPr>
          <w:rFonts w:ascii="Arial" w:cs="Arial" w:eastAsia="Arial" w:hAnsi="Arial"/>
          <w:sz w:val="17"/>
          <w:szCs w:val="17"/>
          <w:color w:val="auto"/>
        </w:rPr>
      </w:pPr>
    </w:p>
    <w:p>
      <w:pPr>
        <w:ind w:left="360" w:right="300" w:firstLine="215"/>
        <w:spacing w:after="0" w:line="308" w:lineRule="auto"/>
        <w:tabs>
          <w:tab w:leader="none" w:pos="830" w:val="left"/>
        </w:tabs>
        <w:numPr>
          <w:ilvl w:val="2"/>
          <w:numId w:val="25"/>
        </w:numPr>
        <w:rPr>
          <w:rFonts w:ascii="Arial" w:cs="Arial" w:eastAsia="Arial" w:hAnsi="Arial"/>
          <w:sz w:val="17"/>
          <w:szCs w:val="17"/>
          <w:color w:val="auto"/>
        </w:rPr>
      </w:pPr>
      <w:r>
        <w:rPr>
          <w:rFonts w:ascii="Arial" w:cs="Arial" w:eastAsia="Arial" w:hAnsi="Arial"/>
          <w:sz w:val="17"/>
          <w:szCs w:val="17"/>
          <w:color w:val="auto"/>
        </w:rPr>
        <w:t>To fix the distinctive designation of such series and the number of shares which shall constitute such series, which number may be increased or decreased (but not below the number of shares thereof then outstanding) from time to time by action of the Board of Directors;</w:t>
      </w:r>
    </w:p>
    <w:p>
      <w:pPr>
        <w:spacing w:after="0" w:line="106" w:lineRule="exact"/>
        <w:rPr>
          <w:rFonts w:ascii="Arial" w:cs="Arial" w:eastAsia="Arial" w:hAnsi="Arial"/>
          <w:sz w:val="17"/>
          <w:szCs w:val="17"/>
          <w:color w:val="auto"/>
        </w:rPr>
      </w:pPr>
    </w:p>
    <w:p>
      <w:pPr>
        <w:ind w:left="360" w:right="120" w:firstLine="215"/>
        <w:spacing w:after="0" w:line="291" w:lineRule="auto"/>
        <w:tabs>
          <w:tab w:leader="none" w:pos="840" w:val="left"/>
        </w:tabs>
        <w:numPr>
          <w:ilvl w:val="2"/>
          <w:numId w:val="25"/>
        </w:numPr>
        <w:rPr>
          <w:rFonts w:ascii="Arial" w:cs="Arial" w:eastAsia="Arial" w:hAnsi="Arial"/>
          <w:sz w:val="16"/>
          <w:szCs w:val="16"/>
          <w:color w:val="auto"/>
        </w:rPr>
      </w:pPr>
      <w:r>
        <w:rPr>
          <w:rFonts w:ascii="Arial" w:cs="Arial" w:eastAsia="Arial" w:hAnsi="Arial"/>
          <w:sz w:val="16"/>
          <w:szCs w:val="16"/>
          <w:color w:val="auto"/>
        </w:rPr>
        <w:t>To fix (i) the dividend rate of such series, (ii) any limitations, restrictions or conditions on the payment of dividends, including whether dividends shall be cumulative and, if so, from which date or dates, (iii) the relative rights of priority, if any, of payment of dividends on shares of that series and</w:t>
      </w:r>
    </w:p>
    <w:p>
      <w:pPr>
        <w:ind w:left="360" w:right="40" w:hanging="10"/>
        <w:spacing w:after="0" w:line="277" w:lineRule="auto"/>
        <w:tabs>
          <w:tab w:leader="none" w:pos="665" w:val="left"/>
        </w:tabs>
        <w:numPr>
          <w:ilvl w:val="1"/>
          <w:numId w:val="25"/>
        </w:numPr>
        <w:rPr>
          <w:rFonts w:ascii="Arial" w:cs="Arial" w:eastAsia="Arial" w:hAnsi="Arial"/>
          <w:sz w:val="17"/>
          <w:szCs w:val="17"/>
          <w:color w:val="auto"/>
        </w:rPr>
      </w:pPr>
      <w:r>
        <w:rPr>
          <w:rFonts w:ascii="Arial" w:cs="Arial" w:eastAsia="Arial" w:hAnsi="Arial"/>
          <w:sz w:val="17"/>
          <w:szCs w:val="17"/>
          <w:color w:val="auto"/>
        </w:rPr>
        <w:t>the form of dividends, which shall be payable either (A) in cash only, or (B) in stock only, or (C) partly in cash and partly in stock, or (D) in stock or, at the option of the holder, in cash (and in such case to prescribe the terms and conditions of exercising such option), and to make provision in case of dividends payable in stock for adjustment of the dividend rate in such events as the Board of Directors shall determine;</w:t>
      </w:r>
    </w:p>
    <w:p>
      <w:pPr>
        <w:spacing w:after="0" w:line="132" w:lineRule="exact"/>
        <w:rPr>
          <w:rFonts w:ascii="Arial" w:cs="Arial" w:eastAsia="Arial" w:hAnsi="Arial"/>
          <w:sz w:val="17"/>
          <w:szCs w:val="17"/>
          <w:color w:val="auto"/>
        </w:rPr>
      </w:pPr>
    </w:p>
    <w:p>
      <w:pPr>
        <w:ind w:left="820" w:hanging="245"/>
        <w:spacing w:after="0"/>
        <w:tabs>
          <w:tab w:leader="none" w:pos="820" w:val="left"/>
        </w:tabs>
        <w:numPr>
          <w:ilvl w:val="2"/>
          <w:numId w:val="26"/>
        </w:numPr>
        <w:rPr>
          <w:rFonts w:ascii="Arial" w:cs="Arial" w:eastAsia="Arial" w:hAnsi="Arial"/>
          <w:sz w:val="17"/>
          <w:szCs w:val="17"/>
          <w:color w:val="auto"/>
        </w:rPr>
      </w:pPr>
      <w:r>
        <w:rPr>
          <w:rFonts w:ascii="Arial" w:cs="Arial" w:eastAsia="Arial" w:hAnsi="Arial"/>
          <w:sz w:val="17"/>
          <w:szCs w:val="17"/>
          <w:color w:val="auto"/>
        </w:rPr>
        <w:t>To fix the price or prices at which, and the terms and conditions on which, the shares of such series may be redeemed by the Company;</w:t>
      </w:r>
    </w:p>
    <w:p>
      <w:pPr>
        <w:spacing w:after="0" w:line="209" w:lineRule="exact"/>
        <w:rPr>
          <w:rFonts w:ascii="Arial" w:cs="Arial" w:eastAsia="Arial" w:hAnsi="Arial"/>
          <w:sz w:val="17"/>
          <w:szCs w:val="17"/>
          <w:color w:val="auto"/>
        </w:rPr>
      </w:pPr>
    </w:p>
    <w:p>
      <w:pPr>
        <w:ind w:left="360" w:firstLine="215"/>
        <w:spacing w:after="0" w:line="277" w:lineRule="auto"/>
        <w:tabs>
          <w:tab w:leader="none" w:pos="840" w:val="left"/>
        </w:tabs>
        <w:numPr>
          <w:ilvl w:val="2"/>
          <w:numId w:val="26"/>
        </w:numPr>
        <w:rPr>
          <w:rFonts w:ascii="Arial" w:cs="Arial" w:eastAsia="Arial" w:hAnsi="Arial"/>
          <w:sz w:val="18"/>
          <w:szCs w:val="18"/>
          <w:color w:val="auto"/>
        </w:rPr>
      </w:pPr>
      <w:r>
        <w:rPr>
          <w:rFonts w:ascii="Arial" w:cs="Arial" w:eastAsia="Arial" w:hAnsi="Arial"/>
          <w:sz w:val="18"/>
          <w:szCs w:val="18"/>
          <w:color w:val="auto"/>
        </w:rPr>
        <w:t>To fix the amount or amounts payable upon the shares of such series in the event of any liquidation, dissolution or winding up of the Company and the relative rights of priority, if any, of payment upon shares of such series;</w:t>
      </w:r>
    </w:p>
    <w:p>
      <w:pPr>
        <w:spacing w:after="0" w:line="129" w:lineRule="exact"/>
        <w:rPr>
          <w:rFonts w:ascii="Arial" w:cs="Arial" w:eastAsia="Arial" w:hAnsi="Arial"/>
          <w:sz w:val="18"/>
          <w:szCs w:val="18"/>
          <w:color w:val="auto"/>
        </w:rPr>
      </w:pPr>
    </w:p>
    <w:p>
      <w:pPr>
        <w:ind w:left="360" w:right="160" w:firstLine="215"/>
        <w:spacing w:after="0" w:line="277" w:lineRule="auto"/>
        <w:tabs>
          <w:tab w:leader="none" w:pos="830" w:val="left"/>
        </w:tabs>
        <w:numPr>
          <w:ilvl w:val="2"/>
          <w:numId w:val="26"/>
        </w:numPr>
        <w:rPr>
          <w:rFonts w:ascii="Arial" w:cs="Arial" w:eastAsia="Arial" w:hAnsi="Arial"/>
          <w:sz w:val="18"/>
          <w:szCs w:val="18"/>
          <w:color w:val="auto"/>
        </w:rPr>
      </w:pPr>
      <w:r>
        <w:rPr>
          <w:rFonts w:ascii="Arial" w:cs="Arial" w:eastAsia="Arial" w:hAnsi="Arial"/>
          <w:sz w:val="18"/>
          <w:szCs w:val="18"/>
          <w:color w:val="auto"/>
        </w:rPr>
        <w:t>To determine whether or not the shares of such series shall be entitled to the benefit of a sinking fund to be applied to the purchase or redemption of such series and, if so entitled, the amount of such fund and the manner of its application;</w:t>
      </w:r>
    </w:p>
    <w:p>
      <w:pPr>
        <w:spacing w:after="0" w:line="129" w:lineRule="exact"/>
        <w:rPr>
          <w:rFonts w:ascii="Arial" w:cs="Arial" w:eastAsia="Arial" w:hAnsi="Arial"/>
          <w:sz w:val="18"/>
          <w:szCs w:val="18"/>
          <w:color w:val="auto"/>
        </w:rPr>
      </w:pPr>
    </w:p>
    <w:p>
      <w:pPr>
        <w:ind w:left="360" w:right="80" w:firstLine="215"/>
        <w:spacing w:after="0" w:line="259" w:lineRule="auto"/>
        <w:tabs>
          <w:tab w:leader="none" w:pos="810" w:val="left"/>
        </w:tabs>
        <w:numPr>
          <w:ilvl w:val="2"/>
          <w:numId w:val="26"/>
        </w:numPr>
        <w:rPr>
          <w:rFonts w:ascii="Arial" w:cs="Arial" w:eastAsia="Arial" w:hAnsi="Arial"/>
          <w:sz w:val="18"/>
          <w:szCs w:val="18"/>
          <w:color w:val="auto"/>
        </w:rPr>
      </w:pPr>
      <w:r>
        <w:rPr>
          <w:rFonts w:ascii="Arial" w:cs="Arial" w:eastAsia="Arial" w:hAnsi="Arial"/>
          <w:sz w:val="18"/>
          <w:szCs w:val="18"/>
          <w:color w:val="auto"/>
        </w:rPr>
        <w:t>To determine whether or not the shares of such series shall be made convertible into, or exchangeable for, shares of any other class or classes of stock of the Company or shares of any other series of Preferred Stock, and, if made so convertible or exchangeable, the conversion price or prices, or the rate or rates of exchange, and the adjustments thereof, if any, at which such conversion or exchange may be made, and any other terms and conditions of such conversion or exchange;</w:t>
      </w:r>
    </w:p>
    <w:p>
      <w:pPr>
        <w:spacing w:after="0" w:line="159" w:lineRule="exact"/>
        <w:rPr>
          <w:rFonts w:ascii="Arial" w:cs="Arial" w:eastAsia="Arial" w:hAnsi="Arial"/>
          <w:sz w:val="18"/>
          <w:szCs w:val="18"/>
          <w:color w:val="auto"/>
        </w:rPr>
      </w:pPr>
    </w:p>
    <w:p>
      <w:pPr>
        <w:ind w:left="360" w:right="120" w:firstLine="215"/>
        <w:spacing w:after="0" w:line="342" w:lineRule="auto"/>
        <w:tabs>
          <w:tab w:leader="none" w:pos="840" w:val="left"/>
        </w:tabs>
        <w:numPr>
          <w:ilvl w:val="2"/>
          <w:numId w:val="26"/>
        </w:numPr>
        <w:rPr>
          <w:rFonts w:ascii="Arial" w:cs="Arial" w:eastAsia="Arial" w:hAnsi="Arial"/>
          <w:sz w:val="16"/>
          <w:szCs w:val="16"/>
          <w:color w:val="auto"/>
        </w:rPr>
      </w:pPr>
      <w:r>
        <w:rPr>
          <w:rFonts w:ascii="Arial" w:cs="Arial" w:eastAsia="Arial" w:hAnsi="Arial"/>
          <w:sz w:val="16"/>
          <w:szCs w:val="16"/>
          <w:color w:val="auto"/>
        </w:rPr>
        <w:t xml:space="preserve">To determine whether or not the shares of such series shall have any voting powers and, if voting powers are so granted, the extent of such voting powers;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so long as any Class A Stock shall be outstanding the holders of the Class A Stock shall always have the absolute</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88" w:name="page89"/>
    <w:bookmarkEnd w:id="88"/>
    <w:p>
      <w:pPr>
        <w:ind w:left="360" w:right="140"/>
        <w:spacing w:after="0" w:line="297" w:lineRule="auto"/>
        <w:rPr>
          <w:sz w:val="20"/>
          <w:szCs w:val="20"/>
          <w:color w:val="auto"/>
        </w:rPr>
      </w:pPr>
      <w:r>
        <w:rPr>
          <w:rFonts w:ascii="Arial" w:cs="Arial" w:eastAsia="Arial" w:hAnsi="Arial"/>
          <w:sz w:val="16"/>
          <w:szCs w:val="16"/>
          <w:color w:val="auto"/>
        </w:rPr>
        <w:t xml:space="preserve">right under all conditions and circumstances to elect a majority of the directors;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voting powers of all shares of Preferred Stock on all matters other than the election of directors shall be limited (except as otherwise provided by statute) to the right to vote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holders of Class B Stock on such matters as the holders of the Class B Stock shall be entitled to vote. Subject to the foregoing and except as otherwise provided by statute, the holders of shares of Preferred Stock, as such holders, shall not have any right to vote in the election of directors or for any other purpose; and such holders shall not be entitled to notice of any meeting of stockholders at which they are not entitled to vote;</w:t>
      </w:r>
    </w:p>
    <w:p>
      <w:pPr>
        <w:spacing w:after="0" w:line="131" w:lineRule="exact"/>
        <w:rPr>
          <w:sz w:val="20"/>
          <w:szCs w:val="20"/>
          <w:color w:val="auto"/>
        </w:rPr>
      </w:pPr>
    </w:p>
    <w:p>
      <w:pPr>
        <w:ind w:left="360" w:right="200" w:firstLine="215"/>
        <w:spacing w:after="0" w:line="259" w:lineRule="auto"/>
        <w:tabs>
          <w:tab w:leader="none" w:pos="8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To determine whether or not the issue of any additional shares of such series or of any other series in addition to such series shall be subject to restrictions in addition to the restrictions, if any, on the issue of additional shares imposed in the resolution or resolutions fixing the terms of any outstanding series of Preferred Stock theretofore issued pursuant to this Section A and, if subject to additional restrictions, the extent of such additional restrictions; and</w:t>
      </w:r>
    </w:p>
    <w:p>
      <w:pPr>
        <w:spacing w:after="0" w:line="146" w:lineRule="exact"/>
        <w:rPr>
          <w:rFonts w:ascii="Arial" w:cs="Arial" w:eastAsia="Arial" w:hAnsi="Arial"/>
          <w:sz w:val="18"/>
          <w:szCs w:val="18"/>
          <w:color w:val="auto"/>
        </w:rPr>
      </w:pPr>
    </w:p>
    <w:p>
      <w:pPr>
        <w:ind w:left="360" w:right="320" w:firstLine="215"/>
        <w:spacing w:after="0" w:line="308" w:lineRule="auto"/>
        <w:tabs>
          <w:tab w:leader="none" w:pos="800" w:val="left"/>
        </w:tabs>
        <w:numPr>
          <w:ilvl w:val="1"/>
          <w:numId w:val="27"/>
        </w:numPr>
        <w:rPr>
          <w:rFonts w:ascii="Arial" w:cs="Arial" w:eastAsia="Arial" w:hAnsi="Arial"/>
          <w:sz w:val="17"/>
          <w:szCs w:val="17"/>
          <w:color w:val="auto"/>
        </w:rPr>
      </w:pPr>
      <w:r>
        <w:rPr>
          <w:rFonts w:ascii="Arial" w:cs="Arial" w:eastAsia="Arial" w:hAnsi="Arial"/>
          <w:sz w:val="17"/>
          <w:szCs w:val="17"/>
          <w:color w:val="auto"/>
        </w:rPr>
        <w:t xml:space="preserve">Generally to fix the other rights, and any qualifications, limitations or restrictions of such rights, of such series;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such rights, qualifications, limitations or restrictions shall be in conflict with this Certificate of Incorporation or any amendment hereof.</w:t>
      </w:r>
    </w:p>
    <w:p>
      <w:pPr>
        <w:spacing w:after="0" w:line="106" w:lineRule="exact"/>
        <w:rPr>
          <w:rFonts w:ascii="Arial" w:cs="Arial" w:eastAsia="Arial" w:hAnsi="Arial"/>
          <w:sz w:val="17"/>
          <w:szCs w:val="17"/>
          <w:color w:val="auto"/>
        </w:rPr>
      </w:pPr>
    </w:p>
    <w:p>
      <w:pPr>
        <w:ind w:firstLine="233"/>
        <w:spacing w:after="0" w:line="302" w:lineRule="auto"/>
        <w:tabs>
          <w:tab w:leader="none" w:pos="4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Before any dividends shall be declared or paid or any distribution ordered or made upon the Common Stock (other than a dividend payable in Common Stock), the Company shall comply with the dividend and sinking fund provisions, if any, of any resolution or resolutions providing for the issue of any series of Preferred Stock any shares of which shall at the time be outstanding. Subject to the foregoing sentence, the holders of Common Stock shall be entitled, to the exclusion of the holders of Preferred Stock of any and all series, to receive such dividends as from time to time may be declared by the Board of Directors.</w:t>
      </w:r>
    </w:p>
    <w:p>
      <w:pPr>
        <w:spacing w:after="0" w:line="127" w:lineRule="exact"/>
        <w:rPr>
          <w:rFonts w:ascii="Arial" w:cs="Arial" w:eastAsia="Arial" w:hAnsi="Arial"/>
          <w:sz w:val="16"/>
          <w:szCs w:val="16"/>
          <w:color w:val="auto"/>
        </w:rPr>
      </w:pPr>
    </w:p>
    <w:p>
      <w:pPr>
        <w:ind w:right="120" w:firstLine="233"/>
        <w:spacing w:after="0" w:line="254" w:lineRule="auto"/>
        <w:tabs>
          <w:tab w:leader="none" w:pos="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Upon any liquidation, dissolution or winding up of the Company, the holders of Preferred Stock of each series shall be entitled to receive the amounts to which such holders are entitled as fixed with respect to such series, including all dividends accumulated to the date of final distribution, before any payment or distribution of assets of the Company shall be made to or set apart for the holders of Common Stock; and after such payments shall have been made in full to the holders of Preferred Stock, the holders of Common Stock shall be entitled to receive any and all assets remaining to be paid or distributed to stockholders and the holders of Preferred Stock shall not be entitled to share therein. For the purposes of this paragraph, the voluntary sale, conveyance, lease, exchange or transfer of all or substantially all the property or assets of the Company or a consolidation or merger of the Company with one or more other corporations (whether or not the Company is the corporation surviving such consolidation or merger) shall not be deemed to be a liquidation, dissolution or winding up, voluntary or involuntary.</w:t>
      </w:r>
    </w:p>
    <w:p>
      <w:pPr>
        <w:spacing w:after="0" w:line="151" w:lineRule="exact"/>
        <w:rPr>
          <w:rFonts w:ascii="Arial" w:cs="Arial" w:eastAsia="Arial" w:hAnsi="Arial"/>
          <w:sz w:val="18"/>
          <w:szCs w:val="18"/>
          <w:color w:val="auto"/>
        </w:rPr>
      </w:pPr>
    </w:p>
    <w:p>
      <w:pPr>
        <w:ind w:right="20" w:firstLine="233"/>
        <w:spacing w:after="0" w:line="287" w:lineRule="auto"/>
        <w:tabs>
          <w:tab w:leader="none" w:pos="4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Subject to such limitations (if any) as may be fixed by the Board of Directors with respect to such series of Preferred Stock in accordance with paragraph (1) of this Section A, Preferred Stock of each series may be redeemed at any time in whole or from time to time in part, at the option of the Company, by vote of the Board of Directors, at the redemption price thereof fixed in accordance with said paragraph (1). If less than all the outstanding shares of Preferred Stock of such series are to be redeemed, the shares to be redeemed shall be determined in such manner as the Board of Directors shall prescribe. At such time or times prior to the date fixed for redemption as the Board of Directors shall determine, written notice shall be mailed to each holder of record of shares to be redeemed, in a postage prepaid envelope addressed to such holder at his address as shown by the records of the Company, notifying such holder of the election of the Company to redeem such shares and stating the date fixed for the redemption thereof and calling upon such holder to surrender to the Company on or after said date, at a place designated in such notice, his certificate or certificates representing the number of shares specified in such notice of redemption. On and after the date fixed in such notice of redemption, each holder of shares of Preferred Stock to be redeemed shall present and surrender his certificate or certificates for such shares to the Company at the place designated in such notice and thereupon the redemption price of such shares shall be paid to or on the order of the person whose name appears on the records of the Company as the holder of the shares designated for</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9" w:name="page90"/>
    <w:bookmarkEnd w:id="89"/>
    <w:p>
      <w:pPr>
        <w:spacing w:after="0"/>
        <w:rPr>
          <w:sz w:val="20"/>
          <w:szCs w:val="20"/>
          <w:color w:val="auto"/>
        </w:rPr>
      </w:pPr>
      <w:r>
        <w:rPr>
          <w:rFonts w:ascii="Arial" w:cs="Arial" w:eastAsia="Arial" w:hAnsi="Arial"/>
          <w:sz w:val="16"/>
          <w:szCs w:val="16"/>
          <w:color w:val="auto"/>
        </w:rPr>
        <w:t>redemption. In case less than all the shares represented by any such certificate are redeemed a new certificate shall be issued representing the unredeemed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shares. From and after the date fixed in any such notice as the date of redemption (unless default shall be made by the Company in payment of the redemption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price) all dividends on the shares of Preferred Stock designated for redemption in such notice shall cease to accrue and all rights of the holders thereof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stockholders of the Company, other than to receive the redemption price, shall terminate and such shares shall not thereafter be transferred (except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consent of the Company) on the books of the Company and such shares shall not be deemed to be outstanding for any purpose whatsoever. At any time 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mailing of any such notice of redemption the Company may deposit the redemption price of the shares designated therein for redemption with a bank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trust company in the Borough of Manhattan, City and State of New York, or in the City of Washington, D. C., having capital and surplus of at least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$25,000,000, in trust for the benefit of the respective holders of the shares designated for redemption but not yet redeemed. From and after the making of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deposit the sole right of the holders of such shares shall be the right either to receive the redemption price of such shares on and after such redemption date,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in the case of shares having conversion rights, the right to convert the same at any time at or before the earlier of the close of business on such redemption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or such prior date and time at which the right to convert shall have expired; and except for these rights, the shares of Preferred Stock so designated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redemption shall not be deemed to be outstanding for any purpose whatsoever.</w:t>
      </w:r>
    </w:p>
    <w:p>
      <w:pPr>
        <w:spacing w:after="0" w:line="184" w:lineRule="exact"/>
        <w:rPr>
          <w:sz w:val="20"/>
          <w:szCs w:val="20"/>
          <w:color w:val="auto"/>
        </w:rPr>
      </w:pPr>
    </w:p>
    <w:p>
      <w:pPr>
        <w:ind w:firstLine="233"/>
        <w:spacing w:after="0" w:line="257" w:lineRule="auto"/>
        <w:tabs>
          <w:tab w:leader="none" w:pos="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Shares of any series of Preferred Stock which have been redeemed (whether through the operation of a sinking fund or otherwise) or purchased by the Company, or which, if convertible, have been converted into shares of stock of the Company of any other class or classes, may, upon appropriate filing and recording to the extent required by law, have the status of authorized and unissued shares of Preferred Stock and may be reissued as a part of such series or of any other series of Preferred Stock, subject to such limitations (if any) as may be fixed by the Board of Directors with respect to such series of Preferred Stock in accordance with paragraph (1) of this Section A.</w:t>
      </w:r>
    </w:p>
    <w:p>
      <w:pPr>
        <w:spacing w:after="0" w:line="14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B. </w:t>
      </w:r>
      <w:r>
        <w:rPr>
          <w:rFonts w:ascii="Arial" w:cs="Arial" w:eastAsia="Arial" w:hAnsi="Arial"/>
          <w:sz w:val="18"/>
          <w:szCs w:val="18"/>
          <w:i w:val="1"/>
          <w:iCs w:val="1"/>
          <w:color w:val="auto"/>
        </w:rPr>
        <w:t>Common Stock</w:t>
      </w:r>
    </w:p>
    <w:p>
      <w:pPr>
        <w:spacing w:after="0" w:line="184" w:lineRule="exact"/>
        <w:rPr>
          <w:rFonts w:ascii="Arial" w:cs="Arial" w:eastAsia="Arial" w:hAnsi="Arial"/>
          <w:sz w:val="18"/>
          <w:szCs w:val="18"/>
          <w:color w:val="auto"/>
        </w:rPr>
      </w:pPr>
    </w:p>
    <w:p>
      <w:pPr>
        <w:ind w:right="60" w:firstLine="233"/>
        <w:spacing w:after="0" w:line="272" w:lineRule="auto"/>
        <w:tabs>
          <w:tab w:leader="none" w:pos="480" w:val="left"/>
        </w:tabs>
        <w:numPr>
          <w:ilvl w:val="1"/>
          <w:numId w:val="30"/>
        </w:numPr>
        <w:rPr>
          <w:rFonts w:ascii="Arial" w:cs="Arial" w:eastAsia="Arial" w:hAnsi="Arial"/>
          <w:sz w:val="17"/>
          <w:szCs w:val="17"/>
          <w:color w:val="auto"/>
        </w:rPr>
      </w:pPr>
      <w:r>
        <w:rPr>
          <w:rFonts w:ascii="Arial" w:cs="Arial" w:eastAsia="Arial" w:hAnsi="Arial"/>
          <w:sz w:val="17"/>
          <w:szCs w:val="17"/>
          <w:color w:val="auto"/>
        </w:rPr>
        <w:t>Except as otherwise provided by (a) the Board of Directors in fixing the voting rights of any series of the Preferred Stock in accordance with Section A of this Article Fourth, (b) this Section B or (c) statute, voting power in the election of directors and for all other purposes shall be vested exclusively in the holders of Class A Stock. Any director elected by the holders of Class A Stock (and any successor to such director) shall be subject to removal without cause and to replacement from time to time by the affirmative vote or written consent of the holders of a majority of the outstanding shares of Class A Stock. Every holder of stock of a class entitled to vote upon a matter shall be entitled to one vote for each share of stock of such class standing in his name upon the books of the Company. Except as otherwise provided by this Section B and by Section C of this Article Fourth, there shall be no distinction whatever between the rights accorded to the holders of Class A Stock and Class B Stock.</w:t>
      </w:r>
    </w:p>
    <w:p>
      <w:pPr>
        <w:spacing w:after="0" w:line="150" w:lineRule="exact"/>
        <w:rPr>
          <w:rFonts w:ascii="Arial" w:cs="Arial" w:eastAsia="Arial" w:hAnsi="Arial"/>
          <w:sz w:val="17"/>
          <w:szCs w:val="17"/>
          <w:color w:val="auto"/>
        </w:rPr>
      </w:pPr>
    </w:p>
    <w:p>
      <w:pPr>
        <w:ind w:left="480" w:hanging="247"/>
        <w:spacing w:after="0"/>
        <w:tabs>
          <w:tab w:leader="none" w:pos="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Holders of Class B Stock shall be entitled to vote as specified below:</w:t>
      </w:r>
    </w:p>
    <w:p>
      <w:pPr>
        <w:spacing w:after="0" w:line="184" w:lineRule="exact"/>
        <w:rPr>
          <w:rFonts w:ascii="Arial" w:cs="Arial" w:eastAsia="Arial" w:hAnsi="Arial"/>
          <w:sz w:val="18"/>
          <w:szCs w:val="18"/>
          <w:color w:val="auto"/>
        </w:rPr>
      </w:pPr>
    </w:p>
    <w:p>
      <w:pPr>
        <w:ind w:left="360" w:right="80" w:firstLine="215"/>
        <w:spacing w:after="0" w:line="259" w:lineRule="auto"/>
        <w:tabs>
          <w:tab w:leader="none" w:pos="830" w:val="left"/>
        </w:tabs>
        <w:numPr>
          <w:ilvl w:val="2"/>
          <w:numId w:val="30"/>
        </w:numPr>
        <w:rPr>
          <w:rFonts w:ascii="Arial" w:cs="Arial" w:eastAsia="Arial" w:hAnsi="Arial"/>
          <w:sz w:val="18"/>
          <w:szCs w:val="18"/>
          <w:color w:val="auto"/>
        </w:rPr>
      </w:pPr>
      <w:r>
        <w:rPr>
          <w:rFonts w:ascii="Arial" w:cs="Arial" w:eastAsia="Arial" w:hAnsi="Arial"/>
          <w:sz w:val="18"/>
          <w:szCs w:val="18"/>
          <w:color w:val="auto"/>
        </w:rPr>
        <w:t>with regard to the election of directors, holders of Class B Stock shall be entitled, voting separately as a class, to elect 30 percent of the directors (rounding the number of such directors to the next highest whole number if such percentage is not equal to a whole number of directors) and no more, to remove any director elected by the holders of Class B Stock (and any successor to such director) and, in the manner provided in the by-laws of the Company, to replace any director so removed; and</w:t>
      </w:r>
    </w:p>
    <w:p>
      <w:pPr>
        <w:spacing w:after="0" w:line="146" w:lineRule="exact"/>
        <w:rPr>
          <w:rFonts w:ascii="Arial" w:cs="Arial" w:eastAsia="Arial" w:hAnsi="Arial"/>
          <w:sz w:val="18"/>
          <w:szCs w:val="18"/>
          <w:color w:val="auto"/>
        </w:rPr>
      </w:pPr>
    </w:p>
    <w:p>
      <w:pPr>
        <w:ind w:left="360" w:right="100" w:firstLine="215"/>
        <w:spacing w:after="0" w:line="302" w:lineRule="auto"/>
        <w:tabs>
          <w:tab w:leader="none" w:pos="840" w:val="left"/>
        </w:tabs>
        <w:numPr>
          <w:ilvl w:val="2"/>
          <w:numId w:val="30"/>
        </w:numPr>
        <w:rPr>
          <w:rFonts w:ascii="Arial" w:cs="Arial" w:eastAsia="Arial" w:hAnsi="Arial"/>
          <w:sz w:val="16"/>
          <w:szCs w:val="16"/>
          <w:color w:val="auto"/>
        </w:rPr>
      </w:pPr>
      <w:r>
        <w:rPr>
          <w:rFonts w:ascii="Arial" w:cs="Arial" w:eastAsia="Arial" w:hAnsi="Arial"/>
          <w:sz w:val="16"/>
          <w:szCs w:val="16"/>
          <w:color w:val="auto"/>
        </w:rPr>
        <w:t xml:space="preserve">upon the following transactions, but only to the extent that any national securities exchange on which the Class B Stock shall be listed shall require a vote of the Class B Stock as a condition to the listing on such exchange of the shares to be issued in such transaction, the holders of Class B Stock shall be entitled to vote as a separate class, and the holders of any series of Preferred Stock which shall be entitled to vote thereon shall be entitled to vote together with the holders of Class B Stock as a separate class;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any such vote by the holders of Class B Stock</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0" w:name="page91"/>
    <w:bookmarkEnd w:id="90"/>
    <w:p>
      <w:pPr>
        <w:ind w:right="60"/>
        <w:spacing w:after="0" w:line="342" w:lineRule="auto"/>
        <w:rPr>
          <w:sz w:val="20"/>
          <w:szCs w:val="20"/>
          <w:color w:val="auto"/>
        </w:rPr>
      </w:pPr>
      <w:r>
        <w:rPr>
          <w:rFonts w:ascii="Arial" w:cs="Arial" w:eastAsia="Arial" w:hAnsi="Arial"/>
          <w:sz w:val="16"/>
          <w:szCs w:val="16"/>
          <w:color w:val="auto"/>
        </w:rPr>
        <w:t>shall be required as provided in this paragraph (b), the holders of Class A Stock, in addition to their powers under any other provision of this Article Fourth, shall be entitled to vote thereon separately as a class, and in such event approval under this paragraph (b) shall require the affirmative vote of each such class:</w:t>
      </w:r>
    </w:p>
    <w:p>
      <w:pPr>
        <w:spacing w:after="0" w:line="97" w:lineRule="exact"/>
        <w:rPr>
          <w:sz w:val="20"/>
          <w:szCs w:val="20"/>
          <w:color w:val="auto"/>
        </w:rPr>
      </w:pPr>
    </w:p>
    <w:p>
      <w:pPr>
        <w:ind w:left="360" w:right="660" w:firstLine="215"/>
        <w:spacing w:after="0" w:line="277"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reservation of any shares of capital stock of the Company for issuance upon the exercise of options granted or to be granted to officers, directors or key employees; and</w:t>
      </w:r>
    </w:p>
    <w:p>
      <w:pPr>
        <w:spacing w:after="0" w:line="129" w:lineRule="exact"/>
        <w:rPr>
          <w:rFonts w:ascii="Arial" w:cs="Arial" w:eastAsia="Arial" w:hAnsi="Arial"/>
          <w:sz w:val="18"/>
          <w:szCs w:val="18"/>
          <w:color w:val="auto"/>
        </w:rPr>
      </w:pPr>
    </w:p>
    <w:p>
      <w:pPr>
        <w:ind w:left="1060" w:hanging="256"/>
        <w:spacing w:after="0"/>
        <w:tabs>
          <w:tab w:leader="none" w:pos="10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acquisition of the stock or assets of another company if either:</w:t>
      </w:r>
    </w:p>
    <w:p>
      <w:pPr>
        <w:spacing w:after="0" w:line="185" w:lineRule="exact"/>
        <w:rPr>
          <w:sz w:val="20"/>
          <w:szCs w:val="20"/>
          <w:color w:val="auto"/>
        </w:rPr>
      </w:pPr>
    </w:p>
    <w:p>
      <w:pPr>
        <w:ind w:left="580" w:right="100" w:firstLine="225"/>
        <w:spacing w:after="0" w:line="277" w:lineRule="auto"/>
        <w:rPr>
          <w:sz w:val="20"/>
          <w:szCs w:val="20"/>
          <w:color w:val="auto"/>
        </w:rPr>
      </w:pPr>
      <w:r>
        <w:rPr>
          <w:rFonts w:ascii="Arial" w:cs="Arial" w:eastAsia="Arial" w:hAnsi="Arial"/>
          <w:sz w:val="18"/>
          <w:szCs w:val="18"/>
          <w:color w:val="auto"/>
        </w:rPr>
        <w:t>a. any director, officer or holder of 10% or more of the shares of any class of voting stock of the Company has an interest, directly or indirectly, in the company or assets to be acquired or in the consideration to be paid in the transaction;</w:t>
      </w:r>
    </w:p>
    <w:p>
      <w:pPr>
        <w:spacing w:after="0" w:line="143" w:lineRule="exact"/>
        <w:rPr>
          <w:sz w:val="20"/>
          <w:szCs w:val="20"/>
          <w:color w:val="auto"/>
        </w:rPr>
      </w:pPr>
    </w:p>
    <w:p>
      <w:pPr>
        <w:ind w:left="580" w:right="520" w:firstLine="225"/>
        <w:spacing w:after="0" w:line="277" w:lineRule="auto"/>
        <w:rPr>
          <w:sz w:val="20"/>
          <w:szCs w:val="20"/>
          <w:color w:val="auto"/>
        </w:rPr>
      </w:pPr>
      <w:r>
        <w:rPr>
          <w:rFonts w:ascii="Arial" w:cs="Arial" w:eastAsia="Arial" w:hAnsi="Arial"/>
          <w:sz w:val="18"/>
          <w:szCs w:val="18"/>
          <w:color w:val="auto"/>
        </w:rPr>
        <w:t>b. the issuance or potential issuance of Common Stock and/or securities convertible into Common Stock in the transaction could result in an increase of 20% or more in the aggregate outstanding shares of Common Stock; or</w:t>
      </w:r>
    </w:p>
    <w:p>
      <w:pPr>
        <w:spacing w:after="0" w:line="130" w:lineRule="exact"/>
        <w:rPr>
          <w:sz w:val="20"/>
          <w:szCs w:val="20"/>
          <w:color w:val="auto"/>
        </w:rPr>
      </w:pPr>
    </w:p>
    <w:p>
      <w:pPr>
        <w:ind w:left="580" w:right="340" w:firstLine="225"/>
        <w:spacing w:after="0" w:line="342" w:lineRule="auto"/>
        <w:rPr>
          <w:sz w:val="20"/>
          <w:szCs w:val="20"/>
          <w:color w:val="auto"/>
        </w:rPr>
      </w:pPr>
      <w:r>
        <w:rPr>
          <w:rFonts w:ascii="Arial" w:cs="Arial" w:eastAsia="Arial" w:hAnsi="Arial"/>
          <w:sz w:val="16"/>
          <w:szCs w:val="16"/>
          <w:color w:val="auto"/>
        </w:rPr>
        <w:t>c. the aggregate market value of the Common Stock issuable or potentially issuable and of any other consideration to be paid in the transaction equals 20% or more of the aggregate market value of the shares of Common Stock outstanding immediately prior to the transaction.</w:t>
      </w:r>
    </w:p>
    <w:p>
      <w:pPr>
        <w:spacing w:after="0" w:line="8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If at any time there shall not be any Class A Stock outstanding, the provisions of this Certificate of Incorporation which provide limited and separate voting rights for the holders of the Class B Stock shall cease to be of any effect, and such holders shall thereafter have general voting power in the election of directors and in all other matters upon which stockholders of the Company are entitled to vote pursuant to this Certificate of Incorporation, the by-laws of the Company or statute.</w:t>
      </w:r>
    </w:p>
    <w:p>
      <w:pPr>
        <w:spacing w:after="0" w:line="160" w:lineRule="exact"/>
        <w:rPr>
          <w:sz w:val="20"/>
          <w:szCs w:val="20"/>
          <w:color w:val="auto"/>
        </w:rPr>
      </w:pPr>
    </w:p>
    <w:p>
      <w:pPr>
        <w:ind w:firstLine="233"/>
        <w:spacing w:after="0" w:line="289" w:lineRule="auto"/>
        <w:tabs>
          <w:tab w:leader="none" w:pos="47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 holder of shares of Class A Stock shall be entitled at any time and from time to time to convert any or all such shares held by him into shares of Class B Stock in the ratio of one share of Class B Stock for one share of Class A Stock. Each conversion of shares of Class A Stock into shares of Class B Stock made pursuant to the provisions of this paragraph (3) shall be effected by the surrender of the certificate representing the shares to be converted at the office of the Secretary of the Company (or at such additional place or places as may from time to time be designated by the Secretary or any Assistant Secretary of the Company) in such form and accompanied by all stock transfer tax stamps, if any, as shall be requisite for such transfer, and upon such surrender the holder of such shares shall be entitled to become, and shall be registered on the books of the Company as, the holder of the number of shares of Class B Stock issuable upon such conversion, and each such share of Class A Stock shall be converted into one share of Class B Stock, as the Class B Stock shall then be constituted, and thereupon there shall be issued and delivered to such holder or other named person, as the case may be, promptly at such office or other designated place, a certificate or certificates for such number of shares of Class B Stock.</w:t>
      </w:r>
    </w:p>
    <w:p>
      <w:pPr>
        <w:spacing w:after="0" w:line="126" w:lineRule="exact"/>
        <w:rPr>
          <w:rFonts w:ascii="Arial" w:cs="Arial" w:eastAsia="Arial" w:hAnsi="Arial"/>
          <w:sz w:val="16"/>
          <w:szCs w:val="16"/>
          <w:color w:val="auto"/>
        </w:rPr>
      </w:pPr>
    </w:p>
    <w:p>
      <w:pPr>
        <w:ind w:firstLine="233"/>
        <w:spacing w:after="0" w:line="284" w:lineRule="auto"/>
        <w:tabs>
          <w:tab w:leader="none" w:pos="480" w:val="left"/>
        </w:tabs>
        <w:numPr>
          <w:ilvl w:val="1"/>
          <w:numId w:val="32"/>
        </w:numPr>
        <w:rPr>
          <w:rFonts w:ascii="Arial" w:cs="Arial" w:eastAsia="Arial" w:hAnsi="Arial"/>
          <w:sz w:val="16"/>
          <w:szCs w:val="16"/>
          <w:color w:val="auto"/>
        </w:rPr>
      </w:pPr>
      <w:r>
        <w:rPr>
          <w:rFonts w:ascii="Arial" w:cs="Arial" w:eastAsia="Arial" w:hAnsi="Arial"/>
          <w:sz w:val="16"/>
          <w:szCs w:val="16"/>
          <w:color w:val="auto"/>
        </w:rPr>
        <w:t>Upon the affirmative vote or the written consent of the holders of a majority of the outstanding shares of Class A Stock, all or any part of the entire class of outstanding Class A Stock shall be converted, effective upon the date specified in such vote or consent, into shares of Class B Stock in the ratio of one share of Class B Stock for one share of Class A Stock. Any conversion pursuant to this paragraph (4) of less than all the outstanding shares of Class A Stock shall be effected through the conversion of an equal percentage of such shares held by each holder of Class A Stock (including any holder who shall not have given his affirmative vote or written consent). Any fractional share of Class A Stock resulting from the application of such percentage shall not be eliminated and shall exist as a fractional share of Class A Stock and the holder thereof shall be entitled to exercise voting rights, to receive dividends thereon, to participate in any of the assets of the Company in the event of liquidation and to all other rights in respect of Class A Stock to the extent of such fractional share; but any fractional share of Class B Stock shall be eliminated and in lieu thereof the Company shall issue scrip or pay cash as provided in paragraph</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of this Section B. Upon the effective date of any conversion pursuant to this paragraph (4), certificates representing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1" w:name="page92"/>
    <w:bookmarkEnd w:id="91"/>
    <w:p>
      <w:pPr>
        <w:ind w:right="40"/>
        <w:spacing w:after="0" w:line="273" w:lineRule="auto"/>
        <w:rPr>
          <w:sz w:val="20"/>
          <w:szCs w:val="20"/>
          <w:color w:val="auto"/>
        </w:rPr>
      </w:pPr>
      <w:r>
        <w:rPr>
          <w:rFonts w:ascii="Arial" w:cs="Arial" w:eastAsia="Arial" w:hAnsi="Arial"/>
          <w:sz w:val="17"/>
          <w:szCs w:val="17"/>
          <w:color w:val="auto"/>
        </w:rPr>
        <w:t>shares of Class A Stock so converted shall thereafter represent a like number of shares of Class B Stock, and each holder thereof shall be registered on the books of the Company as the record holder of such number of shares of Class B Stock. Upon presentation and surrender of said certificates at the office of the Secretary of the Company (or at such additional place or places as may from time to time be designated by the Secretary or any Assistant Secretary of the Company) the Company shall issue or cause to be issued certificates representing the whole number of shares of Class B Stock resulting from such conversion, and shall issue scrip or pay cash in lieu of any fractional share eliminated upon such conversion, and shall issue or cause to be issued certificates representing the number of whole shares and any fractional shares of Class A Stock remaining after such conversion.</w:t>
      </w:r>
    </w:p>
    <w:p>
      <w:pPr>
        <w:spacing w:after="0" w:line="151" w:lineRule="exact"/>
        <w:rPr>
          <w:sz w:val="20"/>
          <w:szCs w:val="20"/>
          <w:color w:val="auto"/>
        </w:rPr>
      </w:pPr>
    </w:p>
    <w:p>
      <w:pPr>
        <w:ind w:firstLine="233"/>
        <w:spacing w:after="0" w:line="270" w:lineRule="auto"/>
        <w:tabs>
          <w:tab w:leader="none" w:pos="4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Fractional shares of Class A Stock shall be issued upon and in connection with any conversion, split-up, merger, consolidation, reclassification, stock dividend or other change in so far as the same shall affect Class A Stock. A certificate for a fractional share of Class A Stock so issued shall entitle the holder to exercise voting rights, to receive dividends thereon, to participate in any of the assets of the Company in the event of liquidation and to all other rights in respect of Class A Stock to the extent of such fractional share. No fractional share of stock of any other class of the Company now or hereafter authorized shall be issuable upon or in connection with any other conversion, split-up, merger, consolidation, reclassification, stock dividend or change involving stock of such other class; in lieu of any such fractional share, the person entitled to an interest in respect of such a fractional share shall be entitled, as determined from time to time by the Board of Directors, to either (i) a scrip certificate for such fractional share with such terms and conditions as the Board of Directors shall prescribe or (ii) the cash equivalent of any such fractional share based upon the market value of shares of such class at the date on which rights in respect of any such fractional share shall accrue, as determined in good faith by the Board of Directors.</w:t>
      </w:r>
    </w:p>
    <w:p>
      <w:pPr>
        <w:spacing w:after="0" w:line="141" w:lineRule="exact"/>
        <w:rPr>
          <w:rFonts w:ascii="Arial" w:cs="Arial" w:eastAsia="Arial" w:hAnsi="Arial"/>
          <w:sz w:val="17"/>
          <w:szCs w:val="17"/>
          <w:color w:val="auto"/>
        </w:rPr>
      </w:pPr>
    </w:p>
    <w:p>
      <w:pPr>
        <w:ind w:right="20" w:firstLine="233"/>
        <w:spacing w:after="0" w:line="255" w:lineRule="auto"/>
        <w:tabs>
          <w:tab w:leader="none" w:pos="4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Subject to the prior rights of the holders of the Preferred Stock contained in this Article Fourth, when and as dividends are declared, whether payable in cash, in property or in shares of stock of the Company (except as hereinafter provided in this paragraph (6)), the holders of Class A Stock and the holders of Class B Stock shall be entitled to share equally, share for share, in such dividends. A dividend payable in shares of Class A Stock to the holders of Class A Stock and in shares of Class B Stock to the holders of Class B Stock shall be deemed to be shared equally among both classes. No dividends shall be declared or paid in shares of Class A Stock except to holders of Class A Stock, but dividends may be declared and paid, as determined by the Board of Directors, in shares of Class B Stock to all holders of Common Stock.</w:t>
      </w:r>
    </w:p>
    <w:p>
      <w:pPr>
        <w:spacing w:after="0" w:line="152" w:lineRule="exact"/>
        <w:rPr>
          <w:rFonts w:ascii="Arial" w:cs="Arial" w:eastAsia="Arial" w:hAnsi="Arial"/>
          <w:sz w:val="18"/>
          <w:szCs w:val="18"/>
          <w:color w:val="auto"/>
        </w:rPr>
      </w:pPr>
    </w:p>
    <w:p>
      <w:pPr>
        <w:jc w:val="both"/>
        <w:ind w:right="220" w:firstLine="233"/>
        <w:spacing w:after="0" w:line="279" w:lineRule="auto"/>
        <w:tabs>
          <w:tab w:leader="none" w:pos="4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In the event of any liquidation, dissolution or winding up of the Company, either voluntary or involuntary, after payment shall have been made to the holders of the Preferred Stock of the full amount to which they shall be entitled pursuant to paragraph (3) of Section A of this Article Fourth, the holders of Common Stock shall be entitled, to the exclusion of the holders of the Preferred Stock of any and all series, to share, ratably according to the number of shares of Common Stock held by them, in all remaining assets of the Company available for distribution to its stockholders.</w:t>
      </w:r>
    </w:p>
    <w:p>
      <w:pPr>
        <w:spacing w:after="0" w:line="144" w:lineRule="exact"/>
        <w:rPr>
          <w:rFonts w:ascii="Arial" w:cs="Arial" w:eastAsia="Arial" w:hAnsi="Arial"/>
          <w:sz w:val="17"/>
          <w:szCs w:val="17"/>
          <w:color w:val="auto"/>
        </w:rPr>
      </w:pPr>
    </w:p>
    <w:p>
      <w:pPr>
        <w:ind w:left="220" w:hanging="212"/>
        <w:spacing w:after="0"/>
        <w:tabs>
          <w:tab w:leader="none" w:pos="22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Issuance of Stock; Negation of Preemptive Rights</w:t>
      </w:r>
    </w:p>
    <w:p>
      <w:pPr>
        <w:spacing w:after="0" w:line="184" w:lineRule="exact"/>
        <w:rPr>
          <w:rFonts w:ascii="Arial" w:cs="Arial" w:eastAsia="Arial" w:hAnsi="Arial"/>
          <w:sz w:val="18"/>
          <w:szCs w:val="18"/>
          <w:color w:val="auto"/>
        </w:rPr>
      </w:pPr>
    </w:p>
    <w:p>
      <w:pPr>
        <w:ind w:left="220"/>
        <w:spacing w:after="0"/>
        <w:rPr>
          <w:rFonts w:ascii="Arial" w:cs="Arial" w:eastAsia="Arial" w:hAnsi="Arial"/>
          <w:sz w:val="18"/>
          <w:szCs w:val="18"/>
          <w:color w:val="auto"/>
        </w:rPr>
      </w:pPr>
      <w:r>
        <w:rPr>
          <w:rFonts w:ascii="Arial" w:cs="Arial" w:eastAsia="Arial" w:hAnsi="Arial"/>
          <w:sz w:val="16"/>
          <w:szCs w:val="16"/>
          <w:color w:val="auto"/>
        </w:rPr>
        <w:t>Without the affirmative vote or written consent of the holders of a majority of the outstanding shares of Class A Stock, the Company shall not issue or sell</w:t>
      </w:r>
    </w:p>
    <w:p>
      <w:pPr>
        <w:spacing w:after="0" w:line="46"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any shares of Class A Stock or any obligation or security that shall be convertible into, or exchangeable for, or entitle the holder thereof to subscribe for or purchase, any shares of Class A Stock. Except as expressly provided in this Section C or as the Board of Directors in its discretion may by resolution determine, no holder of stock of the Company of any class shall have any right to subscribe for or purchase any shares of stock of the Company of any class now or hereafter authorized or any obligations or securities which the Company may hereafter issue or sell that shall be convertible into, or exchangeable for, or entitle the holders thereof to subscribe for or purchase, any shares of any such class of stock of the Company.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color w:val="auto"/>
        </w:rPr>
        <w:t>Rights or Options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92" w:name="page93"/>
    <w:bookmarkEnd w:id="92"/>
    <w:p>
      <w:pPr>
        <w:ind w:right="80" w:firstLine="225"/>
        <w:spacing w:after="0" w:line="270" w:lineRule="auto"/>
        <w:rPr>
          <w:sz w:val="20"/>
          <w:szCs w:val="20"/>
          <w:color w:val="auto"/>
        </w:rPr>
      </w:pPr>
      <w:r>
        <w:rPr>
          <w:rFonts w:ascii="Arial" w:cs="Arial" w:eastAsia="Arial" w:hAnsi="Arial"/>
          <w:sz w:val="17"/>
          <w:szCs w:val="17"/>
          <w:color w:val="auto"/>
        </w:rPr>
        <w:t>Subject to Section C of this Article Fourth, the Company shall have the power to create and issue, whether or not in connection with the issue and sale of any shares of stock or other securities of the Company, rights or options entitling the holders thereof to purchase from the Company any shares of its capital stock of any class or classes at the time authorized, such rights or options to be evidenced by or in such instrument or instruments as shall be approved by the Board of Directors. The terms upon which, the time or times, which may be limited or unlimited in duration, at or within which, and the price or prices at which any such rights or options may be issued and any such shares may be purchased from the Company upon the exercise of any such right or option shall be such as shall be fixed and stated in a resolution or resolutions adopted by the Board of Directors providing for the creation and issue of such rights or options, and, in every case, set forth or incorporated by reference in the instrument or instruments evidencing such rights or options. In the absence of actual fraud in the transaction, the judgment of the Board of Directors as to the consideration for the issuance of such rights or options and the sufficiency thereof shall be conclusive.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i w:val="1"/>
          <w:iCs w:val="1"/>
          <w:color w:val="auto"/>
        </w:rPr>
        <w:t>Unclaimed Dividends</w:t>
      </w:r>
    </w:p>
    <w:p>
      <w:pPr>
        <w:spacing w:after="0" w:line="185" w:lineRule="exact"/>
        <w:rPr>
          <w:sz w:val="20"/>
          <w:szCs w:val="20"/>
          <w:color w:val="auto"/>
        </w:rPr>
      </w:pPr>
    </w:p>
    <w:p>
      <w:pPr>
        <w:ind w:right="80" w:firstLine="215"/>
        <w:spacing w:after="0" w:line="257" w:lineRule="auto"/>
        <w:rPr>
          <w:sz w:val="20"/>
          <w:szCs w:val="20"/>
          <w:color w:val="auto"/>
        </w:rPr>
      </w:pPr>
      <w:r>
        <w:rPr>
          <w:rFonts w:ascii="Arial" w:cs="Arial" w:eastAsia="Arial" w:hAnsi="Arial"/>
          <w:sz w:val="18"/>
          <w:szCs w:val="18"/>
          <w:color w:val="auto"/>
        </w:rPr>
        <w:t>Any and all right, title, interest and claim in or to any dividends declared, or other distributions made, by the Company, whether in cash, stock or otherwise, which are unclaimed by the stockholder entitled thereto for a period of three years after the close of business on the payment date, shall be and be deemed to be extinguished and abandoned; and such unclaimed dividends or other distributions in the possession of the Company, its transfer agents or other agents or depositories shall at such time become the absolute property of the Company, free and clear of any and all claims of any persons or other entities whatsoever.</w:t>
      </w:r>
    </w:p>
    <w:p>
      <w:pPr>
        <w:spacing w:after="0" w:line="14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Fifth: The private property of the stockholders of the Company shall not be subject to the payment of corporate debts to any extent whatsoever.</w:t>
      </w:r>
    </w:p>
    <w:p>
      <w:pPr>
        <w:spacing w:after="0" w:line="210"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Sixth: 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of this corporation or on the application of any receiver or receivers appointed for this corporation under the provisions of Section 291 of Title 8 of the Delaware Code or on the application of trustees in dissolution or of any receiver or receivers appointed for this corporation under the provisions of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 to any compromise or arrangement and to any reorganization of this corporation as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129"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Seventh: In furtherance and not in limitation of the powers conferred by the laws of the State of Delaware, the Board of Directors, subject to the provisions of this Certificate of Incorporation, is expressly authorized and empowered:</w:t>
      </w:r>
    </w:p>
    <w:p>
      <w:pPr>
        <w:spacing w:after="0" w:line="130" w:lineRule="exact"/>
        <w:rPr>
          <w:sz w:val="20"/>
          <w:szCs w:val="20"/>
          <w:color w:val="auto"/>
        </w:rPr>
      </w:pPr>
    </w:p>
    <w:p>
      <w:pPr>
        <w:ind w:left="360" w:right="160" w:firstLine="215"/>
        <w:spacing w:after="0" w:line="257" w:lineRule="auto"/>
        <w:tabs>
          <w:tab w:leader="none" w:pos="83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To make, alter, amend or repeal the by-laws of the Company in any manner not inconsistent with the laws of the State of Delaware or this Certificate of Incorporation, subject to the power of the stockholders to amend, alter or repeal the by-laws made by the Board of Directors or to limit or restrict the power of the Board of Directors so to make, alter, amend or repeal the by-laws;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so long as any Class A Stock shall remain outstanding the minimum number of directors shall be the lowest number required for the holders of Class A Stock to have the absolute power under all conditions and circumstances to elect a majority of the directors.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3" w:name="page94"/>
    <w:bookmarkEnd w:id="93"/>
    <w:p>
      <w:pPr>
        <w:ind w:left="360" w:right="20" w:firstLine="215"/>
        <w:spacing w:after="0" w:line="257" w:lineRule="auto"/>
        <w:tabs>
          <w:tab w:leader="none" w:pos="8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Subject to the applicable provisions of the by-laws, to determine, from time to time, whether and to what extent and at what times and places and under what conditions and regulations the accounts and books and documents of the Company, or any of them, shall be open to the inspection of the stockholders, and no stockholder shall have any right to inspect any account or book or document of the Company, except as conferred by the laws of the State of Delaware, unless and until authorized so to do by resolution adopted by the Board of Directors or the stockholders of the Company entitled to vote in respect thereof.</w:t>
      </w:r>
    </w:p>
    <w:p>
      <w:pPr>
        <w:spacing w:after="0" w:line="161" w:lineRule="exact"/>
        <w:rPr>
          <w:rFonts w:ascii="Arial" w:cs="Arial" w:eastAsia="Arial" w:hAnsi="Arial"/>
          <w:sz w:val="18"/>
          <w:szCs w:val="18"/>
          <w:color w:val="auto"/>
        </w:rPr>
      </w:pPr>
    </w:p>
    <w:p>
      <w:pPr>
        <w:ind w:left="360" w:firstLine="215"/>
        <w:spacing w:after="0" w:line="286" w:lineRule="auto"/>
        <w:tabs>
          <w:tab w:leader="none" w:pos="83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Without the assent or vote of the stockholders, to authorize and issue obligations of the Company, secured or unsecured, to include therein such provisions as to redeemability, convertibility or otherwise, as the Board of Directors in its sole discretion may determine, and to authorize the mortgaging or pledging, as security therefor, of any property of the Company, real or personal, including after-acquired property.</w:t>
      </w:r>
    </w:p>
    <w:p>
      <w:pPr>
        <w:spacing w:after="0" w:line="125" w:lineRule="exact"/>
        <w:rPr>
          <w:rFonts w:ascii="Arial" w:cs="Arial" w:eastAsia="Arial" w:hAnsi="Arial"/>
          <w:sz w:val="17"/>
          <w:szCs w:val="17"/>
          <w:color w:val="auto"/>
        </w:rPr>
      </w:pPr>
    </w:p>
    <w:p>
      <w:pPr>
        <w:ind w:left="360" w:firstLine="215"/>
        <w:spacing w:after="0" w:line="276" w:lineRule="auto"/>
        <w:tabs>
          <w:tab w:leader="none" w:pos="8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To fix and determine, and to vary the amount of, the working capital of the Company; to determine whether any, and if any, what part of any, accumulated profits shall be declared in dividends and paid to the stockholders; to determine the time or times for the declaration and payment of dividends; to direct and to determine the use and disposition of any surplus or net profits over and above the capital stock paid in; and in its discretion the Board of Directors may use or apply any such surplus or accumulated profits in the purchase or acquiring of bonds or other pecuniary obligations of the Company to such extent, in such manner and upon such terms as the Board of Directors may deem expedient.</w:t>
      </w:r>
    </w:p>
    <w:p>
      <w:pPr>
        <w:spacing w:after="0" w:line="132" w:lineRule="exact"/>
        <w:rPr>
          <w:rFonts w:ascii="Arial" w:cs="Arial" w:eastAsia="Arial" w:hAnsi="Arial"/>
          <w:sz w:val="17"/>
          <w:szCs w:val="17"/>
          <w:color w:val="auto"/>
        </w:rPr>
      </w:pPr>
    </w:p>
    <w:p>
      <w:pPr>
        <w:ind w:left="360" w:right="240" w:firstLine="215"/>
        <w:spacing w:after="0" w:line="277" w:lineRule="auto"/>
        <w:tabs>
          <w:tab w:leader="none" w:pos="83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sell, lease or otherwise dispose of, from time to time, any part or parts of the properties of the Company and to cease to conduct the business connected therewith or again to resume the same, as it may deem best.</w:t>
      </w:r>
    </w:p>
    <w:p>
      <w:pPr>
        <w:spacing w:after="0" w:line="143" w:lineRule="exact"/>
        <w:rPr>
          <w:sz w:val="20"/>
          <w:szCs w:val="20"/>
          <w:color w:val="auto"/>
        </w:rPr>
      </w:pPr>
    </w:p>
    <w:p>
      <w:pPr>
        <w:jc w:val="both"/>
        <w:ind w:right="160" w:firstLine="225"/>
        <w:spacing w:after="0" w:line="264" w:lineRule="auto"/>
        <w:rPr>
          <w:sz w:val="20"/>
          <w:szCs w:val="20"/>
          <w:color w:val="auto"/>
        </w:rPr>
      </w:pPr>
      <w:r>
        <w:rPr>
          <w:rFonts w:ascii="Arial" w:cs="Arial" w:eastAsia="Arial" w:hAnsi="Arial"/>
          <w:sz w:val="18"/>
          <w:szCs w:val="18"/>
          <w:color w:val="auto"/>
        </w:rPr>
        <w:t>In addition to the powers and authorities hereinbefore or by statute expressly conferred upon it, the Board of Directors may exercise all such powers and do all such acts and things as may be exercised or done by the Company, subject, nevertheless, to the provisions of the laws of the State of Delaware, of this Certificate of Incorporation and of the by-laws of the Company.</w:t>
      </w:r>
    </w:p>
    <w:p>
      <w:pPr>
        <w:spacing w:after="0" w:line="141" w:lineRule="exact"/>
        <w:rPr>
          <w:sz w:val="20"/>
          <w:szCs w:val="20"/>
          <w:color w:val="auto"/>
        </w:rPr>
      </w:pPr>
    </w:p>
    <w:p>
      <w:pPr>
        <w:ind w:firstLine="225"/>
        <w:spacing w:after="0" w:line="283" w:lineRule="auto"/>
        <w:rPr>
          <w:sz w:val="20"/>
          <w:szCs w:val="20"/>
          <w:color w:val="auto"/>
        </w:rPr>
      </w:pPr>
      <w:r>
        <w:rPr>
          <w:rFonts w:ascii="Arial" w:cs="Arial" w:eastAsia="Arial" w:hAnsi="Arial"/>
          <w:sz w:val="16"/>
          <w:szCs w:val="16"/>
          <w:color w:val="auto"/>
        </w:rPr>
        <w:t>Eighth: No contract or transaction between the Company and one or more of its directors or officers, or between the Company and any other corporation, partnership, association or other organization in which one or more of its directors or officers are directors or officers or have a financial interest, shall be void or voidable solely for such reason, or solely because such director or officer is present at or participates in the meeting of the Board of Directors or committee thereof which authorizes such contract or transaction, or solely because such director is counted in determining the presence of a quorum at such meeting and votes upon the authorization of such contract or transaction, if (a) the material facts as to such director’s or officer’s relationship or interest and as to the contract or transaction are disclosed or are known to the Board of Directors or the committee, and the Board of Directors or the committee in good faith authorizes the contract or transaction by the affirmative vote of a majority of the disinterested members thereof, even though such disinterested members be less than a quorum, or (b) the material facts as to such director’s or officer’s relationship or interest and as to the contract or transaction are disclosed or are known to the stockholders entitled to vote thereon, and the contract or transaction is specifically approved in good faith by vote of such stockholders, or</w:t>
      </w:r>
    </w:p>
    <w:p>
      <w:pPr>
        <w:spacing w:after="0" w:line="7" w:lineRule="exact"/>
        <w:rPr>
          <w:sz w:val="20"/>
          <w:szCs w:val="20"/>
          <w:color w:val="auto"/>
        </w:rPr>
      </w:pPr>
    </w:p>
    <w:p>
      <w:pPr>
        <w:ind w:right="120" w:firstLine="8"/>
        <w:spacing w:after="0" w:line="255" w:lineRule="auto"/>
        <w:tabs>
          <w:tab w:leader="none" w:pos="24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contract or transaction is fair as to the Company as of the time it is authorized, approved or ratified by the Board of Directors, a committee thereof, or the stockholders. Common or interested directors may be counted in determining the presence of a quorum at a meeting of the Board of Directors or of a committee which authorizes the contract or transaction.</w:t>
      </w:r>
    </w:p>
    <w:p>
      <w:pPr>
        <w:spacing w:after="0" w:line="1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Ninth: </w:t>
      </w:r>
      <w:r>
        <w:rPr>
          <w:rFonts w:ascii="Arial" w:cs="Arial" w:eastAsia="Arial" w:hAnsi="Arial"/>
          <w:sz w:val="18"/>
          <w:szCs w:val="18"/>
          <w:i w:val="1"/>
          <w:iCs w:val="1"/>
          <w:color w:val="auto"/>
        </w:rPr>
        <w:t>Limitation of Liability; Indemnification.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8"/>
          <w:szCs w:val="18"/>
          <w:i w:val="1"/>
          <w:iCs w:val="1"/>
          <w:color w:val="auto"/>
        </w:rPr>
        <w:t>. Limitation of Directors’ Liability.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4" w:name="page95"/>
    <w:bookmarkEnd w:id="94"/>
    <w:p>
      <w:pPr>
        <w:ind w:right="120" w:firstLine="222"/>
        <w:spacing w:after="0" w:line="302" w:lineRule="auto"/>
        <w:rPr>
          <w:sz w:val="20"/>
          <w:szCs w:val="20"/>
          <w:color w:val="auto"/>
        </w:rPr>
      </w:pPr>
      <w:r>
        <w:rPr>
          <w:rFonts w:ascii="Arial" w:cs="Arial" w:eastAsia="Arial" w:hAnsi="Arial"/>
          <w:sz w:val="16"/>
          <w:szCs w:val="16"/>
          <w:color w:val="auto"/>
        </w:rPr>
        <w:t>To the fullest extent that the General Corporation Law of the State of Delaware, as it exists on the date hereof or as it may hereafter be amended, permits the limitation or elimination of the liability of directors, no director of the Company shall be liable to the Company or its stockholders for monetary damages for breach of fiduciary duty as a director. No amendment to or repeal of this Section A of this Article shall apply to or have any effect on the liability or alleged liability of any director of the Company for or with respect to any acts or omissions of such director occurring prior to such amendment or repeal.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8"/>
          <w:szCs w:val="18"/>
          <w:i w:val="1"/>
          <w:iCs w:val="1"/>
          <w:color w:val="auto"/>
        </w:rPr>
        <w:t>. Indemnification.</w:t>
      </w:r>
    </w:p>
    <w:p>
      <w:pPr>
        <w:spacing w:after="0" w:line="185" w:lineRule="exact"/>
        <w:rPr>
          <w:sz w:val="20"/>
          <w:szCs w:val="20"/>
          <w:color w:val="auto"/>
        </w:rPr>
      </w:pPr>
    </w:p>
    <w:p>
      <w:pPr>
        <w:ind w:right="20" w:firstLine="233"/>
        <w:spacing w:after="0" w:line="270" w:lineRule="auto"/>
        <w:tabs>
          <w:tab w:leader="none" w:pos="405"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 xml:space="preserve">Right to Indemnification. </w:t>
      </w:r>
      <w:r>
        <w:rPr>
          <w:rFonts w:ascii="Arial" w:cs="Arial" w:eastAsia="Arial" w:hAnsi="Arial"/>
          <w:sz w:val="17"/>
          <w:szCs w:val="17"/>
          <w:color w:val="auto"/>
        </w:rPr>
        <w:t>The Company shall to the fullest extent permitted by applicable law as then in effect indemnify any person (the “Indemnitee”)</w:t>
      </w:r>
      <w:r>
        <w:rPr>
          <w:rFonts w:ascii="Arial" w:cs="Arial" w:eastAsia="Arial" w:hAnsi="Arial"/>
          <w:sz w:val="17"/>
          <w:szCs w:val="17"/>
          <w:i w:val="1"/>
          <w:iCs w:val="1"/>
          <w:color w:val="auto"/>
        </w:rPr>
        <w:t xml:space="preserve"> </w:t>
      </w:r>
      <w:r>
        <w:rPr>
          <w:rFonts w:ascii="Arial" w:cs="Arial" w:eastAsia="Arial" w:hAnsi="Arial"/>
          <w:sz w:val="17"/>
          <w:szCs w:val="17"/>
          <w:color w:val="auto"/>
        </w:rPr>
        <w:t>who was or is involved in any manner (including, without limitation, as a party or witness) or is threatened to be made so involved in any threatened, pending or completed investigation, claim, action, suit or proceeding, whether civil, criminal, administrative or investigative (including, without limitation, any action, suit or proceeding by or in the right of the Company to procure a judgment in its favor) (a “Proceeding”) by reason of the fact that he is or was a director, officer, employee or agent of the Company, or is or was serving at the request of the Company as a director, officer, employee or agent of another corporation, partnership, joint venture, trust or other enterprise (including, without limitation, any employee benefit plan) against all expenses (including attorneys’ fees), judgments, fines and amounts paid in settlement actually and reasonably incurred by him in connection with such Proceeding. Such indemnification shall be a contract right and shall include the right to receive payment in advance of any expenses incurred by the Indemnitee in connection with such Proceeding, consistent with the provisions of applicable law as then in effect.</w:t>
      </w:r>
    </w:p>
    <w:p>
      <w:pPr>
        <w:spacing w:after="0" w:line="141" w:lineRule="exact"/>
        <w:rPr>
          <w:rFonts w:ascii="Arial" w:cs="Arial" w:eastAsia="Arial" w:hAnsi="Arial"/>
          <w:sz w:val="17"/>
          <w:szCs w:val="17"/>
          <w:color w:val="auto"/>
        </w:rPr>
      </w:pPr>
    </w:p>
    <w:p>
      <w:pPr>
        <w:ind w:firstLine="233"/>
        <w:spacing w:after="0" w:line="255" w:lineRule="auto"/>
        <w:tabs>
          <w:tab w:leader="none" w:pos="405"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Insurance, Contracts and Funding. </w:t>
      </w:r>
      <w:r>
        <w:rPr>
          <w:rFonts w:ascii="Arial" w:cs="Arial" w:eastAsia="Arial" w:hAnsi="Arial"/>
          <w:sz w:val="18"/>
          <w:szCs w:val="18"/>
          <w:color w:val="auto"/>
        </w:rPr>
        <w:t>The Company may purchase and maintain insurance to protect itself and any Indemnitee against any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judgments, fines and amounts paid in settlement as specified in Section B-1 of this Article or incurred by any Indemnitee in connection with any Proceeding referred to in Section B-1 of this Article, to the fullest extent permitted by applicable law as then in effect. The Company may enter into contracts with any director, officer, employee or agent of the Company in furtherance of the provisions of this Article and may create a trust fund, grant a security interest or use other means (including, without limitation, a letter of credit) to ensure the payment of such amounts as may be necessary to effect indemnification as provided in this Article.</w:t>
      </w:r>
    </w:p>
    <w:p>
      <w:pPr>
        <w:spacing w:after="0" w:line="166" w:lineRule="exact"/>
        <w:rPr>
          <w:rFonts w:ascii="Arial" w:cs="Arial" w:eastAsia="Arial" w:hAnsi="Arial"/>
          <w:sz w:val="18"/>
          <w:szCs w:val="18"/>
          <w:color w:val="auto"/>
        </w:rPr>
      </w:pPr>
    </w:p>
    <w:p>
      <w:pPr>
        <w:ind w:right="340" w:firstLine="233"/>
        <w:spacing w:after="0" w:line="259" w:lineRule="auto"/>
        <w:tabs>
          <w:tab w:leader="none" w:pos="405"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Indemnification Not Exclusive Right. </w:t>
      </w:r>
      <w:r>
        <w:rPr>
          <w:rFonts w:ascii="Arial" w:cs="Arial" w:eastAsia="Arial" w:hAnsi="Arial"/>
          <w:sz w:val="18"/>
          <w:szCs w:val="18"/>
          <w:color w:val="auto"/>
        </w:rPr>
        <w:t>The right of indemnification provided in this Article shall not be exclusive of any other rights to which those</w:t>
      </w:r>
      <w:r>
        <w:rPr>
          <w:rFonts w:ascii="Arial" w:cs="Arial" w:eastAsia="Arial" w:hAnsi="Arial"/>
          <w:sz w:val="18"/>
          <w:szCs w:val="18"/>
          <w:i w:val="1"/>
          <w:iCs w:val="1"/>
          <w:color w:val="auto"/>
        </w:rPr>
        <w:t xml:space="preserve"> </w:t>
      </w:r>
      <w:r>
        <w:rPr>
          <w:rFonts w:ascii="Arial" w:cs="Arial" w:eastAsia="Arial" w:hAnsi="Arial"/>
          <w:sz w:val="18"/>
          <w:szCs w:val="18"/>
          <w:color w:val="auto"/>
        </w:rPr>
        <w:t>seeking indemnification may otherwise be entitled, and the provisions of this Article shall inure to the benefit of the heirs and legal representatives of any person entitled to indemnity under this Article and shall be applicable to proceedings commenced or continuing after the adoption of this Article, whether arising from acts or omissions occurring before or after such adoption.</w:t>
      </w:r>
    </w:p>
    <w:p>
      <w:pPr>
        <w:spacing w:after="0" w:line="146" w:lineRule="exact"/>
        <w:rPr>
          <w:sz w:val="20"/>
          <w:szCs w:val="20"/>
          <w:color w:val="auto"/>
        </w:rPr>
      </w:pPr>
    </w:p>
    <w:p>
      <w:pPr>
        <w:ind w:right="720" w:firstLine="225"/>
        <w:spacing w:after="0" w:line="264" w:lineRule="auto"/>
        <w:rPr>
          <w:sz w:val="20"/>
          <w:szCs w:val="20"/>
          <w:color w:val="auto"/>
        </w:rPr>
      </w:pPr>
      <w:r>
        <w:rPr>
          <w:rFonts w:ascii="Arial" w:cs="Arial" w:eastAsia="Arial" w:hAnsi="Arial"/>
          <w:sz w:val="18"/>
          <w:szCs w:val="18"/>
          <w:color w:val="auto"/>
        </w:rPr>
        <w:t>4</w:t>
      </w:r>
      <w:r>
        <w:rPr>
          <w:rFonts w:ascii="Arial" w:cs="Arial" w:eastAsia="Arial" w:hAnsi="Arial"/>
          <w:sz w:val="18"/>
          <w:szCs w:val="18"/>
          <w:i w:val="1"/>
          <w:iCs w:val="1"/>
          <w:color w:val="auto"/>
        </w:rPr>
        <w:t>. Advancement of Expenses; Procedures; Presumptions and Effects of Certain Proceedings; Remedies.</w:t>
      </w:r>
      <w:r>
        <w:rPr>
          <w:rFonts w:ascii="Arial" w:cs="Arial" w:eastAsia="Arial" w:hAnsi="Arial"/>
          <w:sz w:val="18"/>
          <w:szCs w:val="18"/>
          <w:color w:val="auto"/>
        </w:rPr>
        <w:t xml:space="preserve"> In furtherance but not in limitation of the foregoing provisions, the following procedures, presumptions and remedies shall apply with respect to advancement of expenses and the right to indemnification under this Article:</w:t>
      </w:r>
    </w:p>
    <w:p>
      <w:pPr>
        <w:spacing w:after="0" w:line="141" w:lineRule="exact"/>
        <w:rPr>
          <w:sz w:val="20"/>
          <w:szCs w:val="20"/>
          <w:color w:val="auto"/>
        </w:rPr>
      </w:pPr>
    </w:p>
    <w:p>
      <w:pPr>
        <w:ind w:right="20" w:firstLine="233"/>
        <w:spacing w:after="0" w:line="255" w:lineRule="auto"/>
        <w:tabs>
          <w:tab w:leader="none" w:pos="47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Advancement of Expenses. </w:t>
      </w:r>
      <w:r>
        <w:rPr>
          <w:rFonts w:ascii="Arial" w:cs="Arial" w:eastAsia="Arial" w:hAnsi="Arial"/>
          <w:sz w:val="18"/>
          <w:szCs w:val="18"/>
          <w:color w:val="auto"/>
        </w:rPr>
        <w:t>All reasonable expenses incurred by or on behalf of an Indemnitee in connection with any Proceeding shall be advanced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Indemnitee by the Company within 20 days after the receipt by the Company of a statement or statements from the Indemnitee requesting such advance or advances from time to time, whether prior to or after final disposition of such Proceeding. Such statement or statements shall reasonably evidence the expenses incurred by the Indemnitee and, if required by law at the time of such advance, shall include or be accompanied by an undertaking by or on behalf of the Indemnitee to repay the amounts advanced if it should ultimately be determined that the Indemnitee is not entitled to be indemnified against such expenses pursuant to this Article.</w:t>
      </w:r>
    </w:p>
    <w:p>
      <w:pPr>
        <w:spacing w:after="0" w:line="166" w:lineRule="exact"/>
        <w:rPr>
          <w:rFonts w:ascii="Arial" w:cs="Arial" w:eastAsia="Arial" w:hAnsi="Arial"/>
          <w:sz w:val="18"/>
          <w:szCs w:val="18"/>
          <w:color w:val="auto"/>
        </w:rPr>
      </w:pPr>
    </w:p>
    <w:p>
      <w:pPr>
        <w:ind w:right="440" w:firstLine="233"/>
        <w:spacing w:after="0" w:line="277" w:lineRule="auto"/>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Procedure for Determination of Entitlement to Indemnification. </w:t>
      </w:r>
      <w:r>
        <w:rPr>
          <w:rFonts w:ascii="Arial" w:cs="Arial" w:eastAsia="Arial" w:hAnsi="Arial"/>
          <w:sz w:val="18"/>
          <w:szCs w:val="18"/>
          <w:color w:val="auto"/>
        </w:rPr>
        <w:t>(i) To obtain indemnification under this Article, an Indemnitee shall submit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Secretary of the Company a written request, including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95" w:name="page96"/>
    <w:bookmarkEnd w:id="95"/>
    <w:p>
      <w:pPr>
        <w:ind w:right="40"/>
        <w:spacing w:after="0" w:line="302" w:lineRule="auto"/>
        <w:rPr>
          <w:sz w:val="20"/>
          <w:szCs w:val="20"/>
          <w:color w:val="auto"/>
        </w:rPr>
      </w:pPr>
      <w:r>
        <w:rPr>
          <w:rFonts w:ascii="Arial" w:cs="Arial" w:eastAsia="Arial" w:hAnsi="Arial"/>
          <w:sz w:val="16"/>
          <w:szCs w:val="16"/>
          <w:color w:val="auto"/>
        </w:rPr>
        <w:t>such documentation as is reasonably available to the Indemnitee and reasonably necessary to determine whether and to what extent the Indemnitee is entitled to indemnification (the “Supporting Documentation”). The determination of the Indemnitee’s entitlement to indemnification shall be made not later than 60 days after receipt by the Company of the written request for indemnification together with the Supporting Documentation. The Secretary of the Company shall, promptly upon receipt of such a request for indemnification, advise the Board of Directors in writing that the Indemnitee has requested indemnification.</w:t>
      </w:r>
    </w:p>
    <w:p>
      <w:pPr>
        <w:spacing w:after="0" w:line="127" w:lineRule="exact"/>
        <w:rPr>
          <w:sz w:val="20"/>
          <w:szCs w:val="20"/>
          <w:color w:val="auto"/>
        </w:rPr>
      </w:pPr>
    </w:p>
    <w:p>
      <w:pPr>
        <w:ind w:right="280" w:firstLine="233"/>
        <w:spacing w:after="0" w:line="255" w:lineRule="auto"/>
        <w:tabs>
          <w:tab w:leader="none" w:pos="487"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Indemnitee’s entitlement to indemnification under this Article shall be determined in one of the following ways: (A) by a majority vote of the Disinterested Directors (as hereinafter defined), if they constitute a quorum of the Board of Directors; (B) by a written opinion of Independent Counsel (as hereinafter defined) if a quorum of the Board of Directors consisting of Disinterested Directors is not obtainable or, even if obtainable, a majority of such Disinterested Directors so directs; (C) by the stockholders of the Company entitled to vote (but only if a majority of the Disinterested Directors, if they constitute a quorum of the Board of Directors, presents the issue of entitlement to indemnification to such stockholders for their determination); or (D) as provided in Section B-4(c) of this Article.</w:t>
      </w:r>
    </w:p>
    <w:p>
      <w:pPr>
        <w:spacing w:after="0" w:line="152" w:lineRule="exact"/>
        <w:rPr>
          <w:rFonts w:ascii="Arial" w:cs="Arial" w:eastAsia="Arial" w:hAnsi="Arial"/>
          <w:sz w:val="18"/>
          <w:szCs w:val="18"/>
          <w:color w:val="auto"/>
        </w:rPr>
      </w:pPr>
    </w:p>
    <w:p>
      <w:pPr>
        <w:ind w:right="120" w:firstLine="233"/>
        <w:spacing w:after="0" w:line="264"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the event the determination of entitlement to indemnification is to be made by Independent Counsel pursuant to Section B-4(b)(ii) of this Article, a majority of the Disinterested Directors shall select the Independent Counsel, but only an Independent Counsel to which the Indemnitee does not reasonably object.</w:t>
      </w:r>
    </w:p>
    <w:p>
      <w:pPr>
        <w:spacing w:after="0" w:line="141" w:lineRule="exact"/>
        <w:rPr>
          <w:sz w:val="20"/>
          <w:szCs w:val="20"/>
          <w:color w:val="auto"/>
        </w:rPr>
      </w:pPr>
    </w:p>
    <w:p>
      <w:pPr>
        <w:ind w:right="20" w:firstLine="233"/>
        <w:spacing w:after="0" w:line="269" w:lineRule="auto"/>
        <w:tabs>
          <w:tab w:leader="none" w:pos="470" w:val="left"/>
        </w:tabs>
        <w:numPr>
          <w:ilvl w:val="0"/>
          <w:numId w:val="42"/>
        </w:numPr>
        <w:rPr>
          <w:rFonts w:ascii="Arial" w:cs="Arial" w:eastAsia="Arial" w:hAnsi="Arial"/>
          <w:sz w:val="17"/>
          <w:szCs w:val="17"/>
          <w:color w:val="auto"/>
        </w:rPr>
      </w:pPr>
      <w:r>
        <w:rPr>
          <w:rFonts w:ascii="Arial" w:cs="Arial" w:eastAsia="Arial" w:hAnsi="Arial"/>
          <w:sz w:val="17"/>
          <w:szCs w:val="17"/>
          <w:i w:val="1"/>
          <w:iCs w:val="1"/>
          <w:color w:val="auto"/>
        </w:rPr>
        <w:t xml:space="preserve">Presumptions and Effect of Certain Proceedings. </w:t>
      </w:r>
      <w:r>
        <w:rPr>
          <w:rFonts w:ascii="Arial" w:cs="Arial" w:eastAsia="Arial" w:hAnsi="Arial"/>
          <w:sz w:val="17"/>
          <w:szCs w:val="17"/>
          <w:color w:val="auto"/>
        </w:rPr>
        <w:t>Except as otherwise expressly provided in this Article, the Indemnitee shall be presumed to be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entitled to indemnification under this Article upon submission of a request for indemnification together with the Supporting Documentation in accordance with Section B-4(b)(i), and thereafter the Company shall have the burden of proof to overcome that presumption in reaching a contrary determination. In any event, if the person or persons empowered under Section B-4(b) of this Article to determine entitlement to indemnification shall not have been appointed or shall not have made a determination within 60 days after the receipt by the Company of the request therefor together with the Supporting Documentation, the Indemnitee shall be entitled to indemnification unless (A) the Indemnitee misrepresented or failed to disclose a material fact in making the request for indemnification or in the Supporting Documentation or (B) such indemnification is prohibited by law. The termination of any Proceeding described in Section B-1, or of any claim, issue or matter therein, by judgment, order, settlement or conviction, or upon a plea of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or its equivalent, shall not, of itself, adversely affect the right of the Indemnitee to indemnification or create a presumption that the Indemnitee did not act in good faith and in a manner which he reasonably believed to be in or not opposed to the best interests of the Company or, with respect to any criminal Proceeding, that the Indemnitee had reasonable cause to believe that his conduct was unlawful.</w:t>
      </w:r>
    </w:p>
    <w:p>
      <w:pPr>
        <w:spacing w:after="0" w:line="155" w:lineRule="exact"/>
        <w:rPr>
          <w:rFonts w:ascii="Arial" w:cs="Arial" w:eastAsia="Arial" w:hAnsi="Arial"/>
          <w:sz w:val="17"/>
          <w:szCs w:val="17"/>
          <w:color w:val="auto"/>
        </w:rPr>
      </w:pPr>
    </w:p>
    <w:p>
      <w:pPr>
        <w:ind w:firstLine="233"/>
        <w:spacing w:after="0" w:line="273" w:lineRule="auto"/>
        <w:tabs>
          <w:tab w:leader="none" w:pos="480" w:val="left"/>
        </w:tabs>
        <w:numPr>
          <w:ilvl w:val="0"/>
          <w:numId w:val="42"/>
        </w:numPr>
        <w:rPr>
          <w:rFonts w:ascii="Arial" w:cs="Arial" w:eastAsia="Arial" w:hAnsi="Arial"/>
          <w:sz w:val="17"/>
          <w:szCs w:val="17"/>
          <w:color w:val="auto"/>
        </w:rPr>
      </w:pPr>
      <w:r>
        <w:rPr>
          <w:rFonts w:ascii="Arial" w:cs="Arial" w:eastAsia="Arial" w:hAnsi="Arial"/>
          <w:sz w:val="17"/>
          <w:szCs w:val="17"/>
          <w:i w:val="1"/>
          <w:iCs w:val="1"/>
          <w:color w:val="auto"/>
        </w:rPr>
        <w:t xml:space="preserve">Remedies of Indemnitee. </w:t>
      </w:r>
      <w:r>
        <w:rPr>
          <w:rFonts w:ascii="Arial" w:cs="Arial" w:eastAsia="Arial" w:hAnsi="Arial"/>
          <w:sz w:val="17"/>
          <w:szCs w:val="17"/>
          <w:color w:val="auto"/>
        </w:rPr>
        <w:t>(i) In the event that a determination is made pursuant to Section B-4(b) of this Article that the Indemnitee is not entitled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indemnification under this Article, (A) the Indemnitee shall be entitled to seek an adjudication of his entitlement to such indemnification either, at the Indemnitee’s sole option, in (x) an appropriate court of the State of Delaware or any other court of competent jurisdiction or (y) an arbitration to be conducted by a single arbitrator pursuant to the rules of the American Arbitration Association; (B) any such judicial proceeding or arbitration shall be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and the Indemnitee shall not be prejudiced by reason of such adverse determination; and (C) in any such judicial proceeding or arbitration the Company shall have the burden of proving that the Indemnitee is not entitled to indemnification under this Article.</w:t>
      </w:r>
    </w:p>
    <w:p>
      <w:pPr>
        <w:spacing w:after="0" w:line="138" w:lineRule="exact"/>
        <w:rPr>
          <w:sz w:val="20"/>
          <w:szCs w:val="20"/>
          <w:color w:val="auto"/>
        </w:rPr>
      </w:pPr>
    </w:p>
    <w:p>
      <w:pPr>
        <w:ind w:right="60" w:firstLine="233"/>
        <w:spacing w:after="0" w:line="286" w:lineRule="auto"/>
        <w:tabs>
          <w:tab w:leader="none" w:pos="49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If a determination shall have been made or deemed to have been made, pursuant to Section B-4(b) or (c), that the Indemnitee is entitled to indemnification, the Company shall be obligated to pay the amounts constituting such indemnification within five days after such determination has been made or deemed to have been made and shall be conclusively bound by such determination unless (A) the Indemnitee misrepresented or failed to disclose a material fact in making the request for indemnification or in the Supporting Documentation or (B) such indemnification is prohibited by law. In the event that</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6" w:name="page97"/>
    <w:bookmarkEnd w:id="96"/>
    <w:p>
      <w:pPr>
        <w:spacing w:after="0" w:line="293" w:lineRule="auto"/>
        <w:rPr>
          <w:sz w:val="20"/>
          <w:szCs w:val="20"/>
          <w:color w:val="auto"/>
        </w:rPr>
      </w:pPr>
      <w:r>
        <w:rPr>
          <w:rFonts w:ascii="Arial" w:cs="Arial" w:eastAsia="Arial" w:hAnsi="Arial"/>
          <w:sz w:val="16"/>
          <w:szCs w:val="16"/>
          <w:color w:val="auto"/>
        </w:rPr>
        <w:t>advancement of expenses is not timely made pursuant to Section B-4(a) or (D) payment of indemnification is not made within five days after a determination of entitlement to indemnification has been made or deemed to have been made pursuant to Section B-4(b) or (c), the Indemnitee shall be entitled to seek judicial enforcement of the Company’s obligation to pay to the Indemnitee such advancement of expenses or indemnification. Notwithstanding the foregoing, the Company may bring an action, in an appropriate court of the State of Delaware or any other court of competent jurisdiction, contesting the right of the Indemnitee to receive indemnification hereunder due to the occurrence of an event described in subclause (A) or (B) of this clause (ii) (a “Disqualifying Event”); provided, however, that in any such action the Company shall have the burden of proving the occurrence of such Disqualifying Event.</w:t>
      </w:r>
    </w:p>
    <w:p>
      <w:pPr>
        <w:spacing w:after="0" w:line="138" w:lineRule="exact"/>
        <w:rPr>
          <w:sz w:val="20"/>
          <w:szCs w:val="20"/>
          <w:color w:val="auto"/>
        </w:rPr>
      </w:pPr>
    </w:p>
    <w:p>
      <w:pPr>
        <w:ind w:left="540" w:hanging="307"/>
        <w:spacing w:after="0"/>
        <w:tabs>
          <w:tab w:leader="none" w:pos="5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Company shall be precluded from asserting in any judicial proceeding or arbitration commenced pursuant to this Section B-4(d) that the</w:t>
      </w:r>
    </w:p>
    <w:p>
      <w:pPr>
        <w:spacing w:after="0" w:line="34" w:lineRule="exact"/>
        <w:rPr>
          <w:rFonts w:ascii="Arial" w:cs="Arial" w:eastAsia="Arial" w:hAnsi="Arial"/>
          <w:sz w:val="17"/>
          <w:szCs w:val="17"/>
          <w:color w:val="auto"/>
        </w:rPr>
      </w:pPr>
    </w:p>
    <w:p>
      <w:pPr>
        <w:ind w:right="140"/>
        <w:spacing w:after="0" w:line="261" w:lineRule="auto"/>
        <w:rPr>
          <w:rFonts w:ascii="Arial" w:cs="Arial" w:eastAsia="Arial" w:hAnsi="Arial"/>
          <w:sz w:val="17"/>
          <w:szCs w:val="17"/>
          <w:color w:val="auto"/>
        </w:rPr>
      </w:pPr>
      <w:r>
        <w:rPr>
          <w:rFonts w:ascii="Arial" w:cs="Arial" w:eastAsia="Arial" w:hAnsi="Arial"/>
          <w:sz w:val="18"/>
          <w:szCs w:val="18"/>
          <w:color w:val="auto"/>
        </w:rPr>
        <w:t>procedures and presumptions of this Article are not valid, binding and enforceable and shall stipulate in any such court or before any such arbitrator that the Company is bound by all the provisions of this Article.</w:t>
      </w:r>
    </w:p>
    <w:p>
      <w:pPr>
        <w:spacing w:after="0" w:line="143" w:lineRule="exact"/>
        <w:rPr>
          <w:rFonts w:ascii="Arial" w:cs="Arial" w:eastAsia="Arial" w:hAnsi="Arial"/>
          <w:sz w:val="17"/>
          <w:szCs w:val="17"/>
          <w:color w:val="auto"/>
        </w:rPr>
      </w:pPr>
    </w:p>
    <w:p>
      <w:pPr>
        <w:ind w:right="80" w:firstLine="233"/>
        <w:spacing w:after="0" w:line="276" w:lineRule="auto"/>
        <w:tabs>
          <w:tab w:leader="none" w:pos="53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 the event that the Indemnitee, pursuant to this Section B-4(d), seeks a judicial adjudication of or an award in arbitration to enforce his rights under, or to recover damages for breach of, this Article, the Indemnitee shall be entitled to recover from the Company, and shall be indemnified by the Company against, any expenses actually and reasonably incurred by him if the Indemnitee prevails in such judicial adjudication. If it shall be determined in such judicial adjudication or arbitration that the Indemnitee is entitled to receive part but not all of the indemnification or advancement of expenses sought, the expenses incurred by the Indemnitee in connection with such judicial adjudication or arbitration shall be prorated accordingly.</w:t>
      </w:r>
    </w:p>
    <w:p>
      <w:pPr>
        <w:spacing w:after="0" w:line="132" w:lineRule="exact"/>
        <w:rPr>
          <w:sz w:val="20"/>
          <w:szCs w:val="20"/>
          <w:color w:val="auto"/>
        </w:rPr>
      </w:pPr>
    </w:p>
    <w:p>
      <w:pPr>
        <w:ind w:left="480" w:hanging="247"/>
        <w:spacing w:after="0"/>
        <w:tabs>
          <w:tab w:leader="none" w:pos="4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Definitions. </w:t>
      </w:r>
      <w:r>
        <w:rPr>
          <w:rFonts w:ascii="Arial" w:cs="Arial" w:eastAsia="Arial" w:hAnsi="Arial"/>
          <w:sz w:val="18"/>
          <w:szCs w:val="18"/>
          <w:color w:val="auto"/>
        </w:rPr>
        <w:t>For purposes of this Section B-4:</w:t>
      </w:r>
    </w:p>
    <w:p>
      <w:pPr>
        <w:spacing w:after="0" w:line="198" w:lineRule="exact"/>
        <w:rPr>
          <w:rFonts w:ascii="Arial" w:cs="Arial" w:eastAsia="Arial" w:hAnsi="Arial"/>
          <w:sz w:val="18"/>
          <w:szCs w:val="18"/>
          <w:color w:val="auto"/>
        </w:rPr>
      </w:pPr>
    </w:p>
    <w:p>
      <w:pPr>
        <w:ind w:left="360" w:right="200" w:firstLine="215"/>
        <w:spacing w:after="0" w:line="277" w:lineRule="auto"/>
        <w:tabs>
          <w:tab w:leader="none" w:pos="8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“Disinterested Director” means a director of the Company who is not or was not a party to the Proceeding in respect of which indemnification is sought by the Indemnitee.</w:t>
      </w:r>
    </w:p>
    <w:p>
      <w:pPr>
        <w:spacing w:after="0" w:line="129" w:lineRule="exact"/>
        <w:rPr>
          <w:rFonts w:ascii="Arial" w:cs="Arial" w:eastAsia="Arial" w:hAnsi="Arial"/>
          <w:sz w:val="18"/>
          <w:szCs w:val="18"/>
          <w:color w:val="auto"/>
        </w:rPr>
      </w:pPr>
    </w:p>
    <w:p>
      <w:pPr>
        <w:ind w:left="360" w:right="200" w:firstLine="215"/>
        <w:spacing w:after="0" w:line="276" w:lineRule="auto"/>
        <w:tabs>
          <w:tab w:leader="none" w:pos="850" w:val="left"/>
        </w:tabs>
        <w:numPr>
          <w:ilvl w:val="1"/>
          <w:numId w:val="45"/>
        </w:numPr>
        <w:rPr>
          <w:rFonts w:ascii="Arial" w:cs="Arial" w:eastAsia="Arial" w:hAnsi="Arial"/>
          <w:sz w:val="17"/>
          <w:szCs w:val="17"/>
          <w:color w:val="auto"/>
        </w:rPr>
      </w:pPr>
      <w:r>
        <w:rPr>
          <w:rFonts w:ascii="Arial" w:cs="Arial" w:eastAsia="Arial" w:hAnsi="Arial"/>
          <w:sz w:val="17"/>
          <w:szCs w:val="17"/>
          <w:color w:val="auto"/>
        </w:rPr>
        <w:t>“Independent Counsel” means a law firm or a member of a law firm that neither presently is, nor in the past five years has been, retained to represent (A) the Company or the Indemnitee in any matter material to either such party or (B) any other party to the Proceeding giving rise to a claim for indemnification under this Article. Notwithstanding the foregoing, the term “Independent Counsel” shall not include any person who, under the applicable standards of professional conduct then prevailing under the law of the State of Delaware, would have a conflict of interest in representing either the Company or the Indemnitee in an action to determine the Indemnitee’s rights under this Article.</w:t>
      </w:r>
    </w:p>
    <w:p>
      <w:pPr>
        <w:spacing w:after="0" w:line="132"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color w:val="auto"/>
        </w:rPr>
        <w:t>5</w:t>
      </w:r>
      <w:r>
        <w:rPr>
          <w:rFonts w:ascii="Arial" w:cs="Arial" w:eastAsia="Arial" w:hAnsi="Arial"/>
          <w:sz w:val="17"/>
          <w:szCs w:val="17"/>
          <w:i w:val="1"/>
          <w:iCs w:val="1"/>
          <w:color w:val="auto"/>
        </w:rPr>
        <w:t>. Severability.</w:t>
      </w:r>
      <w:r>
        <w:rPr>
          <w:rFonts w:ascii="Arial" w:cs="Arial" w:eastAsia="Arial" w:hAnsi="Arial"/>
          <w:sz w:val="17"/>
          <w:szCs w:val="17"/>
          <w:color w:val="auto"/>
        </w:rPr>
        <w:t xml:space="preserve"> If any provision or provisions of this Article shall be held to be invalid, illegal or unenforceable for any reason whatsoever: (a) the validity, legality and enforceability of the remaining provisions of this Article (including, without limitation, all portions of any paragraph of this Article containing any such provision held to be invalid, illegal or unenforceable that are not themselves invalid, illegal or unenforceable) shall not in any way be affected or impaired thereby; and (b) to the fullest extent possible, the provisions of this Article (including, without limitation, all portions of any paragraph of this Article containing any such provision held to be invalid, illegal or unenforceable that are not themselves invalid, illegal or unenforceable) shall be construed so as to give effect to the intent manifested by the provision held invalid, illegal or unenforceable.</w:t>
      </w:r>
    </w:p>
    <w:p>
      <w:pPr>
        <w:spacing w:after="0" w:line="151"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Tenth: To the extent deemed necessary or appropriate by the Board of Directors to enable the Company to engage in any business or activity directly or indirectly conducted by it in compliance with the laws of the United States of America as now in effect or as they may hereafter from time to time be amended, the Company may adopt such by-laws as may be necessary or advisable to comply with the provisions and avoid the prohibitions of any such law. Without limiting the generality of the foregoing, such by-laws may restrict or prohibit the transfer of shares of capital stock of the Company to, and the voting of such stock by, aliens or their representatives, or corporations organized under the laws of any</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t>foreign country or their representatives, or corporations directly or indirectly controlled by aliens or by any such corporation or representative.</w:t>
      </w:r>
    </w:p>
    <w:p>
      <w:pPr>
        <w:spacing w:after="0" w:line="198"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Eleventh: The Company reserves the right at any time and from time to time to amend, alter, change or repeal any provision contained in this Certificate of Incorporation in the manner now or hereafter prescribed by law, and all rights, preferences and privileges of whatsoever nature conferred upon stockholders, directors or any other persons whomsoever by and pursuant to this Certificate of Incorporation in its present form or as hereinafter amended are granted subject to the right reserved in this Article Eleventh.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102235</wp:posOffset>
            </wp:positionV>
            <wp:extent cx="182689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15"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In Witness Whereof, the Company has caused this Certificate to be signed by John B. Morse, Jr., its Vice President – Finance, this 13th day of November 2003.</w:t>
      </w:r>
    </w:p>
    <w:p>
      <w:pPr>
        <w:spacing w:after="0" w:line="360"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The Washington Post Company</w:t>
      </w:r>
    </w:p>
    <w:p>
      <w:pPr>
        <w:spacing w:after="0" w:line="225" w:lineRule="exact"/>
        <w:rPr>
          <w:sz w:val="20"/>
          <w:szCs w:val="20"/>
          <w:color w:val="auto"/>
        </w:rPr>
      </w:pPr>
    </w:p>
    <w:p>
      <w:pPr>
        <w:ind w:left="7320"/>
        <w:spacing w:after="0"/>
        <w:tabs>
          <w:tab w:leader="none" w:pos="8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66040</wp:posOffset>
            </wp:positionV>
            <wp:extent cx="231521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78" w:lineRule="exact"/>
        <w:rPr>
          <w:sz w:val="20"/>
          <w:szCs w:val="20"/>
          <w:color w:val="auto"/>
        </w:rPr>
      </w:pPr>
    </w:p>
    <w:p>
      <w:pPr>
        <w:ind w:left="8940"/>
        <w:spacing w:after="0"/>
        <w:rPr>
          <w:sz w:val="20"/>
          <w:szCs w:val="20"/>
          <w:color w:val="auto"/>
        </w:rPr>
      </w:pPr>
      <w:r>
        <w:rPr>
          <w:rFonts w:ascii="Arial" w:cs="Arial" w:eastAsia="Arial" w:hAnsi="Arial"/>
          <w:sz w:val="18"/>
          <w:szCs w:val="18"/>
          <w:color w:val="auto"/>
        </w:rPr>
        <w:t>John B. Morse, Jr.</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935" w:right="25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color w:val="auto"/>
        </w:rPr>
        <w:t>EXHIBIT 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WASHINGTON POST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CALCULATION OF EARNINGS PER SHARE OF COMMON STOCK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Fiscal Year</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2001</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jc w:val="right"/>
              <w:ind w:right="72"/>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6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Weighted average shares outstanding</w:t>
            </w:r>
          </w:p>
        </w:tc>
        <w:tc>
          <w:tcPr>
            <w:tcW w:w="4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ind w:left="120"/>
              <w:spacing w:after="0"/>
              <w:rPr>
                <w:sz w:val="20"/>
                <w:szCs w:val="20"/>
                <w:color w:val="auto"/>
              </w:rPr>
            </w:pPr>
            <w:r>
              <w:rPr>
                <w:rFonts w:ascii="Arial" w:cs="Arial" w:eastAsia="Arial" w:hAnsi="Arial"/>
                <w:sz w:val="18"/>
                <w:szCs w:val="18"/>
                <w:color w:val="auto"/>
              </w:rPr>
              <w:t>Class A Common</w:t>
            </w: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1,722</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1,722</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1,722</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40" w:type="dxa"/>
            <w:vAlign w:val="bottom"/>
            <w:shd w:val="clear" w:color="auto" w:fill="EEEEEE"/>
          </w:tcPr>
          <w:p>
            <w:pPr>
              <w:ind w:left="120"/>
              <w:spacing w:after="0" w:line="201" w:lineRule="exact"/>
              <w:rPr>
                <w:sz w:val="20"/>
                <w:szCs w:val="20"/>
                <w:color w:val="auto"/>
              </w:rPr>
            </w:pPr>
            <w:r>
              <w:rPr>
                <w:rFonts w:ascii="Arial" w:cs="Arial" w:eastAsia="Arial" w:hAnsi="Arial"/>
                <w:sz w:val="18"/>
                <w:szCs w:val="18"/>
                <w:color w:val="auto"/>
              </w:rPr>
              <w:t>Class B Common (excluding shares issuable</w:t>
            </w:r>
          </w:p>
        </w:tc>
        <w:tc>
          <w:tcPr>
            <w:tcW w:w="30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600" w:type="dxa"/>
            <w:vAlign w:val="bottom"/>
            <w:tcBorders>
              <w:right w:val="single" w:sz="8" w:color="EEEEEE"/>
            </w:tcBorders>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upon exercise of stock options — accounted</w:t>
            </w:r>
          </w:p>
        </w:tc>
        <w:tc>
          <w:tcPr>
            <w:tcW w:w="300" w:type="dxa"/>
            <w:vAlign w:val="bottom"/>
            <w:shd w:val="clear" w:color="auto" w:fill="EEEEEE"/>
          </w:tcPr>
          <w:p>
            <w:pPr>
              <w:spacing w:after="0"/>
              <w:rPr>
                <w:sz w:val="20"/>
                <w:szCs w:val="20"/>
                <w:color w:val="auto"/>
              </w:rPr>
            </w:pPr>
          </w:p>
        </w:tc>
        <w:tc>
          <w:tcPr>
            <w:tcW w:w="400" w:type="dxa"/>
            <w:vAlign w:val="bottom"/>
            <w:shd w:val="clear" w:color="auto" w:fill="EEEEEE"/>
          </w:tcPr>
          <w:p>
            <w:pPr>
              <w:spacing w:after="0"/>
              <w:rPr>
                <w:sz w:val="20"/>
                <w:szCs w:val="20"/>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7,808</w:t>
            </w:r>
          </w:p>
        </w:tc>
        <w:tc>
          <w:tcPr>
            <w:tcW w:w="38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400" w:type="dxa"/>
            <w:vAlign w:val="bottom"/>
            <w:shd w:val="clear" w:color="auto" w:fill="EEEEEE"/>
          </w:tcPr>
          <w:p>
            <w:pPr>
              <w:spacing w:after="0"/>
              <w:rPr>
                <w:sz w:val="20"/>
                <w:szCs w:val="20"/>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7,782</w:t>
            </w:r>
          </w:p>
        </w:tc>
        <w:tc>
          <w:tcPr>
            <w:tcW w:w="40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420" w:type="dxa"/>
            <w:vAlign w:val="bottom"/>
            <w:shd w:val="clear" w:color="auto" w:fill="EEEEEE"/>
          </w:tcPr>
          <w:p>
            <w:pPr>
              <w:spacing w:after="0"/>
              <w:rPr>
                <w:sz w:val="20"/>
                <w:szCs w:val="20"/>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7,764</w:t>
            </w:r>
          </w:p>
        </w:tc>
        <w:tc>
          <w:tcPr>
            <w:tcW w:w="3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340" w:type="dxa"/>
            <w:vAlign w:val="bottom"/>
            <w:tcBorders>
              <w:bottom w:val="single" w:sz="8" w:color="EEEEEE"/>
            </w:tcBorders>
            <w:vMerge w:val="restart"/>
            <w:shd w:val="clear" w:color="auto" w:fill="EEEEEE"/>
          </w:tcPr>
          <w:p>
            <w:pPr>
              <w:ind w:left="260"/>
              <w:spacing w:after="0"/>
              <w:rPr>
                <w:sz w:val="20"/>
                <w:szCs w:val="20"/>
                <w:color w:val="auto"/>
              </w:rPr>
            </w:pPr>
            <w:r>
              <w:rPr>
                <w:rFonts w:ascii="Arial" w:cs="Arial" w:eastAsia="Arial" w:hAnsi="Arial"/>
                <w:sz w:val="18"/>
                <w:szCs w:val="18"/>
                <w:color w:val="auto"/>
              </w:rPr>
              <w:t>for below)</w:t>
            </w:r>
          </w:p>
        </w:tc>
        <w:tc>
          <w:tcPr>
            <w:tcW w:w="300" w:type="dxa"/>
            <w:vAlign w:val="bottom"/>
            <w:tcBorders>
              <w:bottom w:val="single" w:sz="8" w:color="EEEEEE"/>
            </w:tcBorders>
            <w:shd w:val="clear" w:color="auto" w:fill="EEEEEE"/>
          </w:tcPr>
          <w:p>
            <w:pPr>
              <w:spacing w:after="0"/>
              <w:rPr>
                <w:sz w:val="10"/>
                <w:szCs w:val="10"/>
                <w:color w:val="auto"/>
              </w:rPr>
            </w:pPr>
          </w:p>
        </w:tc>
        <w:tc>
          <w:tcPr>
            <w:tcW w:w="400" w:type="dxa"/>
            <w:vAlign w:val="bottom"/>
            <w:tcBorders>
              <w:bottom w:val="single" w:sz="8" w:color="EEEEEE"/>
            </w:tcBorders>
            <w:shd w:val="clear" w:color="auto" w:fill="EEEEEE"/>
          </w:tcPr>
          <w:p>
            <w:pPr>
              <w:spacing w:after="0"/>
              <w:rPr>
                <w:sz w:val="10"/>
                <w:szCs w:val="10"/>
                <w:color w:val="auto"/>
              </w:rPr>
            </w:pPr>
          </w:p>
        </w:tc>
        <w:tc>
          <w:tcPr>
            <w:tcW w:w="600" w:type="dxa"/>
            <w:vAlign w:val="bottom"/>
            <w:tcBorders>
              <w:bottom w:val="single" w:sz="8" w:color="808080"/>
            </w:tcBorders>
            <w:shd w:val="clear" w:color="auto" w:fill="EEEEEE"/>
          </w:tcPr>
          <w:p>
            <w:pPr>
              <w:spacing w:after="0"/>
              <w:rPr>
                <w:sz w:val="10"/>
                <w:szCs w:val="10"/>
                <w:color w:val="auto"/>
              </w:rPr>
            </w:pPr>
          </w:p>
        </w:tc>
        <w:tc>
          <w:tcPr>
            <w:tcW w:w="380" w:type="dxa"/>
            <w:vAlign w:val="bottom"/>
            <w:tcBorders>
              <w:bottom w:val="single" w:sz="8" w:color="EEEEEE"/>
            </w:tcBorders>
            <w:shd w:val="clear" w:color="auto" w:fill="EEEEEE"/>
          </w:tcPr>
          <w:p>
            <w:pPr>
              <w:spacing w:after="0"/>
              <w:rPr>
                <w:sz w:val="10"/>
                <w:szCs w:val="10"/>
                <w:color w:val="auto"/>
              </w:rPr>
            </w:pPr>
          </w:p>
        </w:tc>
        <w:tc>
          <w:tcPr>
            <w:tcW w:w="300" w:type="dxa"/>
            <w:vAlign w:val="bottom"/>
            <w:tcBorders>
              <w:bottom w:val="single" w:sz="8" w:color="EEEEEE"/>
            </w:tcBorders>
            <w:shd w:val="clear" w:color="auto" w:fill="EEEEEE"/>
          </w:tcPr>
          <w:p>
            <w:pPr>
              <w:spacing w:after="0"/>
              <w:rPr>
                <w:sz w:val="10"/>
                <w:szCs w:val="10"/>
                <w:color w:val="auto"/>
              </w:rPr>
            </w:pPr>
          </w:p>
        </w:tc>
        <w:tc>
          <w:tcPr>
            <w:tcW w:w="400" w:type="dxa"/>
            <w:vAlign w:val="bottom"/>
            <w:tcBorders>
              <w:bottom w:val="single" w:sz="8" w:color="EEEEEE"/>
            </w:tcBorders>
            <w:shd w:val="clear" w:color="auto" w:fill="EEEEEE"/>
          </w:tcPr>
          <w:p>
            <w:pPr>
              <w:spacing w:after="0"/>
              <w:rPr>
                <w:sz w:val="10"/>
                <w:szCs w:val="10"/>
                <w:color w:val="auto"/>
              </w:rPr>
            </w:pPr>
          </w:p>
        </w:tc>
        <w:tc>
          <w:tcPr>
            <w:tcW w:w="600" w:type="dxa"/>
            <w:vAlign w:val="bottom"/>
            <w:tcBorders>
              <w:bottom w:val="single" w:sz="8" w:color="808080"/>
            </w:tcBorders>
            <w:shd w:val="clear" w:color="auto" w:fill="EEEEEE"/>
          </w:tcPr>
          <w:p>
            <w:pPr>
              <w:spacing w:after="0"/>
              <w:rPr>
                <w:sz w:val="10"/>
                <w:szCs w:val="10"/>
                <w:color w:val="auto"/>
              </w:rPr>
            </w:pPr>
          </w:p>
        </w:tc>
        <w:tc>
          <w:tcPr>
            <w:tcW w:w="400" w:type="dxa"/>
            <w:vAlign w:val="bottom"/>
            <w:tcBorders>
              <w:bottom w:val="single" w:sz="8" w:color="EEEEEE"/>
            </w:tcBorders>
            <w:shd w:val="clear" w:color="auto" w:fill="EEEEEE"/>
          </w:tcPr>
          <w:p>
            <w:pPr>
              <w:spacing w:after="0"/>
              <w:rPr>
                <w:sz w:val="10"/>
                <w:szCs w:val="10"/>
                <w:color w:val="auto"/>
              </w:rPr>
            </w:pPr>
          </w:p>
        </w:tc>
        <w:tc>
          <w:tcPr>
            <w:tcW w:w="280" w:type="dxa"/>
            <w:vAlign w:val="bottom"/>
            <w:tcBorders>
              <w:bottom w:val="single" w:sz="8" w:color="EEEEEE"/>
            </w:tcBorders>
            <w:shd w:val="clear" w:color="auto" w:fill="EEEEEE"/>
          </w:tcPr>
          <w:p>
            <w:pPr>
              <w:spacing w:after="0"/>
              <w:rPr>
                <w:sz w:val="10"/>
                <w:szCs w:val="10"/>
                <w:color w:val="auto"/>
              </w:rPr>
            </w:pPr>
          </w:p>
        </w:tc>
        <w:tc>
          <w:tcPr>
            <w:tcW w:w="420" w:type="dxa"/>
            <w:vAlign w:val="bottom"/>
            <w:tcBorders>
              <w:bottom w:val="single" w:sz="8" w:color="EEEEEE"/>
            </w:tcBorders>
            <w:shd w:val="clear" w:color="auto" w:fill="EEEEEE"/>
          </w:tcPr>
          <w:p>
            <w:pPr>
              <w:spacing w:after="0"/>
              <w:rPr>
                <w:sz w:val="10"/>
                <w:szCs w:val="10"/>
                <w:color w:val="auto"/>
              </w:rPr>
            </w:pPr>
          </w:p>
        </w:tc>
        <w:tc>
          <w:tcPr>
            <w:tcW w:w="600" w:type="dxa"/>
            <w:vAlign w:val="bottom"/>
            <w:tcBorders>
              <w:bottom w:val="single" w:sz="8" w:color="808080"/>
              <w:right w:val="single" w:sz="8" w:color="EEEEEE"/>
            </w:tcBorders>
            <w:shd w:val="clear" w:color="auto" w:fill="EEEEEE"/>
          </w:tcPr>
          <w:p>
            <w:pPr>
              <w:spacing w:after="0"/>
              <w:rPr>
                <w:sz w:val="10"/>
                <w:szCs w:val="10"/>
                <w:color w:val="auto"/>
              </w:rPr>
            </w:pPr>
          </w:p>
        </w:tc>
        <w:tc>
          <w:tcPr>
            <w:tcW w:w="380" w:type="dxa"/>
            <w:vAlign w:val="bottom"/>
            <w:tcBorders>
              <w:bottom w:val="single" w:sz="8" w:color="EEEEEE"/>
            </w:tcBorders>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340" w:type="dxa"/>
            <w:vAlign w:val="bottom"/>
            <w:vMerge w:val="continue"/>
            <w:shd w:val="clear" w:color="auto" w:fill="EEEEEE"/>
          </w:tcPr>
          <w:p>
            <w:pPr>
              <w:spacing w:after="0"/>
              <w:rPr>
                <w:sz w:val="6"/>
                <w:szCs w:val="6"/>
                <w:color w:val="auto"/>
              </w:rPr>
            </w:pPr>
          </w:p>
        </w:tc>
        <w:tc>
          <w:tcPr>
            <w:tcW w:w="300" w:type="dxa"/>
            <w:vAlign w:val="bottom"/>
            <w:shd w:val="clear" w:color="auto" w:fill="EEEEEE"/>
          </w:tcPr>
          <w:p>
            <w:pPr>
              <w:spacing w:after="0"/>
              <w:rPr>
                <w:sz w:val="6"/>
                <w:szCs w:val="6"/>
                <w:color w:val="auto"/>
              </w:rPr>
            </w:pPr>
          </w:p>
        </w:tc>
        <w:tc>
          <w:tcPr>
            <w:tcW w:w="400" w:type="dxa"/>
            <w:vAlign w:val="bottom"/>
            <w:shd w:val="clear" w:color="auto" w:fill="EEEEEE"/>
          </w:tcPr>
          <w:p>
            <w:pPr>
              <w:spacing w:after="0"/>
              <w:rPr>
                <w:sz w:val="6"/>
                <w:szCs w:val="6"/>
                <w:color w:val="auto"/>
              </w:rPr>
            </w:pPr>
          </w:p>
        </w:tc>
        <w:tc>
          <w:tcPr>
            <w:tcW w:w="600" w:type="dxa"/>
            <w:vAlign w:val="bottom"/>
            <w:shd w:val="clear" w:color="auto" w:fill="EEEEEE"/>
          </w:tcPr>
          <w:p>
            <w:pPr>
              <w:spacing w:after="0"/>
              <w:rPr>
                <w:sz w:val="6"/>
                <w:szCs w:val="6"/>
                <w:color w:val="auto"/>
              </w:rPr>
            </w:pPr>
          </w:p>
        </w:tc>
        <w:tc>
          <w:tcPr>
            <w:tcW w:w="380" w:type="dxa"/>
            <w:vAlign w:val="bottom"/>
            <w:shd w:val="clear" w:color="auto" w:fill="EEEEEE"/>
          </w:tcPr>
          <w:p>
            <w:pPr>
              <w:spacing w:after="0"/>
              <w:rPr>
                <w:sz w:val="6"/>
                <w:szCs w:val="6"/>
                <w:color w:val="auto"/>
              </w:rPr>
            </w:pPr>
          </w:p>
        </w:tc>
        <w:tc>
          <w:tcPr>
            <w:tcW w:w="300" w:type="dxa"/>
            <w:vAlign w:val="bottom"/>
            <w:shd w:val="clear" w:color="auto" w:fill="EEEEEE"/>
          </w:tcPr>
          <w:p>
            <w:pPr>
              <w:spacing w:after="0"/>
              <w:rPr>
                <w:sz w:val="6"/>
                <w:szCs w:val="6"/>
                <w:color w:val="auto"/>
              </w:rPr>
            </w:pPr>
          </w:p>
        </w:tc>
        <w:tc>
          <w:tcPr>
            <w:tcW w:w="400" w:type="dxa"/>
            <w:vAlign w:val="bottom"/>
            <w:shd w:val="clear" w:color="auto" w:fill="EEEEEE"/>
          </w:tcPr>
          <w:p>
            <w:pPr>
              <w:spacing w:after="0"/>
              <w:rPr>
                <w:sz w:val="6"/>
                <w:szCs w:val="6"/>
                <w:color w:val="auto"/>
              </w:rPr>
            </w:pPr>
          </w:p>
        </w:tc>
        <w:tc>
          <w:tcPr>
            <w:tcW w:w="600" w:type="dxa"/>
            <w:vAlign w:val="bottom"/>
            <w:shd w:val="clear" w:color="auto" w:fill="EEEEEE"/>
          </w:tcPr>
          <w:p>
            <w:pPr>
              <w:spacing w:after="0"/>
              <w:rPr>
                <w:sz w:val="6"/>
                <w:szCs w:val="6"/>
                <w:color w:val="auto"/>
              </w:rPr>
            </w:pPr>
          </w:p>
        </w:tc>
        <w:tc>
          <w:tcPr>
            <w:tcW w:w="400" w:type="dxa"/>
            <w:vAlign w:val="bottom"/>
            <w:shd w:val="clear" w:color="auto" w:fill="EEEEEE"/>
          </w:tcPr>
          <w:p>
            <w:pPr>
              <w:spacing w:after="0"/>
              <w:rPr>
                <w:sz w:val="6"/>
                <w:szCs w:val="6"/>
                <w:color w:val="auto"/>
              </w:rPr>
            </w:pPr>
          </w:p>
        </w:tc>
        <w:tc>
          <w:tcPr>
            <w:tcW w:w="280" w:type="dxa"/>
            <w:vAlign w:val="bottom"/>
            <w:shd w:val="clear" w:color="auto" w:fill="EEEEEE"/>
          </w:tcPr>
          <w:p>
            <w:pPr>
              <w:spacing w:after="0"/>
              <w:rPr>
                <w:sz w:val="6"/>
                <w:szCs w:val="6"/>
                <w:color w:val="auto"/>
              </w:rPr>
            </w:pPr>
          </w:p>
        </w:tc>
        <w:tc>
          <w:tcPr>
            <w:tcW w:w="420" w:type="dxa"/>
            <w:vAlign w:val="bottom"/>
            <w:shd w:val="clear" w:color="auto" w:fill="EEEEEE"/>
          </w:tcPr>
          <w:p>
            <w:pPr>
              <w:spacing w:after="0"/>
              <w:rPr>
                <w:sz w:val="6"/>
                <w:szCs w:val="6"/>
                <w:color w:val="auto"/>
              </w:rPr>
            </w:pPr>
          </w:p>
        </w:tc>
        <w:tc>
          <w:tcPr>
            <w:tcW w:w="600" w:type="dxa"/>
            <w:vAlign w:val="bottom"/>
            <w:tcBorders>
              <w:right w:val="single" w:sz="8" w:color="EEEEEE"/>
            </w:tcBorders>
            <w:shd w:val="clear" w:color="auto" w:fill="EEEEEE"/>
          </w:tcPr>
          <w:p>
            <w:pPr>
              <w:spacing w:after="0"/>
              <w:rPr>
                <w:sz w:val="6"/>
                <w:szCs w:val="6"/>
                <w:color w:val="auto"/>
              </w:rPr>
            </w:pPr>
          </w:p>
        </w:tc>
        <w:tc>
          <w:tcPr>
            <w:tcW w:w="380" w:type="dxa"/>
            <w:vAlign w:val="bottom"/>
            <w:shd w:val="clear" w:color="auto" w:fill="EEEEEE"/>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40" w:type="dxa"/>
            <w:vAlign w:val="bottom"/>
          </w:tcPr>
          <w:p>
            <w:pPr>
              <w:spacing w:after="0" w:line="201" w:lineRule="exact"/>
              <w:rPr>
                <w:sz w:val="20"/>
                <w:szCs w:val="20"/>
                <w:color w:val="auto"/>
              </w:rPr>
            </w:pPr>
            <w:r>
              <w:rPr>
                <w:rFonts w:ascii="Arial" w:cs="Arial" w:eastAsia="Arial" w:hAnsi="Arial"/>
                <w:sz w:val="18"/>
                <w:szCs w:val="18"/>
                <w:color w:val="auto"/>
              </w:rPr>
              <w:t>Shares used in computation of basic earnings per</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40" w:type="dxa"/>
            <w:vAlign w:val="bottom"/>
            <w:gridSpan w:val="2"/>
          </w:tcPr>
          <w:p>
            <w:pPr>
              <w:ind w:left="120"/>
              <w:spacing w:after="0"/>
              <w:rPr>
                <w:sz w:val="20"/>
                <w:szCs w:val="20"/>
                <w:color w:val="auto"/>
              </w:rPr>
            </w:pPr>
            <w:r>
              <w:rPr>
                <w:rFonts w:ascii="Arial" w:cs="Arial" w:eastAsia="Arial" w:hAnsi="Arial"/>
                <w:sz w:val="18"/>
                <w:szCs w:val="18"/>
                <w:color w:val="auto"/>
              </w:rPr>
              <w:t>share</w:t>
            </w:r>
          </w:p>
        </w:tc>
        <w:tc>
          <w:tcPr>
            <w:tcW w:w="4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9,530</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9,504</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9,486</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4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Add — Shares assumed issuable upon exercise of</w:t>
            </w:r>
          </w:p>
        </w:tc>
        <w:tc>
          <w:tcPr>
            <w:tcW w:w="40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600" w:type="dxa"/>
            <w:vAlign w:val="bottom"/>
            <w:tcBorders>
              <w:right w:val="single" w:sz="8" w:color="EEEEEE"/>
            </w:tcBorders>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4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stock options</w:t>
            </w:r>
          </w:p>
        </w:tc>
        <w:tc>
          <w:tcPr>
            <w:tcW w:w="400" w:type="dxa"/>
            <w:vAlign w:val="bottom"/>
            <w:shd w:val="clear" w:color="auto" w:fill="EEEEEE"/>
          </w:tcPr>
          <w:p>
            <w:pPr>
              <w:spacing w:after="0"/>
              <w:rPr>
                <w:sz w:val="20"/>
                <w:szCs w:val="20"/>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138</w:t>
            </w:r>
          </w:p>
        </w:tc>
        <w:tc>
          <w:tcPr>
            <w:tcW w:w="38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400" w:type="dxa"/>
            <w:vAlign w:val="bottom"/>
            <w:shd w:val="clear" w:color="auto" w:fill="EEEEEE"/>
          </w:tcPr>
          <w:p>
            <w:pPr>
              <w:spacing w:after="0"/>
              <w:rPr>
                <w:sz w:val="20"/>
                <w:szCs w:val="20"/>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152</w:t>
            </w:r>
          </w:p>
        </w:tc>
        <w:tc>
          <w:tcPr>
            <w:tcW w:w="40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420" w:type="dxa"/>
            <w:vAlign w:val="bottom"/>
            <w:shd w:val="clear" w:color="auto" w:fill="EEEEEE"/>
          </w:tcPr>
          <w:p>
            <w:pPr>
              <w:spacing w:after="0"/>
              <w:rPr>
                <w:sz w:val="20"/>
                <w:szCs w:val="20"/>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118</w:t>
            </w:r>
          </w:p>
        </w:tc>
        <w:tc>
          <w:tcPr>
            <w:tcW w:w="3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40" w:type="dxa"/>
            <w:vAlign w:val="bottom"/>
            <w:gridSpan w:val="2"/>
          </w:tcPr>
          <w:p>
            <w:pPr>
              <w:spacing w:after="0" w:line="201" w:lineRule="exact"/>
              <w:rPr>
                <w:sz w:val="20"/>
                <w:szCs w:val="20"/>
                <w:color w:val="auto"/>
              </w:rPr>
            </w:pPr>
            <w:r>
              <w:rPr>
                <w:rFonts w:ascii="Arial" w:cs="Arial" w:eastAsia="Arial" w:hAnsi="Arial"/>
                <w:sz w:val="18"/>
                <w:szCs w:val="18"/>
                <w:color w:val="auto"/>
              </w:rPr>
              <w:t>Deduct — Shares assumed to be purchased for</w:t>
            </w: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ind w:left="120"/>
              <w:spacing w:after="0"/>
              <w:rPr>
                <w:sz w:val="20"/>
                <w:szCs w:val="20"/>
                <w:color w:val="auto"/>
              </w:rPr>
            </w:pPr>
            <w:r>
              <w:rPr>
                <w:rFonts w:ascii="Arial" w:cs="Arial" w:eastAsia="Arial" w:hAnsi="Arial"/>
                <w:sz w:val="18"/>
                <w:szCs w:val="18"/>
                <w:color w:val="auto"/>
              </w:rPr>
              <w:t>Treasury with proceeds from exercise of stock</w:t>
            </w: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640" w:type="dxa"/>
            <w:vAlign w:val="bottom"/>
            <w:gridSpan w:val="2"/>
          </w:tcPr>
          <w:p>
            <w:pPr>
              <w:ind w:left="120"/>
              <w:spacing w:after="0"/>
              <w:rPr>
                <w:sz w:val="20"/>
                <w:szCs w:val="20"/>
                <w:color w:val="auto"/>
              </w:rPr>
            </w:pPr>
            <w:r>
              <w:rPr>
                <w:rFonts w:ascii="Arial" w:cs="Arial" w:eastAsia="Arial" w:hAnsi="Arial"/>
                <w:sz w:val="18"/>
                <w:szCs w:val="18"/>
                <w:color w:val="auto"/>
              </w:rPr>
              <w:t>options</w:t>
            </w:r>
          </w:p>
        </w:tc>
        <w:tc>
          <w:tcPr>
            <w:tcW w:w="400" w:type="dxa"/>
            <w:vAlign w:val="bottom"/>
          </w:tcPr>
          <w:p>
            <w:pPr>
              <w:spacing w:after="0"/>
              <w:rPr>
                <w:sz w:val="21"/>
                <w:szCs w:val="21"/>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(113)</w:t>
            </w: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(133)</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6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Shares used in computation of diluted earnings per common share</w:t>
            </w:r>
          </w:p>
        </w:tc>
        <w:tc>
          <w:tcPr>
            <w:tcW w:w="400" w:type="dxa"/>
            <w:vAlign w:val="bottom"/>
            <w:shd w:val="clear" w:color="auto" w:fill="EEEEEE"/>
          </w:tcPr>
          <w:p>
            <w:pPr>
              <w:spacing w:after="0"/>
              <w:rPr>
                <w:sz w:val="19"/>
                <w:szCs w:val="19"/>
                <w:color w:val="auto"/>
              </w:rPr>
            </w:pPr>
          </w:p>
        </w:tc>
        <w:tc>
          <w:tcPr>
            <w:tcW w:w="600" w:type="dxa"/>
            <w:vAlign w:val="bottom"/>
            <w:tcBorders>
              <w:top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9,555</w:t>
            </w:r>
          </w:p>
        </w:tc>
        <w:tc>
          <w:tcPr>
            <w:tcW w:w="38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600" w:type="dxa"/>
            <w:vAlign w:val="bottom"/>
            <w:tcBorders>
              <w:top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9,523</w:t>
            </w:r>
          </w:p>
        </w:tc>
        <w:tc>
          <w:tcPr>
            <w:tcW w:w="40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600" w:type="dxa"/>
            <w:vAlign w:val="bottom"/>
            <w:tcBorders>
              <w:top w:val="single" w:sz="8" w:color="808080"/>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9,500</w:t>
            </w:r>
          </w:p>
        </w:tc>
        <w:tc>
          <w:tcPr>
            <w:tcW w:w="3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6660" w:type="dxa"/>
            <w:vAlign w:val="bottom"/>
            <w:gridSpan w:val="3"/>
            <w:vMerge w:val="restart"/>
          </w:tcPr>
          <w:p>
            <w:pPr>
              <w:spacing w:after="0"/>
              <w:rPr>
                <w:sz w:val="20"/>
                <w:szCs w:val="20"/>
                <w:color w:val="auto"/>
              </w:rPr>
            </w:pPr>
            <w:r>
              <w:rPr>
                <w:rFonts w:ascii="Arial" w:cs="Arial" w:eastAsia="Arial" w:hAnsi="Arial"/>
                <w:sz w:val="18"/>
                <w:szCs w:val="18"/>
                <w:color w:val="auto"/>
              </w:rPr>
              <w:t>Net income available for common shares</w:t>
            </w: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808080"/>
          </w:tcPr>
          <w:p>
            <w:pPr>
              <w:spacing w:after="0"/>
              <w:rPr>
                <w:sz w:val="5"/>
                <w:szCs w:val="5"/>
                <w:color w:val="auto"/>
              </w:rPr>
            </w:pPr>
          </w:p>
        </w:tc>
        <w:tc>
          <w:tcPr>
            <w:tcW w:w="400" w:type="dxa"/>
            <w:vAlign w:val="bottom"/>
            <w:vMerge w:val="restart"/>
          </w:tcPr>
          <w:p>
            <w:pPr>
              <w:spacing w:after="0"/>
              <w:rPr>
                <w:sz w:val="5"/>
                <w:szCs w:val="5"/>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808080"/>
            </w:tcBorders>
            <w:shd w:val="clear" w:color="auto" w:fill="808080"/>
          </w:tcPr>
          <w:p>
            <w:pPr>
              <w:spacing w:after="0"/>
              <w:rPr>
                <w:sz w:val="5"/>
                <w:szCs w:val="5"/>
                <w:color w:val="auto"/>
              </w:rPr>
            </w:pPr>
          </w:p>
        </w:tc>
        <w:tc>
          <w:tcPr>
            <w:tcW w:w="38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6660" w:type="dxa"/>
            <w:vAlign w:val="bottom"/>
            <w:gridSpan w:val="3"/>
            <w:vMerge w:val="continue"/>
          </w:tcPr>
          <w:p>
            <w:pPr>
              <w:spacing w:after="0"/>
              <w:rPr>
                <w:sz w:val="20"/>
                <w:szCs w:val="20"/>
                <w:color w:val="auto"/>
              </w:rPr>
            </w:pPr>
          </w:p>
        </w:tc>
        <w:tc>
          <w:tcPr>
            <w:tcW w:w="400" w:type="dxa"/>
            <w:vAlign w:val="bottom"/>
            <w:vMerge w:val="continue"/>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240,061</w:t>
            </w:r>
          </w:p>
        </w:tc>
        <w:tc>
          <w:tcPr>
            <w:tcW w:w="380" w:type="dxa"/>
            <w:vAlign w:val="bottom"/>
          </w:tcPr>
          <w:p>
            <w:pPr>
              <w:spacing w:after="0"/>
              <w:rPr>
                <w:sz w:val="20"/>
                <w:szCs w:val="20"/>
                <w:color w:val="auto"/>
              </w:rPr>
            </w:pPr>
          </w:p>
        </w:tc>
        <w:tc>
          <w:tcPr>
            <w:tcW w:w="700" w:type="dxa"/>
            <w:vAlign w:val="bottom"/>
            <w:gridSpan w:val="2"/>
            <w:vMerge w:val="continue"/>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203,235</w:t>
            </w:r>
          </w:p>
        </w:tc>
        <w:tc>
          <w:tcPr>
            <w:tcW w:w="400" w:type="dxa"/>
            <w:vAlign w:val="bottom"/>
            <w:vMerge w:val="continue"/>
          </w:tcPr>
          <w:p>
            <w:pPr>
              <w:spacing w:after="0"/>
              <w:rPr>
                <w:sz w:val="20"/>
                <w:szCs w:val="20"/>
                <w:color w:val="auto"/>
              </w:rPr>
            </w:pPr>
          </w:p>
        </w:tc>
        <w:tc>
          <w:tcPr>
            <w:tcW w:w="700" w:type="dxa"/>
            <w:vAlign w:val="bottom"/>
            <w:gridSpan w:val="2"/>
            <w:vMerge w:val="continue"/>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228,587</w:t>
            </w:r>
          </w:p>
        </w:tc>
        <w:tc>
          <w:tcPr>
            <w:tcW w:w="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6640" w:type="dxa"/>
            <w:vAlign w:val="bottom"/>
            <w:gridSpan w:val="2"/>
          </w:tcPr>
          <w:p>
            <w:pPr>
              <w:spacing w:after="0"/>
              <w:rPr>
                <w:sz w:val="6"/>
                <w:szCs w:val="6"/>
                <w:color w:val="auto"/>
              </w:rPr>
            </w:pPr>
          </w:p>
        </w:tc>
        <w:tc>
          <w:tcPr>
            <w:tcW w:w="400" w:type="dxa"/>
            <w:vAlign w:val="bottom"/>
          </w:tcPr>
          <w:p>
            <w:pPr>
              <w:spacing w:after="0"/>
              <w:rPr>
                <w:sz w:val="6"/>
                <w:szCs w:val="6"/>
                <w:color w:val="auto"/>
              </w:rPr>
            </w:pPr>
          </w:p>
        </w:tc>
        <w:tc>
          <w:tcPr>
            <w:tcW w:w="600" w:type="dxa"/>
            <w:vAlign w:val="bottom"/>
            <w:shd w:val="clear" w:color="auto" w:fill="808080"/>
          </w:tcPr>
          <w:p>
            <w:pPr>
              <w:spacing w:after="0"/>
              <w:rPr>
                <w:sz w:val="6"/>
                <w:szCs w:val="6"/>
                <w:color w:val="auto"/>
              </w:rPr>
            </w:pPr>
          </w:p>
        </w:tc>
        <w:tc>
          <w:tcPr>
            <w:tcW w:w="380" w:type="dxa"/>
            <w:vAlign w:val="bottom"/>
          </w:tcPr>
          <w:p>
            <w:pPr>
              <w:spacing w:after="0"/>
              <w:rPr>
                <w:sz w:val="6"/>
                <w:szCs w:val="6"/>
                <w:color w:val="auto"/>
              </w:rPr>
            </w:pPr>
          </w:p>
        </w:tc>
        <w:tc>
          <w:tcPr>
            <w:tcW w:w="700" w:type="dxa"/>
            <w:vAlign w:val="bottom"/>
            <w:gridSpan w:val="2"/>
          </w:tcPr>
          <w:p>
            <w:pPr>
              <w:spacing w:after="0"/>
              <w:rPr>
                <w:sz w:val="6"/>
                <w:szCs w:val="6"/>
                <w:color w:val="auto"/>
              </w:rPr>
            </w:pPr>
          </w:p>
        </w:tc>
        <w:tc>
          <w:tcPr>
            <w:tcW w:w="600" w:type="dxa"/>
            <w:vAlign w:val="bottom"/>
            <w:shd w:val="clear" w:color="auto" w:fill="808080"/>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gridSpan w:val="2"/>
          </w:tcPr>
          <w:p>
            <w:pPr>
              <w:spacing w:after="0"/>
              <w:rPr>
                <w:sz w:val="6"/>
                <w:szCs w:val="6"/>
                <w:color w:val="auto"/>
              </w:rPr>
            </w:pPr>
          </w:p>
        </w:tc>
        <w:tc>
          <w:tcPr>
            <w:tcW w:w="600" w:type="dxa"/>
            <w:vAlign w:val="bottom"/>
            <w:tcBorders>
              <w:right w:val="single" w:sz="8" w:color="808080"/>
            </w:tcBorders>
            <w:shd w:val="clear" w:color="auto" w:fill="808080"/>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66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Basic earnings per common share</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25.19</w:t>
            </w:r>
          </w:p>
        </w:tc>
        <w:tc>
          <w:tcPr>
            <w:tcW w:w="380" w:type="dxa"/>
            <w:vAlign w:val="bottom"/>
            <w:shd w:val="clear" w:color="auto" w:fill="EEEEEE"/>
          </w:tcPr>
          <w:p>
            <w:pPr>
              <w:spacing w:after="0"/>
              <w:rPr>
                <w:sz w:val="19"/>
                <w:szCs w:val="19"/>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21.38</w:t>
            </w:r>
          </w:p>
        </w:tc>
        <w:tc>
          <w:tcPr>
            <w:tcW w:w="400" w:type="dxa"/>
            <w:vAlign w:val="bottom"/>
            <w:shd w:val="clear" w:color="auto" w:fill="EEEEEE"/>
          </w:tcPr>
          <w:p>
            <w:pPr>
              <w:spacing w:after="0"/>
              <w:rPr>
                <w:sz w:val="19"/>
                <w:szCs w:val="19"/>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24.10</w:t>
            </w:r>
          </w:p>
        </w:tc>
        <w:tc>
          <w:tcPr>
            <w:tcW w:w="3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6660" w:type="dxa"/>
            <w:vAlign w:val="bottom"/>
            <w:gridSpan w:val="3"/>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6660" w:type="dxa"/>
            <w:vAlign w:val="bottom"/>
            <w:gridSpan w:val="3"/>
            <w:vMerge w:val="continue"/>
          </w:tcPr>
          <w:p>
            <w:pPr>
              <w:spacing w:after="0"/>
              <w:rPr>
                <w:sz w:val="20"/>
                <w:szCs w:val="20"/>
                <w:color w:val="auto"/>
              </w:rPr>
            </w:pPr>
          </w:p>
        </w:tc>
        <w:tc>
          <w:tcPr>
            <w:tcW w:w="400" w:type="dxa"/>
            <w:vAlign w:val="bottom"/>
            <w:vMerge w:val="continue"/>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25.12</w:t>
            </w:r>
          </w:p>
        </w:tc>
        <w:tc>
          <w:tcPr>
            <w:tcW w:w="380" w:type="dxa"/>
            <w:vAlign w:val="bottom"/>
          </w:tcPr>
          <w:p>
            <w:pPr>
              <w:spacing w:after="0"/>
              <w:rPr>
                <w:sz w:val="20"/>
                <w:szCs w:val="20"/>
                <w:color w:val="auto"/>
              </w:rPr>
            </w:pPr>
          </w:p>
        </w:tc>
        <w:tc>
          <w:tcPr>
            <w:tcW w:w="700" w:type="dxa"/>
            <w:vAlign w:val="bottom"/>
            <w:gridSpan w:val="2"/>
            <w:vMerge w:val="continue"/>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21.34</w:t>
            </w:r>
          </w:p>
        </w:tc>
        <w:tc>
          <w:tcPr>
            <w:tcW w:w="400" w:type="dxa"/>
            <w:vAlign w:val="bottom"/>
          </w:tcPr>
          <w:p>
            <w:pPr>
              <w:spacing w:after="0"/>
              <w:rPr>
                <w:sz w:val="20"/>
                <w:szCs w:val="20"/>
                <w:color w:val="auto"/>
              </w:rPr>
            </w:pPr>
          </w:p>
        </w:tc>
        <w:tc>
          <w:tcPr>
            <w:tcW w:w="700" w:type="dxa"/>
            <w:vAlign w:val="bottom"/>
            <w:gridSpan w:val="2"/>
            <w:vMerge w:val="continue"/>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24.06</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5" w:right="239" w:bottom="1440" w:gutter="0" w:footer="0" w:header="0"/>
        </w:sectPr>
      </w:pPr>
    </w:p>
    <w:bookmarkStart w:id="99" w:name="page100"/>
    <w:bookmarkEnd w:id="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EXHIBIT 21</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760" w:type="dxa"/>
            <w:vAlign w:val="bottom"/>
            <w:gridSpan w:val="2"/>
          </w:tcPr>
          <w:p>
            <w:pPr>
              <w:ind w:left="1300"/>
              <w:spacing w:after="0"/>
              <w:rPr>
                <w:sz w:val="20"/>
                <w:szCs w:val="20"/>
                <w:color w:val="auto"/>
              </w:rPr>
            </w:pPr>
            <w:r>
              <w:rPr>
                <w:rFonts w:ascii="Arial" w:cs="Arial" w:eastAsia="Arial" w:hAnsi="Arial"/>
                <w:sz w:val="18"/>
                <w:szCs w:val="18"/>
                <w:color w:val="auto"/>
              </w:rPr>
              <w:t>SUBSIDIARIES OF THE COMPANY</w:t>
            </w:r>
          </w:p>
        </w:tc>
        <w:tc>
          <w:tcPr>
            <w:tcW w:w="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2"/>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w w:val="94"/>
              </w:rPr>
              <w:t>Jurisdiction</w:t>
            </w:r>
          </w:p>
        </w:tc>
        <w:tc>
          <w:tcPr>
            <w:tcW w:w="3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rPr>
              <w:t>of</w:t>
            </w:r>
          </w:p>
        </w:tc>
        <w:tc>
          <w:tcPr>
            <w:tcW w:w="3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95"/>
              </w:rPr>
              <w:t>Voting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95"/>
              </w:rPr>
              <w:t>Incorporation</w:t>
            </w:r>
          </w:p>
        </w:tc>
        <w:tc>
          <w:tcPr>
            <w:tcW w:w="3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96"/>
              </w:rPr>
              <w:t>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96"/>
              </w:rPr>
              <w:t>or</w:t>
            </w:r>
          </w:p>
        </w:tc>
        <w:tc>
          <w:tcPr>
            <w:tcW w:w="3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94"/>
              </w:rPr>
              <w:t>Owned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4760" w:type="dxa"/>
            <w:vAlign w:val="bottom"/>
            <w:gridSpan w:val="2"/>
          </w:tcPr>
          <w:p>
            <w:pPr>
              <w:ind w:left="440"/>
              <w:spacing w:after="0"/>
              <w:rPr>
                <w:sz w:val="20"/>
                <w:szCs w:val="20"/>
                <w:color w:val="auto"/>
              </w:rPr>
            </w:pPr>
            <w:r>
              <w:rPr>
                <w:rFonts w:ascii="Arial" w:cs="Arial" w:eastAsia="Arial" w:hAnsi="Arial"/>
                <w:sz w:val="14"/>
                <w:szCs w:val="14"/>
                <w:color w:val="auto"/>
              </w:rPr>
              <w:t>Name of Subsidiary</w:t>
            </w:r>
          </w:p>
        </w:tc>
        <w:tc>
          <w:tcPr>
            <w:tcW w:w="62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w w:val="93"/>
              </w:rPr>
              <w:t>Organization</w:t>
            </w:r>
          </w:p>
        </w:tc>
        <w:tc>
          <w:tcPr>
            <w:tcW w:w="36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4"/>
              </w:rPr>
              <w:t>by Company</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980" w:type="dxa"/>
            <w:vAlign w:val="bottom"/>
          </w:tcPr>
          <w:p>
            <w:pPr>
              <w:spacing w:after="0"/>
              <w:rPr>
                <w:sz w:val="4"/>
                <w:szCs w:val="4"/>
                <w:color w:val="auto"/>
              </w:rPr>
            </w:pPr>
          </w:p>
        </w:tc>
        <w:tc>
          <w:tcPr>
            <w:tcW w:w="2040" w:type="dxa"/>
            <w:vAlign w:val="bottom"/>
            <w:tcBorders>
              <w:bottom w:val="single" w:sz="8" w:color="808080"/>
            </w:tcBorders>
          </w:tcPr>
          <w:p>
            <w:pPr>
              <w:spacing w:after="0"/>
              <w:rPr>
                <w:sz w:val="4"/>
                <w:szCs w:val="4"/>
                <w:color w:val="auto"/>
              </w:rPr>
            </w:pPr>
          </w:p>
        </w:tc>
        <w:tc>
          <w:tcPr>
            <w:tcW w:w="2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20" w:type="dxa"/>
            <w:vAlign w:val="bottom"/>
            <w:tcBorders>
              <w:bottom w:val="single" w:sz="8" w:color="808080"/>
            </w:tcBorders>
          </w:tcPr>
          <w:p>
            <w:pPr>
              <w:spacing w:after="0"/>
              <w:rPr>
                <w:sz w:val="4"/>
                <w:szCs w:val="4"/>
                <w:color w:val="auto"/>
              </w:rPr>
            </w:pPr>
          </w:p>
        </w:tc>
        <w:tc>
          <w:tcPr>
            <w:tcW w:w="360" w:type="dxa"/>
            <w:vAlign w:val="bottom"/>
          </w:tcPr>
          <w:p>
            <w:pPr>
              <w:spacing w:after="0"/>
              <w:rPr>
                <w:sz w:val="4"/>
                <w:szCs w:val="4"/>
                <w:color w:val="auto"/>
              </w:rPr>
            </w:pPr>
          </w:p>
        </w:tc>
        <w:tc>
          <w:tcPr>
            <w:tcW w:w="10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2980" w:type="dxa"/>
            <w:vAlign w:val="bottom"/>
          </w:tcPr>
          <w:p>
            <w:pPr>
              <w:spacing w:after="0"/>
              <w:rPr>
                <w:sz w:val="6"/>
                <w:szCs w:val="6"/>
                <w:color w:val="auto"/>
              </w:rPr>
            </w:pPr>
          </w:p>
        </w:tc>
        <w:tc>
          <w:tcPr>
            <w:tcW w:w="2040" w:type="dxa"/>
            <w:vAlign w:val="bottom"/>
          </w:tcPr>
          <w:p>
            <w:pPr>
              <w:spacing w:after="0"/>
              <w:rPr>
                <w:sz w:val="6"/>
                <w:szCs w:val="6"/>
                <w:color w:val="auto"/>
              </w:rPr>
            </w:pPr>
          </w:p>
        </w:tc>
        <w:tc>
          <w:tcPr>
            <w:tcW w:w="2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Bowater Mersey Paper Company Limited</w:t>
            </w:r>
          </w:p>
        </w:tc>
        <w:tc>
          <w:tcPr>
            <w:tcW w:w="2240" w:type="dxa"/>
            <w:vAlign w:val="bottom"/>
            <w:gridSpan w:val="2"/>
            <w:shd w:val="clear" w:color="auto" w:fill="EEEEEE"/>
          </w:tcPr>
          <w:p>
            <w:pPr>
              <w:ind w:left="620"/>
              <w:spacing w:after="0"/>
              <w:rPr>
                <w:sz w:val="20"/>
                <w:szCs w:val="20"/>
                <w:color w:val="auto"/>
              </w:rPr>
            </w:pPr>
            <w:r>
              <w:rPr>
                <w:rFonts w:ascii="Arial" w:cs="Arial" w:eastAsia="Arial" w:hAnsi="Arial"/>
                <w:sz w:val="18"/>
                <w:szCs w:val="18"/>
                <w:color w:val="auto"/>
              </w:rPr>
              <w:t>Nova Scotia</w:t>
            </w:r>
          </w:p>
        </w:tc>
        <w:tc>
          <w:tcPr>
            <w:tcW w:w="1420" w:type="dxa"/>
            <w:vAlign w:val="bottom"/>
            <w:gridSpan w:val="2"/>
            <w:shd w:val="clear" w:color="auto" w:fill="EEEEEE"/>
          </w:tcPr>
          <w:p>
            <w:pPr>
              <w:jc w:val="right"/>
              <w:ind w:right="163"/>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tcPr>
          <w:p>
            <w:pPr>
              <w:spacing w:after="0"/>
              <w:rPr>
                <w:sz w:val="20"/>
                <w:szCs w:val="20"/>
                <w:color w:val="auto"/>
              </w:rPr>
            </w:pPr>
            <w:r>
              <w:rPr>
                <w:rFonts w:ascii="Arial" w:cs="Arial" w:eastAsia="Arial" w:hAnsi="Arial"/>
                <w:sz w:val="18"/>
                <w:szCs w:val="18"/>
                <w:color w:val="auto"/>
              </w:rPr>
              <w:t>BRLLC Holdings, Inc.</w:t>
            </w:r>
          </w:p>
        </w:tc>
        <w:tc>
          <w:tcPr>
            <w:tcW w:w="2240" w:type="dxa"/>
            <w:vAlign w:val="bottom"/>
            <w:gridSpan w:val="2"/>
          </w:tcPr>
          <w:p>
            <w:pPr>
              <w:ind w:left="620"/>
              <w:spacing w:after="0"/>
              <w:rPr>
                <w:sz w:val="20"/>
                <w:szCs w:val="20"/>
                <w:color w:val="auto"/>
              </w:rPr>
            </w:pPr>
            <w:r>
              <w:rPr>
                <w:rFonts w:ascii="Arial" w:cs="Arial" w:eastAsia="Arial" w:hAnsi="Arial"/>
                <w:sz w:val="18"/>
                <w:szCs w:val="18"/>
                <w:color w:val="auto"/>
              </w:rPr>
              <w:t>Delaware</w:t>
            </w:r>
          </w:p>
        </w:tc>
        <w:tc>
          <w:tcPr>
            <w:tcW w:w="1420" w:type="dxa"/>
            <w:vAlign w:val="bottom"/>
            <w:gridSpan w:val="2"/>
          </w:tcPr>
          <w:p>
            <w:pPr>
              <w:jc w:val="right"/>
              <w:ind w:right="16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Cable One, Inc.</w:t>
            </w:r>
          </w:p>
        </w:tc>
        <w:tc>
          <w:tcPr>
            <w:tcW w:w="2240" w:type="dxa"/>
            <w:vAlign w:val="bottom"/>
            <w:gridSpan w:val="2"/>
            <w:shd w:val="clear" w:color="auto" w:fill="EEEEEE"/>
          </w:tcPr>
          <w:p>
            <w:pPr>
              <w:ind w:left="620"/>
              <w:spacing w:after="0"/>
              <w:rPr>
                <w:sz w:val="20"/>
                <w:szCs w:val="20"/>
                <w:color w:val="auto"/>
              </w:rPr>
            </w:pPr>
            <w:r>
              <w:rPr>
                <w:rFonts w:ascii="Arial" w:cs="Arial" w:eastAsia="Arial" w:hAnsi="Arial"/>
                <w:sz w:val="18"/>
                <w:szCs w:val="18"/>
                <w:color w:val="auto"/>
              </w:rPr>
              <w:t>Delaware</w:t>
            </w:r>
          </w:p>
        </w:tc>
        <w:tc>
          <w:tcPr>
            <w:tcW w:w="1420" w:type="dxa"/>
            <w:vAlign w:val="bottom"/>
            <w:gridSpan w:val="2"/>
            <w:shd w:val="clear" w:color="auto" w:fill="EEEEEE"/>
          </w:tcPr>
          <w:p>
            <w:pPr>
              <w:jc w:val="right"/>
              <w:ind w:right="16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tcPr>
          <w:p>
            <w:pPr>
              <w:spacing w:after="0"/>
              <w:rPr>
                <w:sz w:val="20"/>
                <w:szCs w:val="20"/>
                <w:color w:val="auto"/>
              </w:rPr>
            </w:pPr>
            <w:r>
              <w:rPr>
                <w:rFonts w:ascii="Arial" w:cs="Arial" w:eastAsia="Arial" w:hAnsi="Arial"/>
                <w:sz w:val="18"/>
                <w:szCs w:val="18"/>
                <w:color w:val="auto"/>
              </w:rPr>
              <w:t>Capitol Fiber, Inc.</w:t>
            </w:r>
          </w:p>
        </w:tc>
        <w:tc>
          <w:tcPr>
            <w:tcW w:w="2240" w:type="dxa"/>
            <w:vAlign w:val="bottom"/>
            <w:gridSpan w:val="2"/>
          </w:tcPr>
          <w:p>
            <w:pPr>
              <w:ind w:left="620"/>
              <w:spacing w:after="0"/>
              <w:rPr>
                <w:sz w:val="20"/>
                <w:szCs w:val="20"/>
                <w:color w:val="auto"/>
              </w:rPr>
            </w:pPr>
            <w:r>
              <w:rPr>
                <w:rFonts w:ascii="Arial" w:cs="Arial" w:eastAsia="Arial" w:hAnsi="Arial"/>
                <w:sz w:val="18"/>
                <w:szCs w:val="18"/>
                <w:color w:val="auto"/>
              </w:rPr>
              <w:t>Maryland</w:t>
            </w:r>
          </w:p>
        </w:tc>
        <w:tc>
          <w:tcPr>
            <w:tcW w:w="1420" w:type="dxa"/>
            <w:vAlign w:val="bottom"/>
            <w:gridSpan w:val="2"/>
          </w:tcPr>
          <w:p>
            <w:pPr>
              <w:jc w:val="right"/>
              <w:ind w:right="163"/>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The Daily Herald Company</w:t>
            </w:r>
          </w:p>
        </w:tc>
        <w:tc>
          <w:tcPr>
            <w:tcW w:w="2240" w:type="dxa"/>
            <w:vAlign w:val="bottom"/>
            <w:gridSpan w:val="2"/>
            <w:shd w:val="clear" w:color="auto" w:fill="EEEEEE"/>
          </w:tcPr>
          <w:p>
            <w:pPr>
              <w:ind w:left="620"/>
              <w:spacing w:after="0"/>
              <w:rPr>
                <w:sz w:val="20"/>
                <w:szCs w:val="20"/>
                <w:color w:val="auto"/>
              </w:rPr>
            </w:pPr>
            <w:r>
              <w:rPr>
                <w:rFonts w:ascii="Arial" w:cs="Arial" w:eastAsia="Arial" w:hAnsi="Arial"/>
                <w:sz w:val="18"/>
                <w:szCs w:val="18"/>
                <w:color w:val="auto"/>
              </w:rPr>
              <w:t>Washington</w:t>
            </w:r>
          </w:p>
        </w:tc>
        <w:tc>
          <w:tcPr>
            <w:tcW w:w="1420" w:type="dxa"/>
            <w:vAlign w:val="bottom"/>
            <w:gridSpan w:val="2"/>
            <w:shd w:val="clear" w:color="auto" w:fill="EEEEEE"/>
          </w:tcPr>
          <w:p>
            <w:pPr>
              <w:jc w:val="right"/>
              <w:ind w:right="16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tcPr>
          <w:p>
            <w:pPr>
              <w:spacing w:after="0"/>
              <w:rPr>
                <w:sz w:val="20"/>
                <w:szCs w:val="20"/>
                <w:color w:val="auto"/>
              </w:rPr>
            </w:pPr>
            <w:r>
              <w:rPr>
                <w:rFonts w:ascii="Arial" w:cs="Arial" w:eastAsia="Arial" w:hAnsi="Arial"/>
                <w:sz w:val="18"/>
                <w:szCs w:val="18"/>
                <w:color w:val="auto"/>
              </w:rPr>
              <w:t>Express Publications Company, LCC</w:t>
            </w:r>
          </w:p>
        </w:tc>
        <w:tc>
          <w:tcPr>
            <w:tcW w:w="2240" w:type="dxa"/>
            <w:vAlign w:val="bottom"/>
            <w:gridSpan w:val="2"/>
          </w:tcPr>
          <w:p>
            <w:pPr>
              <w:ind w:left="620"/>
              <w:spacing w:after="0"/>
              <w:rPr>
                <w:sz w:val="20"/>
                <w:szCs w:val="20"/>
                <w:color w:val="auto"/>
              </w:rPr>
            </w:pPr>
            <w:r>
              <w:rPr>
                <w:rFonts w:ascii="Arial" w:cs="Arial" w:eastAsia="Arial" w:hAnsi="Arial"/>
                <w:sz w:val="18"/>
                <w:szCs w:val="18"/>
                <w:color w:val="auto"/>
              </w:rPr>
              <w:t>Delaware</w:t>
            </w:r>
          </w:p>
        </w:tc>
        <w:tc>
          <w:tcPr>
            <w:tcW w:w="1420" w:type="dxa"/>
            <w:vAlign w:val="bottom"/>
            <w:gridSpan w:val="2"/>
          </w:tcPr>
          <w:p>
            <w:pPr>
              <w:jc w:val="right"/>
              <w:ind w:right="16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Greater Washington Publishing, Inc.</w:t>
            </w:r>
          </w:p>
        </w:tc>
        <w:tc>
          <w:tcPr>
            <w:tcW w:w="2240" w:type="dxa"/>
            <w:vAlign w:val="bottom"/>
            <w:gridSpan w:val="2"/>
            <w:shd w:val="clear" w:color="auto" w:fill="EEEEEE"/>
          </w:tcPr>
          <w:p>
            <w:pPr>
              <w:ind w:left="620"/>
              <w:spacing w:after="0"/>
              <w:rPr>
                <w:sz w:val="20"/>
                <w:szCs w:val="20"/>
                <w:color w:val="auto"/>
              </w:rPr>
            </w:pPr>
            <w:r>
              <w:rPr>
                <w:rFonts w:ascii="Arial" w:cs="Arial" w:eastAsia="Arial" w:hAnsi="Arial"/>
                <w:sz w:val="18"/>
                <w:szCs w:val="18"/>
                <w:color w:val="auto"/>
              </w:rPr>
              <w:t>Delaware</w:t>
            </w:r>
          </w:p>
        </w:tc>
        <w:tc>
          <w:tcPr>
            <w:tcW w:w="1420" w:type="dxa"/>
            <w:vAlign w:val="bottom"/>
            <w:gridSpan w:val="2"/>
            <w:shd w:val="clear" w:color="auto" w:fill="EEEEEE"/>
          </w:tcPr>
          <w:p>
            <w:pPr>
              <w:jc w:val="right"/>
              <w:ind w:right="16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tcPr>
          <w:p>
            <w:pPr>
              <w:spacing w:after="0"/>
              <w:rPr>
                <w:sz w:val="20"/>
                <w:szCs w:val="20"/>
                <w:color w:val="auto"/>
              </w:rPr>
            </w:pPr>
            <w:r>
              <w:rPr>
                <w:rFonts w:ascii="Arial" w:cs="Arial" w:eastAsia="Arial" w:hAnsi="Arial"/>
                <w:sz w:val="18"/>
                <w:szCs w:val="18"/>
                <w:color w:val="auto"/>
              </w:rPr>
              <w:t>Kaplan, Inc.</w:t>
            </w:r>
          </w:p>
        </w:tc>
        <w:tc>
          <w:tcPr>
            <w:tcW w:w="2240" w:type="dxa"/>
            <w:vAlign w:val="bottom"/>
            <w:gridSpan w:val="2"/>
          </w:tcPr>
          <w:p>
            <w:pPr>
              <w:ind w:left="620"/>
              <w:spacing w:after="0"/>
              <w:rPr>
                <w:sz w:val="20"/>
                <w:szCs w:val="20"/>
                <w:color w:val="auto"/>
              </w:rPr>
            </w:pPr>
            <w:r>
              <w:rPr>
                <w:rFonts w:ascii="Arial" w:cs="Arial" w:eastAsia="Arial" w:hAnsi="Arial"/>
                <w:sz w:val="18"/>
                <w:szCs w:val="18"/>
                <w:color w:val="auto"/>
              </w:rPr>
              <w:t>Delaware</w:t>
            </w:r>
          </w:p>
        </w:tc>
        <w:tc>
          <w:tcPr>
            <w:tcW w:w="1420" w:type="dxa"/>
            <w:vAlign w:val="bottom"/>
            <w:gridSpan w:val="2"/>
          </w:tcPr>
          <w:p>
            <w:pPr>
              <w:jc w:val="right"/>
              <w:ind w:right="16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shd w:val="clear" w:color="auto" w:fill="EEEEEE"/>
          </w:tcPr>
          <w:p>
            <w:pPr>
              <w:ind w:left="400"/>
              <w:spacing w:after="0"/>
              <w:rPr>
                <w:sz w:val="20"/>
                <w:szCs w:val="20"/>
                <w:color w:val="auto"/>
              </w:rPr>
            </w:pPr>
            <w:r>
              <w:rPr>
                <w:rFonts w:ascii="Arial" w:cs="Arial" w:eastAsia="Arial" w:hAnsi="Arial"/>
                <w:sz w:val="18"/>
                <w:szCs w:val="18"/>
                <w:color w:val="auto"/>
              </w:rPr>
              <w:t>Accountancy &amp; Business College Holdings Limited</w:t>
            </w:r>
          </w:p>
        </w:tc>
        <w:tc>
          <w:tcPr>
            <w:tcW w:w="2240" w:type="dxa"/>
            <w:vAlign w:val="bottom"/>
            <w:gridSpan w:val="2"/>
            <w:shd w:val="clear" w:color="auto" w:fill="EEEEEE"/>
          </w:tcPr>
          <w:p>
            <w:pPr>
              <w:ind w:left="620"/>
              <w:spacing w:after="0"/>
              <w:rPr>
                <w:sz w:val="20"/>
                <w:szCs w:val="20"/>
                <w:color w:val="auto"/>
              </w:rPr>
            </w:pPr>
            <w:r>
              <w:rPr>
                <w:rFonts w:ascii="Arial" w:cs="Arial" w:eastAsia="Arial" w:hAnsi="Arial"/>
                <w:sz w:val="18"/>
                <w:szCs w:val="18"/>
                <w:color w:val="auto"/>
              </w:rPr>
              <w:t>Ireland</w:t>
            </w:r>
          </w:p>
        </w:tc>
        <w:tc>
          <w:tcPr>
            <w:tcW w:w="360" w:type="dxa"/>
            <w:vAlign w:val="bottom"/>
            <w:shd w:val="clear" w:color="auto" w:fill="EEEEEE"/>
          </w:tcPr>
          <w:p>
            <w:pPr>
              <w:spacing w:after="0"/>
              <w:rPr>
                <w:sz w:val="18"/>
                <w:szCs w:val="18"/>
                <w:color w:val="auto"/>
              </w:rPr>
            </w:pP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tcPr>
          <w:p>
            <w:pPr>
              <w:ind w:left="660"/>
              <w:spacing w:after="0"/>
              <w:rPr>
                <w:sz w:val="20"/>
                <w:szCs w:val="20"/>
                <w:color w:val="auto"/>
              </w:rPr>
            </w:pPr>
            <w:r>
              <w:rPr>
                <w:rFonts w:ascii="Arial" w:cs="Arial" w:eastAsia="Arial" w:hAnsi="Arial"/>
                <w:sz w:val="18"/>
                <w:szCs w:val="18"/>
                <w:color w:val="auto"/>
              </w:rPr>
              <w:t>Accountancy &amp; Business College (Ireland) Limited</w:t>
            </w:r>
          </w:p>
        </w:tc>
        <w:tc>
          <w:tcPr>
            <w:tcW w:w="2240" w:type="dxa"/>
            <w:vAlign w:val="bottom"/>
            <w:gridSpan w:val="2"/>
          </w:tcPr>
          <w:p>
            <w:pPr>
              <w:ind w:left="620"/>
              <w:spacing w:after="0"/>
              <w:rPr>
                <w:sz w:val="20"/>
                <w:szCs w:val="20"/>
                <w:color w:val="auto"/>
              </w:rPr>
            </w:pPr>
            <w:r>
              <w:rPr>
                <w:rFonts w:ascii="Arial" w:cs="Arial" w:eastAsia="Arial" w:hAnsi="Arial"/>
                <w:sz w:val="18"/>
                <w:szCs w:val="18"/>
                <w:color w:val="auto"/>
              </w:rPr>
              <w:t>Ireland</w:t>
            </w:r>
          </w:p>
        </w:tc>
        <w:tc>
          <w:tcPr>
            <w:tcW w:w="1420" w:type="dxa"/>
            <w:vAlign w:val="bottom"/>
            <w:gridSpan w:val="2"/>
          </w:tcPr>
          <w:p>
            <w:pPr>
              <w:jc w:val="right"/>
              <w:ind w:right="16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shd w:val="clear" w:color="auto" w:fill="EEEEEE"/>
          </w:tcPr>
          <w:p>
            <w:pPr>
              <w:ind w:left="660"/>
              <w:spacing w:after="0"/>
              <w:rPr>
                <w:sz w:val="20"/>
                <w:szCs w:val="20"/>
                <w:color w:val="auto"/>
              </w:rPr>
            </w:pPr>
            <w:r>
              <w:rPr>
                <w:rFonts w:ascii="Arial" w:cs="Arial" w:eastAsia="Arial" w:hAnsi="Arial"/>
                <w:sz w:val="18"/>
                <w:szCs w:val="18"/>
                <w:color w:val="auto"/>
              </w:rPr>
              <w:t>Accountancy &amp; Business College (Software) Limited</w:t>
            </w:r>
          </w:p>
        </w:tc>
        <w:tc>
          <w:tcPr>
            <w:tcW w:w="2240" w:type="dxa"/>
            <w:vAlign w:val="bottom"/>
            <w:gridSpan w:val="2"/>
            <w:shd w:val="clear" w:color="auto" w:fill="EEEEEE"/>
          </w:tcPr>
          <w:p>
            <w:pPr>
              <w:ind w:left="620"/>
              <w:spacing w:after="0"/>
              <w:rPr>
                <w:sz w:val="20"/>
                <w:szCs w:val="20"/>
                <w:color w:val="auto"/>
              </w:rPr>
            </w:pPr>
            <w:r>
              <w:rPr>
                <w:rFonts w:ascii="Arial" w:cs="Arial" w:eastAsia="Arial" w:hAnsi="Arial"/>
                <w:sz w:val="18"/>
                <w:szCs w:val="18"/>
                <w:color w:val="auto"/>
              </w:rPr>
              <w:t>Ireland</w:t>
            </w:r>
          </w:p>
        </w:tc>
        <w:tc>
          <w:tcPr>
            <w:tcW w:w="1420" w:type="dxa"/>
            <w:vAlign w:val="bottom"/>
            <w:gridSpan w:val="2"/>
            <w:shd w:val="clear" w:color="auto" w:fill="EEEEEE"/>
          </w:tcPr>
          <w:p>
            <w:pPr>
              <w:jc w:val="right"/>
              <w:ind w:right="16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tcPr>
          <w:p>
            <w:pPr>
              <w:ind w:left="660"/>
              <w:spacing w:after="0"/>
              <w:rPr>
                <w:sz w:val="20"/>
                <w:szCs w:val="20"/>
                <w:color w:val="auto"/>
              </w:rPr>
            </w:pPr>
            <w:r>
              <w:rPr>
                <w:rFonts w:ascii="Arial" w:cs="Arial" w:eastAsia="Arial" w:hAnsi="Arial"/>
                <w:sz w:val="18"/>
                <w:szCs w:val="18"/>
                <w:color w:val="auto"/>
              </w:rPr>
              <w:t>DBS Training Limited</w:t>
            </w:r>
          </w:p>
        </w:tc>
        <w:tc>
          <w:tcPr>
            <w:tcW w:w="2240" w:type="dxa"/>
            <w:vAlign w:val="bottom"/>
            <w:gridSpan w:val="2"/>
          </w:tcPr>
          <w:p>
            <w:pPr>
              <w:ind w:left="620"/>
              <w:spacing w:after="0"/>
              <w:rPr>
                <w:sz w:val="20"/>
                <w:szCs w:val="20"/>
                <w:color w:val="auto"/>
              </w:rPr>
            </w:pPr>
            <w:r>
              <w:rPr>
                <w:rFonts w:ascii="Arial" w:cs="Arial" w:eastAsia="Arial" w:hAnsi="Arial"/>
                <w:sz w:val="18"/>
                <w:szCs w:val="18"/>
                <w:color w:val="auto"/>
              </w:rPr>
              <w:t>Ireland</w:t>
            </w:r>
          </w:p>
        </w:tc>
        <w:tc>
          <w:tcPr>
            <w:tcW w:w="1420" w:type="dxa"/>
            <w:vAlign w:val="bottom"/>
            <w:gridSpan w:val="2"/>
          </w:tcPr>
          <w:p>
            <w:pPr>
              <w:jc w:val="right"/>
              <w:ind w:right="16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shd w:val="clear" w:color="auto" w:fill="EEEEEE"/>
          </w:tcPr>
          <w:p>
            <w:pPr>
              <w:ind w:left="940"/>
              <w:spacing w:after="0"/>
              <w:rPr>
                <w:sz w:val="20"/>
                <w:szCs w:val="20"/>
                <w:color w:val="auto"/>
              </w:rPr>
            </w:pPr>
            <w:r>
              <w:rPr>
                <w:rFonts w:ascii="Arial" w:cs="Arial" w:eastAsia="Arial" w:hAnsi="Arial"/>
                <w:sz w:val="18"/>
                <w:szCs w:val="18"/>
                <w:color w:val="auto"/>
              </w:rPr>
              <w:t>DBS Recruitment Limited</w:t>
            </w:r>
          </w:p>
        </w:tc>
        <w:tc>
          <w:tcPr>
            <w:tcW w:w="2240" w:type="dxa"/>
            <w:vAlign w:val="bottom"/>
            <w:gridSpan w:val="2"/>
            <w:shd w:val="clear" w:color="auto" w:fill="EEEEEE"/>
          </w:tcPr>
          <w:p>
            <w:pPr>
              <w:ind w:left="620"/>
              <w:spacing w:after="0"/>
              <w:rPr>
                <w:sz w:val="20"/>
                <w:szCs w:val="20"/>
                <w:color w:val="auto"/>
              </w:rPr>
            </w:pPr>
            <w:r>
              <w:rPr>
                <w:rFonts w:ascii="Arial" w:cs="Arial" w:eastAsia="Arial" w:hAnsi="Arial"/>
                <w:sz w:val="18"/>
                <w:szCs w:val="18"/>
                <w:color w:val="auto"/>
              </w:rPr>
              <w:t>Ireland</w:t>
            </w:r>
          </w:p>
        </w:tc>
        <w:tc>
          <w:tcPr>
            <w:tcW w:w="1420" w:type="dxa"/>
            <w:vAlign w:val="bottom"/>
            <w:gridSpan w:val="2"/>
            <w:shd w:val="clear" w:color="auto" w:fill="EEEEEE"/>
          </w:tcPr>
          <w:p>
            <w:pPr>
              <w:jc w:val="right"/>
              <w:ind w:right="16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tcPr>
          <w:p>
            <w:pPr>
              <w:ind w:left="940"/>
              <w:spacing w:after="0"/>
              <w:rPr>
                <w:sz w:val="20"/>
                <w:szCs w:val="20"/>
                <w:color w:val="auto"/>
              </w:rPr>
            </w:pPr>
            <w:r>
              <w:rPr>
                <w:rFonts w:ascii="Arial" w:cs="Arial" w:eastAsia="Arial" w:hAnsi="Arial"/>
                <w:sz w:val="18"/>
                <w:szCs w:val="18"/>
                <w:color w:val="auto"/>
              </w:rPr>
              <w:t>LSB College Limited</w:t>
            </w:r>
          </w:p>
        </w:tc>
        <w:tc>
          <w:tcPr>
            <w:tcW w:w="2240" w:type="dxa"/>
            <w:vAlign w:val="bottom"/>
            <w:gridSpan w:val="2"/>
          </w:tcPr>
          <w:p>
            <w:pPr>
              <w:ind w:left="620"/>
              <w:spacing w:after="0"/>
              <w:rPr>
                <w:sz w:val="20"/>
                <w:szCs w:val="20"/>
                <w:color w:val="auto"/>
              </w:rPr>
            </w:pPr>
            <w:r>
              <w:rPr>
                <w:rFonts w:ascii="Arial" w:cs="Arial" w:eastAsia="Arial" w:hAnsi="Arial"/>
                <w:sz w:val="18"/>
                <w:szCs w:val="18"/>
                <w:color w:val="auto"/>
              </w:rPr>
              <w:t>Ireland</w:t>
            </w:r>
          </w:p>
        </w:tc>
        <w:tc>
          <w:tcPr>
            <w:tcW w:w="1420" w:type="dxa"/>
            <w:vAlign w:val="bottom"/>
            <w:gridSpan w:val="2"/>
          </w:tcPr>
          <w:p>
            <w:pPr>
              <w:jc w:val="right"/>
              <w:ind w:right="16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shd w:val="clear" w:color="auto" w:fill="EEEEEE"/>
          </w:tcPr>
          <w:p>
            <w:pPr>
              <w:ind w:left="1200"/>
              <w:spacing w:after="0"/>
              <w:rPr>
                <w:sz w:val="20"/>
                <w:szCs w:val="20"/>
                <w:color w:val="auto"/>
              </w:rPr>
            </w:pPr>
            <w:r>
              <w:rPr>
                <w:rFonts w:ascii="Arial" w:cs="Arial" w:eastAsia="Arial" w:hAnsi="Arial"/>
                <w:sz w:val="18"/>
                <w:szCs w:val="18"/>
                <w:color w:val="auto"/>
              </w:rPr>
              <w:t>Buccleuch Estates Limited</w:t>
            </w:r>
          </w:p>
        </w:tc>
        <w:tc>
          <w:tcPr>
            <w:tcW w:w="2240" w:type="dxa"/>
            <w:vAlign w:val="bottom"/>
            <w:gridSpan w:val="2"/>
            <w:shd w:val="clear" w:color="auto" w:fill="EEEEEE"/>
          </w:tcPr>
          <w:p>
            <w:pPr>
              <w:ind w:left="620"/>
              <w:spacing w:after="0"/>
              <w:rPr>
                <w:sz w:val="20"/>
                <w:szCs w:val="20"/>
                <w:color w:val="auto"/>
              </w:rPr>
            </w:pPr>
            <w:r>
              <w:rPr>
                <w:rFonts w:ascii="Arial" w:cs="Arial" w:eastAsia="Arial" w:hAnsi="Arial"/>
                <w:sz w:val="18"/>
                <w:szCs w:val="18"/>
                <w:color w:val="auto"/>
              </w:rPr>
              <w:t>Ireland</w:t>
            </w:r>
          </w:p>
        </w:tc>
        <w:tc>
          <w:tcPr>
            <w:tcW w:w="1420" w:type="dxa"/>
            <w:vAlign w:val="bottom"/>
            <w:gridSpan w:val="2"/>
            <w:shd w:val="clear" w:color="auto" w:fill="EEEEEE"/>
          </w:tcPr>
          <w:p>
            <w:pPr>
              <w:jc w:val="right"/>
              <w:ind w:right="16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tcPr>
          <w:p>
            <w:pPr>
              <w:ind w:left="660"/>
              <w:spacing w:after="0"/>
              <w:rPr>
                <w:sz w:val="20"/>
                <w:szCs w:val="20"/>
                <w:color w:val="auto"/>
              </w:rPr>
            </w:pPr>
            <w:r>
              <w:rPr>
                <w:rFonts w:ascii="Arial" w:cs="Arial" w:eastAsia="Arial" w:hAnsi="Arial"/>
                <w:sz w:val="18"/>
                <w:szCs w:val="18"/>
                <w:color w:val="auto"/>
              </w:rPr>
              <w:t>Newhall Printing Co. Limited</w:t>
            </w:r>
          </w:p>
        </w:tc>
        <w:tc>
          <w:tcPr>
            <w:tcW w:w="2240" w:type="dxa"/>
            <w:vAlign w:val="bottom"/>
            <w:gridSpan w:val="2"/>
          </w:tcPr>
          <w:p>
            <w:pPr>
              <w:ind w:left="620"/>
              <w:spacing w:after="0"/>
              <w:rPr>
                <w:sz w:val="20"/>
                <w:szCs w:val="20"/>
                <w:color w:val="auto"/>
              </w:rPr>
            </w:pPr>
            <w:r>
              <w:rPr>
                <w:rFonts w:ascii="Arial" w:cs="Arial" w:eastAsia="Arial" w:hAnsi="Arial"/>
                <w:sz w:val="18"/>
                <w:szCs w:val="18"/>
                <w:color w:val="auto"/>
              </w:rPr>
              <w:t>Ireland</w:t>
            </w:r>
          </w:p>
        </w:tc>
        <w:tc>
          <w:tcPr>
            <w:tcW w:w="1420" w:type="dxa"/>
            <w:vAlign w:val="bottom"/>
            <w:gridSpan w:val="2"/>
          </w:tcPr>
          <w:p>
            <w:pPr>
              <w:jc w:val="right"/>
              <w:ind w:right="16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shd w:val="clear" w:color="auto" w:fill="EEEEEE"/>
          </w:tcPr>
          <w:p>
            <w:pPr>
              <w:ind w:left="660"/>
              <w:spacing w:after="0"/>
              <w:rPr>
                <w:sz w:val="20"/>
                <w:szCs w:val="20"/>
                <w:color w:val="auto"/>
              </w:rPr>
            </w:pPr>
            <w:r>
              <w:rPr>
                <w:rFonts w:ascii="Arial" w:cs="Arial" w:eastAsia="Arial" w:hAnsi="Arial"/>
                <w:sz w:val="18"/>
                <w:szCs w:val="18"/>
                <w:color w:val="auto"/>
              </w:rPr>
              <w:t>The Dublin Business College Limited</w:t>
            </w:r>
          </w:p>
        </w:tc>
        <w:tc>
          <w:tcPr>
            <w:tcW w:w="2240" w:type="dxa"/>
            <w:vAlign w:val="bottom"/>
            <w:gridSpan w:val="2"/>
            <w:shd w:val="clear" w:color="auto" w:fill="EEEEEE"/>
          </w:tcPr>
          <w:p>
            <w:pPr>
              <w:ind w:left="620"/>
              <w:spacing w:after="0"/>
              <w:rPr>
                <w:sz w:val="20"/>
                <w:szCs w:val="20"/>
                <w:color w:val="auto"/>
              </w:rPr>
            </w:pPr>
            <w:r>
              <w:rPr>
                <w:rFonts w:ascii="Arial" w:cs="Arial" w:eastAsia="Arial" w:hAnsi="Arial"/>
                <w:sz w:val="18"/>
                <w:szCs w:val="18"/>
                <w:color w:val="auto"/>
              </w:rPr>
              <w:t>Ireland</w:t>
            </w:r>
          </w:p>
        </w:tc>
        <w:tc>
          <w:tcPr>
            <w:tcW w:w="1420" w:type="dxa"/>
            <w:vAlign w:val="bottom"/>
            <w:gridSpan w:val="2"/>
            <w:shd w:val="clear" w:color="auto" w:fill="EEEEEE"/>
          </w:tcPr>
          <w:p>
            <w:pPr>
              <w:jc w:val="right"/>
              <w:ind w:right="16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tcPr>
          <w:p>
            <w:pPr>
              <w:ind w:left="660"/>
              <w:spacing w:after="0"/>
              <w:rPr>
                <w:sz w:val="20"/>
                <w:szCs w:val="20"/>
                <w:color w:val="auto"/>
              </w:rPr>
            </w:pPr>
            <w:r>
              <w:rPr>
                <w:rFonts w:ascii="Arial" w:cs="Arial" w:eastAsia="Arial" w:hAnsi="Arial"/>
                <w:sz w:val="18"/>
                <w:szCs w:val="18"/>
                <w:color w:val="auto"/>
              </w:rPr>
              <w:t>The Dublin Business School Limited</w:t>
            </w:r>
          </w:p>
        </w:tc>
        <w:tc>
          <w:tcPr>
            <w:tcW w:w="2240" w:type="dxa"/>
            <w:vAlign w:val="bottom"/>
            <w:gridSpan w:val="2"/>
          </w:tcPr>
          <w:p>
            <w:pPr>
              <w:ind w:left="620"/>
              <w:spacing w:after="0"/>
              <w:rPr>
                <w:sz w:val="20"/>
                <w:szCs w:val="20"/>
                <w:color w:val="auto"/>
              </w:rPr>
            </w:pPr>
            <w:r>
              <w:rPr>
                <w:rFonts w:ascii="Arial" w:cs="Arial" w:eastAsia="Arial" w:hAnsi="Arial"/>
                <w:sz w:val="18"/>
                <w:szCs w:val="18"/>
                <w:color w:val="auto"/>
              </w:rPr>
              <w:t>Ireland</w:t>
            </w:r>
          </w:p>
        </w:tc>
        <w:tc>
          <w:tcPr>
            <w:tcW w:w="1420" w:type="dxa"/>
            <w:vAlign w:val="bottom"/>
            <w:gridSpan w:val="2"/>
          </w:tcPr>
          <w:p>
            <w:pPr>
              <w:jc w:val="right"/>
              <w:ind w:right="16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shd w:val="clear" w:color="auto" w:fill="EEEEEE"/>
          </w:tcPr>
          <w:p>
            <w:pPr>
              <w:ind w:left="400"/>
              <w:spacing w:after="0"/>
              <w:rPr>
                <w:sz w:val="20"/>
                <w:szCs w:val="20"/>
                <w:color w:val="auto"/>
              </w:rPr>
            </w:pPr>
            <w:r>
              <w:rPr>
                <w:rFonts w:ascii="Arial" w:cs="Arial" w:eastAsia="Arial" w:hAnsi="Arial"/>
                <w:sz w:val="18"/>
                <w:szCs w:val="18"/>
                <w:color w:val="auto"/>
              </w:rPr>
              <w:t>American Educational Resources, Inc.</w:t>
            </w:r>
          </w:p>
        </w:tc>
        <w:tc>
          <w:tcPr>
            <w:tcW w:w="2240" w:type="dxa"/>
            <w:vAlign w:val="bottom"/>
            <w:gridSpan w:val="2"/>
            <w:shd w:val="clear" w:color="auto" w:fill="EEEEEE"/>
          </w:tcPr>
          <w:p>
            <w:pPr>
              <w:ind w:left="620"/>
              <w:spacing w:after="0"/>
              <w:rPr>
                <w:sz w:val="20"/>
                <w:szCs w:val="20"/>
                <w:color w:val="auto"/>
              </w:rPr>
            </w:pPr>
            <w:r>
              <w:rPr>
                <w:rFonts w:ascii="Arial" w:cs="Arial" w:eastAsia="Arial" w:hAnsi="Arial"/>
                <w:sz w:val="18"/>
                <w:szCs w:val="18"/>
                <w:color w:val="auto"/>
              </w:rPr>
              <w:t>Massachusetts</w:t>
            </w:r>
          </w:p>
        </w:tc>
        <w:tc>
          <w:tcPr>
            <w:tcW w:w="1420" w:type="dxa"/>
            <w:vAlign w:val="bottom"/>
            <w:gridSpan w:val="2"/>
            <w:shd w:val="clear" w:color="auto" w:fill="EEEEEE"/>
          </w:tcPr>
          <w:p>
            <w:pPr>
              <w:jc w:val="right"/>
              <w:ind w:right="16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tcPr>
          <w:p>
            <w:pPr>
              <w:ind w:left="400"/>
              <w:spacing w:after="0"/>
              <w:rPr>
                <w:sz w:val="20"/>
                <w:szCs w:val="20"/>
                <w:color w:val="auto"/>
              </w:rPr>
            </w:pPr>
            <w:r>
              <w:rPr>
                <w:rFonts w:ascii="Arial" w:cs="Arial" w:eastAsia="Arial" w:hAnsi="Arial"/>
                <w:sz w:val="18"/>
                <w:szCs w:val="18"/>
                <w:color w:val="auto"/>
              </w:rPr>
              <w:t>Coxcourt Limited</w:t>
            </w:r>
          </w:p>
        </w:tc>
        <w:tc>
          <w:tcPr>
            <w:tcW w:w="2240" w:type="dxa"/>
            <w:vAlign w:val="bottom"/>
            <w:gridSpan w:val="2"/>
          </w:tcPr>
          <w:p>
            <w:pPr>
              <w:ind w:left="620"/>
              <w:spacing w:after="0"/>
              <w:rPr>
                <w:sz w:val="20"/>
                <w:szCs w:val="20"/>
                <w:color w:val="auto"/>
              </w:rPr>
            </w:pPr>
            <w:r>
              <w:rPr>
                <w:rFonts w:ascii="Arial" w:cs="Arial" w:eastAsia="Arial" w:hAnsi="Arial"/>
                <w:sz w:val="18"/>
                <w:szCs w:val="18"/>
                <w:color w:val="auto"/>
              </w:rPr>
              <w:t>Ireland</w:t>
            </w:r>
          </w:p>
        </w:tc>
        <w:tc>
          <w:tcPr>
            <w:tcW w:w="1420" w:type="dxa"/>
            <w:vAlign w:val="bottom"/>
            <w:gridSpan w:val="2"/>
          </w:tcPr>
          <w:p>
            <w:pPr>
              <w:jc w:val="right"/>
              <w:ind w:right="16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shd w:val="clear" w:color="auto" w:fill="EEEEEE"/>
          </w:tcPr>
          <w:p>
            <w:pPr>
              <w:ind w:left="400"/>
              <w:spacing w:after="0"/>
              <w:rPr>
                <w:sz w:val="20"/>
                <w:szCs w:val="20"/>
                <w:color w:val="auto"/>
              </w:rPr>
            </w:pPr>
            <w:r>
              <w:rPr>
                <w:rFonts w:ascii="Arial" w:cs="Arial" w:eastAsia="Arial" w:hAnsi="Arial"/>
                <w:sz w:val="18"/>
                <w:szCs w:val="18"/>
                <w:color w:val="auto"/>
              </w:rPr>
              <w:t>Dearborn Publishing Group, Inc.</w:t>
            </w:r>
          </w:p>
        </w:tc>
        <w:tc>
          <w:tcPr>
            <w:tcW w:w="2240" w:type="dxa"/>
            <w:vAlign w:val="bottom"/>
            <w:gridSpan w:val="2"/>
            <w:shd w:val="clear" w:color="auto" w:fill="EEEEEE"/>
          </w:tcPr>
          <w:p>
            <w:pPr>
              <w:ind w:left="620"/>
              <w:spacing w:after="0"/>
              <w:rPr>
                <w:sz w:val="20"/>
                <w:szCs w:val="20"/>
                <w:color w:val="auto"/>
              </w:rPr>
            </w:pPr>
            <w:r>
              <w:rPr>
                <w:rFonts w:ascii="Arial" w:cs="Arial" w:eastAsia="Arial" w:hAnsi="Arial"/>
                <w:sz w:val="18"/>
                <w:szCs w:val="18"/>
                <w:color w:val="auto"/>
              </w:rPr>
              <w:t>Delaware</w:t>
            </w:r>
          </w:p>
        </w:tc>
        <w:tc>
          <w:tcPr>
            <w:tcW w:w="1420" w:type="dxa"/>
            <w:vAlign w:val="bottom"/>
            <w:gridSpan w:val="2"/>
            <w:shd w:val="clear" w:color="auto" w:fill="EEEEEE"/>
          </w:tcPr>
          <w:p>
            <w:pPr>
              <w:jc w:val="right"/>
              <w:ind w:right="16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tcPr>
          <w:p>
            <w:pPr>
              <w:ind w:left="660"/>
              <w:spacing w:after="0"/>
              <w:rPr>
                <w:sz w:val="20"/>
                <w:szCs w:val="20"/>
                <w:color w:val="auto"/>
              </w:rPr>
            </w:pPr>
            <w:r>
              <w:rPr>
                <w:rFonts w:ascii="Arial" w:cs="Arial" w:eastAsia="Arial" w:hAnsi="Arial"/>
                <w:sz w:val="18"/>
                <w:szCs w:val="18"/>
                <w:color w:val="auto"/>
              </w:rPr>
              <w:t>Dearborn Financial Institute, Inc.</w:t>
            </w:r>
          </w:p>
        </w:tc>
        <w:tc>
          <w:tcPr>
            <w:tcW w:w="2240" w:type="dxa"/>
            <w:vAlign w:val="bottom"/>
            <w:gridSpan w:val="2"/>
          </w:tcPr>
          <w:p>
            <w:pPr>
              <w:ind w:left="620"/>
              <w:spacing w:after="0"/>
              <w:rPr>
                <w:sz w:val="20"/>
                <w:szCs w:val="20"/>
                <w:color w:val="auto"/>
              </w:rPr>
            </w:pPr>
            <w:r>
              <w:rPr>
                <w:rFonts w:ascii="Arial" w:cs="Arial" w:eastAsia="Arial" w:hAnsi="Arial"/>
                <w:sz w:val="18"/>
                <w:szCs w:val="18"/>
                <w:color w:val="auto"/>
              </w:rPr>
              <w:t>Illinois</w:t>
            </w:r>
          </w:p>
        </w:tc>
        <w:tc>
          <w:tcPr>
            <w:tcW w:w="1420" w:type="dxa"/>
            <w:vAlign w:val="bottom"/>
            <w:gridSpan w:val="2"/>
          </w:tcPr>
          <w:p>
            <w:pPr>
              <w:jc w:val="right"/>
              <w:ind w:right="16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shd w:val="clear" w:color="auto" w:fill="EEEEEE"/>
          </w:tcPr>
          <w:p>
            <w:pPr>
              <w:ind w:left="940"/>
              <w:spacing w:after="0"/>
              <w:rPr>
                <w:sz w:val="20"/>
                <w:szCs w:val="20"/>
                <w:color w:val="auto"/>
              </w:rPr>
            </w:pPr>
            <w:r>
              <w:rPr>
                <w:rFonts w:ascii="Arial" w:cs="Arial" w:eastAsia="Arial" w:hAnsi="Arial"/>
                <w:sz w:val="18"/>
                <w:szCs w:val="18"/>
                <w:color w:val="auto"/>
              </w:rPr>
              <w:t>Anthony Schools Corporation</w:t>
            </w:r>
          </w:p>
        </w:tc>
        <w:tc>
          <w:tcPr>
            <w:tcW w:w="2240" w:type="dxa"/>
            <w:vAlign w:val="bottom"/>
            <w:gridSpan w:val="2"/>
            <w:shd w:val="clear" w:color="auto" w:fill="EEEEEE"/>
          </w:tcPr>
          <w:p>
            <w:pPr>
              <w:ind w:left="620"/>
              <w:spacing w:after="0"/>
              <w:rPr>
                <w:sz w:val="20"/>
                <w:szCs w:val="20"/>
                <w:color w:val="auto"/>
              </w:rPr>
            </w:pPr>
            <w:r>
              <w:rPr>
                <w:rFonts w:ascii="Arial" w:cs="Arial" w:eastAsia="Arial" w:hAnsi="Arial"/>
                <w:sz w:val="18"/>
                <w:szCs w:val="18"/>
                <w:color w:val="auto"/>
              </w:rPr>
              <w:t>California</w:t>
            </w:r>
          </w:p>
        </w:tc>
        <w:tc>
          <w:tcPr>
            <w:tcW w:w="1420" w:type="dxa"/>
            <w:vAlign w:val="bottom"/>
            <w:gridSpan w:val="2"/>
            <w:shd w:val="clear" w:color="auto" w:fill="EEEEEE"/>
          </w:tcPr>
          <w:p>
            <w:pPr>
              <w:jc w:val="right"/>
              <w:ind w:right="16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tcPr>
          <w:p>
            <w:pPr>
              <w:ind w:left="940"/>
              <w:spacing w:after="0"/>
              <w:rPr>
                <w:sz w:val="20"/>
                <w:szCs w:val="20"/>
                <w:color w:val="auto"/>
              </w:rPr>
            </w:pPr>
            <w:r>
              <w:rPr>
                <w:rFonts w:ascii="Arial" w:cs="Arial" w:eastAsia="Arial" w:hAnsi="Arial"/>
                <w:sz w:val="18"/>
                <w:szCs w:val="18"/>
                <w:color w:val="auto"/>
              </w:rPr>
              <w:t>Leonard’s Training Programs, Inc.</w:t>
            </w:r>
          </w:p>
        </w:tc>
        <w:tc>
          <w:tcPr>
            <w:tcW w:w="2240" w:type="dxa"/>
            <w:vAlign w:val="bottom"/>
            <w:gridSpan w:val="2"/>
          </w:tcPr>
          <w:p>
            <w:pPr>
              <w:ind w:left="620"/>
              <w:spacing w:after="0"/>
              <w:rPr>
                <w:sz w:val="20"/>
                <w:szCs w:val="20"/>
                <w:color w:val="auto"/>
              </w:rPr>
            </w:pPr>
            <w:r>
              <w:rPr>
                <w:rFonts w:ascii="Arial" w:cs="Arial" w:eastAsia="Arial" w:hAnsi="Arial"/>
                <w:sz w:val="18"/>
                <w:szCs w:val="18"/>
                <w:color w:val="auto"/>
              </w:rPr>
              <w:t>Texas</w:t>
            </w:r>
          </w:p>
        </w:tc>
        <w:tc>
          <w:tcPr>
            <w:tcW w:w="1420" w:type="dxa"/>
            <w:vAlign w:val="bottom"/>
            <w:gridSpan w:val="2"/>
          </w:tcPr>
          <w:p>
            <w:pPr>
              <w:jc w:val="right"/>
              <w:ind w:right="16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shd w:val="clear" w:color="auto" w:fill="EEEEEE"/>
          </w:tcPr>
          <w:p>
            <w:pPr>
              <w:ind w:left="940"/>
              <w:spacing w:after="0"/>
              <w:rPr>
                <w:sz w:val="20"/>
                <w:szCs w:val="20"/>
                <w:color w:val="auto"/>
              </w:rPr>
            </w:pPr>
            <w:r>
              <w:rPr>
                <w:rFonts w:ascii="Arial" w:cs="Arial" w:eastAsia="Arial" w:hAnsi="Arial"/>
                <w:sz w:val="18"/>
                <w:szCs w:val="18"/>
                <w:color w:val="auto"/>
              </w:rPr>
              <w:t>Prosource Educational Service, Inc.</w:t>
            </w:r>
          </w:p>
        </w:tc>
        <w:tc>
          <w:tcPr>
            <w:tcW w:w="2240" w:type="dxa"/>
            <w:vAlign w:val="bottom"/>
            <w:gridSpan w:val="2"/>
            <w:shd w:val="clear" w:color="auto" w:fill="EEEEEE"/>
          </w:tcPr>
          <w:p>
            <w:pPr>
              <w:ind w:left="620"/>
              <w:spacing w:after="0"/>
              <w:rPr>
                <w:sz w:val="20"/>
                <w:szCs w:val="20"/>
                <w:color w:val="auto"/>
              </w:rPr>
            </w:pPr>
            <w:r>
              <w:rPr>
                <w:rFonts w:ascii="Arial" w:cs="Arial" w:eastAsia="Arial" w:hAnsi="Arial"/>
                <w:sz w:val="18"/>
                <w:szCs w:val="18"/>
                <w:color w:val="auto"/>
              </w:rPr>
              <w:t>Minnesota</w:t>
            </w:r>
          </w:p>
        </w:tc>
        <w:tc>
          <w:tcPr>
            <w:tcW w:w="1420" w:type="dxa"/>
            <w:vAlign w:val="bottom"/>
            <w:gridSpan w:val="2"/>
            <w:shd w:val="clear" w:color="auto" w:fill="EEEEEE"/>
          </w:tcPr>
          <w:p>
            <w:pPr>
              <w:jc w:val="right"/>
              <w:ind w:right="16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tcPr>
          <w:p>
            <w:pPr>
              <w:ind w:left="660"/>
              <w:spacing w:after="0"/>
              <w:rPr>
                <w:sz w:val="20"/>
                <w:szCs w:val="20"/>
                <w:color w:val="auto"/>
              </w:rPr>
            </w:pPr>
            <w:r>
              <w:rPr>
                <w:rFonts w:ascii="Arial" w:cs="Arial" w:eastAsia="Arial" w:hAnsi="Arial"/>
                <w:sz w:val="18"/>
                <w:szCs w:val="18"/>
                <w:color w:val="auto"/>
              </w:rPr>
              <w:t>Dearborn Financial Publishing, Inc.</w:t>
            </w:r>
          </w:p>
        </w:tc>
        <w:tc>
          <w:tcPr>
            <w:tcW w:w="2240" w:type="dxa"/>
            <w:vAlign w:val="bottom"/>
            <w:gridSpan w:val="2"/>
          </w:tcPr>
          <w:p>
            <w:pPr>
              <w:ind w:left="620"/>
              <w:spacing w:after="0"/>
              <w:rPr>
                <w:sz w:val="20"/>
                <w:szCs w:val="20"/>
                <w:color w:val="auto"/>
              </w:rPr>
            </w:pPr>
            <w:r>
              <w:rPr>
                <w:rFonts w:ascii="Arial" w:cs="Arial" w:eastAsia="Arial" w:hAnsi="Arial"/>
                <w:sz w:val="18"/>
                <w:szCs w:val="18"/>
                <w:color w:val="auto"/>
              </w:rPr>
              <w:t>Illinois</w:t>
            </w:r>
          </w:p>
        </w:tc>
        <w:tc>
          <w:tcPr>
            <w:tcW w:w="1420" w:type="dxa"/>
            <w:vAlign w:val="bottom"/>
            <w:gridSpan w:val="2"/>
          </w:tcPr>
          <w:p>
            <w:pPr>
              <w:jc w:val="right"/>
              <w:ind w:right="16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shd w:val="clear" w:color="auto" w:fill="EEEEEE"/>
          </w:tcPr>
          <w:p>
            <w:pPr>
              <w:ind w:left="400"/>
              <w:spacing w:after="0"/>
              <w:rPr>
                <w:sz w:val="20"/>
                <w:szCs w:val="20"/>
                <w:color w:val="auto"/>
              </w:rPr>
            </w:pPr>
            <w:r>
              <w:rPr>
                <w:rFonts w:ascii="Arial" w:cs="Arial" w:eastAsia="Arial" w:hAnsi="Arial"/>
                <w:sz w:val="18"/>
                <w:szCs w:val="18"/>
                <w:color w:val="auto"/>
              </w:rPr>
              <w:t>Kaplan (Canada) Ltd.</w:t>
            </w:r>
          </w:p>
        </w:tc>
        <w:tc>
          <w:tcPr>
            <w:tcW w:w="2240" w:type="dxa"/>
            <w:vAlign w:val="bottom"/>
            <w:gridSpan w:val="2"/>
            <w:shd w:val="clear" w:color="auto" w:fill="EEEEEE"/>
          </w:tcPr>
          <w:p>
            <w:pPr>
              <w:ind w:left="620"/>
              <w:spacing w:after="0"/>
              <w:rPr>
                <w:sz w:val="20"/>
                <w:szCs w:val="20"/>
                <w:color w:val="auto"/>
              </w:rPr>
            </w:pPr>
            <w:r>
              <w:rPr>
                <w:rFonts w:ascii="Arial" w:cs="Arial" w:eastAsia="Arial" w:hAnsi="Arial"/>
                <w:sz w:val="18"/>
                <w:szCs w:val="18"/>
                <w:color w:val="auto"/>
              </w:rPr>
              <w:t>Ontario</w:t>
            </w:r>
          </w:p>
        </w:tc>
        <w:tc>
          <w:tcPr>
            <w:tcW w:w="1420" w:type="dxa"/>
            <w:vAlign w:val="bottom"/>
            <w:gridSpan w:val="2"/>
            <w:shd w:val="clear" w:color="auto" w:fill="EEEEEE"/>
          </w:tcPr>
          <w:p>
            <w:pPr>
              <w:jc w:val="right"/>
              <w:ind w:right="16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618"/>
        </w:trPr>
        <w:tc>
          <w:tcPr>
            <w:tcW w:w="20" w:type="dxa"/>
            <w:vAlign w:val="bottom"/>
          </w:tcPr>
          <w:p>
            <w:pPr>
              <w:spacing w:after="0"/>
              <w:rPr>
                <w:sz w:val="24"/>
                <w:szCs w:val="24"/>
                <w:color w:val="auto"/>
              </w:rPr>
            </w:pPr>
          </w:p>
        </w:tc>
        <w:tc>
          <w:tcPr>
            <w:tcW w:w="2980" w:type="dxa"/>
            <w:vAlign w:val="bottom"/>
            <w:tcBorders>
              <w:bottom w:val="single" w:sz="8" w:color="808080"/>
            </w:tcBorders>
          </w:tcPr>
          <w:p>
            <w:pPr>
              <w:spacing w:after="0"/>
              <w:rPr>
                <w:sz w:val="24"/>
                <w:szCs w:val="24"/>
                <w:color w:val="auto"/>
              </w:rPr>
            </w:pPr>
          </w:p>
        </w:tc>
        <w:tc>
          <w:tcPr>
            <w:tcW w:w="2040" w:type="dxa"/>
            <w:vAlign w:val="bottom"/>
            <w:tcBorders>
              <w:bottom w:val="single" w:sz="8" w:color="808080"/>
            </w:tcBorders>
          </w:tcPr>
          <w:p>
            <w:pPr>
              <w:spacing w:after="0"/>
              <w:rPr>
                <w:sz w:val="24"/>
                <w:szCs w:val="24"/>
                <w:color w:val="auto"/>
              </w:rPr>
            </w:pPr>
          </w:p>
        </w:tc>
        <w:tc>
          <w:tcPr>
            <w:tcW w:w="272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color w:val="auto"/>
        </w:rPr>
        <w:t>SUBSIDIARIES OF THE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w w:val="97"/>
              </w:rPr>
              <w:t>Jurisdiction</w:t>
            </w:r>
          </w:p>
        </w:tc>
        <w:tc>
          <w:tcPr>
            <w:tcW w:w="3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 of</w:t>
            </w:r>
          </w:p>
        </w:tc>
      </w:tr>
      <w:tr>
        <w:trPr>
          <w:trHeight w:val="149"/>
        </w:trPr>
        <w:tc>
          <w:tcPr>
            <w:tcW w:w="30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rPr>
              <w:t>of</w:t>
            </w:r>
          </w:p>
        </w:tc>
        <w:tc>
          <w:tcPr>
            <w:tcW w:w="3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95"/>
              </w:rPr>
              <w:t>Voting</w:t>
            </w:r>
          </w:p>
        </w:tc>
      </w:tr>
      <w:tr>
        <w:trPr>
          <w:trHeight w:val="149"/>
        </w:trPr>
        <w:tc>
          <w:tcPr>
            <w:tcW w:w="30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95"/>
              </w:rPr>
              <w:t>Incorporation</w:t>
            </w:r>
          </w:p>
        </w:tc>
        <w:tc>
          <w:tcPr>
            <w:tcW w:w="3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96"/>
              </w:rPr>
              <w:t>Stock</w:t>
            </w:r>
          </w:p>
        </w:tc>
      </w:tr>
      <w:tr>
        <w:trPr>
          <w:trHeight w:val="149"/>
        </w:trPr>
        <w:tc>
          <w:tcPr>
            <w:tcW w:w="30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96"/>
              </w:rPr>
              <w:t>or</w:t>
            </w:r>
          </w:p>
        </w:tc>
        <w:tc>
          <w:tcPr>
            <w:tcW w:w="3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94"/>
              </w:rPr>
              <w:t>Owned</w:t>
            </w:r>
          </w:p>
        </w:tc>
      </w:tr>
      <w:tr>
        <w:trPr>
          <w:trHeight w:val="182"/>
        </w:trPr>
        <w:tc>
          <w:tcPr>
            <w:tcW w:w="3000" w:type="dxa"/>
            <w:vAlign w:val="bottom"/>
          </w:tcPr>
          <w:p>
            <w:pPr>
              <w:spacing w:after="0"/>
              <w:rPr>
                <w:sz w:val="15"/>
                <w:szCs w:val="15"/>
                <w:color w:val="auto"/>
              </w:rPr>
            </w:pPr>
          </w:p>
        </w:tc>
        <w:tc>
          <w:tcPr>
            <w:tcW w:w="5360" w:type="dxa"/>
            <w:vAlign w:val="bottom"/>
            <w:gridSpan w:val="2"/>
          </w:tcPr>
          <w:p>
            <w:pPr>
              <w:ind w:left="440"/>
              <w:spacing w:after="0"/>
              <w:rPr>
                <w:sz w:val="20"/>
                <w:szCs w:val="20"/>
                <w:color w:val="auto"/>
              </w:rPr>
            </w:pPr>
            <w:r>
              <w:rPr>
                <w:rFonts w:ascii="Arial" w:cs="Arial" w:eastAsia="Arial" w:hAnsi="Arial"/>
                <w:sz w:val="14"/>
                <w:szCs w:val="14"/>
                <w:color w:val="auto"/>
              </w:rPr>
              <w:t>Name of Subsidiary</w:t>
            </w:r>
          </w:p>
        </w:tc>
        <w:tc>
          <w:tcPr>
            <w:tcW w:w="1620" w:type="dxa"/>
            <w:vAlign w:val="bottom"/>
          </w:tcPr>
          <w:p>
            <w:pPr>
              <w:jc w:val="center"/>
              <w:spacing w:after="0"/>
              <w:rPr>
                <w:sz w:val="20"/>
                <w:szCs w:val="20"/>
                <w:color w:val="auto"/>
              </w:rPr>
            </w:pPr>
            <w:r>
              <w:rPr>
                <w:rFonts w:ascii="Arial" w:cs="Arial" w:eastAsia="Arial" w:hAnsi="Arial"/>
                <w:sz w:val="14"/>
                <w:szCs w:val="14"/>
                <w:color w:val="auto"/>
                <w:w w:val="95"/>
              </w:rPr>
              <w:t>Organization</w:t>
            </w:r>
          </w:p>
        </w:tc>
        <w:tc>
          <w:tcPr>
            <w:tcW w:w="38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4"/>
              </w:rPr>
              <w:t>by Company</w:t>
            </w:r>
          </w:p>
        </w:tc>
      </w:tr>
      <w:tr>
        <w:trPr>
          <w:trHeight w:val="53"/>
        </w:trPr>
        <w:tc>
          <w:tcPr>
            <w:tcW w:w="3000" w:type="dxa"/>
            <w:vAlign w:val="bottom"/>
          </w:tcPr>
          <w:p>
            <w:pPr>
              <w:spacing w:after="0"/>
              <w:rPr>
                <w:sz w:val="4"/>
                <w:szCs w:val="4"/>
                <w:color w:val="auto"/>
              </w:rPr>
            </w:pPr>
          </w:p>
        </w:tc>
        <w:tc>
          <w:tcPr>
            <w:tcW w:w="2020" w:type="dxa"/>
            <w:vAlign w:val="bottom"/>
            <w:tcBorders>
              <w:bottom w:val="single" w:sz="8" w:color="808080"/>
            </w:tcBorders>
          </w:tcPr>
          <w:p>
            <w:pPr>
              <w:spacing w:after="0"/>
              <w:rPr>
                <w:sz w:val="4"/>
                <w:szCs w:val="4"/>
                <w:color w:val="auto"/>
              </w:rPr>
            </w:pPr>
          </w:p>
        </w:tc>
        <w:tc>
          <w:tcPr>
            <w:tcW w:w="3340" w:type="dxa"/>
            <w:vAlign w:val="bottom"/>
          </w:tcPr>
          <w:p>
            <w:pPr>
              <w:spacing w:after="0"/>
              <w:rPr>
                <w:sz w:val="4"/>
                <w:szCs w:val="4"/>
                <w:color w:val="auto"/>
              </w:rPr>
            </w:pPr>
          </w:p>
        </w:tc>
        <w:tc>
          <w:tcPr>
            <w:tcW w:w="1620" w:type="dxa"/>
            <w:vAlign w:val="bottom"/>
            <w:tcBorders>
              <w:bottom w:val="single" w:sz="8" w:color="808080"/>
            </w:tcBorders>
          </w:tcPr>
          <w:p>
            <w:pPr>
              <w:spacing w:after="0"/>
              <w:rPr>
                <w:sz w:val="4"/>
                <w:szCs w:val="4"/>
                <w:color w:val="auto"/>
              </w:rPr>
            </w:pPr>
          </w:p>
        </w:tc>
        <w:tc>
          <w:tcPr>
            <w:tcW w:w="380" w:type="dxa"/>
            <w:vAlign w:val="bottom"/>
          </w:tcPr>
          <w:p>
            <w:pPr>
              <w:spacing w:after="0"/>
              <w:rPr>
                <w:sz w:val="4"/>
                <w:szCs w:val="4"/>
                <w:color w:val="auto"/>
              </w:rPr>
            </w:pPr>
          </w:p>
        </w:tc>
        <w:tc>
          <w:tcPr>
            <w:tcW w:w="1060" w:type="dxa"/>
            <w:vAlign w:val="bottom"/>
            <w:tcBorders>
              <w:bottom w:val="single" w:sz="8" w:color="808080"/>
            </w:tcBorders>
          </w:tcPr>
          <w:p>
            <w:pPr>
              <w:spacing w:after="0"/>
              <w:rPr>
                <w:sz w:val="4"/>
                <w:szCs w:val="4"/>
                <w:color w:val="auto"/>
              </w:rPr>
            </w:pPr>
          </w:p>
        </w:tc>
      </w:tr>
      <w:tr>
        <w:trPr>
          <w:trHeight w:val="291"/>
        </w:trPr>
        <w:tc>
          <w:tcPr>
            <w:tcW w:w="8360" w:type="dxa"/>
            <w:vAlign w:val="bottom"/>
            <w:gridSpan w:val="3"/>
          </w:tcPr>
          <w:p>
            <w:pPr>
              <w:ind w:left="420"/>
              <w:spacing w:after="0"/>
              <w:rPr>
                <w:sz w:val="20"/>
                <w:szCs w:val="20"/>
                <w:color w:val="auto"/>
              </w:rPr>
            </w:pPr>
            <w:r>
              <w:rPr>
                <w:rFonts w:ascii="Arial" w:cs="Arial" w:eastAsia="Arial" w:hAnsi="Arial"/>
                <w:sz w:val="18"/>
                <w:szCs w:val="18"/>
                <w:color w:val="auto"/>
              </w:rPr>
              <w:t>Kaplan Educational Services de Mexico, S. de R.L. de C.V.</w:t>
            </w:r>
          </w:p>
        </w:tc>
        <w:tc>
          <w:tcPr>
            <w:tcW w:w="1620" w:type="dxa"/>
            <w:vAlign w:val="bottom"/>
          </w:tcPr>
          <w:p>
            <w:pPr>
              <w:spacing w:after="0"/>
              <w:rPr>
                <w:sz w:val="20"/>
                <w:szCs w:val="20"/>
                <w:color w:val="auto"/>
              </w:rPr>
            </w:pPr>
            <w:r>
              <w:rPr>
                <w:rFonts w:ascii="Arial" w:cs="Arial" w:eastAsia="Arial" w:hAnsi="Arial"/>
                <w:sz w:val="18"/>
                <w:szCs w:val="18"/>
                <w:color w:val="auto"/>
              </w:rPr>
              <w:t>Mexico</w:t>
            </w:r>
          </w:p>
        </w:tc>
        <w:tc>
          <w:tcPr>
            <w:tcW w:w="1440" w:type="dxa"/>
            <w:vAlign w:val="bottom"/>
            <w:gridSpan w:val="2"/>
          </w:tcPr>
          <w:p>
            <w:pPr>
              <w:jc w:val="right"/>
              <w:ind w:right="183"/>
              <w:spacing w:after="0"/>
              <w:rPr>
                <w:sz w:val="20"/>
                <w:szCs w:val="20"/>
                <w:color w:val="auto"/>
              </w:rPr>
            </w:pPr>
            <w:r>
              <w:rPr>
                <w:rFonts w:ascii="Arial" w:cs="Arial" w:eastAsia="Arial" w:hAnsi="Arial"/>
                <w:sz w:val="18"/>
                <w:szCs w:val="18"/>
                <w:color w:val="auto"/>
              </w:rPr>
              <w:t>99%</w:t>
            </w:r>
          </w:p>
        </w:tc>
      </w:tr>
      <w:tr>
        <w:trPr>
          <w:trHeight w:val="216"/>
        </w:trPr>
        <w:tc>
          <w:tcPr>
            <w:tcW w:w="8360" w:type="dxa"/>
            <w:vAlign w:val="bottom"/>
            <w:gridSpan w:val="3"/>
            <w:shd w:val="clear" w:color="auto" w:fill="EEEEEE"/>
          </w:tcPr>
          <w:p>
            <w:pPr>
              <w:ind w:left="420"/>
              <w:spacing w:after="0"/>
              <w:rPr>
                <w:sz w:val="20"/>
                <w:szCs w:val="20"/>
                <w:color w:val="auto"/>
              </w:rPr>
            </w:pPr>
            <w:r>
              <w:rPr>
                <w:rFonts w:ascii="Arial" w:cs="Arial" w:eastAsia="Arial" w:hAnsi="Arial"/>
                <w:sz w:val="18"/>
                <w:szCs w:val="18"/>
                <w:color w:val="auto"/>
              </w:rPr>
              <w:t>Kaplan Higher Education Corporation</w:t>
            </w:r>
          </w:p>
        </w:tc>
        <w:tc>
          <w:tcPr>
            <w:tcW w:w="1620" w:type="dxa"/>
            <w:vAlign w:val="bottom"/>
            <w:shd w:val="clear" w:color="auto" w:fill="EEEEEE"/>
          </w:tcPr>
          <w:p>
            <w:pPr>
              <w:spacing w:after="0"/>
              <w:rPr>
                <w:sz w:val="20"/>
                <w:szCs w:val="20"/>
                <w:color w:val="auto"/>
              </w:rPr>
            </w:pPr>
            <w:r>
              <w:rPr>
                <w:rFonts w:ascii="Arial" w:cs="Arial" w:eastAsia="Arial" w:hAnsi="Arial"/>
                <w:sz w:val="18"/>
                <w:szCs w:val="18"/>
                <w:color w:val="auto"/>
              </w:rPr>
              <w:t>Delaware</w:t>
            </w:r>
          </w:p>
        </w:tc>
        <w:tc>
          <w:tcPr>
            <w:tcW w:w="1440" w:type="dxa"/>
            <w:vAlign w:val="bottom"/>
            <w:gridSpan w:val="2"/>
            <w:shd w:val="clear" w:color="auto" w:fill="EEEEEE"/>
          </w:tcPr>
          <w:p>
            <w:pPr>
              <w:jc w:val="right"/>
              <w:ind w:right="183"/>
              <w:spacing w:after="0"/>
              <w:rPr>
                <w:sz w:val="20"/>
                <w:szCs w:val="20"/>
                <w:color w:val="auto"/>
              </w:rPr>
            </w:pPr>
            <w:r>
              <w:rPr>
                <w:rFonts w:ascii="Arial" w:cs="Arial" w:eastAsia="Arial" w:hAnsi="Arial"/>
                <w:sz w:val="18"/>
                <w:szCs w:val="18"/>
                <w:color w:val="auto"/>
              </w:rPr>
              <w:t>100%</w:t>
            </w:r>
          </w:p>
        </w:tc>
      </w:tr>
      <w:tr>
        <w:trPr>
          <w:trHeight w:val="216"/>
        </w:trPr>
        <w:tc>
          <w:tcPr>
            <w:tcW w:w="8360" w:type="dxa"/>
            <w:vAlign w:val="bottom"/>
            <w:gridSpan w:val="3"/>
          </w:tcPr>
          <w:p>
            <w:pPr>
              <w:ind w:left="680"/>
              <w:spacing w:after="0"/>
              <w:rPr>
                <w:sz w:val="20"/>
                <w:szCs w:val="20"/>
                <w:color w:val="auto"/>
              </w:rPr>
            </w:pPr>
            <w:r>
              <w:rPr>
                <w:rFonts w:ascii="Arial" w:cs="Arial" w:eastAsia="Arial" w:hAnsi="Arial"/>
                <w:sz w:val="18"/>
                <w:szCs w:val="18"/>
                <w:color w:val="auto"/>
              </w:rPr>
              <w:t>Andon Colleges, Inc.</w:t>
            </w:r>
          </w:p>
        </w:tc>
        <w:tc>
          <w:tcPr>
            <w:tcW w:w="1620" w:type="dxa"/>
            <w:vAlign w:val="bottom"/>
          </w:tcPr>
          <w:p>
            <w:pPr>
              <w:spacing w:after="0"/>
              <w:rPr>
                <w:sz w:val="20"/>
                <w:szCs w:val="20"/>
                <w:color w:val="auto"/>
              </w:rPr>
            </w:pPr>
            <w:r>
              <w:rPr>
                <w:rFonts w:ascii="Arial" w:cs="Arial" w:eastAsia="Arial" w:hAnsi="Arial"/>
                <w:sz w:val="18"/>
                <w:szCs w:val="18"/>
                <w:color w:val="auto"/>
              </w:rPr>
              <w:t>California</w:t>
            </w:r>
          </w:p>
        </w:tc>
        <w:tc>
          <w:tcPr>
            <w:tcW w:w="1440" w:type="dxa"/>
            <w:vAlign w:val="bottom"/>
            <w:gridSpan w:val="2"/>
          </w:tcPr>
          <w:p>
            <w:pPr>
              <w:jc w:val="right"/>
              <w:ind w:right="183"/>
              <w:spacing w:after="0"/>
              <w:rPr>
                <w:sz w:val="20"/>
                <w:szCs w:val="20"/>
                <w:color w:val="auto"/>
              </w:rPr>
            </w:pPr>
            <w:r>
              <w:rPr>
                <w:rFonts w:ascii="Arial" w:cs="Arial" w:eastAsia="Arial" w:hAnsi="Arial"/>
                <w:sz w:val="18"/>
                <w:szCs w:val="18"/>
                <w:color w:val="auto"/>
              </w:rPr>
              <w:t>100%</w:t>
            </w:r>
          </w:p>
        </w:tc>
      </w:tr>
      <w:tr>
        <w:trPr>
          <w:trHeight w:val="216"/>
        </w:trPr>
        <w:tc>
          <w:tcPr>
            <w:tcW w:w="8360" w:type="dxa"/>
            <w:vAlign w:val="bottom"/>
            <w:gridSpan w:val="3"/>
            <w:shd w:val="clear" w:color="auto" w:fill="EEEEEE"/>
          </w:tcPr>
          <w:p>
            <w:pPr>
              <w:ind w:left="960"/>
              <w:spacing w:after="0"/>
              <w:rPr>
                <w:sz w:val="20"/>
                <w:szCs w:val="20"/>
                <w:color w:val="auto"/>
              </w:rPr>
            </w:pPr>
            <w:r>
              <w:rPr>
                <w:rFonts w:ascii="Arial" w:cs="Arial" w:eastAsia="Arial" w:hAnsi="Arial"/>
                <w:sz w:val="18"/>
                <w:szCs w:val="18"/>
                <w:color w:val="auto"/>
              </w:rPr>
              <w:t>DEST Education Corporation</w:t>
            </w:r>
          </w:p>
        </w:tc>
        <w:tc>
          <w:tcPr>
            <w:tcW w:w="1620" w:type="dxa"/>
            <w:vAlign w:val="bottom"/>
            <w:shd w:val="clear" w:color="auto" w:fill="EEEEEE"/>
          </w:tcPr>
          <w:p>
            <w:pPr>
              <w:spacing w:after="0"/>
              <w:rPr>
                <w:sz w:val="20"/>
                <w:szCs w:val="20"/>
                <w:color w:val="auto"/>
              </w:rPr>
            </w:pPr>
            <w:r>
              <w:rPr>
                <w:rFonts w:ascii="Arial" w:cs="Arial" w:eastAsia="Arial" w:hAnsi="Arial"/>
                <w:sz w:val="18"/>
                <w:szCs w:val="18"/>
                <w:color w:val="auto"/>
              </w:rPr>
              <w:t>California</w:t>
            </w:r>
          </w:p>
        </w:tc>
        <w:tc>
          <w:tcPr>
            <w:tcW w:w="1440" w:type="dxa"/>
            <w:vAlign w:val="bottom"/>
            <w:gridSpan w:val="2"/>
            <w:shd w:val="clear" w:color="auto" w:fill="EEEEEE"/>
          </w:tcPr>
          <w:p>
            <w:pPr>
              <w:jc w:val="right"/>
              <w:ind w:right="183"/>
              <w:spacing w:after="0"/>
              <w:rPr>
                <w:sz w:val="20"/>
                <w:szCs w:val="20"/>
                <w:color w:val="auto"/>
              </w:rPr>
            </w:pPr>
            <w:r>
              <w:rPr>
                <w:rFonts w:ascii="Arial" w:cs="Arial" w:eastAsia="Arial" w:hAnsi="Arial"/>
                <w:sz w:val="18"/>
                <w:szCs w:val="18"/>
                <w:color w:val="auto"/>
              </w:rPr>
              <w:t>100%</w:t>
            </w:r>
          </w:p>
        </w:tc>
      </w:tr>
      <w:tr>
        <w:trPr>
          <w:trHeight w:val="216"/>
        </w:trPr>
        <w:tc>
          <w:tcPr>
            <w:tcW w:w="8360" w:type="dxa"/>
            <w:vAlign w:val="bottom"/>
            <w:gridSpan w:val="3"/>
          </w:tcPr>
          <w:p>
            <w:pPr>
              <w:ind w:left="680"/>
              <w:spacing w:after="0"/>
              <w:rPr>
                <w:sz w:val="20"/>
                <w:szCs w:val="20"/>
                <w:color w:val="auto"/>
              </w:rPr>
            </w:pPr>
            <w:r>
              <w:rPr>
                <w:rFonts w:ascii="Arial" w:cs="Arial" w:eastAsia="Arial" w:hAnsi="Arial"/>
                <w:sz w:val="18"/>
                <w:szCs w:val="18"/>
                <w:color w:val="auto"/>
              </w:rPr>
              <w:t>California Academy of Merchandising, Art &amp; Design, Inc.</w:t>
            </w:r>
          </w:p>
        </w:tc>
        <w:tc>
          <w:tcPr>
            <w:tcW w:w="1620" w:type="dxa"/>
            <w:vAlign w:val="bottom"/>
          </w:tcPr>
          <w:p>
            <w:pPr>
              <w:spacing w:after="0"/>
              <w:rPr>
                <w:sz w:val="20"/>
                <w:szCs w:val="20"/>
                <w:color w:val="auto"/>
              </w:rPr>
            </w:pPr>
            <w:r>
              <w:rPr>
                <w:rFonts w:ascii="Arial" w:cs="Arial" w:eastAsia="Arial" w:hAnsi="Arial"/>
                <w:sz w:val="18"/>
                <w:szCs w:val="18"/>
                <w:color w:val="auto"/>
              </w:rPr>
              <w:t>Delaware</w:t>
            </w:r>
          </w:p>
        </w:tc>
        <w:tc>
          <w:tcPr>
            <w:tcW w:w="1440" w:type="dxa"/>
            <w:vAlign w:val="bottom"/>
            <w:gridSpan w:val="2"/>
          </w:tcPr>
          <w:p>
            <w:pPr>
              <w:jc w:val="right"/>
              <w:ind w:right="183"/>
              <w:spacing w:after="0"/>
              <w:rPr>
                <w:sz w:val="20"/>
                <w:szCs w:val="20"/>
                <w:color w:val="auto"/>
              </w:rPr>
            </w:pPr>
            <w:r>
              <w:rPr>
                <w:rFonts w:ascii="Arial" w:cs="Arial" w:eastAsia="Arial" w:hAnsi="Arial"/>
                <w:sz w:val="18"/>
                <w:szCs w:val="18"/>
                <w:color w:val="auto"/>
              </w:rPr>
              <w:t>100%</w:t>
            </w:r>
          </w:p>
        </w:tc>
      </w:tr>
      <w:tr>
        <w:trPr>
          <w:trHeight w:val="216"/>
        </w:trPr>
        <w:tc>
          <w:tcPr>
            <w:tcW w:w="8360" w:type="dxa"/>
            <w:vAlign w:val="bottom"/>
            <w:gridSpan w:val="3"/>
            <w:shd w:val="clear" w:color="auto" w:fill="EEEEEE"/>
          </w:tcPr>
          <w:p>
            <w:pPr>
              <w:ind w:left="680"/>
              <w:spacing w:after="0"/>
              <w:rPr>
                <w:sz w:val="20"/>
                <w:szCs w:val="20"/>
                <w:color w:val="auto"/>
              </w:rPr>
            </w:pPr>
            <w:r>
              <w:rPr>
                <w:rFonts w:ascii="Arial" w:cs="Arial" w:eastAsia="Arial" w:hAnsi="Arial"/>
                <w:sz w:val="18"/>
                <w:szCs w:val="18"/>
                <w:color w:val="auto"/>
              </w:rPr>
              <w:t>CHI Acquisition Corp.</w:t>
            </w:r>
          </w:p>
        </w:tc>
        <w:tc>
          <w:tcPr>
            <w:tcW w:w="1620" w:type="dxa"/>
            <w:vAlign w:val="bottom"/>
            <w:shd w:val="clear" w:color="auto" w:fill="EEEEEE"/>
          </w:tcPr>
          <w:p>
            <w:pPr>
              <w:spacing w:after="0"/>
              <w:rPr>
                <w:sz w:val="20"/>
                <w:szCs w:val="20"/>
                <w:color w:val="auto"/>
              </w:rPr>
            </w:pPr>
            <w:r>
              <w:rPr>
                <w:rFonts w:ascii="Arial" w:cs="Arial" w:eastAsia="Arial" w:hAnsi="Arial"/>
                <w:sz w:val="18"/>
                <w:szCs w:val="18"/>
                <w:color w:val="auto"/>
              </w:rPr>
              <w:t>Delaware</w:t>
            </w:r>
          </w:p>
        </w:tc>
        <w:tc>
          <w:tcPr>
            <w:tcW w:w="1440" w:type="dxa"/>
            <w:vAlign w:val="bottom"/>
            <w:gridSpan w:val="2"/>
            <w:shd w:val="clear" w:color="auto" w:fill="EEEEEE"/>
          </w:tcPr>
          <w:p>
            <w:pPr>
              <w:jc w:val="right"/>
              <w:ind w:right="183"/>
              <w:spacing w:after="0"/>
              <w:rPr>
                <w:sz w:val="20"/>
                <w:szCs w:val="20"/>
                <w:color w:val="auto"/>
              </w:rPr>
            </w:pPr>
            <w:r>
              <w:rPr>
                <w:rFonts w:ascii="Arial" w:cs="Arial" w:eastAsia="Arial" w:hAnsi="Arial"/>
                <w:sz w:val="18"/>
                <w:szCs w:val="18"/>
                <w:color w:val="auto"/>
              </w:rPr>
              <w:t>100%</w:t>
            </w:r>
          </w:p>
        </w:tc>
      </w:tr>
      <w:tr>
        <w:trPr>
          <w:trHeight w:val="216"/>
        </w:trPr>
        <w:tc>
          <w:tcPr>
            <w:tcW w:w="8360" w:type="dxa"/>
            <w:vAlign w:val="bottom"/>
            <w:gridSpan w:val="3"/>
          </w:tcPr>
          <w:p>
            <w:pPr>
              <w:ind w:left="960"/>
              <w:spacing w:after="0"/>
              <w:rPr>
                <w:sz w:val="20"/>
                <w:szCs w:val="20"/>
                <w:color w:val="auto"/>
              </w:rPr>
            </w:pPr>
            <w:r>
              <w:rPr>
                <w:rFonts w:ascii="Arial" w:cs="Arial" w:eastAsia="Arial" w:hAnsi="Arial"/>
                <w:sz w:val="18"/>
                <w:szCs w:val="18"/>
                <w:color w:val="auto"/>
              </w:rPr>
              <w:t>Computer Hardware Service Company, Inc.</w:t>
            </w:r>
          </w:p>
        </w:tc>
        <w:tc>
          <w:tcPr>
            <w:tcW w:w="1620" w:type="dxa"/>
            <w:vAlign w:val="bottom"/>
          </w:tcPr>
          <w:p>
            <w:pPr>
              <w:spacing w:after="0"/>
              <w:rPr>
                <w:sz w:val="20"/>
                <w:szCs w:val="20"/>
                <w:color w:val="auto"/>
              </w:rPr>
            </w:pPr>
            <w:r>
              <w:rPr>
                <w:rFonts w:ascii="Arial" w:cs="Arial" w:eastAsia="Arial" w:hAnsi="Arial"/>
                <w:sz w:val="18"/>
                <w:szCs w:val="18"/>
                <w:color w:val="auto"/>
              </w:rPr>
              <w:t>Pennsylvania</w:t>
            </w:r>
          </w:p>
        </w:tc>
        <w:tc>
          <w:tcPr>
            <w:tcW w:w="1440" w:type="dxa"/>
            <w:vAlign w:val="bottom"/>
            <w:gridSpan w:val="2"/>
          </w:tcPr>
          <w:p>
            <w:pPr>
              <w:jc w:val="right"/>
              <w:ind w:right="183"/>
              <w:spacing w:after="0"/>
              <w:rPr>
                <w:sz w:val="20"/>
                <w:szCs w:val="20"/>
                <w:color w:val="auto"/>
              </w:rPr>
            </w:pPr>
            <w:r>
              <w:rPr>
                <w:rFonts w:ascii="Arial" w:cs="Arial" w:eastAsia="Arial" w:hAnsi="Arial"/>
                <w:sz w:val="18"/>
                <w:szCs w:val="18"/>
                <w:color w:val="auto"/>
              </w:rPr>
              <w:t>100%</w:t>
            </w:r>
          </w:p>
        </w:tc>
      </w:tr>
      <w:tr>
        <w:trPr>
          <w:trHeight w:val="216"/>
        </w:trPr>
        <w:tc>
          <w:tcPr>
            <w:tcW w:w="8360" w:type="dxa"/>
            <w:vAlign w:val="bottom"/>
            <w:gridSpan w:val="3"/>
            <w:shd w:val="clear" w:color="auto" w:fill="EEEEEE"/>
          </w:tcPr>
          <w:p>
            <w:pPr>
              <w:ind w:left="680"/>
              <w:spacing w:after="0"/>
              <w:rPr>
                <w:sz w:val="20"/>
                <w:szCs w:val="20"/>
                <w:color w:val="auto"/>
              </w:rPr>
            </w:pPr>
            <w:r>
              <w:rPr>
                <w:rFonts w:ascii="Arial" w:cs="Arial" w:eastAsia="Arial" w:hAnsi="Arial"/>
                <w:sz w:val="18"/>
                <w:szCs w:val="18"/>
                <w:color w:val="auto"/>
              </w:rPr>
              <w:t>Denver Acquisition Corp.</w:t>
            </w:r>
          </w:p>
        </w:tc>
        <w:tc>
          <w:tcPr>
            <w:tcW w:w="1620" w:type="dxa"/>
            <w:vAlign w:val="bottom"/>
            <w:shd w:val="clear" w:color="auto" w:fill="EEEEEE"/>
          </w:tcPr>
          <w:p>
            <w:pPr>
              <w:spacing w:after="0"/>
              <w:rPr>
                <w:sz w:val="20"/>
                <w:szCs w:val="20"/>
                <w:color w:val="auto"/>
              </w:rPr>
            </w:pPr>
            <w:r>
              <w:rPr>
                <w:rFonts w:ascii="Arial" w:cs="Arial" w:eastAsia="Arial" w:hAnsi="Arial"/>
                <w:sz w:val="18"/>
                <w:szCs w:val="18"/>
                <w:color w:val="auto"/>
              </w:rPr>
              <w:t>Delaware</w:t>
            </w:r>
          </w:p>
        </w:tc>
        <w:tc>
          <w:tcPr>
            <w:tcW w:w="1440" w:type="dxa"/>
            <w:vAlign w:val="bottom"/>
            <w:gridSpan w:val="2"/>
            <w:shd w:val="clear" w:color="auto" w:fill="EEEEEE"/>
          </w:tcPr>
          <w:p>
            <w:pPr>
              <w:jc w:val="right"/>
              <w:ind w:right="183"/>
              <w:spacing w:after="0"/>
              <w:rPr>
                <w:sz w:val="20"/>
                <w:szCs w:val="20"/>
                <w:color w:val="auto"/>
              </w:rPr>
            </w:pPr>
            <w:r>
              <w:rPr>
                <w:rFonts w:ascii="Arial" w:cs="Arial" w:eastAsia="Arial" w:hAnsi="Arial"/>
                <w:sz w:val="18"/>
                <w:szCs w:val="18"/>
                <w:color w:val="auto"/>
              </w:rPr>
              <w:t>100%</w:t>
            </w:r>
          </w:p>
        </w:tc>
      </w:tr>
      <w:tr>
        <w:trPr>
          <w:trHeight w:val="216"/>
        </w:trPr>
        <w:tc>
          <w:tcPr>
            <w:tcW w:w="8360" w:type="dxa"/>
            <w:vAlign w:val="bottom"/>
            <w:gridSpan w:val="3"/>
          </w:tcPr>
          <w:p>
            <w:pPr>
              <w:ind w:left="680"/>
              <w:spacing w:after="0"/>
              <w:rPr>
                <w:sz w:val="20"/>
                <w:szCs w:val="20"/>
                <w:color w:val="auto"/>
              </w:rPr>
            </w:pPr>
            <w:r>
              <w:rPr>
                <w:rFonts w:ascii="Arial" w:cs="Arial" w:eastAsia="Arial" w:hAnsi="Arial"/>
                <w:sz w:val="18"/>
                <w:szCs w:val="18"/>
                <w:color w:val="auto"/>
              </w:rPr>
              <w:t>Educational Ventures (Texas), Inc.</w:t>
            </w:r>
          </w:p>
        </w:tc>
        <w:tc>
          <w:tcPr>
            <w:tcW w:w="1620" w:type="dxa"/>
            <w:vAlign w:val="bottom"/>
          </w:tcPr>
          <w:p>
            <w:pPr>
              <w:spacing w:after="0"/>
              <w:rPr>
                <w:sz w:val="20"/>
                <w:szCs w:val="20"/>
                <w:color w:val="auto"/>
              </w:rPr>
            </w:pPr>
            <w:r>
              <w:rPr>
                <w:rFonts w:ascii="Arial" w:cs="Arial" w:eastAsia="Arial" w:hAnsi="Arial"/>
                <w:sz w:val="18"/>
                <w:szCs w:val="18"/>
                <w:color w:val="auto"/>
              </w:rPr>
              <w:t>Delaware</w:t>
            </w:r>
          </w:p>
        </w:tc>
        <w:tc>
          <w:tcPr>
            <w:tcW w:w="1440" w:type="dxa"/>
            <w:vAlign w:val="bottom"/>
            <w:gridSpan w:val="2"/>
          </w:tcPr>
          <w:p>
            <w:pPr>
              <w:jc w:val="right"/>
              <w:ind w:right="183"/>
              <w:spacing w:after="0"/>
              <w:rPr>
                <w:sz w:val="20"/>
                <w:szCs w:val="20"/>
                <w:color w:val="auto"/>
              </w:rPr>
            </w:pPr>
            <w:r>
              <w:rPr>
                <w:rFonts w:ascii="Arial" w:cs="Arial" w:eastAsia="Arial" w:hAnsi="Arial"/>
                <w:sz w:val="18"/>
                <w:szCs w:val="18"/>
                <w:color w:val="auto"/>
              </w:rPr>
              <w:t>100%</w:t>
            </w:r>
          </w:p>
        </w:tc>
      </w:tr>
      <w:tr>
        <w:trPr>
          <w:trHeight w:val="216"/>
        </w:trPr>
        <w:tc>
          <w:tcPr>
            <w:tcW w:w="8360" w:type="dxa"/>
            <w:vAlign w:val="bottom"/>
            <w:gridSpan w:val="3"/>
            <w:shd w:val="clear" w:color="auto" w:fill="EEEEEE"/>
          </w:tcPr>
          <w:p>
            <w:pPr>
              <w:ind w:left="960"/>
              <w:spacing w:after="0"/>
              <w:rPr>
                <w:sz w:val="20"/>
                <w:szCs w:val="20"/>
                <w:color w:val="auto"/>
              </w:rPr>
            </w:pPr>
            <w:r>
              <w:rPr>
                <w:rFonts w:ascii="Arial" w:cs="Arial" w:eastAsia="Arial" w:hAnsi="Arial"/>
                <w:sz w:val="18"/>
                <w:szCs w:val="18"/>
                <w:color w:val="auto"/>
              </w:rPr>
              <w:t>Texas Educational Ventures, LLP</w:t>
            </w:r>
          </w:p>
        </w:tc>
        <w:tc>
          <w:tcPr>
            <w:tcW w:w="1620" w:type="dxa"/>
            <w:vAlign w:val="bottom"/>
            <w:shd w:val="clear" w:color="auto" w:fill="EEEEEE"/>
          </w:tcPr>
          <w:p>
            <w:pPr>
              <w:spacing w:after="0"/>
              <w:rPr>
                <w:sz w:val="20"/>
                <w:szCs w:val="20"/>
                <w:color w:val="auto"/>
              </w:rPr>
            </w:pPr>
            <w:r>
              <w:rPr>
                <w:rFonts w:ascii="Arial" w:cs="Arial" w:eastAsia="Arial" w:hAnsi="Arial"/>
                <w:sz w:val="18"/>
                <w:szCs w:val="18"/>
                <w:color w:val="auto"/>
              </w:rPr>
              <w:t>Texas</w:t>
            </w:r>
          </w:p>
        </w:tc>
        <w:tc>
          <w:tcPr>
            <w:tcW w:w="380" w:type="dxa"/>
            <w:vAlign w:val="bottom"/>
            <w:shd w:val="clear" w:color="auto" w:fill="EEEEEE"/>
          </w:tcPr>
          <w:p>
            <w:pPr>
              <w:spacing w:after="0"/>
              <w:rPr>
                <w:sz w:val="18"/>
                <w:szCs w:val="18"/>
                <w:color w:val="auto"/>
              </w:rPr>
            </w:pP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1%(b)</w:t>
            </w:r>
          </w:p>
        </w:tc>
      </w:tr>
      <w:tr>
        <w:trPr>
          <w:trHeight w:val="216"/>
        </w:trPr>
        <w:tc>
          <w:tcPr>
            <w:tcW w:w="8360" w:type="dxa"/>
            <w:vAlign w:val="bottom"/>
            <w:gridSpan w:val="3"/>
          </w:tcPr>
          <w:p>
            <w:pPr>
              <w:ind w:left="680"/>
              <w:spacing w:after="0"/>
              <w:rPr>
                <w:sz w:val="20"/>
                <w:szCs w:val="20"/>
                <w:color w:val="auto"/>
              </w:rPr>
            </w:pPr>
            <w:r>
              <w:rPr>
                <w:rFonts w:ascii="Arial" w:cs="Arial" w:eastAsia="Arial" w:hAnsi="Arial"/>
                <w:sz w:val="18"/>
                <w:szCs w:val="18"/>
                <w:color w:val="auto"/>
              </w:rPr>
              <w:t>HBC Acquisition Corp.</w:t>
            </w:r>
          </w:p>
        </w:tc>
        <w:tc>
          <w:tcPr>
            <w:tcW w:w="1620" w:type="dxa"/>
            <w:vAlign w:val="bottom"/>
          </w:tcPr>
          <w:p>
            <w:pPr>
              <w:spacing w:after="0"/>
              <w:rPr>
                <w:sz w:val="20"/>
                <w:szCs w:val="20"/>
                <w:color w:val="auto"/>
              </w:rPr>
            </w:pPr>
            <w:r>
              <w:rPr>
                <w:rFonts w:ascii="Arial" w:cs="Arial" w:eastAsia="Arial" w:hAnsi="Arial"/>
                <w:sz w:val="18"/>
                <w:szCs w:val="18"/>
                <w:color w:val="auto"/>
              </w:rPr>
              <w:t>Delaware</w:t>
            </w:r>
          </w:p>
        </w:tc>
        <w:tc>
          <w:tcPr>
            <w:tcW w:w="1440" w:type="dxa"/>
            <w:vAlign w:val="bottom"/>
            <w:gridSpan w:val="2"/>
          </w:tcPr>
          <w:p>
            <w:pPr>
              <w:jc w:val="right"/>
              <w:ind w:right="183"/>
              <w:spacing w:after="0"/>
              <w:rPr>
                <w:sz w:val="20"/>
                <w:szCs w:val="20"/>
                <w:color w:val="auto"/>
              </w:rPr>
            </w:pPr>
            <w:r>
              <w:rPr>
                <w:rFonts w:ascii="Arial" w:cs="Arial" w:eastAsia="Arial" w:hAnsi="Arial"/>
                <w:sz w:val="18"/>
                <w:szCs w:val="18"/>
                <w:color w:val="auto"/>
              </w:rPr>
              <w:t>100%</w:t>
            </w:r>
          </w:p>
        </w:tc>
      </w:tr>
      <w:tr>
        <w:trPr>
          <w:trHeight w:val="216"/>
        </w:trPr>
        <w:tc>
          <w:tcPr>
            <w:tcW w:w="8360" w:type="dxa"/>
            <w:vAlign w:val="bottom"/>
            <w:gridSpan w:val="3"/>
            <w:shd w:val="clear" w:color="auto" w:fill="EEEEEE"/>
          </w:tcPr>
          <w:p>
            <w:pPr>
              <w:ind w:left="680"/>
              <w:spacing w:after="0"/>
              <w:rPr>
                <w:sz w:val="20"/>
                <w:szCs w:val="20"/>
                <w:color w:val="auto"/>
              </w:rPr>
            </w:pPr>
            <w:r>
              <w:rPr>
                <w:rFonts w:ascii="Arial" w:cs="Arial" w:eastAsia="Arial" w:hAnsi="Arial"/>
                <w:sz w:val="18"/>
                <w:szCs w:val="18"/>
                <w:color w:val="auto"/>
              </w:rPr>
              <w:t>Heritage-KHEC, Inc.</w:t>
            </w:r>
          </w:p>
        </w:tc>
        <w:tc>
          <w:tcPr>
            <w:tcW w:w="1620" w:type="dxa"/>
            <w:vAlign w:val="bottom"/>
            <w:shd w:val="clear" w:color="auto" w:fill="EEEEEE"/>
          </w:tcPr>
          <w:p>
            <w:pPr>
              <w:spacing w:after="0"/>
              <w:rPr>
                <w:sz w:val="20"/>
                <w:szCs w:val="20"/>
                <w:color w:val="auto"/>
              </w:rPr>
            </w:pPr>
            <w:r>
              <w:rPr>
                <w:rFonts w:ascii="Arial" w:cs="Arial" w:eastAsia="Arial" w:hAnsi="Arial"/>
                <w:sz w:val="18"/>
                <w:szCs w:val="18"/>
                <w:color w:val="auto"/>
              </w:rPr>
              <w:t>Nevada</w:t>
            </w:r>
          </w:p>
        </w:tc>
        <w:tc>
          <w:tcPr>
            <w:tcW w:w="1440" w:type="dxa"/>
            <w:vAlign w:val="bottom"/>
            <w:gridSpan w:val="2"/>
            <w:shd w:val="clear" w:color="auto" w:fill="EEEEEE"/>
          </w:tcPr>
          <w:p>
            <w:pPr>
              <w:jc w:val="right"/>
              <w:ind w:right="183"/>
              <w:spacing w:after="0"/>
              <w:rPr>
                <w:sz w:val="20"/>
                <w:szCs w:val="20"/>
                <w:color w:val="auto"/>
              </w:rPr>
            </w:pPr>
            <w:r>
              <w:rPr>
                <w:rFonts w:ascii="Arial" w:cs="Arial" w:eastAsia="Arial" w:hAnsi="Arial"/>
                <w:sz w:val="18"/>
                <w:szCs w:val="18"/>
                <w:color w:val="auto"/>
              </w:rPr>
              <w:t>100%</w:t>
            </w:r>
          </w:p>
        </w:tc>
      </w:tr>
      <w:tr>
        <w:trPr>
          <w:trHeight w:val="216"/>
        </w:trPr>
        <w:tc>
          <w:tcPr>
            <w:tcW w:w="8360" w:type="dxa"/>
            <w:vAlign w:val="bottom"/>
            <w:gridSpan w:val="3"/>
          </w:tcPr>
          <w:p>
            <w:pPr>
              <w:ind w:left="680"/>
              <w:spacing w:after="0"/>
              <w:rPr>
                <w:sz w:val="20"/>
                <w:szCs w:val="20"/>
                <w:color w:val="auto"/>
              </w:rPr>
            </w:pPr>
            <w:r>
              <w:rPr>
                <w:rFonts w:ascii="Arial" w:cs="Arial" w:eastAsia="Arial" w:hAnsi="Arial"/>
                <w:sz w:val="18"/>
                <w:szCs w:val="18"/>
                <w:color w:val="auto"/>
              </w:rPr>
              <w:t>ICM Acquisition Corp.</w:t>
            </w:r>
          </w:p>
        </w:tc>
        <w:tc>
          <w:tcPr>
            <w:tcW w:w="1620" w:type="dxa"/>
            <w:vAlign w:val="bottom"/>
          </w:tcPr>
          <w:p>
            <w:pPr>
              <w:spacing w:after="0"/>
              <w:rPr>
                <w:sz w:val="20"/>
                <w:szCs w:val="20"/>
                <w:color w:val="auto"/>
              </w:rPr>
            </w:pPr>
            <w:r>
              <w:rPr>
                <w:rFonts w:ascii="Arial" w:cs="Arial" w:eastAsia="Arial" w:hAnsi="Arial"/>
                <w:sz w:val="18"/>
                <w:szCs w:val="18"/>
                <w:color w:val="auto"/>
              </w:rPr>
              <w:t>Delaware</w:t>
            </w:r>
          </w:p>
        </w:tc>
        <w:tc>
          <w:tcPr>
            <w:tcW w:w="1440" w:type="dxa"/>
            <w:vAlign w:val="bottom"/>
            <w:gridSpan w:val="2"/>
          </w:tcPr>
          <w:p>
            <w:pPr>
              <w:jc w:val="right"/>
              <w:ind w:right="183"/>
              <w:spacing w:after="0"/>
              <w:rPr>
                <w:sz w:val="20"/>
                <w:szCs w:val="20"/>
                <w:color w:val="auto"/>
              </w:rPr>
            </w:pPr>
            <w:r>
              <w:rPr>
                <w:rFonts w:ascii="Arial" w:cs="Arial" w:eastAsia="Arial" w:hAnsi="Arial"/>
                <w:sz w:val="18"/>
                <w:szCs w:val="18"/>
                <w:color w:val="auto"/>
              </w:rPr>
              <w:t>100%</w:t>
            </w:r>
          </w:p>
        </w:tc>
      </w:tr>
      <w:tr>
        <w:trPr>
          <w:trHeight w:val="216"/>
        </w:trPr>
        <w:tc>
          <w:tcPr>
            <w:tcW w:w="8360" w:type="dxa"/>
            <w:vAlign w:val="bottom"/>
            <w:gridSpan w:val="3"/>
            <w:shd w:val="clear" w:color="auto" w:fill="EEEEEE"/>
          </w:tcPr>
          <w:p>
            <w:pPr>
              <w:ind w:left="680"/>
              <w:spacing w:after="0"/>
              <w:rPr>
                <w:sz w:val="20"/>
                <w:szCs w:val="20"/>
                <w:color w:val="auto"/>
              </w:rPr>
            </w:pPr>
            <w:r>
              <w:rPr>
                <w:rFonts w:ascii="Arial" w:cs="Arial" w:eastAsia="Arial" w:hAnsi="Arial"/>
                <w:sz w:val="18"/>
                <w:szCs w:val="18"/>
                <w:color w:val="auto"/>
              </w:rPr>
              <w:t>Iowa College Acquisition Corp.</w:t>
            </w:r>
          </w:p>
        </w:tc>
        <w:tc>
          <w:tcPr>
            <w:tcW w:w="1620" w:type="dxa"/>
            <w:vAlign w:val="bottom"/>
            <w:shd w:val="clear" w:color="auto" w:fill="EEEEEE"/>
          </w:tcPr>
          <w:p>
            <w:pPr>
              <w:spacing w:after="0"/>
              <w:rPr>
                <w:sz w:val="20"/>
                <w:szCs w:val="20"/>
                <w:color w:val="auto"/>
              </w:rPr>
            </w:pPr>
            <w:r>
              <w:rPr>
                <w:rFonts w:ascii="Arial" w:cs="Arial" w:eastAsia="Arial" w:hAnsi="Arial"/>
                <w:sz w:val="18"/>
                <w:szCs w:val="18"/>
                <w:color w:val="auto"/>
              </w:rPr>
              <w:t>Delaware</w:t>
            </w:r>
          </w:p>
        </w:tc>
        <w:tc>
          <w:tcPr>
            <w:tcW w:w="1440" w:type="dxa"/>
            <w:vAlign w:val="bottom"/>
            <w:gridSpan w:val="2"/>
            <w:shd w:val="clear" w:color="auto" w:fill="EEEEEE"/>
          </w:tcPr>
          <w:p>
            <w:pPr>
              <w:jc w:val="right"/>
              <w:ind w:right="183"/>
              <w:spacing w:after="0"/>
              <w:rPr>
                <w:sz w:val="20"/>
                <w:szCs w:val="20"/>
                <w:color w:val="auto"/>
              </w:rPr>
            </w:pPr>
            <w:r>
              <w:rPr>
                <w:rFonts w:ascii="Arial" w:cs="Arial" w:eastAsia="Arial" w:hAnsi="Arial"/>
                <w:sz w:val="18"/>
                <w:szCs w:val="18"/>
                <w:color w:val="auto"/>
              </w:rPr>
              <w:t>100%</w:t>
            </w:r>
          </w:p>
        </w:tc>
      </w:tr>
      <w:tr>
        <w:trPr>
          <w:trHeight w:val="216"/>
        </w:trPr>
        <w:tc>
          <w:tcPr>
            <w:tcW w:w="8360" w:type="dxa"/>
            <w:vAlign w:val="bottom"/>
            <w:gridSpan w:val="3"/>
          </w:tcPr>
          <w:p>
            <w:pPr>
              <w:ind w:left="680"/>
              <w:spacing w:after="0"/>
              <w:rPr>
                <w:sz w:val="20"/>
                <w:szCs w:val="20"/>
                <w:color w:val="auto"/>
              </w:rPr>
            </w:pPr>
            <w:r>
              <w:rPr>
                <w:rFonts w:ascii="Arial" w:cs="Arial" w:eastAsia="Arial" w:hAnsi="Arial"/>
                <w:sz w:val="18"/>
                <w:szCs w:val="18"/>
                <w:color w:val="auto"/>
              </w:rPr>
              <w:t>MTSX Acquisition Corp.</w:t>
            </w:r>
          </w:p>
        </w:tc>
        <w:tc>
          <w:tcPr>
            <w:tcW w:w="1620" w:type="dxa"/>
            <w:vAlign w:val="bottom"/>
          </w:tcPr>
          <w:p>
            <w:pPr>
              <w:spacing w:after="0"/>
              <w:rPr>
                <w:sz w:val="20"/>
                <w:szCs w:val="20"/>
                <w:color w:val="auto"/>
              </w:rPr>
            </w:pPr>
            <w:r>
              <w:rPr>
                <w:rFonts w:ascii="Arial" w:cs="Arial" w:eastAsia="Arial" w:hAnsi="Arial"/>
                <w:sz w:val="18"/>
                <w:szCs w:val="18"/>
                <w:color w:val="auto"/>
              </w:rPr>
              <w:t>Delaware</w:t>
            </w:r>
          </w:p>
        </w:tc>
        <w:tc>
          <w:tcPr>
            <w:tcW w:w="1440" w:type="dxa"/>
            <w:vAlign w:val="bottom"/>
            <w:gridSpan w:val="2"/>
          </w:tcPr>
          <w:p>
            <w:pPr>
              <w:jc w:val="right"/>
              <w:ind w:right="183"/>
              <w:spacing w:after="0"/>
              <w:rPr>
                <w:sz w:val="20"/>
                <w:szCs w:val="20"/>
                <w:color w:val="auto"/>
              </w:rPr>
            </w:pPr>
            <w:r>
              <w:rPr>
                <w:rFonts w:ascii="Arial" w:cs="Arial" w:eastAsia="Arial" w:hAnsi="Arial"/>
                <w:sz w:val="18"/>
                <w:szCs w:val="18"/>
                <w:color w:val="auto"/>
              </w:rPr>
              <w:t>100%</w:t>
            </w:r>
          </w:p>
        </w:tc>
      </w:tr>
      <w:tr>
        <w:trPr>
          <w:trHeight w:val="216"/>
        </w:trPr>
        <w:tc>
          <w:tcPr>
            <w:tcW w:w="8360" w:type="dxa"/>
            <w:vAlign w:val="bottom"/>
            <w:gridSpan w:val="3"/>
            <w:shd w:val="clear" w:color="auto" w:fill="EEEEEE"/>
          </w:tcPr>
          <w:p>
            <w:pPr>
              <w:ind w:left="680"/>
              <w:spacing w:after="0"/>
              <w:rPr>
                <w:sz w:val="20"/>
                <w:szCs w:val="20"/>
                <w:color w:val="auto"/>
              </w:rPr>
            </w:pPr>
            <w:r>
              <w:rPr>
                <w:rFonts w:ascii="Arial" w:cs="Arial" w:eastAsia="Arial" w:hAnsi="Arial"/>
                <w:sz w:val="18"/>
                <w:szCs w:val="18"/>
                <w:color w:val="auto"/>
              </w:rPr>
              <w:t>Maric Learning Systems</w:t>
            </w:r>
          </w:p>
        </w:tc>
        <w:tc>
          <w:tcPr>
            <w:tcW w:w="1620" w:type="dxa"/>
            <w:vAlign w:val="bottom"/>
            <w:shd w:val="clear" w:color="auto" w:fill="EEEEEE"/>
          </w:tcPr>
          <w:p>
            <w:pPr>
              <w:spacing w:after="0"/>
              <w:rPr>
                <w:sz w:val="20"/>
                <w:szCs w:val="20"/>
                <w:color w:val="auto"/>
              </w:rPr>
            </w:pPr>
            <w:r>
              <w:rPr>
                <w:rFonts w:ascii="Arial" w:cs="Arial" w:eastAsia="Arial" w:hAnsi="Arial"/>
                <w:sz w:val="18"/>
                <w:szCs w:val="18"/>
                <w:color w:val="auto"/>
              </w:rPr>
              <w:t>California</w:t>
            </w:r>
          </w:p>
        </w:tc>
        <w:tc>
          <w:tcPr>
            <w:tcW w:w="1440" w:type="dxa"/>
            <w:vAlign w:val="bottom"/>
            <w:gridSpan w:val="2"/>
            <w:shd w:val="clear" w:color="auto" w:fill="EEEEEE"/>
          </w:tcPr>
          <w:p>
            <w:pPr>
              <w:jc w:val="right"/>
              <w:ind w:right="183"/>
              <w:spacing w:after="0"/>
              <w:rPr>
                <w:sz w:val="20"/>
                <w:szCs w:val="20"/>
                <w:color w:val="auto"/>
              </w:rPr>
            </w:pPr>
            <w:r>
              <w:rPr>
                <w:rFonts w:ascii="Arial" w:cs="Arial" w:eastAsia="Arial" w:hAnsi="Arial"/>
                <w:sz w:val="18"/>
                <w:szCs w:val="18"/>
                <w:color w:val="auto"/>
              </w:rPr>
              <w:t>100%</w:t>
            </w:r>
          </w:p>
        </w:tc>
      </w:tr>
      <w:tr>
        <w:trPr>
          <w:trHeight w:val="216"/>
        </w:trPr>
        <w:tc>
          <w:tcPr>
            <w:tcW w:w="8360" w:type="dxa"/>
            <w:vAlign w:val="bottom"/>
            <w:gridSpan w:val="3"/>
          </w:tcPr>
          <w:p>
            <w:pPr>
              <w:ind w:left="680"/>
              <w:spacing w:after="0"/>
              <w:rPr>
                <w:sz w:val="20"/>
                <w:szCs w:val="20"/>
                <w:color w:val="auto"/>
              </w:rPr>
            </w:pPr>
            <w:r>
              <w:rPr>
                <w:rFonts w:ascii="Arial" w:cs="Arial" w:eastAsia="Arial" w:hAnsi="Arial"/>
                <w:sz w:val="18"/>
                <w:szCs w:val="18"/>
                <w:color w:val="auto"/>
              </w:rPr>
              <w:t>New Hamsphire Acquisition Corp.</w:t>
            </w:r>
          </w:p>
        </w:tc>
        <w:tc>
          <w:tcPr>
            <w:tcW w:w="1620" w:type="dxa"/>
            <w:vAlign w:val="bottom"/>
          </w:tcPr>
          <w:p>
            <w:pPr>
              <w:spacing w:after="0"/>
              <w:rPr>
                <w:sz w:val="20"/>
                <w:szCs w:val="20"/>
                <w:color w:val="auto"/>
              </w:rPr>
            </w:pPr>
            <w:r>
              <w:rPr>
                <w:rFonts w:ascii="Arial" w:cs="Arial" w:eastAsia="Arial" w:hAnsi="Arial"/>
                <w:sz w:val="18"/>
                <w:szCs w:val="18"/>
                <w:color w:val="auto"/>
              </w:rPr>
              <w:t>Delaware</w:t>
            </w:r>
          </w:p>
        </w:tc>
        <w:tc>
          <w:tcPr>
            <w:tcW w:w="1440" w:type="dxa"/>
            <w:vAlign w:val="bottom"/>
            <w:gridSpan w:val="2"/>
          </w:tcPr>
          <w:p>
            <w:pPr>
              <w:jc w:val="right"/>
              <w:ind w:right="183"/>
              <w:spacing w:after="0"/>
              <w:rPr>
                <w:sz w:val="20"/>
                <w:szCs w:val="20"/>
                <w:color w:val="auto"/>
              </w:rPr>
            </w:pPr>
            <w:r>
              <w:rPr>
                <w:rFonts w:ascii="Arial" w:cs="Arial" w:eastAsia="Arial" w:hAnsi="Arial"/>
                <w:sz w:val="18"/>
                <w:szCs w:val="18"/>
                <w:color w:val="auto"/>
              </w:rPr>
              <w:t>100%</w:t>
            </w:r>
          </w:p>
        </w:tc>
      </w:tr>
      <w:tr>
        <w:trPr>
          <w:trHeight w:val="216"/>
        </w:trPr>
        <w:tc>
          <w:tcPr>
            <w:tcW w:w="8360" w:type="dxa"/>
            <w:vAlign w:val="bottom"/>
            <w:gridSpan w:val="3"/>
            <w:shd w:val="clear" w:color="auto" w:fill="EEEEEE"/>
          </w:tcPr>
          <w:p>
            <w:pPr>
              <w:ind w:left="960"/>
              <w:spacing w:after="0"/>
              <w:rPr>
                <w:sz w:val="20"/>
                <w:szCs w:val="20"/>
                <w:color w:val="auto"/>
              </w:rPr>
            </w:pPr>
            <w:r>
              <w:rPr>
                <w:rFonts w:ascii="Arial" w:cs="Arial" w:eastAsia="Arial" w:hAnsi="Arial"/>
                <w:sz w:val="18"/>
                <w:szCs w:val="18"/>
                <w:color w:val="auto"/>
              </w:rPr>
              <w:t>Hesser, Inc.</w:t>
            </w:r>
          </w:p>
        </w:tc>
        <w:tc>
          <w:tcPr>
            <w:tcW w:w="1620" w:type="dxa"/>
            <w:vAlign w:val="bottom"/>
            <w:shd w:val="clear" w:color="auto" w:fill="EEEEEE"/>
          </w:tcPr>
          <w:p>
            <w:pPr>
              <w:spacing w:after="0"/>
              <w:rPr>
                <w:sz w:val="20"/>
                <w:szCs w:val="20"/>
                <w:color w:val="auto"/>
              </w:rPr>
            </w:pPr>
            <w:r>
              <w:rPr>
                <w:rFonts w:ascii="Arial" w:cs="Arial" w:eastAsia="Arial" w:hAnsi="Arial"/>
                <w:sz w:val="18"/>
                <w:szCs w:val="18"/>
                <w:color w:val="auto"/>
              </w:rPr>
              <w:t>New Hampshire</w:t>
            </w:r>
          </w:p>
        </w:tc>
        <w:tc>
          <w:tcPr>
            <w:tcW w:w="1440" w:type="dxa"/>
            <w:vAlign w:val="bottom"/>
            <w:gridSpan w:val="2"/>
            <w:shd w:val="clear" w:color="auto" w:fill="EEEEEE"/>
          </w:tcPr>
          <w:p>
            <w:pPr>
              <w:jc w:val="right"/>
              <w:ind w:right="183"/>
              <w:spacing w:after="0"/>
              <w:rPr>
                <w:sz w:val="20"/>
                <w:szCs w:val="20"/>
                <w:color w:val="auto"/>
              </w:rPr>
            </w:pPr>
            <w:r>
              <w:rPr>
                <w:rFonts w:ascii="Arial" w:cs="Arial" w:eastAsia="Arial" w:hAnsi="Arial"/>
                <w:sz w:val="18"/>
                <w:szCs w:val="18"/>
                <w:color w:val="auto"/>
              </w:rPr>
              <w:t>100%</w:t>
            </w:r>
          </w:p>
        </w:tc>
      </w:tr>
      <w:tr>
        <w:trPr>
          <w:trHeight w:val="216"/>
        </w:trPr>
        <w:tc>
          <w:tcPr>
            <w:tcW w:w="8360" w:type="dxa"/>
            <w:vAlign w:val="bottom"/>
            <w:gridSpan w:val="3"/>
          </w:tcPr>
          <w:p>
            <w:pPr>
              <w:ind w:left="680"/>
              <w:spacing w:after="0"/>
              <w:rPr>
                <w:sz w:val="20"/>
                <w:szCs w:val="20"/>
                <w:color w:val="auto"/>
              </w:rPr>
            </w:pPr>
            <w:r>
              <w:rPr>
                <w:rFonts w:ascii="Arial" w:cs="Arial" w:eastAsia="Arial" w:hAnsi="Arial"/>
                <w:sz w:val="18"/>
                <w:szCs w:val="18"/>
                <w:color w:val="auto"/>
              </w:rPr>
              <w:t>OIOPT Acquisition Corp.</w:t>
            </w:r>
          </w:p>
        </w:tc>
        <w:tc>
          <w:tcPr>
            <w:tcW w:w="1620" w:type="dxa"/>
            <w:vAlign w:val="bottom"/>
          </w:tcPr>
          <w:p>
            <w:pPr>
              <w:spacing w:after="0"/>
              <w:rPr>
                <w:sz w:val="20"/>
                <w:szCs w:val="20"/>
                <w:color w:val="auto"/>
              </w:rPr>
            </w:pPr>
            <w:r>
              <w:rPr>
                <w:rFonts w:ascii="Arial" w:cs="Arial" w:eastAsia="Arial" w:hAnsi="Arial"/>
                <w:sz w:val="18"/>
                <w:szCs w:val="18"/>
                <w:color w:val="auto"/>
              </w:rPr>
              <w:t>Delaware</w:t>
            </w:r>
          </w:p>
        </w:tc>
        <w:tc>
          <w:tcPr>
            <w:tcW w:w="1440" w:type="dxa"/>
            <w:vAlign w:val="bottom"/>
            <w:gridSpan w:val="2"/>
          </w:tcPr>
          <w:p>
            <w:pPr>
              <w:jc w:val="right"/>
              <w:ind w:right="183"/>
              <w:spacing w:after="0"/>
              <w:rPr>
                <w:sz w:val="20"/>
                <w:szCs w:val="20"/>
                <w:color w:val="auto"/>
              </w:rPr>
            </w:pPr>
            <w:r>
              <w:rPr>
                <w:rFonts w:ascii="Arial" w:cs="Arial" w:eastAsia="Arial" w:hAnsi="Arial"/>
                <w:sz w:val="18"/>
                <w:szCs w:val="18"/>
                <w:color w:val="auto"/>
              </w:rPr>
              <w:t>100%</w:t>
            </w:r>
          </w:p>
        </w:tc>
      </w:tr>
      <w:tr>
        <w:trPr>
          <w:trHeight w:val="216"/>
        </w:trPr>
        <w:tc>
          <w:tcPr>
            <w:tcW w:w="8360" w:type="dxa"/>
            <w:vAlign w:val="bottom"/>
            <w:gridSpan w:val="3"/>
            <w:shd w:val="clear" w:color="auto" w:fill="EEEEEE"/>
          </w:tcPr>
          <w:p>
            <w:pPr>
              <w:ind w:left="680"/>
              <w:spacing w:after="0"/>
              <w:rPr>
                <w:sz w:val="20"/>
                <w:szCs w:val="20"/>
                <w:color w:val="auto"/>
              </w:rPr>
            </w:pPr>
            <w:r>
              <w:rPr>
                <w:rFonts w:ascii="Arial" w:cs="Arial" w:eastAsia="Arial" w:hAnsi="Arial"/>
                <w:sz w:val="18"/>
                <w:szCs w:val="18"/>
                <w:color w:val="auto"/>
              </w:rPr>
              <w:t>Palo Vista College of Nursing &amp; Allied Health Sciences, Inc.</w:t>
            </w:r>
          </w:p>
        </w:tc>
        <w:tc>
          <w:tcPr>
            <w:tcW w:w="1620" w:type="dxa"/>
            <w:vAlign w:val="bottom"/>
            <w:shd w:val="clear" w:color="auto" w:fill="EEEEEE"/>
          </w:tcPr>
          <w:p>
            <w:pPr>
              <w:spacing w:after="0"/>
              <w:rPr>
                <w:sz w:val="20"/>
                <w:szCs w:val="20"/>
                <w:color w:val="auto"/>
              </w:rPr>
            </w:pPr>
            <w:r>
              <w:rPr>
                <w:rFonts w:ascii="Arial" w:cs="Arial" w:eastAsia="Arial" w:hAnsi="Arial"/>
                <w:sz w:val="18"/>
                <w:szCs w:val="18"/>
                <w:color w:val="auto"/>
              </w:rPr>
              <w:t>California</w:t>
            </w:r>
          </w:p>
        </w:tc>
        <w:tc>
          <w:tcPr>
            <w:tcW w:w="1440" w:type="dxa"/>
            <w:vAlign w:val="bottom"/>
            <w:gridSpan w:val="2"/>
            <w:shd w:val="clear" w:color="auto" w:fill="EEEEEE"/>
          </w:tcPr>
          <w:p>
            <w:pPr>
              <w:jc w:val="right"/>
              <w:ind w:right="183"/>
              <w:spacing w:after="0"/>
              <w:rPr>
                <w:sz w:val="20"/>
                <w:szCs w:val="20"/>
                <w:color w:val="auto"/>
              </w:rPr>
            </w:pPr>
            <w:r>
              <w:rPr>
                <w:rFonts w:ascii="Arial" w:cs="Arial" w:eastAsia="Arial" w:hAnsi="Arial"/>
                <w:sz w:val="18"/>
                <w:szCs w:val="18"/>
                <w:color w:val="auto"/>
              </w:rPr>
              <w:t>100%</w:t>
            </w:r>
          </w:p>
        </w:tc>
      </w:tr>
      <w:tr>
        <w:trPr>
          <w:trHeight w:val="216"/>
        </w:trPr>
        <w:tc>
          <w:tcPr>
            <w:tcW w:w="8360" w:type="dxa"/>
            <w:vAlign w:val="bottom"/>
            <w:gridSpan w:val="3"/>
          </w:tcPr>
          <w:p>
            <w:pPr>
              <w:ind w:left="680"/>
              <w:spacing w:after="0"/>
              <w:rPr>
                <w:sz w:val="20"/>
                <w:szCs w:val="20"/>
                <w:color w:val="auto"/>
              </w:rPr>
            </w:pPr>
            <w:r>
              <w:rPr>
                <w:rFonts w:ascii="Arial" w:cs="Arial" w:eastAsia="Arial" w:hAnsi="Arial"/>
                <w:sz w:val="18"/>
                <w:szCs w:val="18"/>
                <w:color w:val="auto"/>
              </w:rPr>
              <w:t>Quest Ventures, LLC</w:t>
            </w:r>
          </w:p>
        </w:tc>
        <w:tc>
          <w:tcPr>
            <w:tcW w:w="1620" w:type="dxa"/>
            <w:vAlign w:val="bottom"/>
          </w:tcPr>
          <w:p>
            <w:pPr>
              <w:spacing w:after="0"/>
              <w:rPr>
                <w:sz w:val="20"/>
                <w:szCs w:val="20"/>
                <w:color w:val="auto"/>
              </w:rPr>
            </w:pPr>
            <w:r>
              <w:rPr>
                <w:rFonts w:ascii="Arial" w:cs="Arial" w:eastAsia="Arial" w:hAnsi="Arial"/>
                <w:sz w:val="18"/>
                <w:szCs w:val="18"/>
                <w:color w:val="auto"/>
              </w:rPr>
              <w:t>Delaware</w:t>
            </w:r>
          </w:p>
        </w:tc>
        <w:tc>
          <w:tcPr>
            <w:tcW w:w="1440" w:type="dxa"/>
            <w:vAlign w:val="bottom"/>
            <w:gridSpan w:val="2"/>
          </w:tcPr>
          <w:p>
            <w:pPr>
              <w:jc w:val="right"/>
              <w:ind w:right="183"/>
              <w:spacing w:after="0"/>
              <w:rPr>
                <w:sz w:val="20"/>
                <w:szCs w:val="20"/>
                <w:color w:val="auto"/>
              </w:rPr>
            </w:pPr>
            <w:r>
              <w:rPr>
                <w:rFonts w:ascii="Arial" w:cs="Arial" w:eastAsia="Arial" w:hAnsi="Arial"/>
                <w:sz w:val="18"/>
                <w:szCs w:val="18"/>
                <w:color w:val="auto"/>
              </w:rPr>
              <w:t>100%</w:t>
            </w:r>
          </w:p>
        </w:tc>
      </w:tr>
      <w:tr>
        <w:trPr>
          <w:trHeight w:val="216"/>
        </w:trPr>
        <w:tc>
          <w:tcPr>
            <w:tcW w:w="8360" w:type="dxa"/>
            <w:vAlign w:val="bottom"/>
            <w:gridSpan w:val="3"/>
            <w:shd w:val="clear" w:color="auto" w:fill="EEEEEE"/>
          </w:tcPr>
          <w:p>
            <w:pPr>
              <w:ind w:left="960"/>
              <w:spacing w:after="0"/>
              <w:rPr>
                <w:sz w:val="20"/>
                <w:szCs w:val="20"/>
                <w:color w:val="auto"/>
              </w:rPr>
            </w:pPr>
            <w:r>
              <w:rPr>
                <w:rFonts w:ascii="Arial" w:cs="Arial" w:eastAsia="Arial" w:hAnsi="Arial"/>
                <w:sz w:val="18"/>
                <w:szCs w:val="18"/>
                <w:color w:val="auto"/>
              </w:rPr>
              <w:t>Texas Educational Ventures, LLP</w:t>
            </w:r>
          </w:p>
        </w:tc>
        <w:tc>
          <w:tcPr>
            <w:tcW w:w="1620" w:type="dxa"/>
            <w:vAlign w:val="bottom"/>
            <w:shd w:val="clear" w:color="auto" w:fill="EEEEEE"/>
          </w:tcPr>
          <w:p>
            <w:pPr>
              <w:spacing w:after="0"/>
              <w:rPr>
                <w:sz w:val="20"/>
                <w:szCs w:val="20"/>
                <w:color w:val="auto"/>
              </w:rPr>
            </w:pPr>
            <w:r>
              <w:rPr>
                <w:rFonts w:ascii="Arial" w:cs="Arial" w:eastAsia="Arial" w:hAnsi="Arial"/>
                <w:sz w:val="18"/>
                <w:szCs w:val="18"/>
                <w:color w:val="auto"/>
              </w:rPr>
              <w:t>Texas</w:t>
            </w:r>
          </w:p>
        </w:tc>
        <w:tc>
          <w:tcPr>
            <w:tcW w:w="380" w:type="dxa"/>
            <w:vAlign w:val="bottom"/>
            <w:shd w:val="clear" w:color="auto" w:fill="EEEEEE"/>
          </w:tcPr>
          <w:p>
            <w:pPr>
              <w:spacing w:after="0"/>
              <w:rPr>
                <w:sz w:val="18"/>
                <w:szCs w:val="18"/>
                <w:color w:val="auto"/>
              </w:rPr>
            </w:pP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99%(c)</w:t>
            </w:r>
          </w:p>
        </w:tc>
      </w:tr>
      <w:tr>
        <w:trPr>
          <w:trHeight w:val="216"/>
        </w:trPr>
        <w:tc>
          <w:tcPr>
            <w:tcW w:w="8360" w:type="dxa"/>
            <w:vAlign w:val="bottom"/>
            <w:gridSpan w:val="3"/>
          </w:tcPr>
          <w:p>
            <w:pPr>
              <w:ind w:left="680"/>
              <w:spacing w:after="0"/>
              <w:rPr>
                <w:sz w:val="20"/>
                <w:szCs w:val="20"/>
                <w:color w:val="auto"/>
              </w:rPr>
            </w:pPr>
            <w:r>
              <w:rPr>
                <w:rFonts w:ascii="Arial" w:cs="Arial" w:eastAsia="Arial" w:hAnsi="Arial"/>
                <w:sz w:val="18"/>
                <w:szCs w:val="18"/>
                <w:color w:val="auto"/>
              </w:rPr>
              <w:t>RETS Acquisition Corp.</w:t>
            </w:r>
          </w:p>
        </w:tc>
        <w:tc>
          <w:tcPr>
            <w:tcW w:w="1620" w:type="dxa"/>
            <w:vAlign w:val="bottom"/>
          </w:tcPr>
          <w:p>
            <w:pPr>
              <w:spacing w:after="0"/>
              <w:rPr>
                <w:sz w:val="20"/>
                <w:szCs w:val="20"/>
                <w:color w:val="auto"/>
              </w:rPr>
            </w:pPr>
            <w:r>
              <w:rPr>
                <w:rFonts w:ascii="Arial" w:cs="Arial" w:eastAsia="Arial" w:hAnsi="Arial"/>
                <w:sz w:val="18"/>
                <w:szCs w:val="18"/>
                <w:color w:val="auto"/>
              </w:rPr>
              <w:t>Massachusetts</w:t>
            </w:r>
          </w:p>
        </w:tc>
        <w:tc>
          <w:tcPr>
            <w:tcW w:w="1440" w:type="dxa"/>
            <w:vAlign w:val="bottom"/>
            <w:gridSpan w:val="2"/>
          </w:tcPr>
          <w:p>
            <w:pPr>
              <w:jc w:val="right"/>
              <w:ind w:right="183"/>
              <w:spacing w:after="0"/>
              <w:rPr>
                <w:sz w:val="20"/>
                <w:szCs w:val="20"/>
                <w:color w:val="auto"/>
              </w:rPr>
            </w:pPr>
            <w:r>
              <w:rPr>
                <w:rFonts w:ascii="Arial" w:cs="Arial" w:eastAsia="Arial" w:hAnsi="Arial"/>
                <w:sz w:val="18"/>
                <w:szCs w:val="18"/>
                <w:color w:val="auto"/>
              </w:rPr>
              <w:t>100%</w:t>
            </w:r>
          </w:p>
        </w:tc>
      </w:tr>
      <w:tr>
        <w:trPr>
          <w:trHeight w:val="216"/>
        </w:trPr>
        <w:tc>
          <w:tcPr>
            <w:tcW w:w="8360" w:type="dxa"/>
            <w:vAlign w:val="bottom"/>
            <w:gridSpan w:val="3"/>
            <w:shd w:val="clear" w:color="auto" w:fill="EEEEEE"/>
          </w:tcPr>
          <w:p>
            <w:pPr>
              <w:ind w:left="680"/>
              <w:spacing w:after="0"/>
              <w:rPr>
                <w:sz w:val="20"/>
                <w:szCs w:val="20"/>
                <w:color w:val="auto"/>
              </w:rPr>
            </w:pPr>
            <w:r>
              <w:rPr>
                <w:rFonts w:ascii="Arial" w:cs="Arial" w:eastAsia="Arial" w:hAnsi="Arial"/>
                <w:sz w:val="18"/>
                <w:szCs w:val="18"/>
                <w:color w:val="auto"/>
              </w:rPr>
              <w:t>SACMD Acquisition Corp.</w:t>
            </w:r>
          </w:p>
        </w:tc>
        <w:tc>
          <w:tcPr>
            <w:tcW w:w="1620" w:type="dxa"/>
            <w:vAlign w:val="bottom"/>
            <w:shd w:val="clear" w:color="auto" w:fill="EEEEEE"/>
          </w:tcPr>
          <w:p>
            <w:pPr>
              <w:spacing w:after="0"/>
              <w:rPr>
                <w:sz w:val="20"/>
                <w:szCs w:val="20"/>
                <w:color w:val="auto"/>
              </w:rPr>
            </w:pPr>
            <w:r>
              <w:rPr>
                <w:rFonts w:ascii="Arial" w:cs="Arial" w:eastAsia="Arial" w:hAnsi="Arial"/>
                <w:sz w:val="18"/>
                <w:szCs w:val="18"/>
                <w:color w:val="auto"/>
              </w:rPr>
              <w:t>Delaware</w:t>
            </w:r>
          </w:p>
        </w:tc>
        <w:tc>
          <w:tcPr>
            <w:tcW w:w="1440" w:type="dxa"/>
            <w:vAlign w:val="bottom"/>
            <w:gridSpan w:val="2"/>
            <w:shd w:val="clear" w:color="auto" w:fill="EEEEEE"/>
          </w:tcPr>
          <w:p>
            <w:pPr>
              <w:jc w:val="right"/>
              <w:ind w:right="183"/>
              <w:spacing w:after="0"/>
              <w:rPr>
                <w:sz w:val="20"/>
                <w:szCs w:val="20"/>
                <w:color w:val="auto"/>
              </w:rPr>
            </w:pPr>
            <w:r>
              <w:rPr>
                <w:rFonts w:ascii="Arial" w:cs="Arial" w:eastAsia="Arial" w:hAnsi="Arial"/>
                <w:sz w:val="18"/>
                <w:szCs w:val="18"/>
                <w:color w:val="auto"/>
              </w:rPr>
              <w:t>100%</w:t>
            </w:r>
          </w:p>
        </w:tc>
      </w:tr>
      <w:tr>
        <w:trPr>
          <w:trHeight w:val="216"/>
        </w:trPr>
        <w:tc>
          <w:tcPr>
            <w:tcW w:w="8360" w:type="dxa"/>
            <w:vAlign w:val="bottom"/>
            <w:gridSpan w:val="3"/>
          </w:tcPr>
          <w:p>
            <w:pPr>
              <w:ind w:left="680"/>
              <w:spacing w:after="0"/>
              <w:rPr>
                <w:sz w:val="20"/>
                <w:szCs w:val="20"/>
                <w:color w:val="auto"/>
              </w:rPr>
            </w:pPr>
            <w:r>
              <w:rPr>
                <w:rFonts w:ascii="Arial" w:cs="Arial" w:eastAsia="Arial" w:hAnsi="Arial"/>
                <w:sz w:val="18"/>
                <w:szCs w:val="18"/>
                <w:color w:val="auto"/>
              </w:rPr>
              <w:t>Sawyer-KHEC, Inc.</w:t>
            </w:r>
          </w:p>
        </w:tc>
        <w:tc>
          <w:tcPr>
            <w:tcW w:w="1620" w:type="dxa"/>
            <w:vAlign w:val="bottom"/>
          </w:tcPr>
          <w:p>
            <w:pPr>
              <w:spacing w:after="0"/>
              <w:rPr>
                <w:sz w:val="20"/>
                <w:szCs w:val="20"/>
                <w:color w:val="auto"/>
              </w:rPr>
            </w:pPr>
            <w:r>
              <w:rPr>
                <w:rFonts w:ascii="Arial" w:cs="Arial" w:eastAsia="Arial" w:hAnsi="Arial"/>
                <w:sz w:val="18"/>
                <w:szCs w:val="18"/>
                <w:color w:val="auto"/>
              </w:rPr>
              <w:t>Indiana</w:t>
            </w:r>
          </w:p>
        </w:tc>
        <w:tc>
          <w:tcPr>
            <w:tcW w:w="1440" w:type="dxa"/>
            <w:vAlign w:val="bottom"/>
            <w:gridSpan w:val="2"/>
          </w:tcPr>
          <w:p>
            <w:pPr>
              <w:jc w:val="right"/>
              <w:ind w:right="183"/>
              <w:spacing w:after="0"/>
              <w:rPr>
                <w:sz w:val="20"/>
                <w:szCs w:val="20"/>
                <w:color w:val="auto"/>
              </w:rPr>
            </w:pPr>
            <w:r>
              <w:rPr>
                <w:rFonts w:ascii="Arial" w:cs="Arial" w:eastAsia="Arial" w:hAnsi="Arial"/>
                <w:sz w:val="18"/>
                <w:szCs w:val="18"/>
                <w:color w:val="auto"/>
              </w:rPr>
              <w:t>100%</w:t>
            </w:r>
          </w:p>
        </w:tc>
      </w:tr>
      <w:tr>
        <w:trPr>
          <w:trHeight w:val="216"/>
        </w:trPr>
        <w:tc>
          <w:tcPr>
            <w:tcW w:w="8360" w:type="dxa"/>
            <w:vAlign w:val="bottom"/>
            <w:gridSpan w:val="3"/>
            <w:shd w:val="clear" w:color="auto" w:fill="EEEEEE"/>
          </w:tcPr>
          <w:p>
            <w:pPr>
              <w:ind w:left="680"/>
              <w:spacing w:after="0"/>
              <w:rPr>
                <w:sz w:val="20"/>
                <w:szCs w:val="20"/>
                <w:color w:val="auto"/>
              </w:rPr>
            </w:pPr>
            <w:r>
              <w:rPr>
                <w:rFonts w:ascii="Arial" w:cs="Arial" w:eastAsia="Arial" w:hAnsi="Arial"/>
                <w:sz w:val="18"/>
                <w:szCs w:val="18"/>
                <w:color w:val="auto"/>
              </w:rPr>
              <w:t>Scottsdale Educational Center for Allied Health Careers, Incorporated</w:t>
            </w:r>
          </w:p>
        </w:tc>
        <w:tc>
          <w:tcPr>
            <w:tcW w:w="1620" w:type="dxa"/>
            <w:vAlign w:val="bottom"/>
            <w:shd w:val="clear" w:color="auto" w:fill="EEEEEE"/>
          </w:tcPr>
          <w:p>
            <w:pPr>
              <w:spacing w:after="0"/>
              <w:rPr>
                <w:sz w:val="20"/>
                <w:szCs w:val="20"/>
                <w:color w:val="auto"/>
              </w:rPr>
            </w:pPr>
            <w:r>
              <w:rPr>
                <w:rFonts w:ascii="Arial" w:cs="Arial" w:eastAsia="Arial" w:hAnsi="Arial"/>
                <w:sz w:val="18"/>
                <w:szCs w:val="18"/>
                <w:color w:val="auto"/>
              </w:rPr>
              <w:t>Arizona</w:t>
            </w:r>
          </w:p>
        </w:tc>
        <w:tc>
          <w:tcPr>
            <w:tcW w:w="1440" w:type="dxa"/>
            <w:vAlign w:val="bottom"/>
            <w:gridSpan w:val="2"/>
            <w:shd w:val="clear" w:color="auto" w:fill="EEEEEE"/>
          </w:tcPr>
          <w:p>
            <w:pPr>
              <w:jc w:val="right"/>
              <w:ind w:right="183"/>
              <w:spacing w:after="0"/>
              <w:rPr>
                <w:sz w:val="20"/>
                <w:szCs w:val="20"/>
                <w:color w:val="auto"/>
              </w:rPr>
            </w:pPr>
            <w:r>
              <w:rPr>
                <w:rFonts w:ascii="Arial" w:cs="Arial" w:eastAsia="Arial" w:hAnsi="Arial"/>
                <w:sz w:val="18"/>
                <w:szCs w:val="18"/>
                <w:color w:val="auto"/>
              </w:rPr>
              <w:t>100%</w:t>
            </w:r>
          </w:p>
        </w:tc>
      </w:tr>
      <w:tr>
        <w:trPr>
          <w:trHeight w:val="230"/>
        </w:trPr>
        <w:tc>
          <w:tcPr>
            <w:tcW w:w="8360" w:type="dxa"/>
            <w:vAlign w:val="bottom"/>
            <w:gridSpan w:val="3"/>
          </w:tcPr>
          <w:p>
            <w:pPr>
              <w:ind w:left="680"/>
              <w:spacing w:after="0"/>
              <w:rPr>
                <w:sz w:val="20"/>
                <w:szCs w:val="20"/>
                <w:color w:val="auto"/>
              </w:rPr>
            </w:pPr>
            <w:r>
              <w:rPr>
                <w:rFonts w:ascii="Arial" w:cs="Arial" w:eastAsia="Arial" w:hAnsi="Arial"/>
                <w:sz w:val="18"/>
                <w:szCs w:val="18"/>
                <w:color w:val="auto"/>
              </w:rPr>
              <w:t>Tesst-Kap, LLC</w:t>
            </w:r>
          </w:p>
        </w:tc>
        <w:tc>
          <w:tcPr>
            <w:tcW w:w="1620" w:type="dxa"/>
            <w:vAlign w:val="bottom"/>
          </w:tcPr>
          <w:p>
            <w:pPr>
              <w:spacing w:after="0"/>
              <w:rPr>
                <w:sz w:val="20"/>
                <w:szCs w:val="20"/>
                <w:color w:val="auto"/>
              </w:rPr>
            </w:pPr>
            <w:r>
              <w:rPr>
                <w:rFonts w:ascii="Arial" w:cs="Arial" w:eastAsia="Arial" w:hAnsi="Arial"/>
                <w:sz w:val="18"/>
                <w:szCs w:val="18"/>
                <w:color w:val="auto"/>
              </w:rPr>
              <w:t>Delaware</w:t>
            </w:r>
          </w:p>
        </w:tc>
        <w:tc>
          <w:tcPr>
            <w:tcW w:w="1440" w:type="dxa"/>
            <w:vAlign w:val="bottom"/>
            <w:gridSpan w:val="2"/>
          </w:tcPr>
          <w:p>
            <w:pPr>
              <w:jc w:val="right"/>
              <w:ind w:right="183"/>
              <w:spacing w:after="0"/>
              <w:rPr>
                <w:sz w:val="20"/>
                <w:szCs w:val="20"/>
                <w:color w:val="auto"/>
              </w:rPr>
            </w:pPr>
            <w:r>
              <w:rPr>
                <w:rFonts w:ascii="Arial" w:cs="Arial" w:eastAsia="Arial" w:hAnsi="Arial"/>
                <w:sz w:val="18"/>
                <w:szCs w:val="18"/>
                <w:color w:val="auto"/>
              </w:rPr>
              <w:t>100%</w:t>
            </w:r>
          </w:p>
        </w:tc>
      </w:tr>
      <w:tr>
        <w:trPr>
          <w:trHeight w:val="377"/>
        </w:trPr>
        <w:tc>
          <w:tcPr>
            <w:tcW w:w="8360" w:type="dxa"/>
            <w:vAlign w:val="bottom"/>
            <w:gridSpan w:val="3"/>
          </w:tcPr>
          <w:p>
            <w:pPr>
              <w:ind w:left="5660"/>
              <w:spacing w:after="0"/>
              <w:rPr>
                <w:sz w:val="20"/>
                <w:szCs w:val="20"/>
                <w:color w:val="auto"/>
              </w:rPr>
            </w:pPr>
            <w:r>
              <w:rPr>
                <w:rFonts w:ascii="Arial" w:cs="Arial" w:eastAsia="Arial" w:hAnsi="Arial"/>
                <w:sz w:val="18"/>
                <w:szCs w:val="18"/>
                <w:color w:val="auto"/>
              </w:rPr>
              <w:t>2</w:t>
            </w:r>
          </w:p>
        </w:tc>
        <w:tc>
          <w:tcPr>
            <w:tcW w:w="1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6"/>
        </w:trPr>
        <w:tc>
          <w:tcPr>
            <w:tcW w:w="3000" w:type="dxa"/>
            <w:vAlign w:val="bottom"/>
            <w:tcBorders>
              <w:bottom w:val="single" w:sz="8" w:color="808080"/>
            </w:tcBorders>
          </w:tcPr>
          <w:p>
            <w:pPr>
              <w:spacing w:after="0"/>
              <w:rPr>
                <w:sz w:val="19"/>
                <w:szCs w:val="19"/>
                <w:color w:val="auto"/>
              </w:rPr>
            </w:pPr>
          </w:p>
        </w:tc>
        <w:tc>
          <w:tcPr>
            <w:tcW w:w="2020" w:type="dxa"/>
            <w:vAlign w:val="bottom"/>
            <w:tcBorders>
              <w:bottom w:val="single" w:sz="8" w:color="808080"/>
            </w:tcBorders>
          </w:tcPr>
          <w:p>
            <w:pPr>
              <w:spacing w:after="0"/>
              <w:rPr>
                <w:sz w:val="19"/>
                <w:szCs w:val="19"/>
                <w:color w:val="auto"/>
              </w:rPr>
            </w:pPr>
          </w:p>
        </w:tc>
        <w:tc>
          <w:tcPr>
            <w:tcW w:w="334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color w:val="auto"/>
        </w:rPr>
        <w:t>SUBSIDIARIES OF THE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w w:val="97"/>
              </w:rPr>
              <w:t>Jurisdiction</w:t>
            </w:r>
          </w:p>
        </w:tc>
        <w:tc>
          <w:tcPr>
            <w:tcW w:w="3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 of</w:t>
            </w:r>
          </w:p>
        </w:tc>
      </w:tr>
      <w:tr>
        <w:trPr>
          <w:trHeight w:val="149"/>
        </w:trPr>
        <w:tc>
          <w:tcPr>
            <w:tcW w:w="30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rPr>
              <w:t>of</w:t>
            </w:r>
          </w:p>
        </w:tc>
        <w:tc>
          <w:tcPr>
            <w:tcW w:w="3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rPr>
              <w:t>Voting</w:t>
            </w:r>
          </w:p>
        </w:tc>
      </w:tr>
      <w:tr>
        <w:trPr>
          <w:trHeight w:val="149"/>
        </w:trPr>
        <w:tc>
          <w:tcPr>
            <w:tcW w:w="30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95"/>
              </w:rPr>
              <w:t>Incorporation</w:t>
            </w:r>
          </w:p>
        </w:tc>
        <w:tc>
          <w:tcPr>
            <w:tcW w:w="3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1"/>
              </w:rPr>
              <w:t>Stock</w:t>
            </w:r>
          </w:p>
        </w:tc>
      </w:tr>
      <w:tr>
        <w:trPr>
          <w:trHeight w:val="149"/>
        </w:trPr>
        <w:tc>
          <w:tcPr>
            <w:tcW w:w="30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96"/>
              </w:rPr>
              <w:t>or</w:t>
            </w:r>
          </w:p>
        </w:tc>
        <w:tc>
          <w:tcPr>
            <w:tcW w:w="3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0"/>
              </w:rPr>
              <w:t>Owned</w:t>
            </w:r>
          </w:p>
        </w:tc>
      </w:tr>
      <w:tr>
        <w:trPr>
          <w:trHeight w:val="182"/>
        </w:trPr>
        <w:tc>
          <w:tcPr>
            <w:tcW w:w="3000" w:type="dxa"/>
            <w:vAlign w:val="bottom"/>
          </w:tcPr>
          <w:p>
            <w:pPr>
              <w:spacing w:after="0"/>
              <w:rPr>
                <w:sz w:val="15"/>
                <w:szCs w:val="15"/>
                <w:color w:val="auto"/>
              </w:rPr>
            </w:pPr>
          </w:p>
        </w:tc>
        <w:tc>
          <w:tcPr>
            <w:tcW w:w="2540" w:type="dxa"/>
            <w:vAlign w:val="bottom"/>
            <w:gridSpan w:val="2"/>
          </w:tcPr>
          <w:p>
            <w:pPr>
              <w:ind w:left="440"/>
              <w:spacing w:after="0"/>
              <w:rPr>
                <w:sz w:val="20"/>
                <w:szCs w:val="20"/>
                <w:color w:val="auto"/>
              </w:rPr>
            </w:pPr>
            <w:r>
              <w:rPr>
                <w:rFonts w:ascii="Arial" w:cs="Arial" w:eastAsia="Arial" w:hAnsi="Arial"/>
                <w:sz w:val="14"/>
                <w:szCs w:val="14"/>
                <w:color w:val="auto"/>
              </w:rPr>
              <w:t>Name of Subsidiary</w:t>
            </w:r>
          </w:p>
        </w:tc>
        <w:tc>
          <w:tcPr>
            <w:tcW w:w="286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w w:val="93"/>
              </w:rPr>
              <w:t>Organization</w:t>
            </w:r>
          </w:p>
        </w:tc>
        <w:tc>
          <w:tcPr>
            <w:tcW w:w="36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1"/>
              </w:rPr>
              <w:t>by Company</w:t>
            </w:r>
          </w:p>
        </w:tc>
      </w:tr>
      <w:tr>
        <w:trPr>
          <w:trHeight w:val="53"/>
        </w:trPr>
        <w:tc>
          <w:tcPr>
            <w:tcW w:w="3000" w:type="dxa"/>
            <w:vAlign w:val="bottom"/>
          </w:tcPr>
          <w:p>
            <w:pPr>
              <w:spacing w:after="0"/>
              <w:rPr>
                <w:sz w:val="4"/>
                <w:szCs w:val="4"/>
                <w:color w:val="auto"/>
              </w:rPr>
            </w:pPr>
          </w:p>
        </w:tc>
        <w:tc>
          <w:tcPr>
            <w:tcW w:w="2040" w:type="dxa"/>
            <w:vAlign w:val="bottom"/>
            <w:tcBorders>
              <w:bottom w:val="single" w:sz="8" w:color="808080"/>
            </w:tcBorders>
          </w:tcPr>
          <w:p>
            <w:pPr>
              <w:spacing w:after="0"/>
              <w:rPr>
                <w:sz w:val="4"/>
                <w:szCs w:val="4"/>
                <w:color w:val="auto"/>
              </w:rPr>
            </w:pPr>
          </w:p>
        </w:tc>
        <w:tc>
          <w:tcPr>
            <w:tcW w:w="500" w:type="dxa"/>
            <w:vAlign w:val="bottom"/>
          </w:tcPr>
          <w:p>
            <w:pPr>
              <w:spacing w:after="0"/>
              <w:rPr>
                <w:sz w:val="4"/>
                <w:szCs w:val="4"/>
                <w:color w:val="auto"/>
              </w:rPr>
            </w:pPr>
          </w:p>
        </w:tc>
        <w:tc>
          <w:tcPr>
            <w:tcW w:w="2860" w:type="dxa"/>
            <w:vAlign w:val="bottom"/>
          </w:tcPr>
          <w:p>
            <w:pPr>
              <w:spacing w:after="0"/>
              <w:rPr>
                <w:sz w:val="4"/>
                <w:szCs w:val="4"/>
                <w:color w:val="auto"/>
              </w:rPr>
            </w:pPr>
          </w:p>
        </w:tc>
        <w:tc>
          <w:tcPr>
            <w:tcW w:w="1620" w:type="dxa"/>
            <w:vAlign w:val="bottom"/>
            <w:tcBorders>
              <w:bottom w:val="single" w:sz="8" w:color="808080"/>
            </w:tcBorders>
          </w:tcPr>
          <w:p>
            <w:pPr>
              <w:spacing w:after="0"/>
              <w:rPr>
                <w:sz w:val="4"/>
                <w:szCs w:val="4"/>
                <w:color w:val="auto"/>
              </w:rPr>
            </w:pPr>
          </w:p>
        </w:tc>
        <w:tc>
          <w:tcPr>
            <w:tcW w:w="360" w:type="dxa"/>
            <w:vAlign w:val="bottom"/>
          </w:tcPr>
          <w:p>
            <w:pPr>
              <w:spacing w:after="0"/>
              <w:rPr>
                <w:sz w:val="4"/>
                <w:szCs w:val="4"/>
                <w:color w:val="auto"/>
              </w:rPr>
            </w:pPr>
          </w:p>
        </w:tc>
        <w:tc>
          <w:tcPr>
            <w:tcW w:w="1040" w:type="dxa"/>
            <w:vAlign w:val="bottom"/>
            <w:tcBorders>
              <w:bottom w:val="single" w:sz="8" w:color="808080"/>
            </w:tcBorders>
          </w:tcPr>
          <w:p>
            <w:pPr>
              <w:spacing w:after="0"/>
              <w:rPr>
                <w:sz w:val="4"/>
                <w:szCs w:val="4"/>
                <w:color w:val="auto"/>
              </w:rPr>
            </w:pPr>
          </w:p>
        </w:tc>
      </w:tr>
      <w:tr>
        <w:trPr>
          <w:trHeight w:val="291"/>
        </w:trPr>
        <w:tc>
          <w:tcPr>
            <w:tcW w:w="5540" w:type="dxa"/>
            <w:vAlign w:val="bottom"/>
            <w:gridSpan w:val="3"/>
          </w:tcPr>
          <w:p>
            <w:pPr>
              <w:ind w:left="680"/>
              <w:spacing w:after="0"/>
              <w:rPr>
                <w:sz w:val="20"/>
                <w:szCs w:val="20"/>
                <w:color w:val="auto"/>
              </w:rPr>
            </w:pPr>
            <w:r>
              <w:rPr>
                <w:rFonts w:ascii="Arial" w:cs="Arial" w:eastAsia="Arial" w:hAnsi="Arial"/>
                <w:sz w:val="18"/>
                <w:szCs w:val="18"/>
                <w:color w:val="auto"/>
              </w:rPr>
              <w:t>Thompson Education, LLC</w:t>
            </w:r>
          </w:p>
        </w:tc>
        <w:tc>
          <w:tcPr>
            <w:tcW w:w="286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Delaware</w:t>
            </w:r>
          </w:p>
        </w:tc>
        <w:tc>
          <w:tcPr>
            <w:tcW w:w="1400" w:type="dxa"/>
            <w:vAlign w:val="bottom"/>
            <w:gridSpan w:val="2"/>
          </w:tcPr>
          <w:p>
            <w:pPr>
              <w:jc w:val="right"/>
              <w:ind w:right="148"/>
              <w:spacing w:after="0"/>
              <w:rPr>
                <w:sz w:val="20"/>
                <w:szCs w:val="20"/>
                <w:color w:val="auto"/>
              </w:rPr>
            </w:pPr>
            <w:r>
              <w:rPr>
                <w:rFonts w:ascii="Arial" w:cs="Arial" w:eastAsia="Arial" w:hAnsi="Arial"/>
                <w:sz w:val="18"/>
                <w:szCs w:val="18"/>
                <w:color w:val="auto"/>
              </w:rPr>
              <w:t>100%</w:t>
            </w:r>
          </w:p>
        </w:tc>
      </w:tr>
      <w:tr>
        <w:trPr>
          <w:trHeight w:val="216"/>
        </w:trPr>
        <w:tc>
          <w:tcPr>
            <w:tcW w:w="5540" w:type="dxa"/>
            <w:vAlign w:val="bottom"/>
            <w:gridSpan w:val="3"/>
            <w:shd w:val="clear" w:color="auto" w:fill="EEEEEE"/>
          </w:tcPr>
          <w:p>
            <w:pPr>
              <w:ind w:left="420"/>
              <w:spacing w:after="0"/>
              <w:rPr>
                <w:sz w:val="20"/>
                <w:szCs w:val="20"/>
                <w:color w:val="auto"/>
              </w:rPr>
            </w:pPr>
            <w:r>
              <w:rPr>
                <w:rFonts w:ascii="Arial" w:cs="Arial" w:eastAsia="Arial" w:hAnsi="Arial"/>
                <w:sz w:val="18"/>
                <w:szCs w:val="18"/>
                <w:color w:val="auto"/>
              </w:rPr>
              <w:t>Kaplan International, Inc.</w:t>
            </w:r>
          </w:p>
        </w:tc>
        <w:tc>
          <w:tcPr>
            <w:tcW w:w="2860" w:type="dxa"/>
            <w:vAlign w:val="bottom"/>
            <w:shd w:val="clear" w:color="auto" w:fill="EEEEEE"/>
          </w:tcPr>
          <w:p>
            <w:pPr>
              <w:spacing w:after="0"/>
              <w:rPr>
                <w:sz w:val="18"/>
                <w:szCs w:val="18"/>
                <w:color w:val="auto"/>
              </w:rPr>
            </w:pPr>
          </w:p>
        </w:tc>
        <w:tc>
          <w:tcPr>
            <w:tcW w:w="1620" w:type="dxa"/>
            <w:vAlign w:val="bottom"/>
            <w:shd w:val="clear" w:color="auto" w:fill="EEEEEE"/>
          </w:tcPr>
          <w:p>
            <w:pPr>
              <w:spacing w:after="0"/>
              <w:rPr>
                <w:sz w:val="20"/>
                <w:szCs w:val="20"/>
                <w:color w:val="auto"/>
              </w:rPr>
            </w:pPr>
            <w:r>
              <w:rPr>
                <w:rFonts w:ascii="Arial" w:cs="Arial" w:eastAsia="Arial" w:hAnsi="Arial"/>
                <w:sz w:val="18"/>
                <w:szCs w:val="18"/>
                <w:color w:val="auto"/>
              </w:rPr>
              <w:t>Delaware</w:t>
            </w:r>
          </w:p>
        </w:tc>
        <w:tc>
          <w:tcPr>
            <w:tcW w:w="1400" w:type="dxa"/>
            <w:vAlign w:val="bottom"/>
            <w:gridSpan w:val="2"/>
            <w:shd w:val="clear" w:color="auto" w:fill="EEEEEE"/>
          </w:tcPr>
          <w:p>
            <w:pPr>
              <w:jc w:val="right"/>
              <w:ind w:right="148"/>
              <w:spacing w:after="0"/>
              <w:rPr>
                <w:sz w:val="20"/>
                <w:szCs w:val="20"/>
                <w:color w:val="auto"/>
              </w:rPr>
            </w:pPr>
            <w:r>
              <w:rPr>
                <w:rFonts w:ascii="Arial" w:cs="Arial" w:eastAsia="Arial" w:hAnsi="Arial"/>
                <w:sz w:val="18"/>
                <w:szCs w:val="18"/>
                <w:color w:val="auto"/>
              </w:rPr>
              <w:t>100%</w:t>
            </w:r>
          </w:p>
        </w:tc>
      </w:tr>
      <w:tr>
        <w:trPr>
          <w:trHeight w:val="216"/>
        </w:trPr>
        <w:tc>
          <w:tcPr>
            <w:tcW w:w="5540" w:type="dxa"/>
            <w:vAlign w:val="bottom"/>
            <w:gridSpan w:val="3"/>
          </w:tcPr>
          <w:p>
            <w:pPr>
              <w:ind w:left="420"/>
              <w:spacing w:after="0"/>
              <w:rPr>
                <w:sz w:val="20"/>
                <w:szCs w:val="20"/>
                <w:color w:val="auto"/>
              </w:rPr>
            </w:pPr>
            <w:r>
              <w:rPr>
                <w:rFonts w:ascii="Arial" w:cs="Arial" w:eastAsia="Arial" w:hAnsi="Arial"/>
                <w:sz w:val="18"/>
                <w:szCs w:val="18"/>
                <w:color w:val="auto"/>
              </w:rPr>
              <w:t>Kaplan Mexico Holdings, LLC</w:t>
            </w:r>
          </w:p>
        </w:tc>
        <w:tc>
          <w:tcPr>
            <w:tcW w:w="28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Delaware</w:t>
            </w:r>
          </w:p>
        </w:tc>
        <w:tc>
          <w:tcPr>
            <w:tcW w:w="1400" w:type="dxa"/>
            <w:vAlign w:val="bottom"/>
            <w:gridSpan w:val="2"/>
          </w:tcPr>
          <w:p>
            <w:pPr>
              <w:jc w:val="right"/>
              <w:ind w:right="148"/>
              <w:spacing w:after="0"/>
              <w:rPr>
                <w:sz w:val="20"/>
                <w:szCs w:val="20"/>
                <w:color w:val="auto"/>
              </w:rPr>
            </w:pPr>
            <w:r>
              <w:rPr>
                <w:rFonts w:ascii="Arial" w:cs="Arial" w:eastAsia="Arial" w:hAnsi="Arial"/>
                <w:sz w:val="18"/>
                <w:szCs w:val="18"/>
                <w:color w:val="auto"/>
              </w:rPr>
              <w:t>100%</w:t>
            </w:r>
          </w:p>
        </w:tc>
      </w:tr>
      <w:tr>
        <w:trPr>
          <w:trHeight w:val="216"/>
        </w:trPr>
        <w:tc>
          <w:tcPr>
            <w:tcW w:w="5540" w:type="dxa"/>
            <w:vAlign w:val="bottom"/>
            <w:gridSpan w:val="3"/>
            <w:shd w:val="clear" w:color="auto" w:fill="EEEEEE"/>
          </w:tcPr>
          <w:p>
            <w:pPr>
              <w:ind w:left="680"/>
              <w:spacing w:after="0"/>
              <w:rPr>
                <w:sz w:val="20"/>
                <w:szCs w:val="20"/>
                <w:color w:val="auto"/>
              </w:rPr>
            </w:pPr>
            <w:r>
              <w:rPr>
                <w:rFonts w:ascii="Arial" w:cs="Arial" w:eastAsia="Arial" w:hAnsi="Arial"/>
                <w:sz w:val="18"/>
                <w:szCs w:val="18"/>
                <w:color w:val="auto"/>
              </w:rPr>
              <w:t>Kaplan Educational Services de Mexico, S. de R.L. de C.V.</w:t>
            </w:r>
          </w:p>
        </w:tc>
        <w:tc>
          <w:tcPr>
            <w:tcW w:w="2860" w:type="dxa"/>
            <w:vAlign w:val="bottom"/>
            <w:shd w:val="clear" w:color="auto" w:fill="EEEEEE"/>
          </w:tcPr>
          <w:p>
            <w:pPr>
              <w:spacing w:after="0"/>
              <w:rPr>
                <w:sz w:val="18"/>
                <w:szCs w:val="18"/>
                <w:color w:val="auto"/>
              </w:rPr>
            </w:pPr>
          </w:p>
        </w:tc>
        <w:tc>
          <w:tcPr>
            <w:tcW w:w="1620" w:type="dxa"/>
            <w:vAlign w:val="bottom"/>
            <w:shd w:val="clear" w:color="auto" w:fill="EEEEEE"/>
          </w:tcPr>
          <w:p>
            <w:pPr>
              <w:spacing w:after="0"/>
              <w:rPr>
                <w:sz w:val="20"/>
                <w:szCs w:val="20"/>
                <w:color w:val="auto"/>
              </w:rPr>
            </w:pPr>
            <w:r>
              <w:rPr>
                <w:rFonts w:ascii="Arial" w:cs="Arial" w:eastAsia="Arial" w:hAnsi="Arial"/>
                <w:sz w:val="18"/>
                <w:szCs w:val="18"/>
                <w:color w:val="auto"/>
              </w:rPr>
              <w:t>Mexico</w:t>
            </w:r>
          </w:p>
        </w:tc>
        <w:tc>
          <w:tcPr>
            <w:tcW w:w="1400" w:type="dxa"/>
            <w:vAlign w:val="bottom"/>
            <w:gridSpan w:val="2"/>
            <w:shd w:val="clear" w:color="auto" w:fill="EEEEEE"/>
          </w:tcPr>
          <w:p>
            <w:pPr>
              <w:jc w:val="right"/>
              <w:ind w:right="148"/>
              <w:spacing w:after="0"/>
              <w:rPr>
                <w:sz w:val="20"/>
                <w:szCs w:val="20"/>
                <w:color w:val="auto"/>
              </w:rPr>
            </w:pPr>
            <w:r>
              <w:rPr>
                <w:rFonts w:ascii="Arial" w:cs="Arial" w:eastAsia="Arial" w:hAnsi="Arial"/>
                <w:sz w:val="18"/>
                <w:szCs w:val="18"/>
                <w:color w:val="auto"/>
              </w:rPr>
              <w:t>1%</w:t>
            </w:r>
          </w:p>
        </w:tc>
      </w:tr>
      <w:tr>
        <w:trPr>
          <w:trHeight w:val="216"/>
        </w:trPr>
        <w:tc>
          <w:tcPr>
            <w:tcW w:w="5540" w:type="dxa"/>
            <w:vAlign w:val="bottom"/>
            <w:gridSpan w:val="3"/>
          </w:tcPr>
          <w:p>
            <w:pPr>
              <w:ind w:left="420"/>
              <w:spacing w:after="0"/>
              <w:rPr>
                <w:sz w:val="20"/>
                <w:szCs w:val="20"/>
                <w:color w:val="auto"/>
              </w:rPr>
            </w:pPr>
            <w:r>
              <w:rPr>
                <w:rFonts w:ascii="Arial" w:cs="Arial" w:eastAsia="Arial" w:hAnsi="Arial"/>
                <w:sz w:val="18"/>
                <w:szCs w:val="18"/>
                <w:color w:val="auto"/>
              </w:rPr>
              <w:t>Kaplan (PR) Inc.</w:t>
            </w:r>
          </w:p>
        </w:tc>
        <w:tc>
          <w:tcPr>
            <w:tcW w:w="28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Puerto Rico</w:t>
            </w:r>
          </w:p>
        </w:tc>
        <w:tc>
          <w:tcPr>
            <w:tcW w:w="1400" w:type="dxa"/>
            <w:vAlign w:val="bottom"/>
            <w:gridSpan w:val="2"/>
          </w:tcPr>
          <w:p>
            <w:pPr>
              <w:jc w:val="right"/>
              <w:ind w:right="148"/>
              <w:spacing w:after="0"/>
              <w:rPr>
                <w:sz w:val="20"/>
                <w:szCs w:val="20"/>
                <w:color w:val="auto"/>
              </w:rPr>
            </w:pPr>
            <w:r>
              <w:rPr>
                <w:rFonts w:ascii="Arial" w:cs="Arial" w:eastAsia="Arial" w:hAnsi="Arial"/>
                <w:sz w:val="18"/>
                <w:szCs w:val="18"/>
                <w:color w:val="auto"/>
              </w:rPr>
              <w:t>100%</w:t>
            </w:r>
          </w:p>
        </w:tc>
      </w:tr>
      <w:tr>
        <w:trPr>
          <w:trHeight w:val="216"/>
        </w:trPr>
        <w:tc>
          <w:tcPr>
            <w:tcW w:w="5540" w:type="dxa"/>
            <w:vAlign w:val="bottom"/>
            <w:gridSpan w:val="3"/>
            <w:shd w:val="clear" w:color="auto" w:fill="EEEEEE"/>
          </w:tcPr>
          <w:p>
            <w:pPr>
              <w:ind w:left="420"/>
              <w:spacing w:after="0"/>
              <w:rPr>
                <w:sz w:val="20"/>
                <w:szCs w:val="20"/>
                <w:color w:val="auto"/>
              </w:rPr>
            </w:pPr>
            <w:r>
              <w:rPr>
                <w:rFonts w:ascii="Arial" w:cs="Arial" w:eastAsia="Arial" w:hAnsi="Arial"/>
                <w:sz w:val="18"/>
                <w:szCs w:val="18"/>
                <w:color w:val="auto"/>
              </w:rPr>
              <w:t>Kaplan Test Prep International, Inc.</w:t>
            </w:r>
          </w:p>
        </w:tc>
        <w:tc>
          <w:tcPr>
            <w:tcW w:w="2860" w:type="dxa"/>
            <w:vAlign w:val="bottom"/>
            <w:shd w:val="clear" w:color="auto" w:fill="EEEEEE"/>
          </w:tcPr>
          <w:p>
            <w:pPr>
              <w:spacing w:after="0"/>
              <w:rPr>
                <w:sz w:val="18"/>
                <w:szCs w:val="18"/>
                <w:color w:val="auto"/>
              </w:rPr>
            </w:pPr>
          </w:p>
        </w:tc>
        <w:tc>
          <w:tcPr>
            <w:tcW w:w="1620" w:type="dxa"/>
            <w:vAlign w:val="bottom"/>
            <w:shd w:val="clear" w:color="auto" w:fill="EEEEEE"/>
          </w:tcPr>
          <w:p>
            <w:pPr>
              <w:spacing w:after="0"/>
              <w:rPr>
                <w:sz w:val="20"/>
                <w:szCs w:val="20"/>
                <w:color w:val="auto"/>
              </w:rPr>
            </w:pPr>
            <w:r>
              <w:rPr>
                <w:rFonts w:ascii="Arial" w:cs="Arial" w:eastAsia="Arial" w:hAnsi="Arial"/>
                <w:sz w:val="18"/>
                <w:szCs w:val="18"/>
                <w:color w:val="auto"/>
              </w:rPr>
              <w:t>California</w:t>
            </w:r>
          </w:p>
        </w:tc>
        <w:tc>
          <w:tcPr>
            <w:tcW w:w="1400" w:type="dxa"/>
            <w:vAlign w:val="bottom"/>
            <w:gridSpan w:val="2"/>
            <w:shd w:val="clear" w:color="auto" w:fill="EEEEEE"/>
          </w:tcPr>
          <w:p>
            <w:pPr>
              <w:jc w:val="right"/>
              <w:ind w:right="148"/>
              <w:spacing w:after="0"/>
              <w:rPr>
                <w:sz w:val="20"/>
                <w:szCs w:val="20"/>
                <w:color w:val="auto"/>
              </w:rPr>
            </w:pPr>
            <w:r>
              <w:rPr>
                <w:rFonts w:ascii="Arial" w:cs="Arial" w:eastAsia="Arial" w:hAnsi="Arial"/>
                <w:sz w:val="18"/>
                <w:szCs w:val="18"/>
                <w:color w:val="auto"/>
              </w:rPr>
              <w:t>100%</w:t>
            </w:r>
          </w:p>
        </w:tc>
      </w:tr>
      <w:tr>
        <w:trPr>
          <w:trHeight w:val="216"/>
        </w:trPr>
        <w:tc>
          <w:tcPr>
            <w:tcW w:w="5540" w:type="dxa"/>
            <w:vAlign w:val="bottom"/>
            <w:gridSpan w:val="3"/>
          </w:tcPr>
          <w:p>
            <w:pPr>
              <w:ind w:left="420"/>
              <w:spacing w:after="0"/>
              <w:rPr>
                <w:sz w:val="20"/>
                <w:szCs w:val="20"/>
                <w:color w:val="auto"/>
              </w:rPr>
            </w:pPr>
            <w:r>
              <w:rPr>
                <w:rFonts w:ascii="Arial" w:cs="Arial" w:eastAsia="Arial" w:hAnsi="Arial"/>
                <w:sz w:val="18"/>
                <w:szCs w:val="18"/>
                <w:color w:val="auto"/>
              </w:rPr>
              <w:t>Kaplan U.K. Limited</w:t>
            </w:r>
          </w:p>
        </w:tc>
        <w:tc>
          <w:tcPr>
            <w:tcW w:w="28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England &amp; Wales</w:t>
            </w:r>
          </w:p>
        </w:tc>
        <w:tc>
          <w:tcPr>
            <w:tcW w:w="1400" w:type="dxa"/>
            <w:vAlign w:val="bottom"/>
            <w:gridSpan w:val="2"/>
          </w:tcPr>
          <w:p>
            <w:pPr>
              <w:jc w:val="right"/>
              <w:ind w:right="148"/>
              <w:spacing w:after="0"/>
              <w:rPr>
                <w:sz w:val="20"/>
                <w:szCs w:val="20"/>
                <w:color w:val="auto"/>
              </w:rPr>
            </w:pPr>
            <w:r>
              <w:rPr>
                <w:rFonts w:ascii="Arial" w:cs="Arial" w:eastAsia="Arial" w:hAnsi="Arial"/>
                <w:sz w:val="18"/>
                <w:szCs w:val="18"/>
                <w:color w:val="auto"/>
              </w:rPr>
              <w:t>100%</w:t>
            </w:r>
          </w:p>
        </w:tc>
      </w:tr>
      <w:tr>
        <w:trPr>
          <w:trHeight w:val="216"/>
        </w:trPr>
        <w:tc>
          <w:tcPr>
            <w:tcW w:w="5540" w:type="dxa"/>
            <w:vAlign w:val="bottom"/>
            <w:gridSpan w:val="3"/>
            <w:shd w:val="clear" w:color="auto" w:fill="EEEEEE"/>
          </w:tcPr>
          <w:p>
            <w:pPr>
              <w:ind w:left="680"/>
              <w:spacing w:after="0"/>
              <w:rPr>
                <w:sz w:val="20"/>
                <w:szCs w:val="20"/>
                <w:color w:val="auto"/>
              </w:rPr>
            </w:pPr>
            <w:r>
              <w:rPr>
                <w:rFonts w:ascii="Arial" w:cs="Arial" w:eastAsia="Arial" w:hAnsi="Arial"/>
                <w:sz w:val="18"/>
                <w:szCs w:val="18"/>
                <w:color w:val="auto"/>
              </w:rPr>
              <w:t>FTC Holdings Limited</w:t>
            </w:r>
          </w:p>
        </w:tc>
        <w:tc>
          <w:tcPr>
            <w:tcW w:w="2860" w:type="dxa"/>
            <w:vAlign w:val="bottom"/>
            <w:shd w:val="clear" w:color="auto" w:fill="EEEEEE"/>
          </w:tcPr>
          <w:p>
            <w:pPr>
              <w:spacing w:after="0"/>
              <w:rPr>
                <w:sz w:val="18"/>
                <w:szCs w:val="18"/>
                <w:color w:val="auto"/>
              </w:rPr>
            </w:pPr>
          </w:p>
        </w:tc>
        <w:tc>
          <w:tcPr>
            <w:tcW w:w="1620" w:type="dxa"/>
            <w:vAlign w:val="bottom"/>
            <w:shd w:val="clear" w:color="auto" w:fill="EEEEEE"/>
          </w:tcPr>
          <w:p>
            <w:pPr>
              <w:spacing w:after="0"/>
              <w:rPr>
                <w:sz w:val="20"/>
                <w:szCs w:val="20"/>
                <w:color w:val="auto"/>
              </w:rPr>
            </w:pPr>
            <w:r>
              <w:rPr>
                <w:rFonts w:ascii="Arial" w:cs="Arial" w:eastAsia="Arial" w:hAnsi="Arial"/>
                <w:sz w:val="18"/>
                <w:szCs w:val="18"/>
                <w:color w:val="auto"/>
              </w:rPr>
              <w:t>England &amp; Wales</w:t>
            </w:r>
          </w:p>
        </w:tc>
        <w:tc>
          <w:tcPr>
            <w:tcW w:w="1400" w:type="dxa"/>
            <w:vAlign w:val="bottom"/>
            <w:gridSpan w:val="2"/>
            <w:shd w:val="clear" w:color="auto" w:fill="EEEEEE"/>
          </w:tcPr>
          <w:p>
            <w:pPr>
              <w:jc w:val="right"/>
              <w:ind w:right="148"/>
              <w:spacing w:after="0"/>
              <w:rPr>
                <w:sz w:val="20"/>
                <w:szCs w:val="20"/>
                <w:color w:val="auto"/>
              </w:rPr>
            </w:pPr>
            <w:r>
              <w:rPr>
                <w:rFonts w:ascii="Arial" w:cs="Arial" w:eastAsia="Arial" w:hAnsi="Arial"/>
                <w:sz w:val="18"/>
                <w:szCs w:val="18"/>
                <w:color w:val="auto"/>
              </w:rPr>
              <w:t>100%</w:t>
            </w:r>
          </w:p>
        </w:tc>
      </w:tr>
      <w:tr>
        <w:trPr>
          <w:trHeight w:val="216"/>
        </w:trPr>
        <w:tc>
          <w:tcPr>
            <w:tcW w:w="5540" w:type="dxa"/>
            <w:vAlign w:val="bottom"/>
            <w:gridSpan w:val="3"/>
          </w:tcPr>
          <w:p>
            <w:pPr>
              <w:ind w:left="960"/>
              <w:spacing w:after="0"/>
              <w:rPr>
                <w:sz w:val="20"/>
                <w:szCs w:val="20"/>
                <w:color w:val="auto"/>
              </w:rPr>
            </w:pPr>
            <w:r>
              <w:rPr>
                <w:rFonts w:ascii="Arial" w:cs="Arial" w:eastAsia="Arial" w:hAnsi="Arial"/>
                <w:sz w:val="18"/>
                <w:szCs w:val="18"/>
                <w:color w:val="auto"/>
              </w:rPr>
              <w:t>The Financial Training Company Limited</w:t>
            </w:r>
          </w:p>
        </w:tc>
        <w:tc>
          <w:tcPr>
            <w:tcW w:w="28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England &amp; Wales</w:t>
            </w:r>
          </w:p>
        </w:tc>
        <w:tc>
          <w:tcPr>
            <w:tcW w:w="1400" w:type="dxa"/>
            <w:vAlign w:val="bottom"/>
            <w:gridSpan w:val="2"/>
          </w:tcPr>
          <w:p>
            <w:pPr>
              <w:jc w:val="right"/>
              <w:ind w:right="148"/>
              <w:spacing w:after="0"/>
              <w:rPr>
                <w:sz w:val="20"/>
                <w:szCs w:val="20"/>
                <w:color w:val="auto"/>
              </w:rPr>
            </w:pPr>
            <w:r>
              <w:rPr>
                <w:rFonts w:ascii="Arial" w:cs="Arial" w:eastAsia="Arial" w:hAnsi="Arial"/>
                <w:sz w:val="18"/>
                <w:szCs w:val="18"/>
                <w:color w:val="auto"/>
              </w:rPr>
              <w:t>100%</w:t>
            </w:r>
          </w:p>
        </w:tc>
      </w:tr>
      <w:tr>
        <w:trPr>
          <w:trHeight w:val="216"/>
        </w:trPr>
        <w:tc>
          <w:tcPr>
            <w:tcW w:w="5540" w:type="dxa"/>
            <w:vAlign w:val="bottom"/>
            <w:gridSpan w:val="3"/>
            <w:shd w:val="clear" w:color="auto" w:fill="EEEEEE"/>
          </w:tcPr>
          <w:p>
            <w:pPr>
              <w:ind w:left="1220"/>
              <w:spacing w:after="0"/>
              <w:rPr>
                <w:sz w:val="20"/>
                <w:szCs w:val="20"/>
                <w:color w:val="auto"/>
              </w:rPr>
            </w:pPr>
            <w:r>
              <w:rPr>
                <w:rFonts w:ascii="Arial" w:cs="Arial" w:eastAsia="Arial" w:hAnsi="Arial"/>
                <w:sz w:val="18"/>
                <w:szCs w:val="18"/>
                <w:color w:val="auto"/>
              </w:rPr>
              <w:t>Accountancy &amp; Financial Publishing Limited</w:t>
            </w:r>
          </w:p>
        </w:tc>
        <w:tc>
          <w:tcPr>
            <w:tcW w:w="2860" w:type="dxa"/>
            <w:vAlign w:val="bottom"/>
            <w:shd w:val="clear" w:color="auto" w:fill="EEEEEE"/>
          </w:tcPr>
          <w:p>
            <w:pPr>
              <w:spacing w:after="0"/>
              <w:rPr>
                <w:sz w:val="18"/>
                <w:szCs w:val="18"/>
                <w:color w:val="auto"/>
              </w:rPr>
            </w:pPr>
          </w:p>
        </w:tc>
        <w:tc>
          <w:tcPr>
            <w:tcW w:w="1620" w:type="dxa"/>
            <w:vAlign w:val="bottom"/>
            <w:shd w:val="clear" w:color="auto" w:fill="EEEEEE"/>
          </w:tcPr>
          <w:p>
            <w:pPr>
              <w:spacing w:after="0"/>
              <w:rPr>
                <w:sz w:val="20"/>
                <w:szCs w:val="20"/>
                <w:color w:val="auto"/>
              </w:rPr>
            </w:pPr>
            <w:r>
              <w:rPr>
                <w:rFonts w:ascii="Arial" w:cs="Arial" w:eastAsia="Arial" w:hAnsi="Arial"/>
                <w:sz w:val="18"/>
                <w:szCs w:val="18"/>
                <w:color w:val="auto"/>
              </w:rPr>
              <w:t>England &amp; Wales</w:t>
            </w:r>
          </w:p>
        </w:tc>
        <w:tc>
          <w:tcPr>
            <w:tcW w:w="1400" w:type="dxa"/>
            <w:vAlign w:val="bottom"/>
            <w:gridSpan w:val="2"/>
            <w:shd w:val="clear" w:color="auto" w:fill="EEEEEE"/>
          </w:tcPr>
          <w:p>
            <w:pPr>
              <w:jc w:val="right"/>
              <w:ind w:right="148"/>
              <w:spacing w:after="0"/>
              <w:rPr>
                <w:sz w:val="20"/>
                <w:szCs w:val="20"/>
                <w:color w:val="auto"/>
              </w:rPr>
            </w:pPr>
            <w:r>
              <w:rPr>
                <w:rFonts w:ascii="Arial" w:cs="Arial" w:eastAsia="Arial" w:hAnsi="Arial"/>
                <w:sz w:val="18"/>
                <w:szCs w:val="18"/>
                <w:color w:val="auto"/>
              </w:rPr>
              <w:t>50%</w:t>
            </w:r>
          </w:p>
        </w:tc>
      </w:tr>
      <w:tr>
        <w:trPr>
          <w:trHeight w:val="216"/>
        </w:trPr>
        <w:tc>
          <w:tcPr>
            <w:tcW w:w="5540" w:type="dxa"/>
            <w:vAlign w:val="bottom"/>
            <w:gridSpan w:val="3"/>
          </w:tcPr>
          <w:p>
            <w:pPr>
              <w:ind w:left="1220"/>
              <w:spacing w:after="0"/>
              <w:rPr>
                <w:sz w:val="20"/>
                <w:szCs w:val="20"/>
                <w:color w:val="auto"/>
              </w:rPr>
            </w:pPr>
            <w:r>
              <w:rPr>
                <w:rFonts w:ascii="Arial" w:cs="Arial" w:eastAsia="Arial" w:hAnsi="Arial"/>
                <w:sz w:val="18"/>
                <w:szCs w:val="18"/>
                <w:color w:val="auto"/>
              </w:rPr>
              <w:t>Accountancy &amp; Management Training Limited</w:t>
            </w:r>
          </w:p>
        </w:tc>
        <w:tc>
          <w:tcPr>
            <w:tcW w:w="28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England &amp; Wales</w:t>
            </w:r>
          </w:p>
        </w:tc>
        <w:tc>
          <w:tcPr>
            <w:tcW w:w="1400" w:type="dxa"/>
            <w:vAlign w:val="bottom"/>
            <w:gridSpan w:val="2"/>
          </w:tcPr>
          <w:p>
            <w:pPr>
              <w:jc w:val="right"/>
              <w:ind w:right="148"/>
              <w:spacing w:after="0"/>
              <w:rPr>
                <w:sz w:val="20"/>
                <w:szCs w:val="20"/>
                <w:color w:val="auto"/>
              </w:rPr>
            </w:pPr>
            <w:r>
              <w:rPr>
                <w:rFonts w:ascii="Arial" w:cs="Arial" w:eastAsia="Arial" w:hAnsi="Arial"/>
                <w:sz w:val="18"/>
                <w:szCs w:val="18"/>
                <w:color w:val="auto"/>
              </w:rPr>
              <w:t>100%</w:t>
            </w:r>
          </w:p>
        </w:tc>
      </w:tr>
      <w:tr>
        <w:trPr>
          <w:trHeight w:val="216"/>
        </w:trPr>
        <w:tc>
          <w:tcPr>
            <w:tcW w:w="5540" w:type="dxa"/>
            <w:vAlign w:val="bottom"/>
            <w:gridSpan w:val="3"/>
            <w:shd w:val="clear" w:color="auto" w:fill="EEEEEE"/>
          </w:tcPr>
          <w:p>
            <w:pPr>
              <w:ind w:left="1220"/>
              <w:spacing w:after="0"/>
              <w:rPr>
                <w:sz w:val="20"/>
                <w:szCs w:val="20"/>
                <w:color w:val="auto"/>
              </w:rPr>
            </w:pPr>
            <w:r>
              <w:rPr>
                <w:rFonts w:ascii="Arial" w:cs="Arial" w:eastAsia="Arial" w:hAnsi="Arial"/>
                <w:sz w:val="18"/>
                <w:szCs w:val="18"/>
                <w:color w:val="auto"/>
              </w:rPr>
              <w:t>Accountancy Tuition Centre (Eastern) Limited</w:t>
            </w:r>
          </w:p>
        </w:tc>
        <w:tc>
          <w:tcPr>
            <w:tcW w:w="2860" w:type="dxa"/>
            <w:vAlign w:val="bottom"/>
            <w:shd w:val="clear" w:color="auto" w:fill="EEEEEE"/>
          </w:tcPr>
          <w:p>
            <w:pPr>
              <w:spacing w:after="0"/>
              <w:rPr>
                <w:sz w:val="18"/>
                <w:szCs w:val="18"/>
                <w:color w:val="auto"/>
              </w:rPr>
            </w:pPr>
          </w:p>
        </w:tc>
        <w:tc>
          <w:tcPr>
            <w:tcW w:w="1620" w:type="dxa"/>
            <w:vAlign w:val="bottom"/>
            <w:shd w:val="clear" w:color="auto" w:fill="EEEEEE"/>
          </w:tcPr>
          <w:p>
            <w:pPr>
              <w:spacing w:after="0"/>
              <w:rPr>
                <w:sz w:val="20"/>
                <w:szCs w:val="20"/>
                <w:color w:val="auto"/>
              </w:rPr>
            </w:pPr>
            <w:r>
              <w:rPr>
                <w:rFonts w:ascii="Arial" w:cs="Arial" w:eastAsia="Arial" w:hAnsi="Arial"/>
                <w:sz w:val="18"/>
                <w:szCs w:val="18"/>
                <w:color w:val="auto"/>
              </w:rPr>
              <w:t>England &amp; Wales</w:t>
            </w:r>
          </w:p>
        </w:tc>
        <w:tc>
          <w:tcPr>
            <w:tcW w:w="1400" w:type="dxa"/>
            <w:vAlign w:val="bottom"/>
            <w:gridSpan w:val="2"/>
            <w:shd w:val="clear" w:color="auto" w:fill="EEEEEE"/>
          </w:tcPr>
          <w:p>
            <w:pPr>
              <w:jc w:val="right"/>
              <w:ind w:right="148"/>
              <w:spacing w:after="0"/>
              <w:rPr>
                <w:sz w:val="20"/>
                <w:szCs w:val="20"/>
                <w:color w:val="auto"/>
              </w:rPr>
            </w:pPr>
            <w:r>
              <w:rPr>
                <w:rFonts w:ascii="Arial" w:cs="Arial" w:eastAsia="Arial" w:hAnsi="Arial"/>
                <w:sz w:val="18"/>
                <w:szCs w:val="18"/>
                <w:color w:val="auto"/>
              </w:rPr>
              <w:t>100%</w:t>
            </w:r>
          </w:p>
        </w:tc>
      </w:tr>
      <w:tr>
        <w:trPr>
          <w:trHeight w:val="216"/>
        </w:trPr>
        <w:tc>
          <w:tcPr>
            <w:tcW w:w="5540" w:type="dxa"/>
            <w:vAlign w:val="bottom"/>
            <w:gridSpan w:val="3"/>
          </w:tcPr>
          <w:p>
            <w:pPr>
              <w:ind w:left="1220"/>
              <w:spacing w:after="0"/>
              <w:rPr>
                <w:sz w:val="20"/>
                <w:szCs w:val="20"/>
                <w:color w:val="auto"/>
              </w:rPr>
            </w:pPr>
            <w:r>
              <w:rPr>
                <w:rFonts w:ascii="Arial" w:cs="Arial" w:eastAsia="Arial" w:hAnsi="Arial"/>
                <w:sz w:val="18"/>
                <w:szCs w:val="18"/>
                <w:color w:val="auto"/>
              </w:rPr>
              <w:t>Accountancy Tutors Limited</w:t>
            </w:r>
          </w:p>
        </w:tc>
        <w:tc>
          <w:tcPr>
            <w:tcW w:w="28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England &amp; Wales</w:t>
            </w:r>
          </w:p>
        </w:tc>
        <w:tc>
          <w:tcPr>
            <w:tcW w:w="1400" w:type="dxa"/>
            <w:vAlign w:val="bottom"/>
            <w:gridSpan w:val="2"/>
          </w:tcPr>
          <w:p>
            <w:pPr>
              <w:jc w:val="right"/>
              <w:ind w:right="148"/>
              <w:spacing w:after="0"/>
              <w:rPr>
                <w:sz w:val="20"/>
                <w:szCs w:val="20"/>
                <w:color w:val="auto"/>
              </w:rPr>
            </w:pPr>
            <w:r>
              <w:rPr>
                <w:rFonts w:ascii="Arial" w:cs="Arial" w:eastAsia="Arial" w:hAnsi="Arial"/>
                <w:sz w:val="18"/>
                <w:szCs w:val="18"/>
                <w:color w:val="auto"/>
              </w:rPr>
              <w:t>100%</w:t>
            </w:r>
          </w:p>
        </w:tc>
      </w:tr>
      <w:tr>
        <w:trPr>
          <w:trHeight w:val="216"/>
        </w:trPr>
        <w:tc>
          <w:tcPr>
            <w:tcW w:w="5540" w:type="dxa"/>
            <w:vAlign w:val="bottom"/>
            <w:gridSpan w:val="3"/>
            <w:shd w:val="clear" w:color="auto" w:fill="EEEEEE"/>
          </w:tcPr>
          <w:p>
            <w:pPr>
              <w:ind w:left="1220"/>
              <w:spacing w:after="0"/>
              <w:rPr>
                <w:sz w:val="20"/>
                <w:szCs w:val="20"/>
                <w:color w:val="auto"/>
              </w:rPr>
            </w:pPr>
            <w:r>
              <w:rPr>
                <w:rFonts w:ascii="Arial" w:cs="Arial" w:eastAsia="Arial" w:hAnsi="Arial"/>
                <w:sz w:val="18"/>
                <w:szCs w:val="18"/>
                <w:color w:val="auto"/>
              </w:rPr>
              <w:t>AT Foulks Lynch Limited</w:t>
            </w:r>
          </w:p>
        </w:tc>
        <w:tc>
          <w:tcPr>
            <w:tcW w:w="2860" w:type="dxa"/>
            <w:vAlign w:val="bottom"/>
            <w:shd w:val="clear" w:color="auto" w:fill="EEEEEE"/>
          </w:tcPr>
          <w:p>
            <w:pPr>
              <w:spacing w:after="0"/>
              <w:rPr>
                <w:sz w:val="18"/>
                <w:szCs w:val="18"/>
                <w:color w:val="auto"/>
              </w:rPr>
            </w:pPr>
          </w:p>
        </w:tc>
        <w:tc>
          <w:tcPr>
            <w:tcW w:w="1620" w:type="dxa"/>
            <w:vAlign w:val="bottom"/>
            <w:shd w:val="clear" w:color="auto" w:fill="EEEEEE"/>
          </w:tcPr>
          <w:p>
            <w:pPr>
              <w:spacing w:after="0"/>
              <w:rPr>
                <w:sz w:val="20"/>
                <w:szCs w:val="20"/>
                <w:color w:val="auto"/>
              </w:rPr>
            </w:pPr>
            <w:r>
              <w:rPr>
                <w:rFonts w:ascii="Arial" w:cs="Arial" w:eastAsia="Arial" w:hAnsi="Arial"/>
                <w:sz w:val="18"/>
                <w:szCs w:val="18"/>
                <w:color w:val="auto"/>
              </w:rPr>
              <w:t>England &amp; Wales</w:t>
            </w:r>
          </w:p>
        </w:tc>
        <w:tc>
          <w:tcPr>
            <w:tcW w:w="1400" w:type="dxa"/>
            <w:vAlign w:val="bottom"/>
            <w:gridSpan w:val="2"/>
            <w:shd w:val="clear" w:color="auto" w:fill="EEEEEE"/>
          </w:tcPr>
          <w:p>
            <w:pPr>
              <w:jc w:val="right"/>
              <w:ind w:right="148"/>
              <w:spacing w:after="0"/>
              <w:rPr>
                <w:sz w:val="20"/>
                <w:szCs w:val="20"/>
                <w:color w:val="auto"/>
              </w:rPr>
            </w:pPr>
            <w:r>
              <w:rPr>
                <w:rFonts w:ascii="Arial" w:cs="Arial" w:eastAsia="Arial" w:hAnsi="Arial"/>
                <w:sz w:val="18"/>
                <w:szCs w:val="18"/>
                <w:color w:val="auto"/>
              </w:rPr>
              <w:t>100%</w:t>
            </w:r>
          </w:p>
        </w:tc>
      </w:tr>
      <w:tr>
        <w:trPr>
          <w:trHeight w:val="216"/>
        </w:trPr>
        <w:tc>
          <w:tcPr>
            <w:tcW w:w="5540" w:type="dxa"/>
            <w:vAlign w:val="bottom"/>
            <w:gridSpan w:val="3"/>
          </w:tcPr>
          <w:p>
            <w:pPr>
              <w:ind w:left="1220"/>
              <w:spacing w:after="0"/>
              <w:rPr>
                <w:sz w:val="20"/>
                <w:szCs w:val="20"/>
                <w:color w:val="auto"/>
              </w:rPr>
            </w:pPr>
            <w:r>
              <w:rPr>
                <w:rFonts w:ascii="Arial" w:cs="Arial" w:eastAsia="Arial" w:hAnsi="Arial"/>
                <w:sz w:val="18"/>
                <w:szCs w:val="18"/>
                <w:color w:val="auto"/>
              </w:rPr>
              <w:t>ATC (North West) Limited</w:t>
            </w:r>
          </w:p>
        </w:tc>
        <w:tc>
          <w:tcPr>
            <w:tcW w:w="28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England &amp; Wales</w:t>
            </w:r>
          </w:p>
        </w:tc>
        <w:tc>
          <w:tcPr>
            <w:tcW w:w="1400" w:type="dxa"/>
            <w:vAlign w:val="bottom"/>
            <w:gridSpan w:val="2"/>
          </w:tcPr>
          <w:p>
            <w:pPr>
              <w:jc w:val="right"/>
              <w:ind w:right="148"/>
              <w:spacing w:after="0"/>
              <w:rPr>
                <w:sz w:val="20"/>
                <w:szCs w:val="20"/>
                <w:color w:val="auto"/>
              </w:rPr>
            </w:pPr>
            <w:r>
              <w:rPr>
                <w:rFonts w:ascii="Arial" w:cs="Arial" w:eastAsia="Arial" w:hAnsi="Arial"/>
                <w:sz w:val="18"/>
                <w:szCs w:val="18"/>
                <w:color w:val="auto"/>
              </w:rPr>
              <w:t>100%</w:t>
            </w:r>
          </w:p>
        </w:tc>
      </w:tr>
      <w:tr>
        <w:trPr>
          <w:trHeight w:val="216"/>
        </w:trPr>
        <w:tc>
          <w:tcPr>
            <w:tcW w:w="5540" w:type="dxa"/>
            <w:vAlign w:val="bottom"/>
            <w:gridSpan w:val="3"/>
            <w:shd w:val="clear" w:color="auto" w:fill="EEEEEE"/>
          </w:tcPr>
          <w:p>
            <w:pPr>
              <w:ind w:left="1220"/>
              <w:spacing w:after="0"/>
              <w:rPr>
                <w:sz w:val="20"/>
                <w:szCs w:val="20"/>
                <w:color w:val="auto"/>
              </w:rPr>
            </w:pPr>
            <w:r>
              <w:rPr>
                <w:rFonts w:ascii="Arial" w:cs="Arial" w:eastAsia="Arial" w:hAnsi="Arial"/>
                <w:sz w:val="18"/>
                <w:szCs w:val="18"/>
                <w:color w:val="auto"/>
              </w:rPr>
              <w:t>Business Training for Accountants Limited</w:t>
            </w:r>
          </w:p>
        </w:tc>
        <w:tc>
          <w:tcPr>
            <w:tcW w:w="2860" w:type="dxa"/>
            <w:vAlign w:val="bottom"/>
            <w:shd w:val="clear" w:color="auto" w:fill="EEEEEE"/>
          </w:tcPr>
          <w:p>
            <w:pPr>
              <w:spacing w:after="0"/>
              <w:rPr>
                <w:sz w:val="18"/>
                <w:szCs w:val="18"/>
                <w:color w:val="auto"/>
              </w:rPr>
            </w:pPr>
          </w:p>
        </w:tc>
        <w:tc>
          <w:tcPr>
            <w:tcW w:w="1620" w:type="dxa"/>
            <w:vAlign w:val="bottom"/>
            <w:shd w:val="clear" w:color="auto" w:fill="EEEEEE"/>
          </w:tcPr>
          <w:p>
            <w:pPr>
              <w:spacing w:after="0"/>
              <w:rPr>
                <w:sz w:val="20"/>
                <w:szCs w:val="20"/>
                <w:color w:val="auto"/>
              </w:rPr>
            </w:pPr>
            <w:r>
              <w:rPr>
                <w:rFonts w:ascii="Arial" w:cs="Arial" w:eastAsia="Arial" w:hAnsi="Arial"/>
                <w:sz w:val="18"/>
                <w:szCs w:val="18"/>
                <w:color w:val="auto"/>
              </w:rPr>
              <w:t>England &amp; Wales</w:t>
            </w:r>
          </w:p>
        </w:tc>
        <w:tc>
          <w:tcPr>
            <w:tcW w:w="1400" w:type="dxa"/>
            <w:vAlign w:val="bottom"/>
            <w:gridSpan w:val="2"/>
            <w:shd w:val="clear" w:color="auto" w:fill="EEEEEE"/>
          </w:tcPr>
          <w:p>
            <w:pPr>
              <w:jc w:val="right"/>
              <w:ind w:right="148"/>
              <w:spacing w:after="0"/>
              <w:rPr>
                <w:sz w:val="20"/>
                <w:szCs w:val="20"/>
                <w:color w:val="auto"/>
              </w:rPr>
            </w:pPr>
            <w:r>
              <w:rPr>
                <w:rFonts w:ascii="Arial" w:cs="Arial" w:eastAsia="Arial" w:hAnsi="Arial"/>
                <w:sz w:val="18"/>
                <w:szCs w:val="18"/>
                <w:color w:val="auto"/>
              </w:rPr>
              <w:t>100%</w:t>
            </w:r>
          </w:p>
        </w:tc>
      </w:tr>
      <w:tr>
        <w:trPr>
          <w:trHeight w:val="216"/>
        </w:trPr>
        <w:tc>
          <w:tcPr>
            <w:tcW w:w="5540" w:type="dxa"/>
            <w:vAlign w:val="bottom"/>
            <w:gridSpan w:val="3"/>
          </w:tcPr>
          <w:p>
            <w:pPr>
              <w:ind w:left="1220"/>
              <w:spacing w:after="0"/>
              <w:rPr>
                <w:sz w:val="20"/>
                <w:szCs w:val="20"/>
                <w:color w:val="auto"/>
              </w:rPr>
            </w:pPr>
            <w:r>
              <w:rPr>
                <w:rFonts w:ascii="Arial" w:cs="Arial" w:eastAsia="Arial" w:hAnsi="Arial"/>
                <w:sz w:val="18"/>
                <w:szCs w:val="18"/>
                <w:color w:val="auto"/>
              </w:rPr>
              <w:t>Financial Training (City Courses) Ltd.</w:t>
            </w:r>
          </w:p>
        </w:tc>
        <w:tc>
          <w:tcPr>
            <w:tcW w:w="28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England &amp; Wales</w:t>
            </w:r>
          </w:p>
        </w:tc>
        <w:tc>
          <w:tcPr>
            <w:tcW w:w="1400" w:type="dxa"/>
            <w:vAlign w:val="bottom"/>
            <w:gridSpan w:val="2"/>
          </w:tcPr>
          <w:p>
            <w:pPr>
              <w:jc w:val="right"/>
              <w:ind w:right="148"/>
              <w:spacing w:after="0"/>
              <w:rPr>
                <w:sz w:val="20"/>
                <w:szCs w:val="20"/>
                <w:color w:val="auto"/>
              </w:rPr>
            </w:pPr>
            <w:r>
              <w:rPr>
                <w:rFonts w:ascii="Arial" w:cs="Arial" w:eastAsia="Arial" w:hAnsi="Arial"/>
                <w:sz w:val="18"/>
                <w:szCs w:val="18"/>
                <w:color w:val="auto"/>
              </w:rPr>
              <w:t>100%</w:t>
            </w:r>
          </w:p>
        </w:tc>
      </w:tr>
      <w:tr>
        <w:trPr>
          <w:trHeight w:val="216"/>
        </w:trPr>
        <w:tc>
          <w:tcPr>
            <w:tcW w:w="5540" w:type="dxa"/>
            <w:vAlign w:val="bottom"/>
            <w:gridSpan w:val="3"/>
            <w:shd w:val="clear" w:color="auto" w:fill="EEEEEE"/>
          </w:tcPr>
          <w:p>
            <w:pPr>
              <w:ind w:left="1220"/>
              <w:spacing w:after="0"/>
              <w:rPr>
                <w:sz w:val="20"/>
                <w:szCs w:val="20"/>
                <w:color w:val="auto"/>
              </w:rPr>
            </w:pPr>
            <w:r>
              <w:rPr>
                <w:rFonts w:ascii="Arial" w:cs="Arial" w:eastAsia="Arial" w:hAnsi="Arial"/>
                <w:sz w:val="18"/>
                <w:szCs w:val="18"/>
                <w:color w:val="auto"/>
              </w:rPr>
              <w:t>Financial Training Company (Mauritius) Limited</w:t>
            </w:r>
          </w:p>
        </w:tc>
        <w:tc>
          <w:tcPr>
            <w:tcW w:w="2860" w:type="dxa"/>
            <w:vAlign w:val="bottom"/>
            <w:shd w:val="clear" w:color="auto" w:fill="EEEEEE"/>
          </w:tcPr>
          <w:p>
            <w:pPr>
              <w:spacing w:after="0"/>
              <w:rPr>
                <w:sz w:val="18"/>
                <w:szCs w:val="18"/>
                <w:color w:val="auto"/>
              </w:rPr>
            </w:pPr>
          </w:p>
        </w:tc>
        <w:tc>
          <w:tcPr>
            <w:tcW w:w="1620" w:type="dxa"/>
            <w:vAlign w:val="bottom"/>
            <w:shd w:val="clear" w:color="auto" w:fill="EEEEEE"/>
          </w:tcPr>
          <w:p>
            <w:pPr>
              <w:spacing w:after="0"/>
              <w:rPr>
                <w:sz w:val="20"/>
                <w:szCs w:val="20"/>
                <w:color w:val="auto"/>
              </w:rPr>
            </w:pPr>
            <w:r>
              <w:rPr>
                <w:rFonts w:ascii="Arial" w:cs="Arial" w:eastAsia="Arial" w:hAnsi="Arial"/>
                <w:sz w:val="18"/>
                <w:szCs w:val="18"/>
                <w:color w:val="auto"/>
              </w:rPr>
              <w:t>Mauritius</w:t>
            </w:r>
          </w:p>
        </w:tc>
        <w:tc>
          <w:tcPr>
            <w:tcW w:w="1400" w:type="dxa"/>
            <w:vAlign w:val="bottom"/>
            <w:gridSpan w:val="2"/>
            <w:shd w:val="clear" w:color="auto" w:fill="EEEEEE"/>
          </w:tcPr>
          <w:p>
            <w:pPr>
              <w:jc w:val="right"/>
              <w:ind w:right="148"/>
              <w:spacing w:after="0"/>
              <w:rPr>
                <w:sz w:val="20"/>
                <w:szCs w:val="20"/>
                <w:color w:val="auto"/>
              </w:rPr>
            </w:pPr>
            <w:r>
              <w:rPr>
                <w:rFonts w:ascii="Arial" w:cs="Arial" w:eastAsia="Arial" w:hAnsi="Arial"/>
                <w:sz w:val="18"/>
                <w:szCs w:val="18"/>
                <w:color w:val="auto"/>
              </w:rPr>
              <w:t>50%</w:t>
            </w:r>
          </w:p>
        </w:tc>
      </w:tr>
      <w:tr>
        <w:trPr>
          <w:trHeight w:val="216"/>
        </w:trPr>
        <w:tc>
          <w:tcPr>
            <w:tcW w:w="5540" w:type="dxa"/>
            <w:vAlign w:val="bottom"/>
            <w:gridSpan w:val="3"/>
          </w:tcPr>
          <w:p>
            <w:pPr>
              <w:ind w:left="1220"/>
              <w:spacing w:after="0"/>
              <w:rPr>
                <w:sz w:val="20"/>
                <w:szCs w:val="20"/>
                <w:color w:val="auto"/>
              </w:rPr>
            </w:pPr>
            <w:r>
              <w:rPr>
                <w:rFonts w:ascii="Arial" w:cs="Arial" w:eastAsia="Arial" w:hAnsi="Arial"/>
                <w:sz w:val="18"/>
                <w:szCs w:val="18"/>
                <w:color w:val="auto"/>
                <w:w w:val="94"/>
              </w:rPr>
              <w:t>The Financial Training Company (Singapore) Pte Limited</w:t>
            </w:r>
          </w:p>
        </w:tc>
        <w:tc>
          <w:tcPr>
            <w:tcW w:w="28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Singapore</w:t>
            </w:r>
          </w:p>
        </w:tc>
        <w:tc>
          <w:tcPr>
            <w:tcW w:w="1400" w:type="dxa"/>
            <w:vAlign w:val="bottom"/>
            <w:gridSpan w:val="2"/>
          </w:tcPr>
          <w:p>
            <w:pPr>
              <w:jc w:val="right"/>
              <w:ind w:right="148"/>
              <w:spacing w:after="0"/>
              <w:rPr>
                <w:sz w:val="20"/>
                <w:szCs w:val="20"/>
                <w:color w:val="auto"/>
              </w:rPr>
            </w:pPr>
            <w:r>
              <w:rPr>
                <w:rFonts w:ascii="Arial" w:cs="Arial" w:eastAsia="Arial" w:hAnsi="Arial"/>
                <w:sz w:val="18"/>
                <w:szCs w:val="18"/>
                <w:color w:val="auto"/>
              </w:rPr>
              <w:t>100%</w:t>
            </w:r>
          </w:p>
        </w:tc>
      </w:tr>
      <w:tr>
        <w:trPr>
          <w:trHeight w:val="216"/>
        </w:trPr>
        <w:tc>
          <w:tcPr>
            <w:tcW w:w="5540" w:type="dxa"/>
            <w:vAlign w:val="bottom"/>
            <w:gridSpan w:val="3"/>
            <w:shd w:val="clear" w:color="auto" w:fill="EEEEEE"/>
          </w:tcPr>
          <w:p>
            <w:pPr>
              <w:ind w:left="1220"/>
              <w:spacing w:after="0"/>
              <w:rPr>
                <w:sz w:val="20"/>
                <w:szCs w:val="20"/>
                <w:color w:val="auto"/>
              </w:rPr>
            </w:pPr>
            <w:r>
              <w:rPr>
                <w:rFonts w:ascii="Arial" w:cs="Arial" w:eastAsia="Arial" w:hAnsi="Arial"/>
                <w:sz w:val="18"/>
                <w:szCs w:val="18"/>
                <w:color w:val="auto"/>
              </w:rPr>
              <w:t>Portman College Limited</w:t>
            </w:r>
          </w:p>
        </w:tc>
        <w:tc>
          <w:tcPr>
            <w:tcW w:w="2860" w:type="dxa"/>
            <w:vAlign w:val="bottom"/>
            <w:shd w:val="clear" w:color="auto" w:fill="EEEEEE"/>
          </w:tcPr>
          <w:p>
            <w:pPr>
              <w:spacing w:after="0"/>
              <w:rPr>
                <w:sz w:val="18"/>
                <w:szCs w:val="18"/>
                <w:color w:val="auto"/>
              </w:rPr>
            </w:pPr>
          </w:p>
        </w:tc>
        <w:tc>
          <w:tcPr>
            <w:tcW w:w="1620" w:type="dxa"/>
            <w:vAlign w:val="bottom"/>
            <w:shd w:val="clear" w:color="auto" w:fill="EEEEEE"/>
          </w:tcPr>
          <w:p>
            <w:pPr>
              <w:spacing w:after="0"/>
              <w:rPr>
                <w:sz w:val="20"/>
                <w:szCs w:val="20"/>
                <w:color w:val="auto"/>
              </w:rPr>
            </w:pPr>
            <w:r>
              <w:rPr>
                <w:rFonts w:ascii="Arial" w:cs="Arial" w:eastAsia="Arial" w:hAnsi="Arial"/>
                <w:sz w:val="18"/>
                <w:szCs w:val="18"/>
                <w:color w:val="auto"/>
              </w:rPr>
              <w:t>England &amp; Wales</w:t>
            </w:r>
          </w:p>
        </w:tc>
        <w:tc>
          <w:tcPr>
            <w:tcW w:w="1400" w:type="dxa"/>
            <w:vAlign w:val="bottom"/>
            <w:gridSpan w:val="2"/>
            <w:shd w:val="clear" w:color="auto" w:fill="EEEEEE"/>
          </w:tcPr>
          <w:p>
            <w:pPr>
              <w:jc w:val="right"/>
              <w:ind w:right="148"/>
              <w:spacing w:after="0"/>
              <w:rPr>
                <w:sz w:val="20"/>
                <w:szCs w:val="20"/>
                <w:color w:val="auto"/>
              </w:rPr>
            </w:pPr>
            <w:r>
              <w:rPr>
                <w:rFonts w:ascii="Arial" w:cs="Arial" w:eastAsia="Arial" w:hAnsi="Arial"/>
                <w:sz w:val="18"/>
                <w:szCs w:val="18"/>
                <w:color w:val="auto"/>
              </w:rPr>
              <w:t>100%</w:t>
            </w:r>
          </w:p>
        </w:tc>
      </w:tr>
      <w:tr>
        <w:trPr>
          <w:trHeight w:val="216"/>
        </w:trPr>
        <w:tc>
          <w:tcPr>
            <w:tcW w:w="5540" w:type="dxa"/>
            <w:vAlign w:val="bottom"/>
            <w:gridSpan w:val="3"/>
          </w:tcPr>
          <w:p>
            <w:pPr>
              <w:ind w:left="420"/>
              <w:spacing w:after="0"/>
              <w:rPr>
                <w:sz w:val="20"/>
                <w:szCs w:val="20"/>
                <w:color w:val="auto"/>
              </w:rPr>
            </w:pPr>
            <w:r>
              <w:rPr>
                <w:rFonts w:ascii="Arial" w:cs="Arial" w:eastAsia="Arial" w:hAnsi="Arial"/>
                <w:sz w:val="18"/>
                <w:szCs w:val="18"/>
                <w:color w:val="auto"/>
              </w:rPr>
              <w:t>Score! Learning, Inc.</w:t>
            </w:r>
          </w:p>
        </w:tc>
        <w:tc>
          <w:tcPr>
            <w:tcW w:w="28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Delaware</w:t>
            </w:r>
          </w:p>
        </w:tc>
        <w:tc>
          <w:tcPr>
            <w:tcW w:w="1400" w:type="dxa"/>
            <w:vAlign w:val="bottom"/>
            <w:gridSpan w:val="2"/>
          </w:tcPr>
          <w:p>
            <w:pPr>
              <w:jc w:val="right"/>
              <w:ind w:right="148"/>
              <w:spacing w:after="0"/>
              <w:rPr>
                <w:sz w:val="20"/>
                <w:szCs w:val="20"/>
                <w:color w:val="auto"/>
              </w:rPr>
            </w:pPr>
            <w:r>
              <w:rPr>
                <w:rFonts w:ascii="Arial" w:cs="Arial" w:eastAsia="Arial" w:hAnsi="Arial"/>
                <w:sz w:val="18"/>
                <w:szCs w:val="18"/>
                <w:color w:val="auto"/>
              </w:rPr>
              <w:t>100%</w:t>
            </w:r>
          </w:p>
        </w:tc>
      </w:tr>
      <w:tr>
        <w:trPr>
          <w:trHeight w:val="216"/>
        </w:trPr>
        <w:tc>
          <w:tcPr>
            <w:tcW w:w="5540" w:type="dxa"/>
            <w:vAlign w:val="bottom"/>
            <w:gridSpan w:val="3"/>
            <w:shd w:val="clear" w:color="auto" w:fill="EEEEEE"/>
          </w:tcPr>
          <w:p>
            <w:pPr>
              <w:ind w:left="680"/>
              <w:spacing w:after="0"/>
              <w:rPr>
                <w:sz w:val="20"/>
                <w:szCs w:val="20"/>
                <w:color w:val="auto"/>
              </w:rPr>
            </w:pPr>
            <w:r>
              <w:rPr>
                <w:rFonts w:ascii="Arial" w:cs="Arial" w:eastAsia="Arial" w:hAnsi="Arial"/>
                <w:sz w:val="18"/>
                <w:szCs w:val="18"/>
                <w:color w:val="auto"/>
              </w:rPr>
              <w:t>eScore.com, Inc.</w:t>
            </w:r>
          </w:p>
        </w:tc>
        <w:tc>
          <w:tcPr>
            <w:tcW w:w="2860" w:type="dxa"/>
            <w:vAlign w:val="bottom"/>
            <w:shd w:val="clear" w:color="auto" w:fill="EEEEEE"/>
          </w:tcPr>
          <w:p>
            <w:pPr>
              <w:spacing w:after="0"/>
              <w:rPr>
                <w:sz w:val="18"/>
                <w:szCs w:val="18"/>
                <w:color w:val="auto"/>
              </w:rPr>
            </w:pPr>
          </w:p>
        </w:tc>
        <w:tc>
          <w:tcPr>
            <w:tcW w:w="1620" w:type="dxa"/>
            <w:vAlign w:val="bottom"/>
            <w:shd w:val="clear" w:color="auto" w:fill="EEEEEE"/>
          </w:tcPr>
          <w:p>
            <w:pPr>
              <w:spacing w:after="0"/>
              <w:rPr>
                <w:sz w:val="20"/>
                <w:szCs w:val="20"/>
                <w:color w:val="auto"/>
              </w:rPr>
            </w:pPr>
            <w:r>
              <w:rPr>
                <w:rFonts w:ascii="Arial" w:cs="Arial" w:eastAsia="Arial" w:hAnsi="Arial"/>
                <w:sz w:val="18"/>
                <w:szCs w:val="18"/>
                <w:color w:val="auto"/>
              </w:rPr>
              <w:t>Delaware</w:t>
            </w:r>
          </w:p>
        </w:tc>
        <w:tc>
          <w:tcPr>
            <w:tcW w:w="1400" w:type="dxa"/>
            <w:vAlign w:val="bottom"/>
            <w:gridSpan w:val="2"/>
            <w:shd w:val="clear" w:color="auto" w:fill="EEEEEE"/>
          </w:tcPr>
          <w:p>
            <w:pPr>
              <w:jc w:val="right"/>
              <w:ind w:right="148"/>
              <w:spacing w:after="0"/>
              <w:rPr>
                <w:sz w:val="20"/>
                <w:szCs w:val="20"/>
                <w:color w:val="auto"/>
              </w:rPr>
            </w:pPr>
            <w:r>
              <w:rPr>
                <w:rFonts w:ascii="Arial" w:cs="Arial" w:eastAsia="Arial" w:hAnsi="Arial"/>
                <w:sz w:val="18"/>
                <w:szCs w:val="18"/>
                <w:color w:val="auto"/>
              </w:rPr>
              <w:t>100%</w:t>
            </w:r>
          </w:p>
        </w:tc>
      </w:tr>
      <w:tr>
        <w:trPr>
          <w:trHeight w:val="216"/>
        </w:trPr>
        <w:tc>
          <w:tcPr>
            <w:tcW w:w="5540" w:type="dxa"/>
            <w:vAlign w:val="bottom"/>
            <w:gridSpan w:val="3"/>
          </w:tcPr>
          <w:p>
            <w:pPr>
              <w:ind w:left="680"/>
              <w:spacing w:after="0"/>
              <w:rPr>
                <w:sz w:val="20"/>
                <w:szCs w:val="20"/>
                <w:color w:val="auto"/>
              </w:rPr>
            </w:pPr>
            <w:r>
              <w:rPr>
                <w:rFonts w:ascii="Arial" w:cs="Arial" w:eastAsia="Arial" w:hAnsi="Arial"/>
                <w:sz w:val="18"/>
                <w:szCs w:val="18"/>
                <w:color w:val="auto"/>
              </w:rPr>
              <w:t>Score! Educational Centers, Inc.</w:t>
            </w:r>
          </w:p>
        </w:tc>
        <w:tc>
          <w:tcPr>
            <w:tcW w:w="28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California</w:t>
            </w:r>
          </w:p>
        </w:tc>
        <w:tc>
          <w:tcPr>
            <w:tcW w:w="1400" w:type="dxa"/>
            <w:vAlign w:val="bottom"/>
            <w:gridSpan w:val="2"/>
          </w:tcPr>
          <w:p>
            <w:pPr>
              <w:jc w:val="right"/>
              <w:ind w:right="148"/>
              <w:spacing w:after="0"/>
              <w:rPr>
                <w:sz w:val="20"/>
                <w:szCs w:val="20"/>
                <w:color w:val="auto"/>
              </w:rPr>
            </w:pPr>
            <w:r>
              <w:rPr>
                <w:rFonts w:ascii="Arial" w:cs="Arial" w:eastAsia="Arial" w:hAnsi="Arial"/>
                <w:sz w:val="18"/>
                <w:szCs w:val="18"/>
                <w:color w:val="auto"/>
              </w:rPr>
              <w:t>100%</w:t>
            </w:r>
          </w:p>
        </w:tc>
      </w:tr>
      <w:tr>
        <w:trPr>
          <w:trHeight w:val="216"/>
        </w:trPr>
        <w:tc>
          <w:tcPr>
            <w:tcW w:w="5540" w:type="dxa"/>
            <w:vAlign w:val="bottom"/>
            <w:gridSpan w:val="3"/>
            <w:shd w:val="clear" w:color="auto" w:fill="EEEEEE"/>
          </w:tcPr>
          <w:p>
            <w:pPr>
              <w:ind w:left="420"/>
              <w:spacing w:after="0"/>
              <w:rPr>
                <w:sz w:val="20"/>
                <w:szCs w:val="20"/>
                <w:color w:val="auto"/>
              </w:rPr>
            </w:pPr>
            <w:r>
              <w:rPr>
                <w:rFonts w:ascii="Arial" w:cs="Arial" w:eastAsia="Arial" w:hAnsi="Arial"/>
                <w:sz w:val="18"/>
                <w:szCs w:val="18"/>
                <w:color w:val="auto"/>
              </w:rPr>
              <w:t>Self Test Software, Inc.</w:t>
            </w:r>
          </w:p>
        </w:tc>
        <w:tc>
          <w:tcPr>
            <w:tcW w:w="2860" w:type="dxa"/>
            <w:vAlign w:val="bottom"/>
            <w:shd w:val="clear" w:color="auto" w:fill="EEEEEE"/>
          </w:tcPr>
          <w:p>
            <w:pPr>
              <w:spacing w:after="0"/>
              <w:rPr>
                <w:sz w:val="18"/>
                <w:szCs w:val="18"/>
                <w:color w:val="auto"/>
              </w:rPr>
            </w:pPr>
          </w:p>
        </w:tc>
        <w:tc>
          <w:tcPr>
            <w:tcW w:w="1620" w:type="dxa"/>
            <w:vAlign w:val="bottom"/>
            <w:shd w:val="clear" w:color="auto" w:fill="EEEEEE"/>
          </w:tcPr>
          <w:p>
            <w:pPr>
              <w:spacing w:after="0"/>
              <w:rPr>
                <w:sz w:val="20"/>
                <w:szCs w:val="20"/>
                <w:color w:val="auto"/>
              </w:rPr>
            </w:pPr>
            <w:r>
              <w:rPr>
                <w:rFonts w:ascii="Arial" w:cs="Arial" w:eastAsia="Arial" w:hAnsi="Arial"/>
                <w:sz w:val="18"/>
                <w:szCs w:val="18"/>
                <w:color w:val="auto"/>
              </w:rPr>
              <w:t>Georgia</w:t>
            </w:r>
          </w:p>
        </w:tc>
        <w:tc>
          <w:tcPr>
            <w:tcW w:w="1400" w:type="dxa"/>
            <w:vAlign w:val="bottom"/>
            <w:gridSpan w:val="2"/>
            <w:shd w:val="clear" w:color="auto" w:fill="EEEEEE"/>
          </w:tcPr>
          <w:p>
            <w:pPr>
              <w:jc w:val="right"/>
              <w:ind w:right="148"/>
              <w:spacing w:after="0"/>
              <w:rPr>
                <w:sz w:val="20"/>
                <w:szCs w:val="20"/>
                <w:color w:val="auto"/>
              </w:rPr>
            </w:pPr>
            <w:r>
              <w:rPr>
                <w:rFonts w:ascii="Arial" w:cs="Arial" w:eastAsia="Arial" w:hAnsi="Arial"/>
                <w:sz w:val="18"/>
                <w:szCs w:val="18"/>
                <w:color w:val="auto"/>
              </w:rPr>
              <w:t>100%</w:t>
            </w: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color w:val="auto"/>
              </w:rPr>
              <w:t>Los Angeles Times-Washington Post News Service, Inc.</w:t>
            </w:r>
          </w:p>
        </w:tc>
        <w:tc>
          <w:tcPr>
            <w:tcW w:w="28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D.C.</w:t>
            </w:r>
          </w:p>
        </w:tc>
        <w:tc>
          <w:tcPr>
            <w:tcW w:w="1400" w:type="dxa"/>
            <w:vAlign w:val="bottom"/>
            <w:gridSpan w:val="2"/>
          </w:tcPr>
          <w:p>
            <w:pPr>
              <w:jc w:val="right"/>
              <w:ind w:right="148"/>
              <w:spacing w:after="0"/>
              <w:rPr>
                <w:sz w:val="20"/>
                <w:szCs w:val="20"/>
                <w:color w:val="auto"/>
              </w:rPr>
            </w:pPr>
            <w:r>
              <w:rPr>
                <w:rFonts w:ascii="Arial" w:cs="Arial" w:eastAsia="Arial" w:hAnsi="Arial"/>
                <w:sz w:val="18"/>
                <w:szCs w:val="18"/>
                <w:color w:val="auto"/>
              </w:rPr>
              <w:t>50%</w:t>
            </w:r>
          </w:p>
        </w:tc>
      </w:tr>
      <w:tr>
        <w:trPr>
          <w:trHeight w:val="216"/>
        </w:trPr>
        <w:tc>
          <w:tcPr>
            <w:tcW w:w="55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Newsprint, Inc.</w:t>
            </w:r>
          </w:p>
        </w:tc>
        <w:tc>
          <w:tcPr>
            <w:tcW w:w="2860" w:type="dxa"/>
            <w:vAlign w:val="bottom"/>
            <w:shd w:val="clear" w:color="auto" w:fill="EEEEEE"/>
          </w:tcPr>
          <w:p>
            <w:pPr>
              <w:spacing w:after="0"/>
              <w:rPr>
                <w:sz w:val="18"/>
                <w:szCs w:val="18"/>
                <w:color w:val="auto"/>
              </w:rPr>
            </w:pPr>
          </w:p>
        </w:tc>
        <w:tc>
          <w:tcPr>
            <w:tcW w:w="1620" w:type="dxa"/>
            <w:vAlign w:val="bottom"/>
            <w:shd w:val="clear" w:color="auto" w:fill="EEEEEE"/>
          </w:tcPr>
          <w:p>
            <w:pPr>
              <w:spacing w:after="0"/>
              <w:rPr>
                <w:sz w:val="20"/>
                <w:szCs w:val="20"/>
                <w:color w:val="auto"/>
              </w:rPr>
            </w:pPr>
            <w:r>
              <w:rPr>
                <w:rFonts w:ascii="Arial" w:cs="Arial" w:eastAsia="Arial" w:hAnsi="Arial"/>
                <w:sz w:val="18"/>
                <w:szCs w:val="18"/>
                <w:color w:val="auto"/>
              </w:rPr>
              <w:t>Virginia</w:t>
            </w:r>
          </w:p>
        </w:tc>
        <w:tc>
          <w:tcPr>
            <w:tcW w:w="1400" w:type="dxa"/>
            <w:vAlign w:val="bottom"/>
            <w:gridSpan w:val="2"/>
            <w:shd w:val="clear" w:color="auto" w:fill="EEEEEE"/>
          </w:tcPr>
          <w:p>
            <w:pPr>
              <w:jc w:val="right"/>
              <w:ind w:right="148"/>
              <w:spacing w:after="0"/>
              <w:rPr>
                <w:sz w:val="20"/>
                <w:szCs w:val="20"/>
                <w:color w:val="auto"/>
              </w:rPr>
            </w:pPr>
            <w:r>
              <w:rPr>
                <w:rFonts w:ascii="Arial" w:cs="Arial" w:eastAsia="Arial" w:hAnsi="Arial"/>
                <w:sz w:val="18"/>
                <w:szCs w:val="18"/>
                <w:color w:val="auto"/>
              </w:rPr>
              <w:t>100%</w:t>
            </w:r>
          </w:p>
        </w:tc>
      </w:tr>
      <w:tr>
        <w:trPr>
          <w:trHeight w:val="392"/>
        </w:trPr>
        <w:tc>
          <w:tcPr>
            <w:tcW w:w="30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60" w:type="dxa"/>
            <w:vAlign w:val="bottom"/>
          </w:tcPr>
          <w:p>
            <w:pPr>
              <w:jc w:val="right"/>
              <w:ind w:right="2550"/>
              <w:spacing w:after="0"/>
              <w:rPr>
                <w:sz w:val="20"/>
                <w:szCs w:val="20"/>
                <w:color w:val="auto"/>
              </w:rPr>
            </w:pPr>
            <w:r>
              <w:rPr>
                <w:rFonts w:ascii="Arial" w:cs="Arial" w:eastAsia="Arial" w:hAnsi="Arial"/>
                <w:sz w:val="18"/>
                <w:szCs w:val="18"/>
                <w:color w:val="auto"/>
              </w:rPr>
              <w:t>3</w:t>
            </w:r>
          </w:p>
        </w:tc>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6"/>
        </w:trPr>
        <w:tc>
          <w:tcPr>
            <w:tcW w:w="3000" w:type="dxa"/>
            <w:vAlign w:val="bottom"/>
            <w:tcBorders>
              <w:bottom w:val="single" w:sz="8" w:color="808080"/>
            </w:tcBorders>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86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color w:val="auto"/>
        </w:rPr>
        <w:t>SUBSIDIARIES OF THE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7"/>
              </w:rPr>
              <w:t>Jurisdiction</w:t>
            </w:r>
          </w:p>
        </w:tc>
        <w:tc>
          <w:tcPr>
            <w:tcW w:w="104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92"/>
              </w:rPr>
              <w: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color w:val="auto"/>
              </w:rPr>
              <w:t>of</w:t>
            </w:r>
          </w:p>
        </w:tc>
        <w:tc>
          <w:tcPr>
            <w:tcW w:w="104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5"/>
              </w:rPr>
              <w:t>Voting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color w:val="auto"/>
                <w:w w:val="95"/>
              </w:rPr>
              <w:t>Incorporation</w:t>
            </w:r>
          </w:p>
        </w:tc>
        <w:tc>
          <w:tcPr>
            <w:tcW w:w="104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6"/>
              </w:rPr>
              <w:t>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color w:val="auto"/>
                <w:w w:val="96"/>
              </w:rPr>
              <w:t>or</w:t>
            </w:r>
          </w:p>
        </w:tc>
        <w:tc>
          <w:tcPr>
            <w:tcW w:w="104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4"/>
              </w:rPr>
              <w:t>Owned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4580" w:type="dxa"/>
            <w:vAlign w:val="bottom"/>
            <w:gridSpan w:val="2"/>
          </w:tcPr>
          <w:p>
            <w:pPr>
              <w:ind w:left="300"/>
              <w:spacing w:after="0"/>
              <w:rPr>
                <w:sz w:val="20"/>
                <w:szCs w:val="20"/>
                <w:color w:val="auto"/>
              </w:rPr>
            </w:pPr>
            <w:r>
              <w:rPr>
                <w:rFonts w:ascii="Arial" w:cs="Arial" w:eastAsia="Arial" w:hAnsi="Arial"/>
                <w:sz w:val="14"/>
                <w:szCs w:val="14"/>
                <w:color w:val="auto"/>
              </w:rPr>
              <w:t>Name of Subsidiary</w:t>
            </w:r>
          </w:p>
        </w:tc>
        <w:tc>
          <w:tcPr>
            <w:tcW w:w="1720" w:type="dxa"/>
            <w:vAlign w:val="bottom"/>
          </w:tcPr>
          <w:p>
            <w:pPr>
              <w:jc w:val="center"/>
              <w:spacing w:after="0"/>
              <w:rPr>
                <w:sz w:val="20"/>
                <w:szCs w:val="20"/>
                <w:color w:val="auto"/>
              </w:rPr>
            </w:pPr>
            <w:r>
              <w:rPr>
                <w:rFonts w:ascii="Arial" w:cs="Arial" w:eastAsia="Arial" w:hAnsi="Arial"/>
                <w:sz w:val="14"/>
                <w:szCs w:val="14"/>
                <w:color w:val="auto"/>
                <w:w w:val="95"/>
              </w:rPr>
              <w:t>Organization</w:t>
            </w:r>
          </w:p>
        </w:tc>
        <w:tc>
          <w:tcPr>
            <w:tcW w:w="104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94"/>
              </w:rPr>
              <w:t>by Company</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600" w:type="dxa"/>
            <w:vAlign w:val="bottom"/>
          </w:tcPr>
          <w:p>
            <w:pPr>
              <w:spacing w:after="0"/>
              <w:rPr>
                <w:sz w:val="4"/>
                <w:szCs w:val="4"/>
                <w:color w:val="auto"/>
              </w:rPr>
            </w:pPr>
          </w:p>
        </w:tc>
        <w:tc>
          <w:tcPr>
            <w:tcW w:w="1760" w:type="dxa"/>
            <w:vAlign w:val="bottom"/>
            <w:tcBorders>
              <w:bottom w:val="single" w:sz="8" w:color="808080"/>
            </w:tcBorders>
          </w:tcPr>
          <w:p>
            <w:pPr>
              <w:spacing w:after="0"/>
              <w:rPr>
                <w:sz w:val="4"/>
                <w:szCs w:val="4"/>
                <w:color w:val="auto"/>
              </w:rPr>
            </w:pPr>
          </w:p>
        </w:tc>
        <w:tc>
          <w:tcPr>
            <w:tcW w:w="2820" w:type="dxa"/>
            <w:vAlign w:val="bottom"/>
          </w:tcPr>
          <w:p>
            <w:pPr>
              <w:spacing w:after="0"/>
              <w:rPr>
                <w:sz w:val="4"/>
                <w:szCs w:val="4"/>
                <w:color w:val="auto"/>
              </w:rPr>
            </w:pPr>
          </w:p>
        </w:tc>
        <w:tc>
          <w:tcPr>
            <w:tcW w:w="1720" w:type="dxa"/>
            <w:vAlign w:val="bottom"/>
            <w:tcBorders>
              <w:bottom w:val="single" w:sz="8" w:color="808080"/>
            </w:tcBorders>
          </w:tcPr>
          <w:p>
            <w:pPr>
              <w:spacing w:after="0"/>
              <w:rPr>
                <w:sz w:val="4"/>
                <w:szCs w:val="4"/>
                <w:color w:val="auto"/>
              </w:rPr>
            </w:pPr>
          </w:p>
        </w:tc>
        <w:tc>
          <w:tcPr>
            <w:tcW w:w="1040" w:type="dxa"/>
            <w:vAlign w:val="bottom"/>
          </w:tcPr>
          <w:p>
            <w:pPr>
              <w:spacing w:after="0"/>
              <w:rPr>
                <w:sz w:val="4"/>
                <w:szCs w:val="4"/>
                <w:color w:val="auto"/>
              </w:rPr>
            </w:pPr>
          </w:p>
        </w:tc>
        <w:tc>
          <w:tcPr>
            <w:tcW w:w="14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26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8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Newsweek, Inc.</w:t>
            </w:r>
          </w:p>
        </w:tc>
        <w:tc>
          <w:tcPr>
            <w:tcW w:w="1720" w:type="dxa"/>
            <w:vAlign w:val="bottom"/>
            <w:shd w:val="clear" w:color="auto" w:fill="EEEEEE"/>
          </w:tcPr>
          <w:p>
            <w:pPr>
              <w:spacing w:after="0"/>
              <w:rPr>
                <w:sz w:val="20"/>
                <w:szCs w:val="20"/>
                <w:color w:val="auto"/>
              </w:rPr>
            </w:pPr>
            <w:r>
              <w:rPr>
                <w:rFonts w:ascii="Arial" w:cs="Arial" w:eastAsia="Arial" w:hAnsi="Arial"/>
                <w:sz w:val="18"/>
                <w:szCs w:val="18"/>
                <w:color w:val="auto"/>
              </w:rPr>
              <w:t>New York</w:t>
            </w:r>
          </w:p>
        </w:tc>
        <w:tc>
          <w:tcPr>
            <w:tcW w:w="2500" w:type="dxa"/>
            <w:vAlign w:val="bottom"/>
            <w:gridSpan w:val="2"/>
            <w:shd w:val="clear" w:color="auto" w:fill="EEEEEE"/>
          </w:tcPr>
          <w:p>
            <w:pPr>
              <w:jc w:val="right"/>
              <w:ind w:right="6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tcPr>
          <w:p>
            <w:pPr>
              <w:ind w:left="400"/>
              <w:spacing w:after="0"/>
              <w:rPr>
                <w:sz w:val="20"/>
                <w:szCs w:val="20"/>
                <w:color w:val="auto"/>
              </w:rPr>
            </w:pPr>
            <w:r>
              <w:rPr>
                <w:rFonts w:ascii="Arial" w:cs="Arial" w:eastAsia="Arial" w:hAnsi="Arial"/>
                <w:sz w:val="18"/>
                <w:szCs w:val="18"/>
                <w:color w:val="auto"/>
              </w:rPr>
              <w:t>Newsweek Budget Travel, Inc.</w:t>
            </w:r>
          </w:p>
        </w:tc>
        <w:tc>
          <w:tcPr>
            <w:tcW w:w="1720" w:type="dxa"/>
            <w:vAlign w:val="bottom"/>
          </w:tcPr>
          <w:p>
            <w:pPr>
              <w:spacing w:after="0"/>
              <w:rPr>
                <w:sz w:val="20"/>
                <w:szCs w:val="20"/>
                <w:color w:val="auto"/>
              </w:rPr>
            </w:pPr>
            <w:r>
              <w:rPr>
                <w:rFonts w:ascii="Arial" w:cs="Arial" w:eastAsia="Arial" w:hAnsi="Arial"/>
                <w:sz w:val="18"/>
                <w:szCs w:val="18"/>
                <w:color w:val="auto"/>
              </w:rPr>
              <w:t>Delaware</w:t>
            </w:r>
          </w:p>
        </w:tc>
        <w:tc>
          <w:tcPr>
            <w:tcW w:w="2500" w:type="dxa"/>
            <w:vAlign w:val="bottom"/>
            <w:gridSpan w:val="2"/>
          </w:tcPr>
          <w:p>
            <w:pPr>
              <w:jc w:val="right"/>
              <w:ind w:right="6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shd w:val="clear" w:color="auto" w:fill="EEEEEE"/>
          </w:tcPr>
          <w:p>
            <w:pPr>
              <w:ind w:left="400"/>
              <w:spacing w:after="0"/>
              <w:rPr>
                <w:sz w:val="20"/>
                <w:szCs w:val="20"/>
                <w:color w:val="auto"/>
              </w:rPr>
            </w:pPr>
            <w:r>
              <w:rPr>
                <w:rFonts w:ascii="Arial" w:cs="Arial" w:eastAsia="Arial" w:hAnsi="Arial"/>
                <w:sz w:val="18"/>
                <w:szCs w:val="18"/>
                <w:color w:val="auto"/>
              </w:rPr>
              <w:t>Newsweek Productions, Inc.</w:t>
            </w:r>
          </w:p>
        </w:tc>
        <w:tc>
          <w:tcPr>
            <w:tcW w:w="1720" w:type="dxa"/>
            <w:vAlign w:val="bottom"/>
            <w:shd w:val="clear" w:color="auto" w:fill="EEEEEE"/>
          </w:tcPr>
          <w:p>
            <w:pPr>
              <w:spacing w:after="0"/>
              <w:rPr>
                <w:sz w:val="20"/>
                <w:szCs w:val="20"/>
                <w:color w:val="auto"/>
              </w:rPr>
            </w:pPr>
            <w:r>
              <w:rPr>
                <w:rFonts w:ascii="Arial" w:cs="Arial" w:eastAsia="Arial" w:hAnsi="Arial"/>
                <w:sz w:val="18"/>
                <w:szCs w:val="18"/>
                <w:color w:val="auto"/>
              </w:rPr>
              <w:t>Delaware</w:t>
            </w:r>
          </w:p>
        </w:tc>
        <w:tc>
          <w:tcPr>
            <w:tcW w:w="2500" w:type="dxa"/>
            <w:vAlign w:val="bottom"/>
            <w:gridSpan w:val="2"/>
            <w:shd w:val="clear" w:color="auto" w:fill="EEEEEE"/>
          </w:tcPr>
          <w:p>
            <w:pPr>
              <w:jc w:val="right"/>
              <w:ind w:right="6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tcPr>
          <w:p>
            <w:pPr>
              <w:ind w:left="400"/>
              <w:spacing w:after="0"/>
              <w:rPr>
                <w:sz w:val="20"/>
                <w:szCs w:val="20"/>
                <w:color w:val="auto"/>
              </w:rPr>
            </w:pPr>
            <w:r>
              <w:rPr>
                <w:rFonts w:ascii="Arial" w:cs="Arial" w:eastAsia="Arial" w:hAnsi="Arial"/>
                <w:sz w:val="18"/>
                <w:szCs w:val="18"/>
                <w:color w:val="auto"/>
              </w:rPr>
              <w:t>Newsweek Services, Inc.</w:t>
            </w:r>
          </w:p>
        </w:tc>
        <w:tc>
          <w:tcPr>
            <w:tcW w:w="1720" w:type="dxa"/>
            <w:vAlign w:val="bottom"/>
          </w:tcPr>
          <w:p>
            <w:pPr>
              <w:spacing w:after="0"/>
              <w:rPr>
                <w:sz w:val="20"/>
                <w:szCs w:val="20"/>
                <w:color w:val="auto"/>
              </w:rPr>
            </w:pPr>
            <w:r>
              <w:rPr>
                <w:rFonts w:ascii="Arial" w:cs="Arial" w:eastAsia="Arial" w:hAnsi="Arial"/>
                <w:sz w:val="18"/>
                <w:szCs w:val="18"/>
                <w:color w:val="auto"/>
              </w:rPr>
              <w:t>Delaware</w:t>
            </w:r>
          </w:p>
        </w:tc>
        <w:tc>
          <w:tcPr>
            <w:tcW w:w="2500" w:type="dxa"/>
            <w:vAlign w:val="bottom"/>
            <w:gridSpan w:val="2"/>
          </w:tcPr>
          <w:p>
            <w:pPr>
              <w:jc w:val="right"/>
              <w:ind w:right="6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shd w:val="clear" w:color="auto" w:fill="EEEEEE"/>
          </w:tcPr>
          <w:p>
            <w:pPr>
              <w:ind w:left="400"/>
              <w:spacing w:after="0"/>
              <w:rPr>
                <w:sz w:val="20"/>
                <w:szCs w:val="20"/>
                <w:color w:val="auto"/>
              </w:rPr>
            </w:pPr>
            <w:r>
              <w:rPr>
                <w:rFonts w:ascii="Arial" w:cs="Arial" w:eastAsia="Arial" w:hAnsi="Arial"/>
                <w:sz w:val="18"/>
                <w:szCs w:val="18"/>
                <w:color w:val="auto"/>
              </w:rPr>
              <w:t>Newsweek Services (Canada), Inc.</w:t>
            </w:r>
          </w:p>
        </w:tc>
        <w:tc>
          <w:tcPr>
            <w:tcW w:w="1720" w:type="dxa"/>
            <w:vAlign w:val="bottom"/>
            <w:shd w:val="clear" w:color="auto" w:fill="EEEEEE"/>
          </w:tcPr>
          <w:p>
            <w:pPr>
              <w:spacing w:after="0"/>
              <w:rPr>
                <w:sz w:val="20"/>
                <w:szCs w:val="20"/>
                <w:color w:val="auto"/>
              </w:rPr>
            </w:pPr>
            <w:r>
              <w:rPr>
                <w:rFonts w:ascii="Arial" w:cs="Arial" w:eastAsia="Arial" w:hAnsi="Arial"/>
                <w:sz w:val="18"/>
                <w:szCs w:val="18"/>
                <w:color w:val="auto"/>
              </w:rPr>
              <w:t>Delaware</w:t>
            </w:r>
          </w:p>
        </w:tc>
        <w:tc>
          <w:tcPr>
            <w:tcW w:w="2500" w:type="dxa"/>
            <w:vAlign w:val="bottom"/>
            <w:gridSpan w:val="2"/>
            <w:shd w:val="clear" w:color="auto" w:fill="EEEEEE"/>
          </w:tcPr>
          <w:p>
            <w:pPr>
              <w:jc w:val="right"/>
              <w:ind w:right="6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tcPr>
          <w:p>
            <w:pPr>
              <w:spacing w:after="0"/>
              <w:rPr>
                <w:sz w:val="20"/>
                <w:szCs w:val="20"/>
                <w:color w:val="auto"/>
              </w:rPr>
            </w:pPr>
            <w:r>
              <w:rPr>
                <w:rFonts w:ascii="Arial" w:cs="Arial" w:eastAsia="Arial" w:hAnsi="Arial"/>
                <w:sz w:val="18"/>
                <w:szCs w:val="18"/>
                <w:color w:val="auto"/>
              </w:rPr>
              <w:t>Post-Newsweek Media, Inc.</w:t>
            </w:r>
          </w:p>
        </w:tc>
        <w:tc>
          <w:tcPr>
            <w:tcW w:w="1720" w:type="dxa"/>
            <w:vAlign w:val="bottom"/>
          </w:tcPr>
          <w:p>
            <w:pPr>
              <w:spacing w:after="0"/>
              <w:rPr>
                <w:sz w:val="20"/>
                <w:szCs w:val="20"/>
                <w:color w:val="auto"/>
              </w:rPr>
            </w:pPr>
            <w:r>
              <w:rPr>
                <w:rFonts w:ascii="Arial" w:cs="Arial" w:eastAsia="Arial" w:hAnsi="Arial"/>
                <w:sz w:val="18"/>
                <w:szCs w:val="18"/>
                <w:color w:val="auto"/>
              </w:rPr>
              <w:t>Maryland</w:t>
            </w:r>
          </w:p>
        </w:tc>
        <w:tc>
          <w:tcPr>
            <w:tcW w:w="2500" w:type="dxa"/>
            <w:vAlign w:val="bottom"/>
            <w:gridSpan w:val="2"/>
          </w:tcPr>
          <w:p>
            <w:pPr>
              <w:jc w:val="right"/>
              <w:ind w:right="6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Post-Newsweek Stations, Inc.</w:t>
            </w:r>
          </w:p>
        </w:tc>
        <w:tc>
          <w:tcPr>
            <w:tcW w:w="1720" w:type="dxa"/>
            <w:vAlign w:val="bottom"/>
            <w:shd w:val="clear" w:color="auto" w:fill="EEEEEE"/>
          </w:tcPr>
          <w:p>
            <w:pPr>
              <w:spacing w:after="0"/>
              <w:rPr>
                <w:sz w:val="20"/>
                <w:szCs w:val="20"/>
                <w:color w:val="auto"/>
              </w:rPr>
            </w:pPr>
            <w:r>
              <w:rPr>
                <w:rFonts w:ascii="Arial" w:cs="Arial" w:eastAsia="Arial" w:hAnsi="Arial"/>
                <w:sz w:val="18"/>
                <w:szCs w:val="18"/>
                <w:color w:val="auto"/>
              </w:rPr>
              <w:t>Delaware</w:t>
            </w:r>
          </w:p>
        </w:tc>
        <w:tc>
          <w:tcPr>
            <w:tcW w:w="2500" w:type="dxa"/>
            <w:vAlign w:val="bottom"/>
            <w:gridSpan w:val="2"/>
            <w:shd w:val="clear" w:color="auto" w:fill="EEEEEE"/>
          </w:tcPr>
          <w:p>
            <w:pPr>
              <w:jc w:val="right"/>
              <w:ind w:right="6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tcPr>
          <w:p>
            <w:pPr>
              <w:ind w:left="400"/>
              <w:spacing w:after="0"/>
              <w:rPr>
                <w:sz w:val="20"/>
                <w:szCs w:val="20"/>
                <w:color w:val="auto"/>
              </w:rPr>
            </w:pPr>
            <w:r>
              <w:rPr>
                <w:rFonts w:ascii="Arial" w:cs="Arial" w:eastAsia="Arial" w:hAnsi="Arial"/>
                <w:sz w:val="18"/>
                <w:szCs w:val="18"/>
                <w:color w:val="auto"/>
              </w:rPr>
              <w:t>Post-Newsweek Stations, Florida, Inc.</w:t>
            </w:r>
          </w:p>
        </w:tc>
        <w:tc>
          <w:tcPr>
            <w:tcW w:w="1720" w:type="dxa"/>
            <w:vAlign w:val="bottom"/>
          </w:tcPr>
          <w:p>
            <w:pPr>
              <w:spacing w:after="0"/>
              <w:rPr>
                <w:sz w:val="20"/>
                <w:szCs w:val="20"/>
                <w:color w:val="auto"/>
              </w:rPr>
            </w:pPr>
            <w:r>
              <w:rPr>
                <w:rFonts w:ascii="Arial" w:cs="Arial" w:eastAsia="Arial" w:hAnsi="Arial"/>
                <w:sz w:val="18"/>
                <w:szCs w:val="18"/>
                <w:color w:val="auto"/>
              </w:rPr>
              <w:t>Florida</w:t>
            </w:r>
          </w:p>
        </w:tc>
        <w:tc>
          <w:tcPr>
            <w:tcW w:w="2500" w:type="dxa"/>
            <w:vAlign w:val="bottom"/>
            <w:gridSpan w:val="2"/>
          </w:tcPr>
          <w:p>
            <w:pPr>
              <w:jc w:val="right"/>
              <w:ind w:right="6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shd w:val="clear" w:color="auto" w:fill="EEEEEE"/>
          </w:tcPr>
          <w:p>
            <w:pPr>
              <w:ind w:left="400"/>
              <w:spacing w:after="0"/>
              <w:rPr>
                <w:sz w:val="20"/>
                <w:szCs w:val="20"/>
                <w:color w:val="auto"/>
              </w:rPr>
            </w:pPr>
            <w:r>
              <w:rPr>
                <w:rFonts w:ascii="Arial" w:cs="Arial" w:eastAsia="Arial" w:hAnsi="Arial"/>
                <w:sz w:val="18"/>
                <w:szCs w:val="18"/>
                <w:color w:val="auto"/>
              </w:rPr>
              <w:t>Post-Newsweek Stations, Houston GP, Inc.</w:t>
            </w:r>
          </w:p>
        </w:tc>
        <w:tc>
          <w:tcPr>
            <w:tcW w:w="1720" w:type="dxa"/>
            <w:vAlign w:val="bottom"/>
            <w:shd w:val="clear" w:color="auto" w:fill="EEEEEE"/>
          </w:tcPr>
          <w:p>
            <w:pPr>
              <w:spacing w:after="0"/>
              <w:rPr>
                <w:sz w:val="20"/>
                <w:szCs w:val="20"/>
                <w:color w:val="auto"/>
              </w:rPr>
            </w:pPr>
            <w:r>
              <w:rPr>
                <w:rFonts w:ascii="Arial" w:cs="Arial" w:eastAsia="Arial" w:hAnsi="Arial"/>
                <w:sz w:val="18"/>
                <w:szCs w:val="18"/>
                <w:color w:val="auto"/>
              </w:rPr>
              <w:t>Delaware</w:t>
            </w:r>
          </w:p>
        </w:tc>
        <w:tc>
          <w:tcPr>
            <w:tcW w:w="2500" w:type="dxa"/>
            <w:vAlign w:val="bottom"/>
            <w:gridSpan w:val="2"/>
            <w:shd w:val="clear" w:color="auto" w:fill="EEEEEE"/>
          </w:tcPr>
          <w:p>
            <w:pPr>
              <w:jc w:val="right"/>
              <w:ind w:right="6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tcPr>
          <w:p>
            <w:pPr>
              <w:ind w:left="660"/>
              <w:spacing w:after="0"/>
              <w:rPr>
                <w:sz w:val="20"/>
                <w:szCs w:val="20"/>
                <w:color w:val="auto"/>
              </w:rPr>
            </w:pPr>
            <w:r>
              <w:rPr>
                <w:rFonts w:ascii="Arial" w:cs="Arial" w:eastAsia="Arial" w:hAnsi="Arial"/>
                <w:sz w:val="18"/>
                <w:szCs w:val="18"/>
                <w:color w:val="auto"/>
              </w:rPr>
              <w:t>Post-Newsweek Stations, Houston, LP</w:t>
            </w:r>
          </w:p>
        </w:tc>
        <w:tc>
          <w:tcPr>
            <w:tcW w:w="1720" w:type="dxa"/>
            <w:vAlign w:val="bottom"/>
          </w:tcPr>
          <w:p>
            <w:pPr>
              <w:spacing w:after="0"/>
              <w:rPr>
                <w:sz w:val="20"/>
                <w:szCs w:val="20"/>
                <w:color w:val="auto"/>
              </w:rPr>
            </w:pPr>
            <w:r>
              <w:rPr>
                <w:rFonts w:ascii="Arial" w:cs="Arial" w:eastAsia="Arial" w:hAnsi="Arial"/>
                <w:sz w:val="18"/>
                <w:szCs w:val="18"/>
                <w:color w:val="auto"/>
              </w:rPr>
              <w:t>Delaware</w:t>
            </w:r>
          </w:p>
        </w:tc>
        <w:tc>
          <w:tcPr>
            <w:tcW w:w="1040" w:type="dxa"/>
            <w:vAlign w:val="bottom"/>
          </w:tcPr>
          <w:p>
            <w:pPr>
              <w:spacing w:after="0"/>
              <w:rPr>
                <w:sz w:val="18"/>
                <w:szCs w:val="18"/>
                <w:color w:val="auto"/>
              </w:rPr>
            </w:pPr>
          </w:p>
        </w:tc>
        <w:tc>
          <w:tcPr>
            <w:tcW w:w="1460" w:type="dxa"/>
            <w:vAlign w:val="bottom"/>
          </w:tcPr>
          <w:p>
            <w:pPr>
              <w:jc w:val="right"/>
              <w:ind w:right="460"/>
              <w:spacing w:after="0"/>
              <w:rPr>
                <w:sz w:val="20"/>
                <w:szCs w:val="20"/>
                <w:color w:val="auto"/>
              </w:rPr>
            </w:pPr>
            <w:r>
              <w:rPr>
                <w:rFonts w:ascii="Arial" w:cs="Arial" w:eastAsia="Arial" w:hAnsi="Arial"/>
                <w:sz w:val="18"/>
                <w:szCs w:val="18"/>
                <w:color w:val="auto"/>
              </w:rPr>
              <w:t>1%(b)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shd w:val="clear" w:color="auto" w:fill="EEEEEE"/>
          </w:tcPr>
          <w:p>
            <w:pPr>
              <w:ind w:left="400"/>
              <w:spacing w:after="0"/>
              <w:rPr>
                <w:sz w:val="20"/>
                <w:szCs w:val="20"/>
                <w:color w:val="auto"/>
              </w:rPr>
            </w:pPr>
            <w:r>
              <w:rPr>
                <w:rFonts w:ascii="Arial" w:cs="Arial" w:eastAsia="Arial" w:hAnsi="Arial"/>
                <w:sz w:val="18"/>
                <w:szCs w:val="18"/>
                <w:color w:val="auto"/>
              </w:rPr>
              <w:t>Post-Newsweek Stations, Houston Holdings (Limited), Inc.</w:t>
            </w:r>
          </w:p>
        </w:tc>
        <w:tc>
          <w:tcPr>
            <w:tcW w:w="1720" w:type="dxa"/>
            <w:vAlign w:val="bottom"/>
            <w:shd w:val="clear" w:color="auto" w:fill="EEEEEE"/>
          </w:tcPr>
          <w:p>
            <w:pPr>
              <w:spacing w:after="0"/>
              <w:rPr>
                <w:sz w:val="20"/>
                <w:szCs w:val="20"/>
                <w:color w:val="auto"/>
              </w:rPr>
            </w:pPr>
            <w:r>
              <w:rPr>
                <w:rFonts w:ascii="Arial" w:cs="Arial" w:eastAsia="Arial" w:hAnsi="Arial"/>
                <w:sz w:val="18"/>
                <w:szCs w:val="18"/>
                <w:color w:val="auto"/>
              </w:rPr>
              <w:t>Delaware</w:t>
            </w:r>
          </w:p>
        </w:tc>
        <w:tc>
          <w:tcPr>
            <w:tcW w:w="2500" w:type="dxa"/>
            <w:vAlign w:val="bottom"/>
            <w:gridSpan w:val="2"/>
            <w:shd w:val="clear" w:color="auto" w:fill="EEEEEE"/>
          </w:tcPr>
          <w:p>
            <w:pPr>
              <w:jc w:val="right"/>
              <w:ind w:right="6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tcPr>
          <w:p>
            <w:pPr>
              <w:ind w:left="660"/>
              <w:spacing w:after="0"/>
              <w:rPr>
                <w:sz w:val="20"/>
                <w:szCs w:val="20"/>
                <w:color w:val="auto"/>
              </w:rPr>
            </w:pPr>
            <w:r>
              <w:rPr>
                <w:rFonts w:ascii="Arial" w:cs="Arial" w:eastAsia="Arial" w:hAnsi="Arial"/>
                <w:sz w:val="18"/>
                <w:szCs w:val="18"/>
                <w:color w:val="auto"/>
              </w:rPr>
              <w:t>Post-Newsweek Stations, Houston, LP</w:t>
            </w:r>
          </w:p>
        </w:tc>
        <w:tc>
          <w:tcPr>
            <w:tcW w:w="1720" w:type="dxa"/>
            <w:vAlign w:val="bottom"/>
          </w:tcPr>
          <w:p>
            <w:pPr>
              <w:spacing w:after="0"/>
              <w:rPr>
                <w:sz w:val="20"/>
                <w:szCs w:val="20"/>
                <w:color w:val="auto"/>
              </w:rPr>
            </w:pPr>
            <w:r>
              <w:rPr>
                <w:rFonts w:ascii="Arial" w:cs="Arial" w:eastAsia="Arial" w:hAnsi="Arial"/>
                <w:sz w:val="18"/>
                <w:szCs w:val="18"/>
                <w:color w:val="auto"/>
              </w:rPr>
              <w:t>Delaware</w:t>
            </w:r>
          </w:p>
        </w:tc>
        <w:tc>
          <w:tcPr>
            <w:tcW w:w="1040" w:type="dxa"/>
            <w:vAlign w:val="bottom"/>
          </w:tcPr>
          <w:p>
            <w:pPr>
              <w:spacing w:after="0"/>
              <w:rPr>
                <w:sz w:val="18"/>
                <w:szCs w:val="18"/>
                <w:color w:val="auto"/>
              </w:rPr>
            </w:pPr>
          </w:p>
        </w:tc>
        <w:tc>
          <w:tcPr>
            <w:tcW w:w="1460" w:type="dxa"/>
            <w:vAlign w:val="bottom"/>
          </w:tcPr>
          <w:p>
            <w:pPr>
              <w:jc w:val="right"/>
              <w:ind w:right="480"/>
              <w:spacing w:after="0"/>
              <w:rPr>
                <w:sz w:val="20"/>
                <w:szCs w:val="20"/>
                <w:color w:val="auto"/>
              </w:rPr>
            </w:pPr>
            <w:r>
              <w:rPr>
                <w:rFonts w:ascii="Arial" w:cs="Arial" w:eastAsia="Arial" w:hAnsi="Arial"/>
                <w:sz w:val="18"/>
                <w:szCs w:val="18"/>
                <w:color w:val="auto"/>
              </w:rPr>
              <w:t>99%(c)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shd w:val="clear" w:color="auto" w:fill="EEEEEE"/>
          </w:tcPr>
          <w:p>
            <w:pPr>
              <w:ind w:left="400"/>
              <w:spacing w:after="0"/>
              <w:rPr>
                <w:sz w:val="20"/>
                <w:szCs w:val="20"/>
                <w:color w:val="auto"/>
              </w:rPr>
            </w:pPr>
            <w:r>
              <w:rPr>
                <w:rFonts w:ascii="Arial" w:cs="Arial" w:eastAsia="Arial" w:hAnsi="Arial"/>
                <w:sz w:val="18"/>
                <w:szCs w:val="18"/>
                <w:color w:val="auto"/>
              </w:rPr>
              <w:t>Post-Newsweek Stations, Michigan, Inc.</w:t>
            </w:r>
          </w:p>
        </w:tc>
        <w:tc>
          <w:tcPr>
            <w:tcW w:w="1720" w:type="dxa"/>
            <w:vAlign w:val="bottom"/>
            <w:shd w:val="clear" w:color="auto" w:fill="EEEEEE"/>
          </w:tcPr>
          <w:p>
            <w:pPr>
              <w:spacing w:after="0"/>
              <w:rPr>
                <w:sz w:val="20"/>
                <w:szCs w:val="20"/>
                <w:color w:val="auto"/>
              </w:rPr>
            </w:pPr>
            <w:r>
              <w:rPr>
                <w:rFonts w:ascii="Arial" w:cs="Arial" w:eastAsia="Arial" w:hAnsi="Arial"/>
                <w:sz w:val="18"/>
                <w:szCs w:val="18"/>
                <w:color w:val="auto"/>
              </w:rPr>
              <w:t>Delaware</w:t>
            </w:r>
          </w:p>
        </w:tc>
        <w:tc>
          <w:tcPr>
            <w:tcW w:w="2500" w:type="dxa"/>
            <w:vAlign w:val="bottom"/>
            <w:gridSpan w:val="2"/>
            <w:shd w:val="clear" w:color="auto" w:fill="EEEEEE"/>
          </w:tcPr>
          <w:p>
            <w:pPr>
              <w:jc w:val="right"/>
              <w:ind w:right="6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tcPr>
          <w:p>
            <w:pPr>
              <w:ind w:left="400"/>
              <w:spacing w:after="0"/>
              <w:rPr>
                <w:sz w:val="20"/>
                <w:szCs w:val="20"/>
                <w:color w:val="auto"/>
              </w:rPr>
            </w:pPr>
            <w:r>
              <w:rPr>
                <w:rFonts w:ascii="Arial" w:cs="Arial" w:eastAsia="Arial" w:hAnsi="Arial"/>
                <w:sz w:val="18"/>
                <w:szCs w:val="18"/>
                <w:color w:val="auto"/>
              </w:rPr>
              <w:t>Post-Newsweek Stations, Orlando, Inc.</w:t>
            </w:r>
          </w:p>
        </w:tc>
        <w:tc>
          <w:tcPr>
            <w:tcW w:w="1720" w:type="dxa"/>
            <w:vAlign w:val="bottom"/>
          </w:tcPr>
          <w:p>
            <w:pPr>
              <w:spacing w:after="0"/>
              <w:rPr>
                <w:sz w:val="20"/>
                <w:szCs w:val="20"/>
                <w:color w:val="auto"/>
              </w:rPr>
            </w:pPr>
            <w:r>
              <w:rPr>
                <w:rFonts w:ascii="Arial" w:cs="Arial" w:eastAsia="Arial" w:hAnsi="Arial"/>
                <w:sz w:val="18"/>
                <w:szCs w:val="18"/>
                <w:color w:val="auto"/>
              </w:rPr>
              <w:t>Delaware</w:t>
            </w:r>
          </w:p>
        </w:tc>
        <w:tc>
          <w:tcPr>
            <w:tcW w:w="2500" w:type="dxa"/>
            <w:vAlign w:val="bottom"/>
            <w:gridSpan w:val="2"/>
          </w:tcPr>
          <w:p>
            <w:pPr>
              <w:jc w:val="right"/>
              <w:ind w:right="6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shd w:val="clear" w:color="auto" w:fill="EEEEEE"/>
          </w:tcPr>
          <w:p>
            <w:pPr>
              <w:ind w:left="400"/>
              <w:spacing w:after="0"/>
              <w:rPr>
                <w:sz w:val="20"/>
                <w:szCs w:val="20"/>
                <w:color w:val="auto"/>
              </w:rPr>
            </w:pPr>
            <w:r>
              <w:rPr>
                <w:rFonts w:ascii="Arial" w:cs="Arial" w:eastAsia="Arial" w:hAnsi="Arial"/>
                <w:sz w:val="18"/>
                <w:szCs w:val="18"/>
                <w:color w:val="auto"/>
              </w:rPr>
              <w:t>Post-Newsweek Stations, San Antonio GP, Inc.</w:t>
            </w:r>
          </w:p>
        </w:tc>
        <w:tc>
          <w:tcPr>
            <w:tcW w:w="1720" w:type="dxa"/>
            <w:vAlign w:val="bottom"/>
            <w:shd w:val="clear" w:color="auto" w:fill="EEEEEE"/>
          </w:tcPr>
          <w:p>
            <w:pPr>
              <w:spacing w:after="0"/>
              <w:rPr>
                <w:sz w:val="20"/>
                <w:szCs w:val="20"/>
                <w:color w:val="auto"/>
              </w:rPr>
            </w:pPr>
            <w:r>
              <w:rPr>
                <w:rFonts w:ascii="Arial" w:cs="Arial" w:eastAsia="Arial" w:hAnsi="Arial"/>
                <w:sz w:val="18"/>
                <w:szCs w:val="18"/>
                <w:color w:val="auto"/>
              </w:rPr>
              <w:t>Delaware</w:t>
            </w:r>
          </w:p>
        </w:tc>
        <w:tc>
          <w:tcPr>
            <w:tcW w:w="2500" w:type="dxa"/>
            <w:vAlign w:val="bottom"/>
            <w:gridSpan w:val="2"/>
            <w:shd w:val="clear" w:color="auto" w:fill="EEEEEE"/>
          </w:tcPr>
          <w:p>
            <w:pPr>
              <w:jc w:val="right"/>
              <w:ind w:right="6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tcPr>
          <w:p>
            <w:pPr>
              <w:ind w:left="660"/>
              <w:spacing w:after="0"/>
              <w:rPr>
                <w:sz w:val="20"/>
                <w:szCs w:val="20"/>
                <w:color w:val="auto"/>
              </w:rPr>
            </w:pPr>
            <w:r>
              <w:rPr>
                <w:rFonts w:ascii="Arial" w:cs="Arial" w:eastAsia="Arial" w:hAnsi="Arial"/>
                <w:sz w:val="18"/>
                <w:szCs w:val="18"/>
                <w:color w:val="auto"/>
              </w:rPr>
              <w:t>Post-Newsweek Stations, San Antonio, LP</w:t>
            </w:r>
          </w:p>
        </w:tc>
        <w:tc>
          <w:tcPr>
            <w:tcW w:w="1720" w:type="dxa"/>
            <w:vAlign w:val="bottom"/>
          </w:tcPr>
          <w:p>
            <w:pPr>
              <w:spacing w:after="0"/>
              <w:rPr>
                <w:sz w:val="20"/>
                <w:szCs w:val="20"/>
                <w:color w:val="auto"/>
              </w:rPr>
            </w:pPr>
            <w:r>
              <w:rPr>
                <w:rFonts w:ascii="Arial" w:cs="Arial" w:eastAsia="Arial" w:hAnsi="Arial"/>
                <w:sz w:val="18"/>
                <w:szCs w:val="18"/>
                <w:color w:val="auto"/>
              </w:rPr>
              <w:t>Delaware</w:t>
            </w:r>
          </w:p>
        </w:tc>
        <w:tc>
          <w:tcPr>
            <w:tcW w:w="1040" w:type="dxa"/>
            <w:vAlign w:val="bottom"/>
          </w:tcPr>
          <w:p>
            <w:pPr>
              <w:spacing w:after="0"/>
              <w:rPr>
                <w:sz w:val="18"/>
                <w:szCs w:val="18"/>
                <w:color w:val="auto"/>
              </w:rPr>
            </w:pPr>
          </w:p>
        </w:tc>
        <w:tc>
          <w:tcPr>
            <w:tcW w:w="1460" w:type="dxa"/>
            <w:vAlign w:val="bottom"/>
          </w:tcPr>
          <w:p>
            <w:pPr>
              <w:jc w:val="right"/>
              <w:ind w:right="460"/>
              <w:spacing w:after="0"/>
              <w:rPr>
                <w:sz w:val="20"/>
                <w:szCs w:val="20"/>
                <w:color w:val="auto"/>
              </w:rPr>
            </w:pPr>
            <w:r>
              <w:rPr>
                <w:rFonts w:ascii="Arial" w:cs="Arial" w:eastAsia="Arial" w:hAnsi="Arial"/>
                <w:sz w:val="18"/>
                <w:szCs w:val="18"/>
                <w:color w:val="auto"/>
              </w:rPr>
              <w:t>1%(b)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shd w:val="clear" w:color="auto" w:fill="EEEEEE"/>
          </w:tcPr>
          <w:p>
            <w:pPr>
              <w:ind w:left="400"/>
              <w:spacing w:after="0"/>
              <w:rPr>
                <w:sz w:val="20"/>
                <w:szCs w:val="20"/>
                <w:color w:val="auto"/>
              </w:rPr>
            </w:pPr>
            <w:r>
              <w:rPr>
                <w:rFonts w:ascii="Arial" w:cs="Arial" w:eastAsia="Arial" w:hAnsi="Arial"/>
                <w:sz w:val="18"/>
                <w:szCs w:val="18"/>
                <w:color w:val="auto"/>
              </w:rPr>
              <w:t>Post-Newsweek Stations, San Antonio Holdings (Limited), Inc.</w:t>
            </w:r>
          </w:p>
        </w:tc>
        <w:tc>
          <w:tcPr>
            <w:tcW w:w="1720" w:type="dxa"/>
            <w:vAlign w:val="bottom"/>
            <w:shd w:val="clear" w:color="auto" w:fill="EEEEEE"/>
          </w:tcPr>
          <w:p>
            <w:pPr>
              <w:spacing w:after="0"/>
              <w:rPr>
                <w:sz w:val="20"/>
                <w:szCs w:val="20"/>
                <w:color w:val="auto"/>
              </w:rPr>
            </w:pPr>
            <w:r>
              <w:rPr>
                <w:rFonts w:ascii="Arial" w:cs="Arial" w:eastAsia="Arial" w:hAnsi="Arial"/>
                <w:sz w:val="18"/>
                <w:szCs w:val="18"/>
                <w:color w:val="auto"/>
              </w:rPr>
              <w:t>Delaware</w:t>
            </w:r>
          </w:p>
        </w:tc>
        <w:tc>
          <w:tcPr>
            <w:tcW w:w="2500" w:type="dxa"/>
            <w:vAlign w:val="bottom"/>
            <w:gridSpan w:val="2"/>
            <w:shd w:val="clear" w:color="auto" w:fill="EEEEEE"/>
          </w:tcPr>
          <w:p>
            <w:pPr>
              <w:jc w:val="right"/>
              <w:ind w:right="6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tcPr>
          <w:p>
            <w:pPr>
              <w:ind w:left="660"/>
              <w:spacing w:after="0"/>
              <w:rPr>
                <w:sz w:val="20"/>
                <w:szCs w:val="20"/>
                <w:color w:val="auto"/>
              </w:rPr>
            </w:pPr>
            <w:r>
              <w:rPr>
                <w:rFonts w:ascii="Arial" w:cs="Arial" w:eastAsia="Arial" w:hAnsi="Arial"/>
                <w:sz w:val="18"/>
                <w:szCs w:val="18"/>
                <w:color w:val="auto"/>
              </w:rPr>
              <w:t>Post-Newsweek Stations, San Antonio, LP</w:t>
            </w:r>
          </w:p>
        </w:tc>
        <w:tc>
          <w:tcPr>
            <w:tcW w:w="1720" w:type="dxa"/>
            <w:vAlign w:val="bottom"/>
          </w:tcPr>
          <w:p>
            <w:pPr>
              <w:spacing w:after="0"/>
              <w:rPr>
                <w:sz w:val="20"/>
                <w:szCs w:val="20"/>
                <w:color w:val="auto"/>
              </w:rPr>
            </w:pPr>
            <w:r>
              <w:rPr>
                <w:rFonts w:ascii="Arial" w:cs="Arial" w:eastAsia="Arial" w:hAnsi="Arial"/>
                <w:sz w:val="18"/>
                <w:szCs w:val="18"/>
                <w:color w:val="auto"/>
              </w:rPr>
              <w:t>Delaware</w:t>
            </w:r>
          </w:p>
        </w:tc>
        <w:tc>
          <w:tcPr>
            <w:tcW w:w="1040" w:type="dxa"/>
            <w:vAlign w:val="bottom"/>
          </w:tcPr>
          <w:p>
            <w:pPr>
              <w:spacing w:after="0"/>
              <w:rPr>
                <w:sz w:val="18"/>
                <w:szCs w:val="18"/>
                <w:color w:val="auto"/>
              </w:rPr>
            </w:pPr>
          </w:p>
        </w:tc>
        <w:tc>
          <w:tcPr>
            <w:tcW w:w="1460" w:type="dxa"/>
            <w:vAlign w:val="bottom"/>
          </w:tcPr>
          <w:p>
            <w:pPr>
              <w:jc w:val="right"/>
              <w:ind w:right="480"/>
              <w:spacing w:after="0"/>
              <w:rPr>
                <w:sz w:val="20"/>
                <w:szCs w:val="20"/>
                <w:color w:val="auto"/>
              </w:rPr>
            </w:pPr>
            <w:r>
              <w:rPr>
                <w:rFonts w:ascii="Arial" w:cs="Arial" w:eastAsia="Arial" w:hAnsi="Arial"/>
                <w:sz w:val="18"/>
                <w:szCs w:val="18"/>
                <w:color w:val="auto"/>
              </w:rPr>
              <w:t>99%(c)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Robinson Terminal Warehouse Corporation</w:t>
            </w:r>
          </w:p>
        </w:tc>
        <w:tc>
          <w:tcPr>
            <w:tcW w:w="1720" w:type="dxa"/>
            <w:vAlign w:val="bottom"/>
            <w:shd w:val="clear" w:color="auto" w:fill="EEEEEE"/>
          </w:tcPr>
          <w:p>
            <w:pPr>
              <w:spacing w:after="0"/>
              <w:rPr>
                <w:sz w:val="20"/>
                <w:szCs w:val="20"/>
                <w:color w:val="auto"/>
              </w:rPr>
            </w:pPr>
            <w:r>
              <w:rPr>
                <w:rFonts w:ascii="Arial" w:cs="Arial" w:eastAsia="Arial" w:hAnsi="Arial"/>
                <w:sz w:val="18"/>
                <w:szCs w:val="18"/>
                <w:color w:val="auto"/>
              </w:rPr>
              <w:t>Delaware</w:t>
            </w:r>
          </w:p>
        </w:tc>
        <w:tc>
          <w:tcPr>
            <w:tcW w:w="2500" w:type="dxa"/>
            <w:vAlign w:val="bottom"/>
            <w:gridSpan w:val="2"/>
            <w:shd w:val="clear" w:color="auto" w:fill="EEEEEE"/>
          </w:tcPr>
          <w:p>
            <w:pPr>
              <w:jc w:val="right"/>
              <w:ind w:right="6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tcPr>
          <w:p>
            <w:pPr>
              <w:spacing w:after="0"/>
              <w:rPr>
                <w:sz w:val="20"/>
                <w:szCs w:val="20"/>
                <w:color w:val="auto"/>
              </w:rPr>
            </w:pPr>
            <w:r>
              <w:rPr>
                <w:rFonts w:ascii="Arial" w:cs="Arial" w:eastAsia="Arial" w:hAnsi="Arial"/>
                <w:sz w:val="18"/>
                <w:szCs w:val="18"/>
                <w:color w:val="auto"/>
              </w:rPr>
              <w:t>Washingtonpost.Newsweek Interactive Company, LLC</w:t>
            </w:r>
          </w:p>
        </w:tc>
        <w:tc>
          <w:tcPr>
            <w:tcW w:w="1720" w:type="dxa"/>
            <w:vAlign w:val="bottom"/>
          </w:tcPr>
          <w:p>
            <w:pPr>
              <w:spacing w:after="0"/>
              <w:rPr>
                <w:sz w:val="20"/>
                <w:szCs w:val="20"/>
                <w:color w:val="auto"/>
              </w:rPr>
            </w:pPr>
            <w:r>
              <w:rPr>
                <w:rFonts w:ascii="Arial" w:cs="Arial" w:eastAsia="Arial" w:hAnsi="Arial"/>
                <w:sz w:val="18"/>
                <w:szCs w:val="18"/>
                <w:color w:val="auto"/>
              </w:rPr>
              <w:t>Delaware</w:t>
            </w:r>
          </w:p>
        </w:tc>
        <w:tc>
          <w:tcPr>
            <w:tcW w:w="2500" w:type="dxa"/>
            <w:vAlign w:val="bottom"/>
            <w:gridSpan w:val="2"/>
          </w:tcPr>
          <w:p>
            <w:pPr>
              <w:jc w:val="right"/>
              <w:ind w:right="6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WP Company LLC</w:t>
            </w:r>
          </w:p>
        </w:tc>
        <w:tc>
          <w:tcPr>
            <w:tcW w:w="1720" w:type="dxa"/>
            <w:vAlign w:val="bottom"/>
            <w:shd w:val="clear" w:color="auto" w:fill="EEEEEE"/>
          </w:tcPr>
          <w:p>
            <w:pPr>
              <w:spacing w:after="0"/>
              <w:rPr>
                <w:sz w:val="20"/>
                <w:szCs w:val="20"/>
                <w:color w:val="auto"/>
              </w:rPr>
            </w:pPr>
            <w:r>
              <w:rPr>
                <w:rFonts w:ascii="Arial" w:cs="Arial" w:eastAsia="Arial" w:hAnsi="Arial"/>
                <w:sz w:val="18"/>
                <w:szCs w:val="18"/>
                <w:color w:val="auto"/>
              </w:rPr>
              <w:t>Delaware</w:t>
            </w:r>
          </w:p>
        </w:tc>
        <w:tc>
          <w:tcPr>
            <w:tcW w:w="2500" w:type="dxa"/>
            <w:vAlign w:val="bottom"/>
            <w:gridSpan w:val="2"/>
            <w:shd w:val="clear" w:color="auto" w:fill="EEEEEE"/>
          </w:tcPr>
          <w:p>
            <w:pPr>
              <w:jc w:val="right"/>
              <w:ind w:right="6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23507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560" w:right="140" w:hanging="306"/>
        <w:spacing w:after="0" w:line="258" w:lineRule="auto"/>
        <w:tabs>
          <w:tab w:leader="none" w:pos="5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Coxcourt Limited also owns voting stock in Accountancy &amp; Business College Holdings Limited. The combined stock ownership of Kaplan, Inc. and Coxcourt Limited in Accounting &amp; Business College Holdings Limited is 100%.</w:t>
      </w:r>
    </w:p>
    <w:p>
      <w:pPr>
        <w:spacing w:after="0" w:line="1" w:lineRule="exact"/>
        <w:rPr>
          <w:rFonts w:ascii="Arial" w:cs="Arial" w:eastAsia="Arial" w:hAnsi="Arial"/>
          <w:sz w:val="18"/>
          <w:szCs w:val="18"/>
          <w:color w:val="auto"/>
        </w:rPr>
      </w:pPr>
    </w:p>
    <w:p>
      <w:pPr>
        <w:ind w:left="560" w:hanging="316"/>
        <w:spacing w:after="0"/>
        <w:tabs>
          <w:tab w:leader="none" w:pos="5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General partnership interest.</w:t>
      </w:r>
    </w:p>
    <w:p>
      <w:pPr>
        <w:spacing w:after="0" w:line="9" w:lineRule="exact"/>
        <w:rPr>
          <w:rFonts w:ascii="Arial" w:cs="Arial" w:eastAsia="Arial" w:hAnsi="Arial"/>
          <w:sz w:val="18"/>
          <w:szCs w:val="18"/>
          <w:color w:val="auto"/>
        </w:rPr>
      </w:pPr>
    </w:p>
    <w:p>
      <w:pPr>
        <w:ind w:left="560" w:hanging="306"/>
        <w:spacing w:after="0"/>
        <w:tabs>
          <w:tab w:leader="none" w:pos="5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Limited partnership interest.</w:t>
      </w:r>
    </w:p>
    <w:p>
      <w:pPr>
        <w:spacing w:after="0" w:line="211" w:lineRule="exact"/>
        <w:rPr>
          <w:sz w:val="20"/>
          <w:szCs w:val="20"/>
          <w:color w:val="auto"/>
        </w:rPr>
      </w:pPr>
    </w:p>
    <w:p>
      <w:pPr>
        <w:ind w:right="780" w:firstLine="215"/>
        <w:spacing w:after="0" w:line="308" w:lineRule="auto"/>
        <w:rPr>
          <w:sz w:val="20"/>
          <w:szCs w:val="20"/>
          <w:color w:val="auto"/>
        </w:rPr>
      </w:pPr>
      <w:r>
        <w:rPr>
          <w:rFonts w:ascii="Arial" w:cs="Arial" w:eastAsia="Arial" w:hAnsi="Arial"/>
          <w:sz w:val="17"/>
          <w:szCs w:val="17"/>
          <w:color w:val="auto"/>
        </w:rPr>
        <w:t>As permitted by Item 601(b)(21) of Regulation S-K, the foregoing list omits certain subsidiaries which, if considered in the aggregate as a single subsidiary, would not constitute a “significant subsidiary” as that term is defined in Rule 1-02(w) of Regulation S-X.</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935"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color w:val="auto"/>
        </w:rPr>
        <w:t>EXHIBIT 23</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ACCOUNTANTS</w:t>
      </w:r>
    </w:p>
    <w:p>
      <w:pPr>
        <w:spacing w:after="0" w:line="18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hereby consent to the incorporation by reference in the Registration Statements on Form S-3 (Registration Nos. 333-72162 and 333-71350) and Form S-8 (Registration No. 2-42170) of The Washington Post Company, and in the Prospectuses constituting a part thereof, of our report dated February 20, 2004 appearing on page 38 of this Annual Report on Form 10-K, and to the reference to us under the heading “Experts” in such Prospectuses.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Washington, D.C.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9, 2004</w:t>
      </w:r>
    </w:p>
    <w:p>
      <w:pPr>
        <w:sectPr>
          <w:pgSz w:w="11900" w:h="16838" w:orient="portrait"/>
          <w:cols w:equalWidth="0" w:num="1">
            <w:col w:w="11420"/>
          </w:cols>
          <w:pgMar w:left="240" w:top="935"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color w:val="auto"/>
        </w:rPr>
        <w:t>EXHIBIT 24</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Reports Under the Securities Exchange Act of 1934</w:t>
      </w:r>
    </w:p>
    <w:p>
      <w:pPr>
        <w:spacing w:after="0" w:line="170" w:lineRule="exact"/>
        <w:rPr>
          <w:sz w:val="20"/>
          <w:szCs w:val="20"/>
          <w:color w:val="auto"/>
        </w:rPr>
      </w:pPr>
    </w:p>
    <w:p>
      <w:pPr>
        <w:ind w:left="10360"/>
        <w:spacing w:after="0"/>
        <w:rPr>
          <w:sz w:val="20"/>
          <w:szCs w:val="20"/>
          <w:color w:val="auto"/>
        </w:rPr>
      </w:pPr>
      <w:r>
        <w:rPr>
          <w:rFonts w:ascii="Arial" w:cs="Arial" w:eastAsia="Arial" w:hAnsi="Arial"/>
          <w:sz w:val="16"/>
          <w:szCs w:val="16"/>
          <w:color w:val="auto"/>
        </w:rPr>
        <w:t>March 4, 2004</w:t>
      </w:r>
    </w:p>
    <w:p>
      <w:pPr>
        <w:spacing w:after="0" w:line="208"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KNOW ALL MEN BY THESE PRESENTS that each of the undersigned directors and officers of The Washington Post Company, a Delaware corporation (hereinafter called the “Company”), hereby constitutes and appoints DONALD E. GRAHAM, JOHN B. MORSE, JR. and DIANA M. DANIELS, and each of them, his or her true and lawful attorneys-in-fact and agents with full power to act without the others and with full power of substitution and resubstitution, for him or her and in his or her name, place and stead, in any and all capacities, to sign any and all reports required to be filed by the Company pursuant to the Securities Exchange Act of 1934, as amended, and any and all amendments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354" w:lineRule="exact"/>
        <w:rPr>
          <w:sz w:val="20"/>
          <w:szCs w:val="20"/>
          <w:color w:val="auto"/>
        </w:rPr>
      </w:pPr>
    </w:p>
    <w:tbl>
      <w:tblPr>
        <w:tblLayout w:type="fixed"/>
        <w:tblInd w:w="1160" w:type="dxa"/>
        <w:tblCellMar>
          <w:top w:w="0" w:type="dxa"/>
          <w:left w:w="0" w:type="dxa"/>
          <w:bottom w:w="0" w:type="dxa"/>
          <w:right w:w="0" w:type="dxa"/>
        </w:tblCellMar>
      </w:tblPr>
      <w:tr>
        <w:trPr>
          <w:trHeight w:val="207"/>
        </w:trPr>
        <w:tc>
          <w:tcPr>
            <w:tcW w:w="5700" w:type="dxa"/>
            <w:vAlign w:val="bottom"/>
            <w:gridSpan w:val="5"/>
          </w:tcPr>
          <w:p>
            <w:pPr>
              <w:spacing w:after="0"/>
              <w:rPr>
                <w:sz w:val="20"/>
                <w:szCs w:val="20"/>
                <w:color w:val="auto"/>
              </w:rPr>
            </w:pPr>
            <w:r>
              <w:rPr>
                <w:rFonts w:ascii="Arial" w:cs="Arial" w:eastAsia="Arial" w:hAnsi="Arial"/>
                <w:sz w:val="18"/>
                <w:szCs w:val="18"/>
                <w:color w:val="auto"/>
              </w:rPr>
              <w:t>/s/ Donald E. Graham</w:t>
            </w:r>
          </w:p>
        </w:tc>
        <w:tc>
          <w:tcPr>
            <w:tcW w:w="2340" w:type="dxa"/>
            <w:vAlign w:val="bottom"/>
            <w:gridSpan w:val="6"/>
          </w:tcPr>
          <w:p>
            <w:pPr>
              <w:spacing w:after="0"/>
              <w:rPr>
                <w:sz w:val="20"/>
                <w:szCs w:val="20"/>
                <w:color w:val="auto"/>
              </w:rPr>
            </w:pPr>
            <w:r>
              <w:rPr>
                <w:rFonts w:ascii="Arial" w:cs="Arial" w:eastAsia="Arial" w:hAnsi="Arial"/>
                <w:sz w:val="18"/>
                <w:szCs w:val="18"/>
                <w:color w:val="auto"/>
              </w:rPr>
              <w:t>/s/ George J. Gillespie, III</w:t>
            </w:r>
          </w:p>
        </w:tc>
      </w:tr>
      <w:tr>
        <w:trPr>
          <w:trHeight w:val="20"/>
        </w:trPr>
        <w:tc>
          <w:tcPr>
            <w:tcW w:w="10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2"/>
        </w:trPr>
        <w:tc>
          <w:tcPr>
            <w:tcW w:w="5700" w:type="dxa"/>
            <w:vAlign w:val="bottom"/>
            <w:gridSpan w:val="5"/>
          </w:tcPr>
          <w:p>
            <w:pPr>
              <w:spacing w:after="0"/>
              <w:rPr>
                <w:sz w:val="20"/>
                <w:szCs w:val="20"/>
                <w:color w:val="auto"/>
              </w:rPr>
            </w:pPr>
            <w:r>
              <w:rPr>
                <w:rFonts w:ascii="Arial" w:cs="Arial" w:eastAsia="Arial" w:hAnsi="Arial"/>
                <w:sz w:val="18"/>
                <w:szCs w:val="18"/>
                <w:color w:val="auto"/>
              </w:rPr>
              <w:t>Donald E. Graham, Chairman of the</w:t>
            </w:r>
          </w:p>
        </w:tc>
        <w:tc>
          <w:tcPr>
            <w:tcW w:w="2340" w:type="dxa"/>
            <w:vAlign w:val="bottom"/>
            <w:gridSpan w:val="6"/>
          </w:tcPr>
          <w:p>
            <w:pPr>
              <w:spacing w:after="0"/>
              <w:rPr>
                <w:sz w:val="20"/>
                <w:szCs w:val="20"/>
                <w:color w:val="auto"/>
              </w:rPr>
            </w:pPr>
            <w:r>
              <w:rPr>
                <w:rFonts w:ascii="Arial" w:cs="Arial" w:eastAsia="Arial" w:hAnsi="Arial"/>
                <w:sz w:val="18"/>
                <w:szCs w:val="18"/>
                <w:color w:val="auto"/>
                <w:w w:val="92"/>
              </w:rPr>
              <w:t>George J. Gillespie, III, Director</w:t>
            </w:r>
          </w:p>
        </w:tc>
      </w:tr>
      <w:tr>
        <w:trPr>
          <w:trHeight w:val="216"/>
        </w:trPr>
        <w:tc>
          <w:tcPr>
            <w:tcW w:w="5700" w:type="dxa"/>
            <w:vAlign w:val="bottom"/>
            <w:gridSpan w:val="5"/>
          </w:tcPr>
          <w:p>
            <w:pPr>
              <w:spacing w:after="0"/>
              <w:rPr>
                <w:sz w:val="20"/>
                <w:szCs w:val="20"/>
                <w:color w:val="auto"/>
              </w:rPr>
            </w:pPr>
            <w:r>
              <w:rPr>
                <w:rFonts w:ascii="Arial" w:cs="Arial" w:eastAsia="Arial" w:hAnsi="Arial"/>
                <w:sz w:val="18"/>
                <w:szCs w:val="18"/>
                <w:color w:val="auto"/>
              </w:rPr>
              <w:t>Board and Chief Executive Officer</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5700" w:type="dxa"/>
            <w:vAlign w:val="bottom"/>
            <w:gridSpan w:val="5"/>
          </w:tcPr>
          <w:p>
            <w:pPr>
              <w:spacing w:after="0"/>
              <w:rPr>
                <w:sz w:val="20"/>
                <w:szCs w:val="20"/>
                <w:color w:val="auto"/>
              </w:rPr>
            </w:pPr>
            <w:r>
              <w:rPr>
                <w:rFonts w:ascii="Arial" w:cs="Arial" w:eastAsia="Arial" w:hAnsi="Arial"/>
                <w:sz w:val="18"/>
                <w:szCs w:val="18"/>
                <w:color w:val="auto"/>
              </w:rPr>
              <w:t>(Principal Executive Officer)</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30"/>
        </w:trPr>
        <w:tc>
          <w:tcPr>
            <w:tcW w:w="5700" w:type="dxa"/>
            <w:vAlign w:val="bottom"/>
            <w:gridSpan w:val="5"/>
          </w:tcPr>
          <w:p>
            <w:pPr>
              <w:spacing w:after="0"/>
              <w:rPr>
                <w:sz w:val="20"/>
                <w:szCs w:val="20"/>
                <w:color w:val="auto"/>
              </w:rPr>
            </w:pPr>
            <w:r>
              <w:rPr>
                <w:rFonts w:ascii="Arial" w:cs="Arial" w:eastAsia="Arial" w:hAnsi="Arial"/>
                <w:sz w:val="18"/>
                <w:szCs w:val="18"/>
                <w:color w:val="auto"/>
              </w:rPr>
              <w:t>and Director</w:t>
            </w: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392"/>
        </w:trPr>
        <w:tc>
          <w:tcPr>
            <w:tcW w:w="5700" w:type="dxa"/>
            <w:vAlign w:val="bottom"/>
            <w:gridSpan w:val="5"/>
          </w:tcPr>
          <w:p>
            <w:pPr>
              <w:spacing w:after="0"/>
              <w:rPr>
                <w:sz w:val="20"/>
                <w:szCs w:val="20"/>
                <w:color w:val="auto"/>
              </w:rPr>
            </w:pPr>
            <w:r>
              <w:rPr>
                <w:rFonts w:ascii="Arial" w:cs="Arial" w:eastAsia="Arial" w:hAnsi="Arial"/>
                <w:sz w:val="18"/>
                <w:szCs w:val="18"/>
                <w:color w:val="auto"/>
              </w:rPr>
              <w:t>/s/ John B. Morse, Jr.</w:t>
            </w:r>
          </w:p>
        </w:tc>
        <w:tc>
          <w:tcPr>
            <w:tcW w:w="2340" w:type="dxa"/>
            <w:vAlign w:val="bottom"/>
            <w:gridSpan w:val="6"/>
          </w:tcPr>
          <w:p>
            <w:pPr>
              <w:spacing w:after="0"/>
              <w:rPr>
                <w:sz w:val="20"/>
                <w:szCs w:val="20"/>
                <w:color w:val="auto"/>
              </w:rPr>
            </w:pPr>
            <w:r>
              <w:rPr>
                <w:rFonts w:ascii="Arial" w:cs="Arial" w:eastAsia="Arial" w:hAnsi="Arial"/>
                <w:sz w:val="18"/>
                <w:szCs w:val="18"/>
                <w:color w:val="auto"/>
              </w:rPr>
              <w:t>/s/ Ralph E. Gomory</w:t>
            </w:r>
          </w:p>
        </w:tc>
      </w:tr>
      <w:tr>
        <w:trPr>
          <w:trHeight w:val="20"/>
        </w:trPr>
        <w:tc>
          <w:tcPr>
            <w:tcW w:w="10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20" w:type="dxa"/>
            <w:vAlign w:val="bottom"/>
            <w:tcBorders>
              <w:left w:val="single" w:sz="8" w:color="auto"/>
            </w:tcBorders>
            <w:gridSpan w:val="2"/>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r>
      <w:tr>
        <w:trPr>
          <w:trHeight w:val="222"/>
        </w:trPr>
        <w:tc>
          <w:tcPr>
            <w:tcW w:w="5700" w:type="dxa"/>
            <w:vAlign w:val="bottom"/>
            <w:gridSpan w:val="5"/>
          </w:tcPr>
          <w:p>
            <w:pPr>
              <w:spacing w:after="0"/>
              <w:rPr>
                <w:sz w:val="20"/>
                <w:szCs w:val="20"/>
                <w:color w:val="auto"/>
              </w:rPr>
            </w:pPr>
            <w:r>
              <w:rPr>
                <w:rFonts w:ascii="Arial" w:cs="Arial" w:eastAsia="Arial" w:hAnsi="Arial"/>
                <w:sz w:val="18"/>
                <w:szCs w:val="18"/>
                <w:color w:val="auto"/>
              </w:rPr>
              <w:t>John B. Morse, Jr., Vice</w:t>
            </w:r>
          </w:p>
        </w:tc>
        <w:tc>
          <w:tcPr>
            <w:tcW w:w="2340" w:type="dxa"/>
            <w:vAlign w:val="bottom"/>
            <w:gridSpan w:val="6"/>
          </w:tcPr>
          <w:p>
            <w:pPr>
              <w:spacing w:after="0"/>
              <w:rPr>
                <w:sz w:val="20"/>
                <w:szCs w:val="20"/>
                <w:color w:val="auto"/>
              </w:rPr>
            </w:pPr>
            <w:r>
              <w:rPr>
                <w:rFonts w:ascii="Arial" w:cs="Arial" w:eastAsia="Arial" w:hAnsi="Arial"/>
                <w:sz w:val="18"/>
                <w:szCs w:val="18"/>
                <w:color w:val="auto"/>
              </w:rPr>
              <w:t>Ralph E. Gomory, Director</w:t>
            </w:r>
          </w:p>
        </w:tc>
      </w:tr>
      <w:tr>
        <w:trPr>
          <w:trHeight w:val="216"/>
        </w:trPr>
        <w:tc>
          <w:tcPr>
            <w:tcW w:w="5700" w:type="dxa"/>
            <w:vAlign w:val="bottom"/>
            <w:gridSpan w:val="5"/>
          </w:tcPr>
          <w:p>
            <w:pPr>
              <w:spacing w:after="0"/>
              <w:rPr>
                <w:sz w:val="20"/>
                <w:szCs w:val="20"/>
                <w:color w:val="auto"/>
              </w:rPr>
            </w:pPr>
            <w:r>
              <w:rPr>
                <w:rFonts w:ascii="Arial" w:cs="Arial" w:eastAsia="Arial" w:hAnsi="Arial"/>
                <w:sz w:val="18"/>
                <w:szCs w:val="18"/>
                <w:color w:val="auto"/>
              </w:rPr>
              <w:t>President-Finance (Principal Financial</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30"/>
        </w:trPr>
        <w:tc>
          <w:tcPr>
            <w:tcW w:w="5700" w:type="dxa"/>
            <w:vAlign w:val="bottom"/>
            <w:gridSpan w:val="5"/>
          </w:tcPr>
          <w:p>
            <w:pPr>
              <w:spacing w:after="0"/>
              <w:rPr>
                <w:sz w:val="20"/>
                <w:szCs w:val="20"/>
                <w:color w:val="auto"/>
              </w:rPr>
            </w:pPr>
            <w:r>
              <w:rPr>
                <w:rFonts w:ascii="Arial" w:cs="Arial" w:eastAsia="Arial" w:hAnsi="Arial"/>
                <w:sz w:val="18"/>
                <w:szCs w:val="18"/>
                <w:color w:val="auto"/>
              </w:rPr>
              <w:t>and Accounting Officer)</w:t>
            </w: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392"/>
        </w:trPr>
        <w:tc>
          <w:tcPr>
            <w:tcW w:w="5700" w:type="dxa"/>
            <w:vAlign w:val="bottom"/>
            <w:gridSpan w:val="5"/>
          </w:tcPr>
          <w:p>
            <w:pPr>
              <w:spacing w:after="0"/>
              <w:rPr>
                <w:sz w:val="20"/>
                <w:szCs w:val="20"/>
                <w:color w:val="auto"/>
              </w:rPr>
            </w:pPr>
            <w:r>
              <w:rPr>
                <w:rFonts w:ascii="Arial" w:cs="Arial" w:eastAsia="Arial" w:hAnsi="Arial"/>
                <w:sz w:val="18"/>
                <w:szCs w:val="18"/>
                <w:color w:val="auto"/>
              </w:rPr>
              <w:t>/s/ Warren E. Buffett</w:t>
            </w:r>
          </w:p>
        </w:tc>
        <w:tc>
          <w:tcPr>
            <w:tcW w:w="2340" w:type="dxa"/>
            <w:vAlign w:val="bottom"/>
            <w:gridSpan w:val="6"/>
          </w:tcPr>
          <w:p>
            <w:pPr>
              <w:spacing w:after="0"/>
              <w:rPr>
                <w:sz w:val="20"/>
                <w:szCs w:val="20"/>
                <w:color w:val="auto"/>
              </w:rPr>
            </w:pPr>
            <w:r>
              <w:rPr>
                <w:rFonts w:ascii="Arial" w:cs="Arial" w:eastAsia="Arial" w:hAnsi="Arial"/>
                <w:sz w:val="18"/>
                <w:szCs w:val="18"/>
                <w:color w:val="auto"/>
              </w:rPr>
              <w:t>/s/ Ronald L. Olson</w:t>
            </w:r>
          </w:p>
        </w:tc>
      </w:tr>
      <w:tr>
        <w:trPr>
          <w:trHeight w:val="20"/>
        </w:trPr>
        <w:tc>
          <w:tcPr>
            <w:tcW w:w="10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r>
      <w:tr>
        <w:trPr>
          <w:trHeight w:val="237"/>
        </w:trPr>
        <w:tc>
          <w:tcPr>
            <w:tcW w:w="5700" w:type="dxa"/>
            <w:vAlign w:val="bottom"/>
            <w:gridSpan w:val="5"/>
          </w:tcPr>
          <w:p>
            <w:pPr>
              <w:spacing w:after="0"/>
              <w:rPr>
                <w:sz w:val="20"/>
                <w:szCs w:val="20"/>
                <w:color w:val="auto"/>
              </w:rPr>
            </w:pPr>
            <w:r>
              <w:rPr>
                <w:rFonts w:ascii="Arial" w:cs="Arial" w:eastAsia="Arial" w:hAnsi="Arial"/>
                <w:sz w:val="18"/>
                <w:szCs w:val="18"/>
                <w:color w:val="auto"/>
              </w:rPr>
              <w:t>Warren E. Buffett, Director</w:t>
            </w:r>
          </w:p>
        </w:tc>
        <w:tc>
          <w:tcPr>
            <w:tcW w:w="2340" w:type="dxa"/>
            <w:vAlign w:val="bottom"/>
            <w:gridSpan w:val="6"/>
          </w:tcPr>
          <w:p>
            <w:pPr>
              <w:spacing w:after="0"/>
              <w:rPr>
                <w:sz w:val="20"/>
                <w:szCs w:val="20"/>
                <w:color w:val="auto"/>
              </w:rPr>
            </w:pPr>
            <w:r>
              <w:rPr>
                <w:rFonts w:ascii="Arial" w:cs="Arial" w:eastAsia="Arial" w:hAnsi="Arial"/>
                <w:sz w:val="18"/>
                <w:szCs w:val="18"/>
                <w:color w:val="auto"/>
              </w:rPr>
              <w:t>Ronald L. Olson, Director</w:t>
            </w:r>
          </w:p>
        </w:tc>
      </w:tr>
      <w:tr>
        <w:trPr>
          <w:trHeight w:val="392"/>
        </w:trPr>
        <w:tc>
          <w:tcPr>
            <w:tcW w:w="5700" w:type="dxa"/>
            <w:vAlign w:val="bottom"/>
            <w:gridSpan w:val="5"/>
          </w:tcPr>
          <w:p>
            <w:pPr>
              <w:spacing w:after="0"/>
              <w:rPr>
                <w:sz w:val="20"/>
                <w:szCs w:val="20"/>
                <w:color w:val="auto"/>
              </w:rPr>
            </w:pPr>
            <w:r>
              <w:rPr>
                <w:rFonts w:ascii="Arial" w:cs="Arial" w:eastAsia="Arial" w:hAnsi="Arial"/>
                <w:sz w:val="18"/>
                <w:szCs w:val="18"/>
                <w:color w:val="auto"/>
              </w:rPr>
              <w:t>/s/ Daniel B. Burke</w:t>
            </w:r>
          </w:p>
        </w:tc>
        <w:tc>
          <w:tcPr>
            <w:tcW w:w="2340" w:type="dxa"/>
            <w:vAlign w:val="bottom"/>
            <w:gridSpan w:val="6"/>
          </w:tcPr>
          <w:p>
            <w:pPr>
              <w:spacing w:after="0"/>
              <w:rPr>
                <w:sz w:val="20"/>
                <w:szCs w:val="20"/>
                <w:color w:val="auto"/>
              </w:rPr>
            </w:pPr>
            <w:r>
              <w:rPr>
                <w:rFonts w:ascii="Arial" w:cs="Arial" w:eastAsia="Arial" w:hAnsi="Arial"/>
                <w:sz w:val="18"/>
                <w:szCs w:val="18"/>
                <w:color w:val="auto"/>
              </w:rPr>
              <w:t>/s/ Alice M. Rivlin</w:t>
            </w:r>
          </w:p>
        </w:tc>
      </w:tr>
      <w:tr>
        <w:trPr>
          <w:trHeight w:val="20"/>
        </w:trPr>
        <w:tc>
          <w:tcPr>
            <w:tcW w:w="10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r>
      <w:tr>
        <w:trPr>
          <w:trHeight w:val="237"/>
        </w:trPr>
        <w:tc>
          <w:tcPr>
            <w:tcW w:w="5700" w:type="dxa"/>
            <w:vAlign w:val="bottom"/>
            <w:gridSpan w:val="5"/>
          </w:tcPr>
          <w:p>
            <w:pPr>
              <w:spacing w:after="0"/>
              <w:rPr>
                <w:sz w:val="20"/>
                <w:szCs w:val="20"/>
                <w:color w:val="auto"/>
              </w:rPr>
            </w:pPr>
            <w:r>
              <w:rPr>
                <w:rFonts w:ascii="Arial" w:cs="Arial" w:eastAsia="Arial" w:hAnsi="Arial"/>
                <w:sz w:val="18"/>
                <w:szCs w:val="18"/>
                <w:color w:val="auto"/>
              </w:rPr>
              <w:t>Daniel B. Burke, Director</w:t>
            </w:r>
          </w:p>
        </w:tc>
        <w:tc>
          <w:tcPr>
            <w:tcW w:w="2340" w:type="dxa"/>
            <w:vAlign w:val="bottom"/>
            <w:gridSpan w:val="6"/>
          </w:tcPr>
          <w:p>
            <w:pPr>
              <w:spacing w:after="0"/>
              <w:rPr>
                <w:sz w:val="20"/>
                <w:szCs w:val="20"/>
                <w:color w:val="auto"/>
              </w:rPr>
            </w:pPr>
            <w:r>
              <w:rPr>
                <w:rFonts w:ascii="Arial" w:cs="Arial" w:eastAsia="Arial" w:hAnsi="Arial"/>
                <w:sz w:val="18"/>
                <w:szCs w:val="18"/>
                <w:color w:val="auto"/>
              </w:rPr>
              <w:t>Alice M. Rivlin, Director</w:t>
            </w:r>
          </w:p>
        </w:tc>
      </w:tr>
      <w:tr>
        <w:trPr>
          <w:trHeight w:val="392"/>
        </w:trPr>
        <w:tc>
          <w:tcPr>
            <w:tcW w:w="5700" w:type="dxa"/>
            <w:vAlign w:val="bottom"/>
            <w:gridSpan w:val="5"/>
          </w:tcPr>
          <w:p>
            <w:pPr>
              <w:spacing w:after="0"/>
              <w:rPr>
                <w:sz w:val="20"/>
                <w:szCs w:val="20"/>
                <w:color w:val="auto"/>
              </w:rPr>
            </w:pPr>
            <w:r>
              <w:rPr>
                <w:rFonts w:ascii="Arial" w:cs="Arial" w:eastAsia="Arial" w:hAnsi="Arial"/>
                <w:sz w:val="18"/>
                <w:szCs w:val="18"/>
                <w:color w:val="auto"/>
              </w:rPr>
              <w:t>/s/ Barry Diller</w:t>
            </w:r>
          </w:p>
        </w:tc>
        <w:tc>
          <w:tcPr>
            <w:tcW w:w="2340" w:type="dxa"/>
            <w:vAlign w:val="bottom"/>
            <w:gridSpan w:val="6"/>
          </w:tcPr>
          <w:p>
            <w:pPr>
              <w:spacing w:after="0"/>
              <w:rPr>
                <w:sz w:val="20"/>
                <w:szCs w:val="20"/>
                <w:color w:val="auto"/>
              </w:rPr>
            </w:pPr>
            <w:r>
              <w:rPr>
                <w:rFonts w:ascii="Arial" w:cs="Arial" w:eastAsia="Arial" w:hAnsi="Arial"/>
                <w:sz w:val="18"/>
                <w:szCs w:val="18"/>
                <w:color w:val="auto"/>
              </w:rPr>
              <w:t>/s/ Richard D. Simmons</w:t>
            </w:r>
          </w:p>
        </w:tc>
      </w:tr>
      <w:tr>
        <w:trPr>
          <w:trHeight w:val="20"/>
        </w:trPr>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37"/>
        </w:trPr>
        <w:tc>
          <w:tcPr>
            <w:tcW w:w="5700" w:type="dxa"/>
            <w:vAlign w:val="bottom"/>
            <w:gridSpan w:val="5"/>
          </w:tcPr>
          <w:p>
            <w:pPr>
              <w:spacing w:after="0"/>
              <w:rPr>
                <w:sz w:val="20"/>
                <w:szCs w:val="20"/>
                <w:color w:val="auto"/>
              </w:rPr>
            </w:pPr>
            <w:r>
              <w:rPr>
                <w:rFonts w:ascii="Arial" w:cs="Arial" w:eastAsia="Arial" w:hAnsi="Arial"/>
                <w:sz w:val="18"/>
                <w:szCs w:val="18"/>
                <w:color w:val="auto"/>
              </w:rPr>
              <w:t>Barry Diller, Director</w:t>
            </w:r>
          </w:p>
        </w:tc>
        <w:tc>
          <w:tcPr>
            <w:tcW w:w="2340" w:type="dxa"/>
            <w:vAlign w:val="bottom"/>
            <w:gridSpan w:val="6"/>
          </w:tcPr>
          <w:p>
            <w:pPr>
              <w:spacing w:after="0"/>
              <w:rPr>
                <w:sz w:val="20"/>
                <w:szCs w:val="20"/>
                <w:color w:val="auto"/>
              </w:rPr>
            </w:pPr>
            <w:r>
              <w:rPr>
                <w:rFonts w:ascii="Arial" w:cs="Arial" w:eastAsia="Arial" w:hAnsi="Arial"/>
                <w:sz w:val="18"/>
                <w:szCs w:val="18"/>
                <w:color w:val="auto"/>
                <w:w w:val="97"/>
              </w:rPr>
              <w:t>Richard D. Simmons, Director</w:t>
            </w:r>
          </w:p>
        </w:tc>
      </w:tr>
      <w:tr>
        <w:trPr>
          <w:trHeight w:val="392"/>
        </w:trPr>
        <w:tc>
          <w:tcPr>
            <w:tcW w:w="5700" w:type="dxa"/>
            <w:vAlign w:val="bottom"/>
            <w:gridSpan w:val="5"/>
          </w:tcPr>
          <w:p>
            <w:pPr>
              <w:spacing w:after="0"/>
              <w:rPr>
                <w:sz w:val="20"/>
                <w:szCs w:val="20"/>
                <w:color w:val="auto"/>
              </w:rPr>
            </w:pPr>
            <w:r>
              <w:rPr>
                <w:rFonts w:ascii="Arial" w:cs="Arial" w:eastAsia="Arial" w:hAnsi="Arial"/>
                <w:sz w:val="18"/>
                <w:szCs w:val="18"/>
                <w:color w:val="auto"/>
              </w:rPr>
              <w:t>/s/ John L. Dotson Jr.</w:t>
            </w:r>
          </w:p>
        </w:tc>
        <w:tc>
          <w:tcPr>
            <w:tcW w:w="2340" w:type="dxa"/>
            <w:vAlign w:val="bottom"/>
            <w:gridSpan w:val="6"/>
          </w:tcPr>
          <w:p>
            <w:pPr>
              <w:spacing w:after="0"/>
              <w:rPr>
                <w:sz w:val="20"/>
                <w:szCs w:val="20"/>
                <w:color w:val="auto"/>
              </w:rPr>
            </w:pPr>
            <w:r>
              <w:rPr>
                <w:rFonts w:ascii="Arial" w:cs="Arial" w:eastAsia="Arial" w:hAnsi="Arial"/>
                <w:sz w:val="18"/>
                <w:szCs w:val="18"/>
                <w:color w:val="auto"/>
              </w:rPr>
              <w:t>/s/ George W. Wilson</w:t>
            </w:r>
          </w:p>
        </w:tc>
      </w:tr>
      <w:tr>
        <w:trPr>
          <w:trHeight w:val="20"/>
        </w:trPr>
        <w:tc>
          <w:tcPr>
            <w:tcW w:w="1480" w:type="dxa"/>
            <w:vAlign w:val="bottom"/>
            <w:gridSpan w:val="3"/>
            <w:shd w:val="clear" w:color="auto" w:fill="000000"/>
          </w:tcPr>
          <w:p>
            <w:pPr>
              <w:spacing w:after="0" w:line="20" w:lineRule="exact"/>
              <w:rPr>
                <w:sz w:val="1"/>
                <w:szCs w:val="1"/>
                <w:color w:val="auto"/>
              </w:rPr>
            </w:pPr>
          </w:p>
        </w:tc>
        <w:tc>
          <w:tcPr>
            <w:tcW w:w="4220" w:type="dxa"/>
            <w:vAlign w:val="bottom"/>
            <w:tcBorders>
              <w:left w:val="single" w:sz="8" w:color="auto"/>
            </w:tcBorders>
            <w:gridSpan w:val="2"/>
          </w:tcPr>
          <w:p>
            <w:pPr>
              <w:spacing w:after="0" w:line="20" w:lineRule="exact"/>
              <w:rPr>
                <w:sz w:val="1"/>
                <w:szCs w:val="1"/>
                <w:color w:val="auto"/>
              </w:rPr>
            </w:pPr>
          </w:p>
        </w:tc>
        <w:tc>
          <w:tcPr>
            <w:tcW w:w="1540" w:type="dxa"/>
            <w:vAlign w:val="bottom"/>
            <w:gridSpan w:val="3"/>
            <w:shd w:val="clear" w:color="auto" w:fill="000000"/>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r>
      <w:tr>
        <w:trPr>
          <w:trHeight w:val="237"/>
        </w:trPr>
        <w:tc>
          <w:tcPr>
            <w:tcW w:w="5700" w:type="dxa"/>
            <w:vAlign w:val="bottom"/>
            <w:gridSpan w:val="5"/>
          </w:tcPr>
          <w:p>
            <w:pPr>
              <w:spacing w:after="0"/>
              <w:rPr>
                <w:sz w:val="20"/>
                <w:szCs w:val="20"/>
                <w:color w:val="auto"/>
              </w:rPr>
            </w:pPr>
            <w:r>
              <w:rPr>
                <w:rFonts w:ascii="Arial" w:cs="Arial" w:eastAsia="Arial" w:hAnsi="Arial"/>
                <w:sz w:val="18"/>
                <w:szCs w:val="18"/>
                <w:color w:val="auto"/>
              </w:rPr>
              <w:t>John L. Dotson Jr., Director</w:t>
            </w:r>
          </w:p>
        </w:tc>
        <w:tc>
          <w:tcPr>
            <w:tcW w:w="2340" w:type="dxa"/>
            <w:vAlign w:val="bottom"/>
            <w:gridSpan w:val="6"/>
          </w:tcPr>
          <w:p>
            <w:pPr>
              <w:spacing w:after="0"/>
              <w:rPr>
                <w:sz w:val="20"/>
                <w:szCs w:val="20"/>
                <w:color w:val="auto"/>
              </w:rPr>
            </w:pPr>
            <w:r>
              <w:rPr>
                <w:rFonts w:ascii="Arial" w:cs="Arial" w:eastAsia="Arial" w:hAnsi="Arial"/>
                <w:sz w:val="18"/>
                <w:szCs w:val="18"/>
                <w:color w:val="auto"/>
              </w:rPr>
              <w:t>George W. Wilson, Director</w:t>
            </w:r>
          </w:p>
        </w:tc>
      </w:tr>
    </w:tbl>
    <w:p>
      <w:pPr>
        <w:sectPr>
          <w:pgSz w:w="11900" w:h="16838" w:orient="portrait"/>
          <w:cols w:equalWidth="0" w:num="1">
            <w:col w:w="11420"/>
          </w:cols>
          <w:pgMar w:left="240" w:top="935"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color w:val="auto"/>
        </w:rPr>
        <w:t>EXHIBIT 31.1</w:t>
      </w:r>
    </w:p>
    <w:p>
      <w:pPr>
        <w:spacing w:after="0" w:line="194"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RULE 13a-14(a)/15d-14(a) CERTIFICATION OF THE CHIEF EXECUTIVE OFFICER</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 Donald E. Graham, Chief Executive Officer (principal executive officer) of The Washington Post Company (the “Registrant”), certify that:</w:t>
      </w:r>
    </w:p>
    <w:p>
      <w:pPr>
        <w:spacing w:after="0" w:line="185" w:lineRule="exact"/>
        <w:rPr>
          <w:sz w:val="20"/>
          <w:szCs w:val="20"/>
          <w:color w:val="auto"/>
        </w:rPr>
      </w:pPr>
    </w:p>
    <w:p>
      <w:pPr>
        <w:ind w:left="640" w:hanging="182"/>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Registrant;</w:t>
      </w:r>
    </w:p>
    <w:p>
      <w:pPr>
        <w:spacing w:after="0" w:line="198" w:lineRule="exact"/>
        <w:rPr>
          <w:rFonts w:ascii="Arial" w:cs="Arial" w:eastAsia="Arial" w:hAnsi="Arial"/>
          <w:sz w:val="18"/>
          <w:szCs w:val="18"/>
          <w:color w:val="auto"/>
        </w:rPr>
      </w:pPr>
    </w:p>
    <w:p>
      <w:pPr>
        <w:ind w:right="320" w:firstLine="458"/>
        <w:spacing w:after="0" w:line="342" w:lineRule="auto"/>
        <w:tabs>
          <w:tab w:leader="none" w:pos="63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320" w:firstLine="458"/>
        <w:spacing w:after="0" w:line="277" w:lineRule="auto"/>
        <w:tabs>
          <w:tab w:leader="none" w:pos="63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right="440" w:firstLine="458"/>
        <w:spacing w:after="0" w:line="277" w:lineRule="auto"/>
        <w:tabs>
          <w:tab w:leader="none" w:pos="627"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43" w:lineRule="exact"/>
        <w:rPr>
          <w:sz w:val="20"/>
          <w:szCs w:val="20"/>
          <w:color w:val="auto"/>
        </w:rPr>
      </w:pPr>
    </w:p>
    <w:p>
      <w:pPr>
        <w:ind w:right="500" w:firstLine="458"/>
        <w:spacing w:after="0" w:line="264" w:lineRule="auto"/>
        <w:tabs>
          <w:tab w:leader="none" w:pos="6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940" w:firstLine="458"/>
        <w:spacing w:after="0" w:line="342" w:lineRule="auto"/>
        <w:tabs>
          <w:tab w:leader="none" w:pos="705" w:val="left"/>
        </w:tabs>
        <w:numPr>
          <w:ilvl w:val="0"/>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83" w:lineRule="exact"/>
        <w:rPr>
          <w:rFonts w:ascii="Arial" w:cs="Arial" w:eastAsia="Arial" w:hAnsi="Arial"/>
          <w:sz w:val="16"/>
          <w:szCs w:val="16"/>
          <w:color w:val="auto"/>
        </w:rPr>
      </w:pPr>
    </w:p>
    <w:p>
      <w:pPr>
        <w:ind w:right="340" w:firstLine="458"/>
        <w:spacing w:after="0" w:line="308" w:lineRule="auto"/>
        <w:tabs>
          <w:tab w:leader="none" w:pos="695" w:val="left"/>
        </w:tabs>
        <w:numPr>
          <w:ilvl w:val="0"/>
          <w:numId w:val="4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fourth fiscal quarter that has materially affected, or is reasonable likely to materially affect, the Registrant’s internal control over financial reporting;</w:t>
      </w:r>
    </w:p>
    <w:p>
      <w:pPr>
        <w:spacing w:after="0" w:line="120" w:lineRule="exact"/>
        <w:rPr>
          <w:sz w:val="20"/>
          <w:szCs w:val="20"/>
          <w:color w:val="auto"/>
        </w:rPr>
      </w:pPr>
    </w:p>
    <w:p>
      <w:pPr>
        <w:ind w:right="140" w:firstLine="458"/>
        <w:spacing w:after="0" w:line="308" w:lineRule="auto"/>
        <w:tabs>
          <w:tab w:leader="none" w:pos="627"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6" w:lineRule="exact"/>
        <w:rPr>
          <w:sz w:val="20"/>
          <w:szCs w:val="20"/>
          <w:color w:val="auto"/>
        </w:rPr>
      </w:pPr>
    </w:p>
    <w:p>
      <w:pPr>
        <w:ind w:right="420" w:firstLine="458"/>
        <w:spacing w:after="0" w:line="277" w:lineRule="auto"/>
        <w:tabs>
          <w:tab w:leader="none" w:pos="68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right="300" w:firstLine="458"/>
        <w:spacing w:after="0" w:line="277" w:lineRule="auto"/>
        <w:tabs>
          <w:tab w:leader="none" w:pos="69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p>
      <w:pPr>
        <w:spacing w:after="0"/>
        <w:tabs>
          <w:tab w:leader="none" w:pos="560" w:val="left"/>
          <w:tab w:leader="none" w:pos="7540" w:val="left"/>
          <w:tab w:leader="none" w:pos="8800" w:val="left"/>
        </w:tabs>
        <w:rPr>
          <w:sz w:val="20"/>
          <w:szCs w:val="20"/>
          <w:color w:val="auto"/>
        </w:rPr>
      </w:pPr>
      <w:r>
        <w:rPr>
          <w:rFonts w:ascii="Arial" w:cs="Arial" w:eastAsia="Arial" w:hAnsi="Arial"/>
          <w:sz w:val="18"/>
          <w:szCs w:val="18"/>
          <w:color w:val="auto"/>
        </w:rPr>
        <w:t>Date:</w:t>
        <w:tab/>
        <w:t>March 9, 2004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66040</wp:posOffset>
            </wp:positionV>
            <wp:extent cx="231521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78" w:lineRule="exact"/>
        <w:rPr>
          <w:sz w:val="20"/>
          <w:szCs w:val="20"/>
          <w:color w:val="auto"/>
        </w:rPr>
      </w:pPr>
    </w:p>
    <w:p>
      <w:pPr>
        <w:jc w:val="center"/>
        <w:ind w:left="7780"/>
        <w:spacing w:after="0"/>
        <w:rPr>
          <w:sz w:val="20"/>
          <w:szCs w:val="20"/>
          <w:color w:val="auto"/>
        </w:rPr>
      </w:pPr>
      <w:r>
        <w:rPr>
          <w:rFonts w:ascii="Arial" w:cs="Arial" w:eastAsia="Arial" w:hAnsi="Arial"/>
          <w:sz w:val="18"/>
          <w:szCs w:val="18"/>
          <w:color w:val="auto"/>
        </w:rPr>
        <w:t>Donald E. Graham,</w:t>
      </w:r>
    </w:p>
    <w:p>
      <w:pPr>
        <w:spacing w:after="0" w:line="23" w:lineRule="exact"/>
        <w:rPr>
          <w:sz w:val="20"/>
          <w:szCs w:val="20"/>
          <w:color w:val="auto"/>
        </w:rPr>
      </w:pPr>
    </w:p>
    <w:p>
      <w:pPr>
        <w:jc w:val="center"/>
        <w:ind w:left="77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935"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color w:val="auto"/>
        </w:rPr>
        <w:t>EXHIBIT 31.2</w:t>
      </w:r>
    </w:p>
    <w:p>
      <w:pPr>
        <w:spacing w:after="0" w:line="194"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RULE 13a-14(a)/15d-14(a) CERTIFICATION OF THE CHIEF FINANCIAL OFFICER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John B. Morse, Jr., Vice President—Finance (principal financial officer) of The Washington Post Company (the “Registrant”), certify that:</w:t>
      </w:r>
    </w:p>
    <w:p>
      <w:pPr>
        <w:spacing w:after="0" w:line="185" w:lineRule="exact"/>
        <w:rPr>
          <w:sz w:val="20"/>
          <w:szCs w:val="20"/>
          <w:color w:val="auto"/>
        </w:rPr>
      </w:pPr>
    </w:p>
    <w:p>
      <w:pPr>
        <w:ind w:left="420" w:hanging="187"/>
        <w:spacing w:after="0"/>
        <w:tabs>
          <w:tab w:leader="none" w:pos="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Registrant;</w:t>
      </w:r>
    </w:p>
    <w:p>
      <w:pPr>
        <w:spacing w:after="0" w:line="198" w:lineRule="exact"/>
        <w:rPr>
          <w:rFonts w:ascii="Arial" w:cs="Arial" w:eastAsia="Arial" w:hAnsi="Arial"/>
          <w:sz w:val="18"/>
          <w:szCs w:val="18"/>
          <w:color w:val="auto"/>
        </w:rPr>
      </w:pPr>
    </w:p>
    <w:p>
      <w:pPr>
        <w:ind w:right="440" w:firstLine="233"/>
        <w:spacing w:after="0" w:line="342" w:lineRule="auto"/>
        <w:tabs>
          <w:tab w:leader="none" w:pos="405"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540" w:firstLine="233"/>
        <w:spacing w:after="0" w:line="277" w:lineRule="auto"/>
        <w:tabs>
          <w:tab w:leader="none" w:pos="405"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right="680" w:firstLine="233"/>
        <w:spacing w:after="0" w:line="277" w:lineRule="auto"/>
        <w:tabs>
          <w:tab w:leader="none" w:pos="40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43" w:lineRule="exact"/>
        <w:rPr>
          <w:sz w:val="20"/>
          <w:szCs w:val="20"/>
          <w:color w:val="auto"/>
        </w:rPr>
      </w:pPr>
    </w:p>
    <w:p>
      <w:pPr>
        <w:jc w:val="both"/>
        <w:ind w:right="220" w:firstLine="233"/>
        <w:spacing w:after="0" w:line="264" w:lineRule="auto"/>
        <w:tabs>
          <w:tab w:leader="none" w:pos="47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is being prepared;</w:t>
      </w:r>
    </w:p>
    <w:p>
      <w:pPr>
        <w:spacing w:after="0" w:line="140" w:lineRule="exact"/>
        <w:rPr>
          <w:rFonts w:ascii="Arial" w:cs="Arial" w:eastAsia="Arial" w:hAnsi="Arial"/>
          <w:sz w:val="18"/>
          <w:szCs w:val="18"/>
          <w:color w:val="auto"/>
        </w:rPr>
      </w:pPr>
    </w:p>
    <w:p>
      <w:pPr>
        <w:ind w:right="180" w:firstLine="233"/>
        <w:spacing w:after="0" w:line="308" w:lineRule="auto"/>
        <w:tabs>
          <w:tab w:leader="none" w:pos="4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06" w:lineRule="exact"/>
        <w:rPr>
          <w:rFonts w:ascii="Arial" w:cs="Arial" w:eastAsia="Arial" w:hAnsi="Arial"/>
          <w:sz w:val="17"/>
          <w:szCs w:val="17"/>
          <w:color w:val="auto"/>
        </w:rPr>
      </w:pPr>
    </w:p>
    <w:p>
      <w:pPr>
        <w:ind w:right="20" w:firstLine="233"/>
        <w:spacing w:after="0" w:line="277" w:lineRule="auto"/>
        <w:tabs>
          <w:tab w:leader="none" w:pos="47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that has materially affected, or is reasonable likely to materially affect, the Registrant’s internal control over financial reporting;</w:t>
      </w:r>
    </w:p>
    <w:p>
      <w:pPr>
        <w:spacing w:after="0" w:line="143" w:lineRule="exact"/>
        <w:rPr>
          <w:sz w:val="20"/>
          <w:szCs w:val="20"/>
          <w:color w:val="auto"/>
        </w:rPr>
      </w:pPr>
    </w:p>
    <w:p>
      <w:pPr>
        <w:ind w:right="360" w:firstLine="233"/>
        <w:spacing w:after="0" w:line="308" w:lineRule="auto"/>
        <w:tabs>
          <w:tab w:leader="none" w:pos="402"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6" w:lineRule="exact"/>
        <w:rPr>
          <w:sz w:val="20"/>
          <w:szCs w:val="20"/>
          <w:color w:val="auto"/>
        </w:rPr>
      </w:pPr>
    </w:p>
    <w:p>
      <w:pPr>
        <w:ind w:firstLine="233"/>
        <w:spacing w:after="0" w:line="277"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right="160" w:firstLine="233"/>
        <w:spacing w:after="0" w:line="277" w:lineRule="auto"/>
        <w:tabs>
          <w:tab w:leader="none" w:pos="47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p>
      <w:pPr>
        <w:spacing w:after="0"/>
        <w:tabs>
          <w:tab w:leader="none" w:pos="560" w:val="left"/>
          <w:tab w:leader="none" w:pos="7540" w:val="left"/>
          <w:tab w:leader="none" w:pos="8820" w:val="left"/>
        </w:tabs>
        <w:rPr>
          <w:sz w:val="20"/>
          <w:szCs w:val="20"/>
          <w:color w:val="auto"/>
        </w:rPr>
      </w:pPr>
      <w:r>
        <w:rPr>
          <w:rFonts w:ascii="Arial" w:cs="Arial" w:eastAsia="Arial" w:hAnsi="Arial"/>
          <w:sz w:val="18"/>
          <w:szCs w:val="18"/>
          <w:color w:val="auto"/>
        </w:rPr>
        <w:t>Date:</w:t>
        <w:tab/>
        <w:t>March 9, 2004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66040</wp:posOffset>
            </wp:positionV>
            <wp:extent cx="231521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78"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John B. Morse, Jr.</w:t>
      </w:r>
    </w:p>
    <w:p>
      <w:pPr>
        <w:spacing w:after="0" w:line="23" w:lineRule="exact"/>
        <w:rPr>
          <w:sz w:val="20"/>
          <w:szCs w:val="20"/>
          <w:color w:val="auto"/>
        </w:rPr>
      </w:pPr>
    </w:p>
    <w:p>
      <w:pPr>
        <w:ind w:left="8680"/>
        <w:spacing w:after="0"/>
        <w:rPr>
          <w:sz w:val="20"/>
          <w:szCs w:val="20"/>
          <w:color w:val="auto"/>
        </w:rPr>
      </w:pPr>
      <w:r>
        <w:rPr>
          <w:rFonts w:ascii="Arial" w:cs="Arial" w:eastAsia="Arial" w:hAnsi="Arial"/>
          <w:sz w:val="18"/>
          <w:szCs w:val="18"/>
          <w:color w:val="auto"/>
        </w:rPr>
        <w:t>Vice President —Finance</w:t>
      </w:r>
    </w:p>
    <w:p>
      <w:pPr>
        <w:sectPr>
          <w:pgSz w:w="11900" w:h="16838" w:orient="portrait"/>
          <w:cols w:equalWidth="0" w:num="1">
            <w:col w:w="11420"/>
          </w:cols>
          <w:pgMar w:left="240" w:top="936"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color w:val="auto"/>
        </w:rPr>
        <w:t>EXHIBIT 32.1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w:t>
      </w:r>
    </w:p>
    <w:p>
      <w:pPr>
        <w:spacing w:after="0" w:line="185"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In connection with the Annual Report of The Washington Post Company (the “Company”) on Form 10-K for the period ending December 28, 2003 (the “Report”), I, Donald E. Graham, Chief Executive Officer (principal executive officer) of the Company, certify, pursuant to 18 U.S.C. § 1350, as adopted pursuant to § 906 of the Sarbanes-Oxley Act of 2002, that:</w:t>
      </w:r>
    </w:p>
    <w:p>
      <w:pPr>
        <w:spacing w:after="0" w:line="181" w:lineRule="exact"/>
        <w:rPr>
          <w:sz w:val="20"/>
          <w:szCs w:val="20"/>
          <w:color w:val="auto"/>
        </w:rPr>
      </w:pPr>
    </w:p>
    <w:p>
      <w:pPr>
        <w:ind w:left="1260" w:hanging="327"/>
        <w:spacing w:after="0"/>
        <w:tabs>
          <w:tab w:leader="none" w:pos="1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260" w:right="560" w:hanging="327"/>
        <w:spacing w:after="0" w:line="277" w:lineRule="auto"/>
        <w:tabs>
          <w:tab w:leader="none" w:pos="1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aspects, the financial condition and results of operations of the Company.</w:t>
      </w:r>
    </w:p>
    <w:p>
      <w:pPr>
        <w:spacing w:after="0" w:line="387" w:lineRule="exact"/>
        <w:rPr>
          <w:sz w:val="20"/>
          <w:szCs w:val="20"/>
          <w:color w:val="auto"/>
        </w:rPr>
      </w:pPr>
    </w:p>
    <w:p>
      <w:pPr>
        <w:spacing w:after="0"/>
        <w:tabs>
          <w:tab w:leader="none" w:pos="560" w:val="left"/>
          <w:tab w:leader="none" w:pos="8800" w:val="left"/>
        </w:tabs>
        <w:rPr>
          <w:sz w:val="20"/>
          <w:szCs w:val="20"/>
          <w:color w:val="auto"/>
        </w:rPr>
      </w:pPr>
      <w:r>
        <w:rPr>
          <w:rFonts w:ascii="Arial" w:cs="Arial" w:eastAsia="Arial" w:hAnsi="Arial"/>
          <w:sz w:val="18"/>
          <w:szCs w:val="18"/>
          <w:color w:val="auto"/>
        </w:rPr>
        <w:t>Date:</w:t>
        <w:tab/>
        <w:t>March 9, 2004</w:t>
      </w:r>
      <w:r>
        <w:rPr>
          <w:sz w:val="20"/>
          <w:szCs w:val="20"/>
          <w:color w:val="auto"/>
        </w:rPr>
        <w:tab/>
      </w:r>
      <w:r>
        <w:rPr>
          <w:rFonts w:ascii="Arial" w:cs="Arial" w:eastAsia="Arial" w:hAnsi="Arial"/>
          <w:sz w:val="16"/>
          <w:szCs w:val="16"/>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74930</wp:posOffset>
            </wp:positionV>
            <wp:extent cx="231521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78" w:lineRule="exact"/>
        <w:rPr>
          <w:sz w:val="20"/>
          <w:szCs w:val="20"/>
          <w:color w:val="auto"/>
        </w:rPr>
      </w:pPr>
    </w:p>
    <w:p>
      <w:pPr>
        <w:jc w:val="center"/>
        <w:ind w:left="7780"/>
        <w:spacing w:after="0"/>
        <w:rPr>
          <w:sz w:val="20"/>
          <w:szCs w:val="20"/>
          <w:color w:val="auto"/>
        </w:rPr>
      </w:pPr>
      <w:r>
        <w:rPr>
          <w:rFonts w:ascii="Arial" w:cs="Arial" w:eastAsia="Arial" w:hAnsi="Arial"/>
          <w:sz w:val="18"/>
          <w:szCs w:val="18"/>
          <w:color w:val="auto"/>
        </w:rPr>
        <w:t>Donald E. Graham,</w:t>
      </w:r>
    </w:p>
    <w:p>
      <w:pPr>
        <w:spacing w:after="0" w:line="23" w:lineRule="exact"/>
        <w:rPr>
          <w:sz w:val="20"/>
          <w:szCs w:val="20"/>
          <w:color w:val="auto"/>
        </w:rPr>
      </w:pPr>
    </w:p>
    <w:p>
      <w:pPr>
        <w:jc w:val="center"/>
        <w:ind w:left="77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936"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color w:val="auto"/>
        </w:rPr>
        <w:t>EXHIBIT 32.2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FINANCIAL OFFICER</w:t>
      </w:r>
    </w:p>
    <w:p>
      <w:pPr>
        <w:spacing w:after="0" w:line="18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connection with the Annual Report of The Washington Post Company (the “Company”) on Form 10-K for the period ending December 28, 2003 (the “Report”), I, John B. Morse, Jr., Vice President—Finance (chief financial officer) of the Company, certify, pursuant to 18 U.S.C. § 1350, as adopted pursuant to § 906 of the Sarbanes-Oxley Act of 2002, that:</w:t>
      </w:r>
    </w:p>
    <w:p>
      <w:pPr>
        <w:spacing w:after="0" w:line="181" w:lineRule="exact"/>
        <w:rPr>
          <w:sz w:val="20"/>
          <w:szCs w:val="20"/>
          <w:color w:val="auto"/>
        </w:rPr>
      </w:pPr>
    </w:p>
    <w:p>
      <w:pPr>
        <w:ind w:left="800" w:hanging="326"/>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00" w:hanging="326"/>
        <w:spacing w:after="0"/>
        <w:tabs>
          <w:tab w:leader="none" w:pos="8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aspects,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tabs>
          <w:tab w:leader="none" w:pos="560" w:val="left"/>
          <w:tab w:leader="none" w:pos="8820" w:val="left"/>
        </w:tabs>
        <w:rPr>
          <w:sz w:val="20"/>
          <w:szCs w:val="20"/>
          <w:color w:val="auto"/>
        </w:rPr>
      </w:pPr>
      <w:r>
        <w:rPr>
          <w:rFonts w:ascii="Arial" w:cs="Arial" w:eastAsia="Arial" w:hAnsi="Arial"/>
          <w:sz w:val="18"/>
          <w:szCs w:val="18"/>
          <w:color w:val="auto"/>
        </w:rPr>
        <w:t>Date:</w:t>
        <w:tab/>
        <w:t>March 9, 2004</w:t>
      </w:r>
      <w:r>
        <w:rPr>
          <w:sz w:val="20"/>
          <w:szCs w:val="20"/>
          <w:color w:val="auto"/>
        </w:rPr>
        <w:tab/>
      </w:r>
      <w:r>
        <w:rPr>
          <w:rFonts w:ascii="Arial" w:cs="Arial" w:eastAsia="Arial" w:hAnsi="Arial"/>
          <w:sz w:val="16"/>
          <w:szCs w:val="16"/>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74930</wp:posOffset>
            </wp:positionV>
            <wp:extent cx="231521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78" w:lineRule="exact"/>
        <w:rPr>
          <w:sz w:val="20"/>
          <w:szCs w:val="20"/>
          <w:color w:val="auto"/>
        </w:rPr>
      </w:pPr>
    </w:p>
    <w:p>
      <w:pPr>
        <w:jc w:val="center"/>
        <w:ind w:left="7780"/>
        <w:spacing w:after="0"/>
        <w:rPr>
          <w:sz w:val="20"/>
          <w:szCs w:val="20"/>
          <w:color w:val="auto"/>
        </w:rPr>
      </w:pPr>
      <w:r>
        <w:rPr>
          <w:rFonts w:ascii="Arial" w:cs="Arial" w:eastAsia="Arial" w:hAnsi="Arial"/>
          <w:sz w:val="18"/>
          <w:szCs w:val="18"/>
          <w:color w:val="auto"/>
        </w:rPr>
        <w:t>John B. Morse, Jr.</w:t>
      </w:r>
    </w:p>
    <w:p>
      <w:pPr>
        <w:spacing w:after="0" w:line="23" w:lineRule="exact"/>
        <w:rPr>
          <w:sz w:val="20"/>
          <w:szCs w:val="20"/>
          <w:color w:val="auto"/>
        </w:rPr>
      </w:pPr>
    </w:p>
    <w:p>
      <w:pPr>
        <w:jc w:val="center"/>
        <w:ind w:left="7780"/>
        <w:spacing w:after="0"/>
        <w:rPr>
          <w:sz w:val="20"/>
          <w:szCs w:val="20"/>
          <w:color w:val="auto"/>
        </w:rPr>
      </w:pPr>
      <w:r>
        <w:rPr>
          <w:rFonts w:ascii="Arial" w:cs="Arial" w:eastAsia="Arial" w:hAnsi="Arial"/>
          <w:sz w:val="18"/>
          <w:szCs w:val="18"/>
          <w:color w:val="auto"/>
        </w:rPr>
        <w:t>Vice President—Finance</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1)"/>
      <w:numFmt w:val="lowerLetter"/>
      <w:start w:val="1"/>
    </w:lvl>
  </w:abstractNum>
  <w:abstractNum w:abstractNumId="1">
    <w:nsid w:val="2901D82"/>
    <w:multiLevelType w:val="hybridMultilevel"/>
    <w:lvl w:ilvl="0">
      <w:lvlJc w:val="left"/>
      <w:lvlText w:val="(%1)"/>
      <w:numFmt w:val="lowerRoman"/>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1)"/>
      <w:numFmt w:val="lowerLetter"/>
      <w:start w:val="1"/>
    </w:lvl>
    <w:lvl w:ilvl="1">
      <w:lvlJc w:val="left"/>
      <w:lvlText w:val="(%2)"/>
      <w:numFmt w:val="lowerLetter"/>
      <w:start w:val="9"/>
    </w:lvl>
  </w:abstractNum>
  <w:abstractNum w:abstractNumId="4">
    <w:nsid w:val="1E7FF521"/>
    <w:multiLevelType w:val="hybridMultilevel"/>
    <w:lvl w:ilvl="0">
      <w:lvlJc w:val="left"/>
      <w:lvlText w:val="(%1)"/>
      <w:numFmt w:val="lowerRoman"/>
      <w:start w:val="2"/>
    </w:lvl>
  </w:abstractNum>
  <w:abstractNum w:abstractNumId="5">
    <w:nsid w:val="7C3DBD3D"/>
    <w:multiLevelType w:val="hybridMultilevel"/>
    <w:lvl w:ilvl="0">
      <w:lvlJc w:val="left"/>
      <w:lvlText w:val="(%1)"/>
      <w:numFmt w:val="lowerLetter"/>
      <w:start w:val="2"/>
    </w:lvl>
  </w:abstractNum>
  <w:abstractNum w:abstractNumId="6">
    <w:nsid w:val="737B8DDC"/>
    <w:multiLevelType w:val="hybridMultilevel"/>
    <w:lvl w:ilvl="0">
      <w:lvlJc w:val="left"/>
      <w:lvlText w:val="(%1)"/>
      <w:numFmt w:val="lowerRoman"/>
      <w:start w:val="1"/>
    </w:lvl>
  </w:abstractNum>
  <w:abstractNum w:abstractNumId="7">
    <w:nsid w:val="6CEAF087"/>
    <w:multiLevelType w:val="hybridMultilevel"/>
    <w:lvl w:ilvl="0">
      <w:lvlJc w:val="left"/>
      <w:lvlText w:val="(%1)"/>
      <w:numFmt w:val="decimal"/>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emdash "/>
      <w:numFmt w:val="bullet"/>
      <w:start w:val="1"/>
    </w:lvl>
  </w:abstractNum>
  <w:abstractNum w:abstractNumId="10">
    <w:nsid w:val="3006C83E"/>
    <w:multiLevelType w:val="hybridMultilevel"/>
    <w:lvl w:ilvl="0">
      <w:lvlJc w:val="left"/>
      <w:lvlText w:val="(%1)"/>
      <w:numFmt w:val="decimal"/>
      <w:start w:val="1"/>
    </w:lvl>
  </w:abstractNum>
  <w:abstractNum w:abstractNumId="11">
    <w:nsid w:val="614FD4A1"/>
    <w:multiLevelType w:val="hybridMultilevel"/>
    <w:lvl w:ilvl="0">
      <w:lvlJc w:val="left"/>
      <w:lvlText w:val="(%1)"/>
      <w:numFmt w:val="decimal"/>
      <w:start w:val="1"/>
    </w:lvl>
  </w:abstractNum>
  <w:abstractNum w:abstractNumId="12">
    <w:nsid w:val="419AC241"/>
    <w:multiLevelType w:val="hybridMultilevel"/>
    <w:lvl w:ilvl="0">
      <w:lvlJc w:val="left"/>
      <w:lvlText w:val="(%1)"/>
      <w:numFmt w:val="decimal"/>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1"/>
      <w:numFmt w:val="decimal"/>
      <w:start w:val="23"/>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1."/>
      <w:numFmt w:val="decimal"/>
      <w:start w:val="1"/>
    </w:lvl>
  </w:abstractNum>
  <w:abstractNum w:abstractNumId="23">
    <w:nsid w:val="2D517796"/>
    <w:multiLevelType w:val="hybridMultilevel"/>
    <w:lvl w:ilvl="0">
      <w:lvlJc w:val="left"/>
      <w:lvlText w:val="(%1)"/>
      <w:numFmt w:val="decimal"/>
      <w:start w:val="1"/>
    </w:lvl>
  </w:abstractNum>
  <w:abstractNum w:abstractNumId="24">
    <w:nsid w:val="580BD78F"/>
    <w:multiLevelType w:val="hybridMultilevel"/>
    <w:lvl w:ilvl="0">
      <w:lvlJc w:val="left"/>
      <w:lvlText w:val="(%1)"/>
      <w:numFmt w:val="decimal"/>
      <w:start w:val="1"/>
    </w:lvl>
    <w:lvl w:ilvl="1">
      <w:lvlJc w:val="left"/>
      <w:lvlText w:val="(%2)"/>
      <w:numFmt w:val="lowerRoman"/>
      <w:start w:val="3"/>
    </w:lvl>
    <w:lvl w:ilvl="2">
      <w:lvlJc w:val="left"/>
      <w:lvlText w:val="(%3)"/>
      <w:numFmt w:val="lowerLetter"/>
      <w:start w:val="1"/>
    </w:lvl>
  </w:abstractNum>
  <w:abstractNum w:abstractNumId="25">
    <w:nsid w:val="153EA438"/>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3"/>
    </w:lvl>
  </w:abstractNum>
  <w:abstractNum w:abstractNumId="26">
    <w:nsid w:val="3855585C"/>
    <w:multiLevelType w:val="hybridMultilevel"/>
    <w:lvl w:ilvl="0">
      <w:lvlJc w:val="left"/>
      <w:lvlText w:val="%1"/>
      <w:numFmt w:val="decimal"/>
      <w:start w:val="1"/>
    </w:lvl>
    <w:lvl w:ilvl="1">
      <w:lvlJc w:val="left"/>
      <w:lvlText w:val="(%2)"/>
      <w:numFmt w:val="lowerLetter"/>
      <w:start w:val="8"/>
    </w:lvl>
  </w:abstractNum>
  <w:abstractNum w:abstractNumId="27">
    <w:nsid w:val="70A64E2A"/>
    <w:multiLevelType w:val="hybridMultilevel"/>
    <w:lvl w:ilvl="0">
      <w:lvlJc w:val="left"/>
      <w:lvlText w:val="(%1)"/>
      <w:numFmt w:val="decimal"/>
      <w:start w:val="2"/>
    </w:lvl>
    <w:lvl w:ilvl="1">
      <w:lvlJc w:val="left"/>
      <w:lvlText w:val="%2"/>
      <w:numFmt w:val="lowerLetter"/>
      <w:start w:val="1"/>
    </w:lvl>
  </w:abstractNum>
  <w:abstractNum w:abstractNumId="28">
    <w:nsid w:val="6A2342EC"/>
    <w:multiLevelType w:val="hybridMultilevel"/>
    <w:lvl w:ilvl="0">
      <w:lvlJc w:val="left"/>
      <w:lvlText w:val="%1"/>
      <w:numFmt w:val="upperLetter"/>
      <w:start w:val="1"/>
    </w:lvl>
    <w:lvl w:ilvl="1">
      <w:lvlJc w:val="left"/>
      <w:lvlText w:val="(%2)"/>
      <w:numFmt w:val="decimal"/>
      <w:start w:val="5"/>
    </w:lvl>
    <w:lvl w:ilvl="2">
      <w:lvlJc w:val="left"/>
      <w:lvlText w:val="%3"/>
      <w:numFmt w:val="lowerLetter"/>
      <w:start w:val="1"/>
    </w:lvl>
  </w:abstractNum>
  <w:abstractNum w:abstractNumId="29">
    <w:nsid w:val="2A487CB0"/>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30">
    <w:nsid w:val="1D4ED43B"/>
    <w:multiLevelType w:val="hybridMultilevel"/>
    <w:lvl w:ilvl="0">
      <w:lvlJc w:val="left"/>
      <w:lvlText w:val="(%1)"/>
      <w:numFmt w:val="lowerRoman"/>
      <w:start w:val="1"/>
    </w:lvl>
    <w:lvl w:ilvl="1">
      <w:lvlJc w:val="left"/>
      <w:lvlText w:val="(%2)"/>
      <w:numFmt w:val="lowerRoman"/>
      <w:start w:val="2"/>
    </w:lvl>
  </w:abstractNum>
  <w:abstractNum w:abstractNumId="31">
    <w:nsid w:val="725A06FB"/>
    <w:multiLevelType w:val="hybridMultilevel"/>
    <w:lvl w:ilvl="0">
      <w:lvlJc w:val="left"/>
      <w:lvlText w:val="%1"/>
      <w:numFmt w:val="decimal"/>
      <w:start w:val="1"/>
    </w:lvl>
    <w:lvl w:ilvl="1">
      <w:lvlJc w:val="left"/>
      <w:lvlText w:val="(%2)"/>
      <w:numFmt w:val="decimal"/>
      <w:start w:val="3"/>
    </w:lvl>
  </w:abstractNum>
  <w:abstractNum w:abstractNumId="32">
    <w:nsid w:val="2CD89A32"/>
    <w:multiLevelType w:val="hybridMultilevel"/>
    <w:lvl w:ilvl="0">
      <w:lvlJc w:val="left"/>
      <w:lvlText w:val="(%1)"/>
      <w:numFmt w:val="decimal"/>
      <w:start w:val="5"/>
    </w:lvl>
    <w:lvl w:ilvl="1">
      <w:lvlJc w:val="left"/>
      <w:lvlText w:val="%2"/>
      <w:numFmt w:val="decimal"/>
      <w:start w:val="1"/>
    </w:lvl>
  </w:abstractNum>
  <w:abstractNum w:abstractNumId="33">
    <w:nsid w:val="57E4CCAF"/>
    <w:multiLevelType w:val="hybridMultilevel"/>
    <w:lvl w:ilvl="0">
      <w:lvlJc w:val="left"/>
      <w:lvlText w:val="%1"/>
      <w:numFmt w:val="upperLetter"/>
      <w:start w:val="1"/>
    </w:lvl>
    <w:lvl w:ilvl="1">
      <w:lvlJc w:val="left"/>
      <w:lvlText w:val="(%2)"/>
      <w:numFmt w:val="decimal"/>
      <w:start w:val="5"/>
    </w:lvl>
  </w:abstractNum>
  <w:abstractNum w:abstractNumId="34">
    <w:nsid w:val="7A6D8D3C"/>
    <w:multiLevelType w:val="hybridMultilevel"/>
    <w:lvl w:ilvl="0">
      <w:lvlJc w:val="left"/>
      <w:lvlText w:val="%1."/>
      <w:numFmt w:val="upperLetter"/>
      <w:start w:val="3"/>
    </w:lvl>
    <w:lvl w:ilvl="1">
      <w:lvlJc w:val="left"/>
      <w:lvlText w:val="%2"/>
      <w:numFmt w:val="decimal"/>
      <w:start w:val="1"/>
    </w:lvl>
  </w:abstractNum>
  <w:abstractNum w:abstractNumId="35">
    <w:nsid w:val="4B588F54"/>
    <w:multiLevelType w:val="hybridMultilevel"/>
    <w:lvl w:ilvl="0">
      <w:lvlJc w:val="left"/>
      <w:lvlText w:val="(%1)"/>
      <w:numFmt w:val="lowerLetter"/>
      <w:start w:val="1"/>
    </w:lvl>
  </w:abstractNum>
  <w:abstractNum w:abstractNumId="36">
    <w:nsid w:val="542289EC"/>
    <w:multiLevelType w:val="hybridMultilevel"/>
    <w:lvl w:ilvl="0">
      <w:lvlJc w:val="left"/>
      <w:lvlText w:val="(%1)"/>
      <w:numFmt w:val="lowerLetter"/>
      <w:start w:val="2"/>
    </w:lvl>
  </w:abstractNum>
  <w:abstractNum w:abstractNumId="37">
    <w:nsid w:val="6DE91B18"/>
    <w:multiLevelType w:val="hybridMultilevel"/>
    <w:lvl w:ilvl="0">
      <w:lvlJc w:val="left"/>
      <w:lvlText w:val="(%1)"/>
      <w:numFmt w:val="lowerLetter"/>
      <w:start w:val="3"/>
    </w:lvl>
  </w:abstractNum>
  <w:abstractNum w:abstractNumId="38">
    <w:nsid w:val="38437FDB"/>
    <w:multiLevelType w:val="hybridMultilevel"/>
    <w:lvl w:ilvl="0">
      <w:lvlJc w:val="left"/>
      <w:lvlText w:val="%1."/>
      <w:numFmt w:val="decimal"/>
      <w:start w:val="1"/>
    </w:lvl>
  </w:abstractNum>
  <w:abstractNum w:abstractNumId="39">
    <w:nsid w:val="7644A45C"/>
    <w:multiLevelType w:val="hybridMultilevel"/>
    <w:lvl w:ilvl="0">
      <w:lvlJc w:val="left"/>
      <w:lvlText w:val="(%1)"/>
      <w:numFmt w:val="lowerLetter"/>
      <w:start w:val="1"/>
    </w:lvl>
  </w:abstractNum>
  <w:abstractNum w:abstractNumId="40">
    <w:nsid w:val="32FFF902"/>
    <w:multiLevelType w:val="hybridMultilevel"/>
    <w:lvl w:ilvl="0">
      <w:lvlJc w:val="left"/>
      <w:lvlText w:val="(%1)"/>
      <w:numFmt w:val="lowerRoman"/>
      <w:start w:val="2"/>
    </w:lvl>
  </w:abstractNum>
  <w:abstractNum w:abstractNumId="41">
    <w:nsid w:val="684A481A"/>
    <w:multiLevelType w:val="hybridMultilevel"/>
    <w:lvl w:ilvl="0">
      <w:lvlJc w:val="left"/>
      <w:lvlText w:val="(%1)"/>
      <w:numFmt w:val="lowerLetter"/>
      <w:start w:val="3"/>
    </w:lvl>
  </w:abstractNum>
  <w:abstractNum w:abstractNumId="42">
    <w:nsid w:val="579478FE"/>
    <w:multiLevelType w:val="hybridMultilevel"/>
    <w:lvl w:ilvl="0">
      <w:lvlJc w:val="left"/>
      <w:lvlText w:val="(%1)"/>
      <w:numFmt w:val="lowerRoman"/>
      <w:start w:val="2"/>
    </w:lvl>
  </w:abstractNum>
  <w:abstractNum w:abstractNumId="43">
    <w:nsid w:val="749ABB43"/>
    <w:multiLevelType w:val="hybridMultilevel"/>
    <w:lvl w:ilvl="0">
      <w:lvlJc w:val="left"/>
      <w:lvlText w:val="(%1)"/>
      <w:numFmt w:val="lowerRoman"/>
      <w:start w:val="3"/>
    </w:lvl>
  </w:abstractNum>
  <w:abstractNum w:abstractNumId="44">
    <w:nsid w:val="3DC240FB"/>
    <w:multiLevelType w:val="hybridMultilevel"/>
    <w:lvl w:ilvl="0">
      <w:lvlJc w:val="left"/>
      <w:lvlText w:val="(%1)"/>
      <w:numFmt w:val="lowerLetter"/>
      <w:start w:val="5"/>
    </w:lvl>
    <w:lvl w:ilvl="1">
      <w:lvlJc w:val="left"/>
      <w:lvlText w:val="(%2)"/>
      <w:numFmt w:val="lowerRoman"/>
      <w:start w:val="1"/>
    </w:lvl>
  </w:abstractNum>
  <w:abstractNum w:abstractNumId="45">
    <w:nsid w:val="1BA026FA"/>
    <w:multiLevelType w:val="hybridMultilevel"/>
    <w:lvl w:ilvl="0">
      <w:lvlJc w:val="left"/>
      <w:lvlText w:val="(%1)"/>
      <w:numFmt w:val="lowerLetter"/>
      <w:start w:val="1"/>
    </w:lvl>
  </w:abstractNum>
  <w:abstractNum w:abstractNumId="46">
    <w:nsid w:val="79A1DEAA"/>
    <w:multiLevelType w:val="hybridMultilevel"/>
    <w:lvl w:ilvl="0">
      <w:lvlJc w:val="left"/>
      <w:lvlText w:val="%1."/>
      <w:numFmt w:val="decimal"/>
      <w:start w:val="1"/>
    </w:lvl>
  </w:abstractNum>
  <w:abstractNum w:abstractNumId="47">
    <w:nsid w:val="75C6C33A"/>
    <w:multiLevelType w:val="hybridMultilevel"/>
    <w:lvl w:ilvl="0">
      <w:lvlJc w:val="left"/>
      <w:lvlText w:val="(%1)"/>
      <w:numFmt w:val="lowerLetter"/>
      <w:start w:val="1"/>
    </w:lvl>
  </w:abstractNum>
  <w:abstractNum w:abstractNumId="48">
    <w:nsid w:val="12E685FB"/>
    <w:multiLevelType w:val="hybridMultilevel"/>
    <w:lvl w:ilvl="0">
      <w:lvlJc w:val="left"/>
      <w:lvlText w:val="%1."/>
      <w:numFmt w:val="decimal"/>
      <w:start w:val="5"/>
    </w:lvl>
  </w:abstractNum>
  <w:abstractNum w:abstractNumId="49">
    <w:nsid w:val="70C6A529"/>
    <w:multiLevelType w:val="hybridMultilevel"/>
    <w:lvl w:ilvl="0">
      <w:lvlJc w:val="left"/>
      <w:lvlText w:val="(%1)"/>
      <w:numFmt w:val="lowerLetter"/>
      <w:start w:val="1"/>
    </w:lvl>
  </w:abstractNum>
  <w:abstractNum w:abstractNumId="50">
    <w:nsid w:val="520EEDD1"/>
    <w:multiLevelType w:val="hybridMultilevel"/>
    <w:lvl w:ilvl="0">
      <w:lvlJc w:val="left"/>
      <w:lvlText w:val="%1."/>
      <w:numFmt w:val="decimal"/>
      <w:start w:val="1"/>
    </w:lvl>
  </w:abstractNum>
  <w:abstractNum w:abstractNumId="51">
    <w:nsid w:val="374A3FE6"/>
    <w:multiLevelType w:val="hybridMultilevel"/>
    <w:lvl w:ilvl="0">
      <w:lvlJc w:val="left"/>
      <w:lvlText w:val="(%1)"/>
      <w:numFmt w:val="lowerLetter"/>
      <w:start w:val="1"/>
    </w:lvl>
  </w:abstractNum>
  <w:abstractNum w:abstractNumId="52">
    <w:nsid w:val="4F4EF005"/>
    <w:multiLevelType w:val="hybridMultilevel"/>
    <w:lvl w:ilvl="0">
      <w:lvlJc w:val="left"/>
      <w:lvlText w:val="%1."/>
      <w:numFmt w:val="decimal"/>
      <w:start w:val="5"/>
    </w:lvl>
  </w:abstractNum>
  <w:abstractNum w:abstractNumId="53">
    <w:nsid w:val="23F9C13C"/>
    <w:multiLevelType w:val="hybridMultilevel"/>
    <w:lvl w:ilvl="0">
      <w:lvlJc w:val="left"/>
      <w:lvlText w:val="(%1)"/>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2019-12-13T08:08:52Z</dcterms:created>
  <dcterms:modified xsi:type="dcterms:W3CDTF">2019-12-13T08:08:52Z</dcterms:modified>
</cp:coreProperties>
</file>