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The Washington Post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939640108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4" w:lineRule="exact"/>
        <w:rPr>
          <w:sz w:val="24"/>
          <w:szCs w:val="24"/>
          <w:color w:val="auto"/>
        </w:rPr>
      </w:pPr>
    </w:p>
    <w:p>
      <w:pPr>
        <w:ind w:right="335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12"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1"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by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(10-88)</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00" w:type="dxa"/>
            <w:vAlign w:val="bottom"/>
          </w:tcPr>
          <w:p>
            <w:pPr>
              <w:ind w:left="18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58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403,401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158,300 shares (Shared)</w:t>
      </w:r>
    </w:p>
    <w:p>
      <w:pPr>
        <w:ind w:left="4440"/>
        <w:spacing w:after="0" w:line="237" w:lineRule="auto"/>
        <w:rPr>
          <w:sz w:val="20"/>
          <w:szCs w:val="20"/>
          <w:color w:val="auto"/>
        </w:rPr>
      </w:pPr>
      <w:r>
        <w:rPr>
          <w:rFonts w:ascii="Courier New" w:cs="Courier New" w:eastAsia="Courier New" w:hAnsi="Courier New"/>
          <w:sz w:val="18"/>
          <w:szCs w:val="18"/>
          <w:color w:val="auto"/>
        </w:rPr>
        <w:t>33,250 shares (No Vote)</w:t>
      </w: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429,401 shares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OR NO DISPOSITIVE</w:t>
      </w:r>
    </w:p>
    <w:p>
      <w:pPr>
        <w:ind w:left="4320"/>
        <w:spacing w:after="0" w:line="237" w:lineRule="auto"/>
        <w:rPr>
          <w:sz w:val="20"/>
          <w:szCs w:val="20"/>
          <w:color w:val="auto"/>
        </w:rPr>
      </w:pPr>
      <w:r>
        <w:rPr>
          <w:rFonts w:ascii="Courier New" w:cs="Courier New" w:eastAsia="Courier New" w:hAnsi="Courier New"/>
          <w:sz w:val="18"/>
          <w:szCs w:val="18"/>
          <w:color w:val="auto"/>
        </w:rPr>
        <w:t>POWER</w:t>
      </w:r>
    </w:p>
    <w:p>
      <w:pPr>
        <w:sectPr>
          <w:pgSz w:w="11900" w:h="16854" w:orient="portrait"/>
          <w:cols w:equalWidth="0" w:num="1">
            <w:col w:w="10219"/>
          </w:cols>
          <w:pgMar w:left="240" w:top="244" w:right="1440" w:bottom="0" w:gutter="0" w:footer="0" w:header="0"/>
        </w:sectPr>
      </w:pPr>
    </w:p>
    <w:bookmarkStart w:id="1" w:name="page2"/>
    <w:bookmarkEnd w:id="1"/>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158,300 shares (Shared)</w:t>
      </w:r>
    </w:p>
    <w:p>
      <w:pPr>
        <w:ind w:left="4440"/>
        <w:spacing w:after="0" w:line="238" w:lineRule="auto"/>
        <w:rPr>
          <w:sz w:val="20"/>
          <w:szCs w:val="20"/>
          <w:color w:val="auto"/>
        </w:rPr>
      </w:pPr>
      <w:r>
        <w:rPr>
          <w:rFonts w:ascii="Courier New" w:cs="Courier New" w:eastAsia="Courier New" w:hAnsi="Courier New"/>
          <w:sz w:val="18"/>
          <w:szCs w:val="18"/>
          <w:color w:val="auto"/>
        </w:rPr>
        <w:t>7,250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359" w:hanging="632"/>
        <w:spacing w:after="0" w:line="235"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594,951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260" w:type="dxa"/>
            <w:vAlign w:val="bottom"/>
          </w:tcPr>
          <w:p>
            <w:pPr>
              <w:ind w:left="19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jc w:val="center"/>
        <w:ind w:right="-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:(8) SHARED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19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99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Southeastern Asset Management, Inc.</w:t>
      </w:r>
    </w:p>
    <w:p>
      <w:pPr>
        <w:spacing w:after="0" w:line="4" w:lineRule="exact"/>
        <w:rPr>
          <w:rFonts w:ascii="Courier New" w:cs="Courier New" w:eastAsia="Courier New" w:hAnsi="Courier New"/>
          <w:sz w:val="18"/>
          <w:szCs w:val="18"/>
          <w:color w:val="auto"/>
        </w:rPr>
      </w:pPr>
    </w:p>
    <w:p>
      <w:pPr>
        <w:ind w:left="14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6075 Poplar Ave., Suite 900 Memphis, TN 38119</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Mr. O. Mason Hawkins</w:t>
      </w:r>
    </w:p>
    <w:p>
      <w:pPr>
        <w:spacing w:after="0" w:line="4" w:lineRule="exact"/>
        <w:rPr>
          <w:rFonts w:ascii="Courier New" w:cs="Courier New" w:eastAsia="Courier New" w:hAnsi="Courier New"/>
          <w:sz w:val="18"/>
          <w:szCs w:val="18"/>
          <w:color w:val="auto"/>
        </w:rPr>
      </w:pPr>
    </w:p>
    <w:p>
      <w:pPr>
        <w:ind w:left="1480"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6075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1280" w:right="3999" w:hanging="210"/>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41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Cusip Number: 939640108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w:t>
      </w:r>
    </w:p>
    <w:p>
      <w:pPr>
        <w:ind w:left="540" w:hanging="427"/>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13d-2 (b), check whether the person filing is a:</w:t>
      </w:r>
    </w:p>
    <w:p>
      <w:pPr>
        <w:spacing w:after="0" w:line="207" w:lineRule="exact"/>
        <w:rPr>
          <w:rFonts w:ascii="Courier New" w:cs="Courier New" w:eastAsia="Courier New" w:hAnsi="Courier New"/>
          <w:sz w:val="18"/>
          <w:szCs w:val="18"/>
          <w:color w:val="auto"/>
        </w:rPr>
      </w:pPr>
    </w:p>
    <w:p>
      <w:pPr>
        <w:ind w:left="1060" w:right="389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Investment Advisor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207" w:lineRule="exact"/>
        <w:rPr>
          <w:rFonts w:ascii="Courier New" w:cs="Courier New" w:eastAsia="Courier New" w:hAnsi="Courier New"/>
          <w:sz w:val="18"/>
          <w:szCs w:val="18"/>
          <w:color w:val="auto"/>
        </w:rPr>
      </w:pPr>
    </w:p>
    <w:p>
      <w:pPr>
        <w:ind w:left="1060" w:right="3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 Parent Holding Company. This statement is also being filed by Mr. O. Mason Hawkins, Chairman of the Board and Chief Executive Officer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w:t>
      </w:r>
    </w:p>
    <w:p>
      <w:pPr>
        <w:ind w:left="1060"/>
        <w:spacing w:after="0" w:line="238" w:lineRule="auto"/>
        <w:rPr>
          <w:sz w:val="20"/>
          <w:szCs w:val="20"/>
          <w:color w:val="auto"/>
        </w:rPr>
      </w:pPr>
      <w:r>
        <w:rPr>
          <w:rFonts w:ascii="Courier New" w:cs="Courier New" w:eastAsia="Courier New" w:hAnsi="Courier New"/>
          <w:sz w:val="18"/>
          <w:szCs w:val="18"/>
          <w:color w:val="auto"/>
        </w:rPr>
        <w:t>594,951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6.4%</w:t>
      </w:r>
    </w:p>
    <w:p>
      <w:pPr>
        <w:spacing w:after="0" w:line="207" w:lineRule="exact"/>
        <w:rPr>
          <w:sz w:val="20"/>
          <w:szCs w:val="20"/>
          <w:color w:val="auto"/>
        </w:rPr>
      </w:pPr>
    </w:p>
    <w:p>
      <w:pPr>
        <w:ind w:left="1060" w:right="3899"/>
        <w:spacing w:after="0" w:line="236" w:lineRule="auto"/>
        <w:rPr>
          <w:sz w:val="20"/>
          <w:szCs w:val="20"/>
          <w:color w:val="auto"/>
        </w:rPr>
      </w:pPr>
      <w:r>
        <w:rPr>
          <w:rFonts w:ascii="Courier New" w:cs="Courier New" w:eastAsia="Courier New" w:hAnsi="Courier New"/>
          <w:sz w:val="18"/>
          <w:szCs w:val="18"/>
          <w:color w:val="auto"/>
        </w:rPr>
        <w:t>Above percentage is based on 9,284,112 shares of Class B Common Stock outstanding at 3/13/95 as set forth in the Issuer's 1995 Proxy Statement.</w:t>
      </w:r>
    </w:p>
    <w:p>
      <w:pPr>
        <w:sectPr>
          <w:pgSz w:w="11900" w:h="16838" w:orient="portrait"/>
          <w:cols w:equalWidth="0" w:num="1">
            <w:col w:w="10219"/>
          </w:cols>
          <w:pgMar w:left="240" w:top="136"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403,401 shares</w:t>
      </w:r>
    </w:p>
    <w:p>
      <w:pPr>
        <w:spacing w:after="0" w:line="207" w:lineRule="exact"/>
        <w:rPr>
          <w:sz w:val="20"/>
          <w:szCs w:val="20"/>
          <w:color w:val="auto"/>
        </w:rPr>
      </w:pPr>
    </w:p>
    <w:p>
      <w:pPr>
        <w:ind w:left="1800" w:right="38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(ii).</w:t>
        <w:tab/>
        <w:t>shared or no power to vote or to direct the vote:</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Shared - 158,300 shares. Securities owned by</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Longleaf Partners Fund, a series of Longleaf</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Partners Funds Trust, an open-end management</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investment company registered under the</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- 33,250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800"/>
        <w:spacing w:after="0" w:line="238" w:lineRule="auto"/>
        <w:rPr>
          <w:sz w:val="20"/>
          <w:szCs w:val="20"/>
          <w:color w:val="auto"/>
        </w:rPr>
      </w:pPr>
      <w:r>
        <w:rPr>
          <w:rFonts w:ascii="Courier New" w:cs="Courier New" w:eastAsia="Courier New" w:hAnsi="Courier New"/>
          <w:sz w:val="18"/>
          <w:szCs w:val="18"/>
          <w:color w:val="auto"/>
        </w:rPr>
        <w:t>disposition of: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429,401 shares</w:t>
      </w:r>
    </w:p>
    <w:p>
      <w:pPr>
        <w:spacing w:after="0" w:line="207" w:lineRule="exact"/>
        <w:rPr>
          <w:sz w:val="20"/>
          <w:szCs w:val="20"/>
          <w:color w:val="auto"/>
        </w:rPr>
      </w:pPr>
    </w:p>
    <w:p>
      <w:pPr>
        <w:ind w:left="1800" w:right="39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Shared - 158,300 shares. Securities owned by</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Longleaf Partners Fund, a series of Longleaf</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Partners Funds Trust, an open-end management</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investment company registered under the</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line="202"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No Power - 7,250 shares</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431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jc w:val="both"/>
        <w:ind w:left="860" w:right="38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ind w:left="860" w:right="399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Dated: February 1, 1996</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the 1st day of February, 1996.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4"/>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2019-12-13T07:54:38Z</dcterms:created>
  <dcterms:modified xsi:type="dcterms:W3CDTF">2019-12-13T07:54:38Z</dcterms:modified>
</cp:coreProperties>
</file>