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325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Date of Report (Date of earliest event reported) January 20, 2005</w:t>
      </w:r>
    </w:p>
    <w:p>
      <w:pPr>
        <w:spacing w:after="0" w:line="21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THE WASHINGTON POST COMPANY</w:t>
      </w:r>
    </w:p>
    <w:p>
      <w:pPr>
        <w:jc w:val="center"/>
        <w:ind w:right="31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Delaware</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1-6714</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rPr>
              <w:t>53-0182885</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(State or other</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(Commission File</w:t>
            </w:r>
          </w:p>
        </w:tc>
        <w:tc>
          <w:tcPr>
            <w:tcW w:w="232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jurisdiction of</w:t>
            </w: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Number)</w:t>
            </w:r>
          </w:p>
        </w:tc>
        <w:tc>
          <w:tcPr>
            <w:tcW w:w="23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incorporation)</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3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1150 15th Street,</w:t>
            </w:r>
          </w:p>
        </w:tc>
        <w:tc>
          <w:tcPr>
            <w:tcW w:w="2160" w:type="dxa"/>
            <w:vAlign w:val="bottom"/>
          </w:tcPr>
          <w:p>
            <w:pPr>
              <w:spacing w:after="0"/>
              <w:rPr>
                <w:sz w:val="24"/>
                <w:szCs w:val="24"/>
                <w:color w:val="auto"/>
              </w:rPr>
            </w:pPr>
          </w:p>
        </w:tc>
        <w:tc>
          <w:tcPr>
            <w:tcW w:w="23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20071</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N.W. Washington, D.C.</w:t>
            </w:r>
          </w:p>
        </w:tc>
        <w:tc>
          <w:tcPr>
            <w:tcW w:w="2160" w:type="dxa"/>
            <w:vAlign w:val="bottom"/>
          </w:tcPr>
          <w:p>
            <w:pPr>
              <w:spacing w:after="0"/>
              <w:rPr>
                <w:sz w:val="17"/>
                <w:szCs w:val="17"/>
                <w:color w:val="auto"/>
              </w:rPr>
            </w:pP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(Address of principal</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executive offices)</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(202) 334-6000</w:t>
      </w:r>
    </w:p>
    <w:p>
      <w:pPr>
        <w:jc w:val="center"/>
        <w:ind w:right="32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Not Applicable</w:t>
      </w:r>
    </w:p>
    <w:p>
      <w:pPr>
        <w:jc w:val="center"/>
        <w:ind w:right="32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w:t>
      </w:r>
    </w:p>
    <w:p>
      <w:pPr>
        <w:spacing w:after="0" w:line="207" w:lineRule="exact"/>
        <w:rPr>
          <w:sz w:val="24"/>
          <w:szCs w:val="24"/>
          <w:color w:val="auto"/>
        </w:rPr>
      </w:pPr>
    </w:p>
    <w:p>
      <w:pPr>
        <w:ind w:left="540" w:right="409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540" w:right="3679" w:hanging="53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540" w:right="3679" w:hanging="53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1 - Registrant's Business and Operations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3779" w:firstLine="527"/>
        <w:spacing w:after="0" w:line="268" w:lineRule="auto"/>
        <w:rPr>
          <w:sz w:val="20"/>
          <w:szCs w:val="20"/>
          <w:color w:val="auto"/>
        </w:rPr>
      </w:pPr>
      <w:r>
        <w:rPr>
          <w:rFonts w:ascii="Courier New" w:cs="Courier New" w:eastAsia="Courier New" w:hAnsi="Courier New"/>
          <w:sz w:val="16"/>
          <w:szCs w:val="16"/>
          <w:color w:val="auto"/>
        </w:rPr>
        <w:t>Item 1.01(a) On January 20, 2005, the Board of Directors of the Company approved a series of amendments relating to the administration of The Washington Post Company Incentive Compensation Plan (the Plan). In addition,</w:t>
      </w:r>
    </w:p>
    <w:p>
      <w:pPr>
        <w:spacing w:after="0" w:line="1" w:lineRule="exact"/>
        <w:rPr>
          <w:sz w:val="24"/>
          <w:szCs w:val="24"/>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the Plan was amended to increase (i) the maximum amount that can be given as an annual incentive compensation award to a participant in a given year, and (ii) the maximum payout of Performance Units at the end of an Award Cycle to a participant, in each case to $5 million. The Plan was also amended to clarify that the limitation in the Plan on the maximum number of shares of Restricted Stock that can be awarded to any participant must take into account the number of shares of Restricted Stock previously awarded to that participant under all then outstanding unexpired Award Cycles.</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Item 9.01(c) Exhibits</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Washington Post Company Incentive Compensation Plan as adopted January 20, 2005.</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34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Washington Post Company</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20, 2005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B. Morse, Jr.</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ind w:left="540"/>
        <w:spacing w:after="0"/>
        <w:rPr>
          <w:sz w:val="20"/>
          <w:szCs w:val="20"/>
          <w:color w:val="auto"/>
        </w:rPr>
      </w:pPr>
      <w:r>
        <w:rPr>
          <w:rFonts w:ascii="Courier New" w:cs="Courier New" w:eastAsia="Courier New" w:hAnsi="Courier New"/>
          <w:sz w:val="18"/>
          <w:szCs w:val="18"/>
          <w:color w:val="auto"/>
        </w:rPr>
        <w:t>John B. Morse, Jr.</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Vice President, Finance</w:t>
      </w:r>
    </w:p>
    <w:p>
      <w:pPr>
        <w:spacing w:after="0" w:line="200" w:lineRule="exact"/>
        <w:rPr>
          <w:sz w:val="20"/>
          <w:szCs w:val="20"/>
          <w:color w:val="auto"/>
        </w:rPr>
      </w:pPr>
    </w:p>
    <w:p>
      <w:pPr>
        <w:sectPr>
          <w:pgSz w:w="11900" w:h="16838" w:orient="portrait"/>
          <w:cols w:equalWidth="0" w:num="2">
            <w:col w:w="2860" w:space="720"/>
            <w:col w:w="6639"/>
          </w:cols>
          <w:pgMar w:left="240" w:top="14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10.1</w:t>
      </w:r>
      <w:r>
        <w:rPr>
          <w:sz w:val="20"/>
          <w:szCs w:val="20"/>
          <w:color w:val="auto"/>
        </w:rPr>
        <w:tab/>
      </w:r>
      <w:r>
        <w:rPr>
          <w:rFonts w:ascii="Courier New" w:cs="Courier New" w:eastAsia="Courier New" w:hAnsi="Courier New"/>
          <w:sz w:val="16"/>
          <w:szCs w:val="16"/>
          <w:color w:val="auto"/>
        </w:rPr>
        <w:t>The Washington Post Company Incentive</w:t>
      </w:r>
    </w:p>
    <w:p>
      <w:pPr>
        <w:ind w:left="1700"/>
        <w:spacing w:after="0" w:line="238" w:lineRule="auto"/>
        <w:rPr>
          <w:sz w:val="20"/>
          <w:szCs w:val="20"/>
          <w:color w:val="auto"/>
        </w:rPr>
      </w:pPr>
      <w:r>
        <w:rPr>
          <w:rFonts w:ascii="Courier New" w:cs="Courier New" w:eastAsia="Courier New" w:hAnsi="Courier New"/>
          <w:sz w:val="18"/>
          <w:szCs w:val="18"/>
          <w:color w:val="auto"/>
        </w:rPr>
        <w:t>Compensation Plan as adopted</w:t>
      </w:r>
    </w:p>
    <w:p>
      <w:pPr>
        <w:ind w:left="1700"/>
        <w:spacing w:after="0"/>
        <w:rPr>
          <w:sz w:val="20"/>
          <w:szCs w:val="20"/>
          <w:color w:val="auto"/>
        </w:rPr>
      </w:pPr>
      <w:r>
        <w:rPr>
          <w:rFonts w:ascii="Courier New" w:cs="Courier New" w:eastAsia="Courier New" w:hAnsi="Courier New"/>
          <w:sz w:val="18"/>
          <w:szCs w:val="18"/>
          <w:color w:val="auto"/>
        </w:rPr>
        <w:t>January 20, 2005.</w:t>
      </w:r>
    </w:p>
    <w:p>
      <w:pPr>
        <w:sectPr>
          <w:pgSz w:w="11900" w:h="16838" w:orient="portrait"/>
          <w:cols w:equalWidth="0" w:num="1">
            <w:col w:w="10219"/>
          </w:cols>
          <w:pgMar w:left="240" w:top="14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INCENTIVE COMPENSATION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adopted January 20, 2005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Purposes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Administration of the Plan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Participation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Duration of Plan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Incentive Provision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6.</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Determination of Annual Awards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Payment of Annual Awards</w:t>
      </w:r>
    </w:p>
    <w:tbl>
      <w:tblPr>
        <w:tblLayout w:type="fixed"/>
        <w:tblInd w:w="86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rPr>
              <w:t>and Time of Payment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bl>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Award Cycles;</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900" w:type="dxa"/>
            <w:vAlign w:val="bottom"/>
          </w:tcPr>
          <w:p>
            <w:pPr>
              <w:ind w:left="480"/>
              <w:spacing w:after="0"/>
              <w:rPr>
                <w:sz w:val="20"/>
                <w:szCs w:val="20"/>
                <w:color w:val="auto"/>
              </w:rPr>
            </w:pPr>
            <w:r>
              <w:rPr>
                <w:rFonts w:ascii="Courier New" w:cs="Courier New" w:eastAsia="Courier New" w:hAnsi="Courier New"/>
                <w:sz w:val="18"/>
                <w:szCs w:val="18"/>
                <w:color w:val="auto"/>
              </w:rPr>
              <w:t>Awards</w:t>
            </w:r>
          </w:p>
        </w:tc>
        <w:tc>
          <w:tcPr>
            <w:tcW w:w="1160" w:type="dxa"/>
            <w:vAlign w:val="bottom"/>
          </w:tcPr>
          <w:p>
            <w:pPr>
              <w:ind w:left="940"/>
              <w:spacing w:after="0"/>
              <w:rPr>
                <w:sz w:val="20"/>
                <w:szCs w:val="20"/>
                <w:color w:val="auto"/>
              </w:rPr>
            </w:pPr>
            <w:r>
              <w:rPr>
                <w:rFonts w:ascii="Courier New" w:cs="Courier New" w:eastAsia="Courier New" w:hAnsi="Courier New"/>
                <w:sz w:val="18"/>
                <w:szCs w:val="18"/>
                <w:color w:val="auto"/>
              </w:rPr>
              <w:t>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 Stock</w:t>
            </w:r>
          </w:p>
        </w:tc>
        <w:tc>
          <w:tcPr>
            <w:tcW w:w="1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10.</w:t>
            </w: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Performance Units</w:t>
            </w:r>
          </w:p>
        </w:tc>
        <w:tc>
          <w:tcPr>
            <w:tcW w:w="1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Expenses</w:t>
            </w:r>
          </w:p>
        </w:tc>
        <w:tc>
          <w:tcPr>
            <w:tcW w:w="1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2"/>
              </w:rPr>
              <w:t>14</w:t>
            </w:r>
          </w:p>
        </w:tc>
      </w:tr>
    </w:tbl>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Class B Common</w:t>
      </w:r>
    </w:p>
    <w:tbl>
      <w:tblPr>
        <w:tblLayout w:type="fixed"/>
        <w:tblInd w:w="0" w:type="dxa"/>
        <w:tblCellMar>
          <w:top w:w="0" w:type="dxa"/>
          <w:left w:w="0" w:type="dxa"/>
          <w:bottom w:w="0" w:type="dxa"/>
          <w:right w:w="0" w:type="dxa"/>
        </w:tblCellMar>
      </w:tblPr>
      <w:tr>
        <w:trPr>
          <w:trHeight w:val="203"/>
        </w:trPr>
        <w:tc>
          <w:tcPr>
            <w:tcW w:w="2860" w:type="dxa"/>
            <w:vAlign w:val="bottom"/>
          </w:tcPr>
          <w:p>
            <w:pPr>
              <w:ind w:left="860"/>
              <w:spacing w:after="0"/>
              <w:rPr>
                <w:sz w:val="20"/>
                <w:szCs w:val="20"/>
                <w:color w:val="auto"/>
              </w:rPr>
            </w:pPr>
            <w:r>
              <w:rPr>
                <w:rFonts w:ascii="Courier New" w:cs="Courier New" w:eastAsia="Courier New" w:hAnsi="Courier New"/>
                <w:sz w:val="18"/>
                <w:szCs w:val="18"/>
                <w:color w:val="auto"/>
              </w:rPr>
              <w:t>Stock</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13.  Amendment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WASHINGTON POST COMPANY</w:t>
      </w:r>
    </w:p>
    <w:p>
      <w:pPr>
        <w:ind w:left="860"/>
        <w:spacing w:after="0" w:line="238" w:lineRule="auto"/>
        <w:rPr>
          <w:sz w:val="20"/>
          <w:szCs w:val="20"/>
          <w:color w:val="auto"/>
        </w:rPr>
      </w:pPr>
      <w:r>
        <w:rPr>
          <w:rFonts w:ascii="Courier New" w:cs="Courier New" w:eastAsia="Courier New" w:hAnsi="Courier New"/>
          <w:sz w:val="18"/>
          <w:szCs w:val="18"/>
          <w:color w:val="auto"/>
        </w:rPr>
        <w:t>INCENTIVE COMPENSATION PLAN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As Amended and Restated</w:t>
      </w:r>
    </w:p>
    <w:p>
      <w:pPr>
        <w:spacing w:after="0" w:line="201"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Effective December 1, 2004</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 Adopted January 20, 2005</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purposes of this Incentive Compensation</w:t>
      </w:r>
    </w:p>
    <w:p>
      <w:pPr>
        <w:spacing w:after="0" w:line="238" w:lineRule="auto"/>
        <w:rPr>
          <w:sz w:val="20"/>
          <w:szCs w:val="20"/>
          <w:color w:val="auto"/>
        </w:rPr>
      </w:pPr>
      <w:r>
        <w:rPr>
          <w:rFonts w:ascii="Courier New" w:cs="Courier New" w:eastAsia="Courier New" w:hAnsi="Courier New"/>
          <w:sz w:val="18"/>
          <w:szCs w:val="18"/>
          <w:color w:val="auto"/>
        </w:rPr>
        <w:t>Plan (hereinafter called the Plan) of The Washington Post</w:t>
      </w:r>
    </w:p>
    <w:p>
      <w:pPr>
        <w:spacing w:after="0"/>
        <w:rPr>
          <w:sz w:val="20"/>
          <w:szCs w:val="20"/>
          <w:color w:val="auto"/>
        </w:rPr>
      </w:pPr>
      <w:r>
        <w:rPr>
          <w:rFonts w:ascii="Courier New" w:cs="Courier New" w:eastAsia="Courier New" w:hAnsi="Courier New"/>
          <w:sz w:val="18"/>
          <w:szCs w:val="18"/>
          <w:color w:val="auto"/>
        </w:rPr>
        <w:t>Company, a Delaware corporation (hereinafter called the</w:t>
      </w:r>
    </w:p>
    <w:p>
      <w:pPr>
        <w:spacing w:after="0" w:line="237" w:lineRule="auto"/>
        <w:rPr>
          <w:sz w:val="20"/>
          <w:szCs w:val="20"/>
          <w:color w:val="auto"/>
        </w:rPr>
      </w:pPr>
      <w:r>
        <w:rPr>
          <w:rFonts w:ascii="Courier New" w:cs="Courier New" w:eastAsia="Courier New" w:hAnsi="Courier New"/>
          <w:sz w:val="18"/>
          <w:szCs w:val="18"/>
          <w:color w:val="auto"/>
        </w:rPr>
        <w:t>Company), are (a) to provide greater incentives to key</w:t>
      </w:r>
    </w:p>
    <w:p>
      <w:pPr>
        <w:spacing w:after="0" w:line="238" w:lineRule="auto"/>
        <w:rPr>
          <w:sz w:val="20"/>
          <w:szCs w:val="20"/>
          <w:color w:val="auto"/>
        </w:rPr>
      </w:pPr>
      <w:r>
        <w:rPr>
          <w:rFonts w:ascii="Courier New" w:cs="Courier New" w:eastAsia="Courier New" w:hAnsi="Courier New"/>
          <w:sz w:val="18"/>
          <w:szCs w:val="18"/>
          <w:color w:val="auto"/>
        </w:rPr>
        <w:t>employees to increase the profitability of the Company and</w:t>
      </w:r>
    </w:p>
    <w:p>
      <w:pPr>
        <w:spacing w:after="0"/>
        <w:rPr>
          <w:sz w:val="20"/>
          <w:szCs w:val="20"/>
          <w:color w:val="auto"/>
        </w:rPr>
      </w:pPr>
      <w:r>
        <w:rPr>
          <w:rFonts w:ascii="Courier New" w:cs="Courier New" w:eastAsia="Courier New" w:hAnsi="Courier New"/>
          <w:sz w:val="18"/>
          <w:szCs w:val="18"/>
          <w:color w:val="auto"/>
        </w:rPr>
        <w:t>its subsidiaries and (b) to strengthen the ability of the</w:t>
      </w:r>
    </w:p>
    <w:p>
      <w:pPr>
        <w:spacing w:after="0" w:line="237" w:lineRule="auto"/>
        <w:rPr>
          <w:sz w:val="20"/>
          <w:szCs w:val="20"/>
          <w:color w:val="auto"/>
        </w:rPr>
      </w:pPr>
      <w:r>
        <w:rPr>
          <w:rFonts w:ascii="Courier New" w:cs="Courier New" w:eastAsia="Courier New" w:hAnsi="Courier New"/>
          <w:sz w:val="18"/>
          <w:szCs w:val="18"/>
          <w:color w:val="auto"/>
        </w:rPr>
        <w:t>Company and its subsidiaries to attract, motivate and retain</w:t>
      </w:r>
    </w:p>
    <w:p>
      <w:pPr>
        <w:spacing w:after="0"/>
        <w:rPr>
          <w:sz w:val="20"/>
          <w:szCs w:val="20"/>
          <w:color w:val="auto"/>
        </w:rPr>
      </w:pPr>
      <w:r>
        <w:rPr>
          <w:rFonts w:ascii="Courier New" w:cs="Courier New" w:eastAsia="Courier New" w:hAnsi="Courier New"/>
          <w:sz w:val="18"/>
          <w:szCs w:val="18"/>
          <w:color w:val="auto"/>
        </w:rPr>
        <w:t>persons of merit and competence upon which, in large measure,</w:t>
      </w:r>
    </w:p>
    <w:p>
      <w:pPr>
        <w:spacing w:after="0" w:line="237" w:lineRule="auto"/>
        <w:rPr>
          <w:sz w:val="20"/>
          <w:szCs w:val="20"/>
          <w:color w:val="auto"/>
        </w:rPr>
      </w:pPr>
      <w:r>
        <w:rPr>
          <w:rFonts w:ascii="Courier New" w:cs="Courier New" w:eastAsia="Courier New" w:hAnsi="Courier New"/>
          <w:sz w:val="18"/>
          <w:szCs w:val="18"/>
          <w:color w:val="auto"/>
        </w:rPr>
        <w:t>continued growth and profitability depend.</w:t>
      </w:r>
    </w:p>
    <w:p>
      <w:pPr>
        <w:spacing w:after="0" w:line="202"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4" w:lineRule="exact"/>
        <w:rPr>
          <w:sz w:val="20"/>
          <w:szCs w:val="20"/>
          <w:color w:val="auto"/>
        </w:rPr>
      </w:pPr>
    </w:p>
    <w:p>
      <w:pPr>
        <w:ind w:right="3679" w:firstLine="843"/>
        <w:spacing w:after="0" w:line="270" w:lineRule="auto"/>
        <w:rPr>
          <w:sz w:val="20"/>
          <w:szCs w:val="20"/>
          <w:color w:val="auto"/>
        </w:rPr>
      </w:pPr>
      <w:r>
        <w:rPr>
          <w:rFonts w:ascii="Courier New" w:cs="Courier New" w:eastAsia="Courier New" w:hAnsi="Courier New"/>
          <w:sz w:val="16"/>
          <w:szCs w:val="16"/>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inconsistent with the provisions of the Plan, for the administration of its business and the implementation of the Plan.</w:t>
      </w:r>
    </w:p>
    <w:p>
      <w:pPr>
        <w:spacing w:after="0" w:line="385"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4" w:lineRule="exact"/>
        <w:rPr>
          <w:rFonts w:ascii="Courier New" w:cs="Courier New" w:eastAsia="Courier New" w:hAnsi="Courier New"/>
          <w:sz w:val="18"/>
          <w:szCs w:val="18"/>
          <w:color w:val="auto"/>
        </w:rPr>
      </w:pPr>
    </w:p>
    <w:p>
      <w:pPr>
        <w:ind w:right="3779" w:firstLine="851"/>
        <w:spacing w:after="0" w:line="237" w:lineRule="auto"/>
        <w:tabs>
          <w:tab w:leader="none" w:pos="137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pacing w:after="0" w:line="9" w:lineRule="exact"/>
        <w:rPr>
          <w:rFonts w:ascii="Courier New" w:cs="Courier New" w:eastAsia="Courier New" w:hAnsi="Courier New"/>
          <w:sz w:val="18"/>
          <w:szCs w:val="18"/>
          <w:color w:val="auto"/>
        </w:rPr>
      </w:pPr>
    </w:p>
    <w:p>
      <w:pPr>
        <w:ind w:right="3999" w:firstLine="851"/>
        <w:spacing w:after="0" w:line="237" w:lineRule="auto"/>
        <w:tabs>
          <w:tab w:leader="none" w:pos="137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as such, shall not participate in the Plan, but the fact that an employee is also a Director of the Company or a subsidiary shall not prevent his or her participation.</w:t>
      </w:r>
    </w:p>
    <w:p>
      <w:pPr>
        <w:spacing w:after="0" w:line="4" w:lineRule="exact"/>
        <w:rPr>
          <w:rFonts w:ascii="Courier New" w:cs="Courier New" w:eastAsia="Courier New" w:hAnsi="Courier New"/>
          <w:sz w:val="18"/>
          <w:szCs w:val="18"/>
          <w:color w:val="auto"/>
        </w:rPr>
      </w:pPr>
    </w:p>
    <w:p>
      <w:pPr>
        <w:ind w:right="3779" w:firstLine="851"/>
        <w:spacing w:after="0" w:line="268" w:lineRule="auto"/>
        <w:tabs>
          <w:tab w:leader="none" w:pos="137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the Plan, the term Company shall mean The Washington Post Company and any subsidiary thereof.</w:t>
      </w:r>
    </w:p>
    <w:p>
      <w:pPr>
        <w:ind w:right="3459" w:firstLine="851"/>
        <w:spacing w:after="0" w:line="279" w:lineRule="auto"/>
        <w:tabs>
          <w:tab w:leader="none" w:pos="137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not be deemed to preclude the making of any award pursuant to any other compensation, incentive, bonus or stock option plan which may be in effect from time</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to time.</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Plan</w:t>
      </w:r>
    </w:p>
    <w:p>
      <w:pPr>
        <w:spacing w:after="0" w:line="4" w:lineRule="exact"/>
        <w:rPr>
          <w:sz w:val="20"/>
          <w:szCs w:val="20"/>
          <w:color w:val="auto"/>
        </w:rPr>
      </w:pPr>
    </w:p>
    <w:p>
      <w:pPr>
        <w:ind w:right="4199" w:firstLine="843"/>
        <w:spacing w:after="0" w:line="237" w:lineRule="auto"/>
        <w:rPr>
          <w:sz w:val="20"/>
          <w:szCs w:val="20"/>
          <w:color w:val="auto"/>
        </w:rPr>
      </w:pPr>
      <w:r>
        <w:rPr>
          <w:rFonts w:ascii="Courier New" w:cs="Courier New" w:eastAsia="Courier New" w:hAnsi="Courier New"/>
          <w:sz w:val="18"/>
          <w:szCs w:val="18"/>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203"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Incentive Provision</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fiscal year, the Committee may</w:t>
      </w:r>
    </w:p>
    <w:p>
      <w:pPr>
        <w:spacing w:after="0" w:line="5"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make incentive awards in an aggregate amount not to exceed the Maximum Incentive Credit (as hereinafter defined) for such year (the Annual Award).</w:t>
      </w:r>
    </w:p>
    <w:p>
      <w:pPr>
        <w:spacing w:after="0" w:line="6" w:lineRule="exact"/>
        <w:rPr>
          <w:sz w:val="20"/>
          <w:szCs w:val="20"/>
          <w:color w:val="auto"/>
        </w:rPr>
      </w:pPr>
    </w:p>
    <w:p>
      <w:pPr>
        <w:ind w:right="4419" w:firstLine="851"/>
        <w:spacing w:after="0" w:line="268" w:lineRule="auto"/>
        <w:tabs>
          <w:tab w:leader="none" w:pos="137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Maximum Incentive Credit, as used herein, shall mean for any year an amount determined as follows: (i) there shall first be calculated an amount equal to twelve (12) percent of Stockholders Equity (hereinafter called the Basic Return on Equity);</w:t>
      </w:r>
    </w:p>
    <w:p>
      <w:pPr>
        <w:ind w:right="3779" w:firstLine="8"/>
        <w:spacing w:after="0" w:line="270" w:lineRule="auto"/>
        <w:tabs>
          <w:tab w:leader="none" w:pos="52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then be deducted from Consolidated Profit Before Income Taxes an amount equal to the Basic Return on Equity, the excess (if any) being hereinafter called Incentive Profit; (iii) the Maximum Incentive Credit shall be ten (10) percent of Incentive Profit. The term Consolidated Profit Before Income Taxes, as used herein, shall mean for any year the sum of (i) the profit before income taxes (exclusive of special credits and charges and extraordinary items) included in the Consolidated Statement of Income of the Company for such year and (ii) the amount of incentive compensation provided for in computing such profit before income taxes. The term Shareholders Equity, as</w:t>
      </w:r>
    </w:p>
    <w:p>
      <w:pPr>
        <w:spacing w:after="0" w:line="187" w:lineRule="exact"/>
        <w:rPr>
          <w:rFonts w:ascii="Courier New" w:cs="Courier New" w:eastAsia="Courier New" w:hAnsi="Courier New"/>
          <w:sz w:val="16"/>
          <w:szCs w:val="16"/>
          <w:color w:val="auto"/>
        </w:rPr>
      </w:pPr>
    </w:p>
    <w:p>
      <w:pPr>
        <w:ind w:right="38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 for any change during the year arising from any increase or decrease in outstanding capital stock.</w:t>
      </w:r>
    </w:p>
    <w:p>
      <w:pPr>
        <w:spacing w:after="0" w:line="9" w:lineRule="exact"/>
        <w:rPr>
          <w:rFonts w:ascii="Courier New" w:cs="Courier New" w:eastAsia="Courier New" w:hAnsi="Courier New"/>
          <w:sz w:val="16"/>
          <w:szCs w:val="16"/>
          <w:color w:val="auto"/>
        </w:rPr>
      </w:pPr>
    </w:p>
    <w:p>
      <w:pPr>
        <w:ind w:right="3999" w:firstLine="851"/>
        <w:spacing w:after="0" w:line="237" w:lineRule="auto"/>
        <w:tabs>
          <w:tab w:leader="none" w:pos="137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month of each fiscal year, the Vice 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7" w:lineRule="exact"/>
        <w:rPr>
          <w:rFonts w:ascii="Courier New" w:cs="Courier New" w:eastAsia="Courier New" w:hAnsi="Courier New"/>
          <w:sz w:val="18"/>
          <w:szCs w:val="18"/>
          <w:color w:val="auto"/>
        </w:rPr>
      </w:pPr>
    </w:p>
    <w:p>
      <w:pPr>
        <w:ind w:right="3999" w:firstLine="851"/>
        <w:spacing w:after="0" w:line="237" w:lineRule="auto"/>
        <w:tabs>
          <w:tab w:leader="none" w:pos="137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close of each fiscal year, the Companys independent public accountants shall calculate and certify to the Committee the Maximum Incentive Credit for such fiscal year.</w:t>
      </w:r>
    </w:p>
    <w:p>
      <w:pPr>
        <w:spacing w:after="0" w:line="4" w:lineRule="exact"/>
        <w:rPr>
          <w:rFonts w:ascii="Courier New" w:cs="Courier New" w:eastAsia="Courier New" w:hAnsi="Courier New"/>
          <w:sz w:val="18"/>
          <w:szCs w:val="18"/>
          <w:color w:val="auto"/>
        </w:rPr>
      </w:pPr>
    </w:p>
    <w:p>
      <w:pPr>
        <w:ind w:right="4519" w:firstLine="851"/>
        <w:spacing w:after="0" w:line="268" w:lineRule="auto"/>
        <w:tabs>
          <w:tab w:leader="none" w:pos="137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determined and reported by the Companys independent auditors as the Maximum Incentive Credit for any fiscal year shall be final, conclusive and binding upon all parties, including the Company, its stockholders and employees, notwithstanding any subsequent special item or surplus charge or credit that may be considered applicable in whole or in part</w:t>
      </w:r>
    </w:p>
    <w:p>
      <w:pPr>
        <w:spacing w:after="0" w:line="1" w:lineRule="exact"/>
        <w:rPr>
          <w:rFonts w:ascii="Courier New" w:cs="Courier New" w:eastAsia="Courier New" w:hAnsi="Courier New"/>
          <w:sz w:val="16"/>
          <w:szCs w:val="16"/>
          <w:color w:val="auto"/>
        </w:rPr>
      </w:pPr>
    </w:p>
    <w:p>
      <w:pPr>
        <w:ind w:right="36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such fiscal year; provided that if the amount actually awarded for any fiscal year should later be determined by a court of competent jurisdiction to have exceeded the Maximum Incentive Credit for such fiscal year, the Maximum Incentive Credit for the fiscal year next succeeding such determination shall be reduced by the amount of such excess. Any such excess shall thus be corrected exclusively by adjustments of the amounts subsequently available for awards and not by recourse to the Company, the Board of Directors, the Committee, any participant or any other person.</w:t>
      </w:r>
    </w:p>
    <w:p>
      <w:pPr>
        <w:spacing w:after="0" w:line="209"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Annual Awards</w:t>
      </w:r>
    </w:p>
    <w:p>
      <w:pPr>
        <w:spacing w:after="0" w:line="4" w:lineRule="exact"/>
        <w:rPr>
          <w:sz w:val="20"/>
          <w:szCs w:val="20"/>
          <w:color w:val="auto"/>
        </w:rPr>
      </w:pPr>
    </w:p>
    <w:p>
      <w:pPr>
        <w:ind w:right="3899" w:firstLine="843"/>
        <w:spacing w:after="0" w:line="270" w:lineRule="auto"/>
        <w:rPr>
          <w:sz w:val="20"/>
          <w:szCs w:val="20"/>
          <w:color w:val="auto"/>
        </w:rPr>
      </w:pPr>
      <w:r>
        <w:rPr>
          <w:rFonts w:ascii="Courier New" w:cs="Courier New" w:eastAsia="Courier New" w:hAnsi="Courier New"/>
          <w:sz w:val="16"/>
          <w:szCs w:val="16"/>
          <w:color w:val="auto"/>
        </w:rPr>
        <w:t>The Committee shall determine the participants to receive incentive awards for each fiscal year, the amount and the form of each award (which shall not exceed in value the lesser of 200% of a participants base earnings or $5 million), and the other terms and conditions applicable thereto. Specifically, the Committee shall establish performance goals related to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before the commencement of the services to which an incentive award</w:t>
      </w:r>
    </w:p>
    <w:p>
      <w:pPr>
        <w:sectPr>
          <w:pgSz w:w="11900" w:h="16838" w:orient="portrait"/>
          <w:cols w:equalWidth="0" w:num="1">
            <w:col w:w="10219"/>
          </w:cols>
          <w:pgMar w:left="240" w:top="136" w:right="1440" w:bottom="0" w:gutter="0" w:footer="0" w:header="0"/>
        </w:sectPr>
      </w:pPr>
    </w:p>
    <w:bookmarkStart w:id="4" w:name="page5"/>
    <w:bookmarkEnd w:id="4"/>
    <w:p>
      <w:pPr>
        <w:ind w:right="3679"/>
        <w:spacing w:after="0" w:line="236" w:lineRule="auto"/>
        <w:rPr>
          <w:sz w:val="20"/>
          <w:szCs w:val="20"/>
          <w:color w:val="auto"/>
        </w:rPr>
      </w:pPr>
      <w:r>
        <w:rPr>
          <w:rFonts w:ascii="Courier New" w:cs="Courier New" w:eastAsia="Courier New" w:hAnsi="Courier New"/>
          <w:sz w:val="18"/>
          <w:szCs w:val="18"/>
          <w:color w:val="auto"/>
        </w:rPr>
        <w:t>relates and in no event later than March 31 of the year to which the award relates or such other date as may be permitted under the Internal Revenue Code.</w:t>
      </w:r>
    </w:p>
    <w:p>
      <w:pPr>
        <w:spacing w:after="0" w:line="203"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Payment of Annual Awards and Time of Payment</w:t>
      </w:r>
    </w:p>
    <w:p>
      <w:pPr>
        <w:ind w:left="1380" w:hanging="529"/>
        <w:spacing w:after="0" w:line="238" w:lineRule="auto"/>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Annual Awards shall be made in cash.</w:t>
      </w:r>
    </w:p>
    <w:p>
      <w:pPr>
        <w:spacing w:after="0" w:line="4" w:lineRule="exact"/>
        <w:rPr>
          <w:rFonts w:ascii="Courier New" w:cs="Courier New" w:eastAsia="Courier New" w:hAnsi="Courier New"/>
          <w:sz w:val="18"/>
          <w:szCs w:val="18"/>
          <w:color w:val="auto"/>
        </w:rPr>
      </w:pPr>
    </w:p>
    <w:p>
      <w:pPr>
        <w:ind w:right="3899" w:firstLine="851"/>
        <w:spacing w:after="0" w:line="268" w:lineRule="auto"/>
        <w:tabs>
          <w:tab w:leader="none" w:pos="137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Annual Awards shall be paid in a lump sum in the year following the fiscal year to which the award relates as soon as practicable after the grant of the award by the Committee, except as otherwise provided herein below.</w:t>
      </w:r>
    </w:p>
    <w:p>
      <w:pPr>
        <w:ind w:right="3899" w:firstLine="851"/>
        <w:spacing w:after="0" w:line="237" w:lineRule="auto"/>
        <w:tabs>
          <w:tab w:leader="none" w:pos="137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payments of Annual Awards are not to be made in a lump sum in the year of the award, the Committee shall fix the time or times of payments or distributions, and may impose such terms and conditions with respect to the making of payments or distributions and forfeitures thereof, as in its judgment will best serve the interests of the Company and the purposes of the Plan.</w:t>
      </w:r>
    </w:p>
    <w:p>
      <w:pPr>
        <w:spacing w:after="0" w:line="8" w:lineRule="exact"/>
        <w:rPr>
          <w:rFonts w:ascii="Courier New" w:cs="Courier New" w:eastAsia="Courier New" w:hAnsi="Courier New"/>
          <w:sz w:val="18"/>
          <w:szCs w:val="18"/>
          <w:color w:val="auto"/>
        </w:rPr>
      </w:pPr>
    </w:p>
    <w:p>
      <w:pPr>
        <w:ind w:right="4199" w:firstLine="1694"/>
        <w:spacing w:after="0" w:line="237" w:lineRule="auto"/>
        <w:tabs>
          <w:tab w:leader="none" w:pos="2212"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also, in its sole discretion, establish terms and conditions under which a participant may elect to defer the payment of an award in whole or in part pursuant to The Washington Post Company Deferred Compensation Plan (the Deferred Compensation Plan).</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Award Cycles; Awards</w:t>
      </w:r>
    </w:p>
    <w:p>
      <w:pPr>
        <w:ind w:left="2220" w:hanging="526"/>
        <w:spacing w:after="0" w:line="238" w:lineRule="auto"/>
        <w:tabs>
          <w:tab w:leader="none" w:pos="222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the Plan, the</w:t>
      </w:r>
    </w:p>
    <w:p>
      <w:pPr>
        <w:spacing w:after="0" w:line="4" w:lineRule="exact"/>
        <w:rPr>
          <w:rFonts w:ascii="Courier New" w:cs="Courier New" w:eastAsia="Courier New" w:hAnsi="Courier New"/>
          <w:sz w:val="18"/>
          <w:szCs w:val="18"/>
          <w:color w:val="auto"/>
        </w:rPr>
      </w:pPr>
    </w:p>
    <w:p>
      <w:pPr>
        <w:ind w:right="4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Committee shall from time to time establish Award Cycles, each of which shall commence on a date specified by the Committee and shall terminate no earlier than the third anniversary date of the commencement of such Award Cycle or such other later anniversary date as specified by the Committee (subject to subparagraph 9(c)(ii) below); provided, however, with respect to the granting of Performance Units, an Award Cycle shall (i) commence</w:t>
      </w:r>
    </w:p>
    <w:p>
      <w:pPr>
        <w:spacing w:after="0" w:line="1" w:lineRule="exact"/>
        <w:rPr>
          <w:rFonts w:ascii="Courier New" w:cs="Courier New" w:eastAsia="Courier New" w:hAnsi="Courier New"/>
          <w:sz w:val="18"/>
          <w:szCs w:val="18"/>
          <w:color w:val="auto"/>
        </w:rPr>
      </w:pPr>
    </w:p>
    <w:p>
      <w:pPr>
        <w:ind w:right="4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the first day of a fiscal year of the Company, (ii) consist of not less than three nor more than four fiscal years of the Company, and (iii) at least two such</w:t>
      </w: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years shall elapse between the beginning of consecutive Award Cycles.</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Award Cycle, the Committee shall</w:t>
      </w:r>
    </w:p>
    <w:p>
      <w:pPr>
        <w:spacing w:after="0" w:line="5" w:lineRule="exact"/>
        <w:rPr>
          <w:sz w:val="20"/>
          <w:szCs w:val="20"/>
          <w:color w:val="auto"/>
        </w:rPr>
      </w:pPr>
    </w:p>
    <w:p>
      <w:pPr>
        <w:ind w:right="3899" w:firstLine="851"/>
        <w:spacing w:after="0" w:line="237" w:lineRule="auto"/>
        <w:tabs>
          <w:tab w:leader="none" w:pos="137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 the participants who are to receive awards of Restricted Stock for such Award Cycle and, subject to paragraph 9(a), the number of shares of Restricted Stock awarded to each such participant,</w:t>
      </w:r>
    </w:p>
    <w:p>
      <w:pPr>
        <w:ind w:left="1480" w:hanging="629"/>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 subject to paragraph 10(a),</w:t>
      </w:r>
    </w:p>
    <w:p>
      <w:pPr>
        <w:spacing w:after="0" w:line="5"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the participants who are to receive awards of Performance Units for such Award Cycle and the number of Performance Units awarded to each such participant, and</w:t>
      </w:r>
    </w:p>
    <w:p>
      <w:pPr>
        <w:spacing w:after="0" w:line="6" w:lineRule="exact"/>
        <w:rPr>
          <w:sz w:val="20"/>
          <w:szCs w:val="20"/>
          <w:color w:val="auto"/>
        </w:rPr>
      </w:pPr>
    </w:p>
    <w:p>
      <w:pPr>
        <w:jc w:val="both"/>
        <w:ind w:right="4199" w:firstLine="851"/>
        <w:spacing w:after="0" w:line="237"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subject to paragraph 10(b), the method for determining at the end of such Award Cycle the value of a Performance Unit awarded at the beginning of such Award Cycle.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ind w:left="1380" w:hanging="529"/>
        <w:spacing w:after="0" w:line="238" w:lineRule="auto"/>
        <w:tabs>
          <w:tab w:leader="none" w:pos="13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each participant designated to</w:t>
      </w:r>
    </w:p>
    <w:p>
      <w:pPr>
        <w:spacing w:after="0" w:line="5"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receive an award of Restricted Stock for an Award Cycle, there shall be (1) issued (subject to subparagraph (b) below)</w:t>
      </w:r>
    </w:p>
    <w:p>
      <w:pPr>
        <w:ind w:right="3479"/>
        <w:spacing w:after="0" w:line="268" w:lineRule="auto"/>
        <w:rPr>
          <w:sz w:val="20"/>
          <w:szCs w:val="20"/>
          <w:color w:val="auto"/>
        </w:rPr>
      </w:pPr>
      <w:r>
        <w:rPr>
          <w:rFonts w:ascii="Courier New" w:cs="Courier New" w:eastAsia="Courier New" w:hAnsi="Courier New"/>
          <w:sz w:val="16"/>
          <w:szCs w:val="16"/>
          <w:color w:val="auto"/>
        </w:rPr>
        <w:t>a stock certificate, registered in the name of such participant, or (2) a book entry made in the name of such participant, in each case representing such number of restricted shares of Class B Common Stock of the Company (hereinafter called Common Stock) as the Committee shall determine (hereinafter called Restricted Stock); provided, however, that at any time, not more than 10,000 share of such Common Stock may be awarded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any participant under all outstanding unexpired Award Cycles.</w:t>
      </w:r>
    </w:p>
    <w:p>
      <w:pPr>
        <w:spacing w:after="0" w:line="16" w:lineRule="exact"/>
        <w:rPr>
          <w:sz w:val="20"/>
          <w:szCs w:val="20"/>
          <w:color w:val="auto"/>
        </w:rPr>
      </w:pPr>
    </w:p>
    <w:p>
      <w:pPr>
        <w:ind w:left="1380" w:hanging="529"/>
        <w:spacing w:after="0"/>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after the effective date</w:t>
      </w:r>
    </w:p>
    <w:p>
      <w:pPr>
        <w:spacing w:after="0" w:line="4" w:lineRule="exact"/>
        <w:rPr>
          <w:sz w:val="20"/>
          <w:szCs w:val="20"/>
          <w:color w:val="auto"/>
        </w:rPr>
      </w:pPr>
    </w:p>
    <w:p>
      <w:pPr>
        <w:ind w:right="3679"/>
        <w:spacing w:after="0" w:line="270" w:lineRule="auto"/>
        <w:rPr>
          <w:sz w:val="20"/>
          <w:szCs w:val="20"/>
          <w:color w:val="auto"/>
        </w:rPr>
      </w:pPr>
      <w:r>
        <w:rPr>
          <w:rFonts w:ascii="Courier New" w:cs="Courier New" w:eastAsia="Courier New" w:hAnsi="Courier New"/>
          <w:sz w:val="16"/>
          <w:szCs w:val="16"/>
          <w:color w:val="auto"/>
        </w:rPr>
        <w:t>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to be issued in the name of the participant and delivered to the Secretary of the Company in custody for such participant or the book entry referred to in subparagraph (a) to be made in the name of the participant on the books of the Company.</w:t>
      </w:r>
    </w:p>
    <w:p>
      <w:pPr>
        <w:spacing w:after="0" w:line="189" w:lineRule="exact"/>
        <w:rPr>
          <w:sz w:val="20"/>
          <w:szCs w:val="20"/>
          <w:color w:val="auto"/>
        </w:rPr>
      </w:pPr>
    </w:p>
    <w:p>
      <w:pPr>
        <w:ind w:right="4199"/>
        <w:spacing w:after="0" w:line="273" w:lineRule="auto"/>
        <w:rPr>
          <w:sz w:val="20"/>
          <w:szCs w:val="20"/>
          <w:color w:val="auto"/>
        </w:rPr>
      </w:pPr>
      <w:r>
        <w:rPr>
          <w:rFonts w:ascii="Courier New" w:cs="Courier New" w:eastAsia="Courier New" w:hAnsi="Courier New"/>
          <w:sz w:val="16"/>
          <w:szCs w:val="16"/>
          <w:color w:val="auto"/>
        </w:rPr>
        <w:t>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in the participants name.</w:t>
      </w:r>
    </w:p>
    <w:p>
      <w:pPr>
        <w:spacing w:after="0" w:line="4" w:lineRule="exact"/>
        <w:rPr>
          <w:sz w:val="20"/>
          <w:szCs w:val="20"/>
          <w:color w:val="auto"/>
        </w:rPr>
      </w:pPr>
    </w:p>
    <w:p>
      <w:pPr>
        <w:ind w:right="4099" w:firstLine="851"/>
        <w:spacing w:after="0" w:line="268" w:lineRule="auto"/>
        <w:tabs>
          <w:tab w:leader="none" w:pos="137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Restricted Stock Agreement accompanying an award of Restricted Stock made for an Award Cycle shall contain the following provisions, together with such other provisions as the Committee shall determine:</w:t>
      </w:r>
    </w:p>
    <w:p>
      <w:pPr>
        <w:ind w:left="1380" w:hanging="529"/>
        <w:spacing w:after="0" w:line="234"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hereinafter provided, none</w:t>
      </w:r>
    </w:p>
    <w:p>
      <w:pPr>
        <w:spacing w:after="0" w:line="4"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of the shares of Restricted Stock subject thereto may be sold, transferred, assigned, pledged or otherwise disposed of before the date or dates established in the applicable Restricted Stock Agreement (hereinafter called the Vesting Date(s)).</w:t>
      </w:r>
    </w:p>
    <w:p>
      <w:pPr>
        <w:spacing w:after="0" w:line="6" w:lineRule="exact"/>
        <w:rPr>
          <w:sz w:val="20"/>
          <w:szCs w:val="20"/>
          <w:color w:val="auto"/>
        </w:rPr>
      </w:pPr>
    </w:p>
    <w:p>
      <w:pPr>
        <w:ind w:right="3359" w:firstLine="851"/>
        <w:spacing w:after="0" w:line="269" w:lineRule="auto"/>
        <w:tabs>
          <w:tab w:leader="none" w:pos="14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if the participant is continuously employed by the Company until the occurrence of an applicable Vesting Date, the restriction set forth in subparagraph (c)(i) above shall terminate on such Vesting Date as to all the shares of Restricted Stock associated with that Vesting Date. In the event that the participant takes a leave of absence at any time during an Award Cycle (for Award Cycles after September 9, 2004), the Vesting Date or Dates for such grant may, in the sole discretion of the Compensation Committee, be extended by a period up to the equivalent number of days that the participant was out on a leave of absence (the Extended Vesting Date(s)) and the restrictions set forth in subparagraph (c)(i) above shall terminate on such Extended Vesting Date or Dates. Notwithstanding any of the foregoing, in the case of a participant who is an executive officer of the Company at the time of the award, the Committee shall, prior to the beginning of each Award Cycle, establish a formula based on cash flow, operating income, earnings per share, economic value added (EVA), return on assets, total return on equity of the Company, operating margins, cash flow margins, shareholder return,</w:t>
      </w:r>
    </w:p>
    <w:p>
      <w:pPr>
        <w:spacing w:after="0" w:line="191" w:lineRule="exact"/>
        <w:rPr>
          <w:rFonts w:ascii="Courier New" w:cs="Courier New" w:eastAsia="Courier New" w:hAnsi="Courier New"/>
          <w:sz w:val="16"/>
          <w:szCs w:val="16"/>
          <w:color w:val="auto"/>
        </w:rPr>
      </w:pPr>
    </w:p>
    <w:p>
      <w:pPr>
        <w:ind w:right="4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cost control and/or revenue growth measurements over the period of the Award Cycle, which will have to be achieved if the restriction set forth in subparagraph (c)(i) above is to terminate as provided in this subparagraph (c)(ii).</w:t>
      </w:r>
    </w:p>
    <w:p>
      <w:pPr>
        <w:ind w:left="1580" w:hanging="729"/>
        <w:spacing w:after="0" w:line="238"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participants employment by the</w:t>
      </w:r>
    </w:p>
    <w:p>
      <w:pPr>
        <w:spacing w:after="0" w:line="5"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Company terminates before the Vesting Date or Extended Vesting Date, as the case may be, the restriction set forth in paragraph (c)(i) shall terminate on the date the participants employment terminates (including by reason of death or disability) as to a percentage of the number of shares of Restricted Stock originally awarded (rounded to the nearest whole share) determined as set forth below (and ownership of all shares of Restricted Stock as to which such restriction shall not so terminate shall forthwith revert to the Company):</w:t>
      </w:r>
    </w:p>
    <w:p>
      <w:pPr>
        <w:spacing w:after="0" w:line="7" w:lineRule="exact"/>
        <w:rPr>
          <w:sz w:val="20"/>
          <w:szCs w:val="20"/>
          <w:color w:val="auto"/>
        </w:rPr>
      </w:pPr>
    </w:p>
    <w:p>
      <w:pPr>
        <w:ind w:left="2220" w:hanging="526"/>
        <w:spacing w:after="0"/>
        <w:tabs>
          <w:tab w:leader="none" w:pos="222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is by reason of death,</w:t>
      </w:r>
    </w:p>
    <w:p>
      <w:pPr>
        <w:spacing w:after="0" w:line="4"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disability or retirement at Normal Retirement Age (as defined in the Companys Retirement Plan), the percentage determined by dividing (i) the number of full months elapsed from the effective date of the award to the date of such termination (less, at the discretion of the Compensation Committee, the period of full months that a participant was on a leave of absence during the Award Cycle (for Award Cycles commencing after September 9, 2004) by</w:t>
      </w:r>
    </w:p>
    <w:p>
      <w:pPr>
        <w:spacing w:after="0" w:line="1" w:lineRule="exact"/>
        <w:rPr>
          <w:rFonts w:ascii="Courier New" w:cs="Courier New" w:eastAsia="Courier New" w:hAnsi="Courier New"/>
          <w:sz w:val="18"/>
          <w:szCs w:val="18"/>
          <w:color w:val="auto"/>
        </w:rPr>
      </w:pPr>
    </w:p>
    <w:p>
      <w:pPr>
        <w:ind w:right="3899" w:firstLine="8"/>
        <w:spacing w:after="0" w:line="236"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full months from such effective date to the Vesting Date for such Award Cycle (such percentage being hereinafter called the Pro-Rated Percentage);</w:t>
      </w:r>
    </w:p>
    <w:p>
      <w:pPr>
        <w:spacing w:after="0" w:line="1" w:lineRule="exact"/>
        <w:rPr>
          <w:rFonts w:ascii="Courier New" w:cs="Courier New" w:eastAsia="Courier New" w:hAnsi="Courier New"/>
          <w:sz w:val="18"/>
          <w:szCs w:val="18"/>
          <w:color w:val="auto"/>
        </w:rPr>
      </w:pPr>
    </w:p>
    <w:p>
      <w:pPr>
        <w:ind w:left="2220" w:hanging="526"/>
        <w:spacing w:after="0" w:line="238" w:lineRule="auto"/>
        <w:tabs>
          <w:tab w:leader="none" w:pos="22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is by reason of retirement</w:t>
      </w:r>
    </w:p>
    <w:p>
      <w:pPr>
        <w:spacing w:after="0" w:line="4" w:lineRule="exact"/>
        <w:rPr>
          <w:rFonts w:ascii="Courier New" w:cs="Courier New" w:eastAsia="Courier New" w:hAnsi="Courier New"/>
          <w:sz w:val="18"/>
          <w:szCs w:val="18"/>
          <w:color w:val="auto"/>
        </w:rPr>
      </w:pPr>
    </w:p>
    <w:p>
      <w:pPr>
        <w:ind w:right="38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or after age 55, but prior to Normal Retirement Age (as defined in the Companys Retirement Plan), such percentage (not greater than the Pro-Rated Percentage) as the Committee may, in its sole discretion, determine;</w:t>
      </w:r>
    </w:p>
    <w:p>
      <w:pPr>
        <w:ind w:left="2220" w:hanging="526"/>
        <w:spacing w:after="0" w:line="238" w:lineRule="auto"/>
        <w:tabs>
          <w:tab w:leader="none" w:pos="22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for any other</w:t>
      </w:r>
    </w:p>
    <w:p>
      <w:pPr>
        <w:spacing w:after="0" w:line="4" w:lineRule="exact"/>
        <w:rPr>
          <w:rFonts w:ascii="Courier New" w:cs="Courier New" w:eastAsia="Courier New" w:hAnsi="Courier New"/>
          <w:sz w:val="18"/>
          <w:szCs w:val="18"/>
          <w:color w:val="auto"/>
        </w:rPr>
      </w:pPr>
    </w:p>
    <w:p>
      <w:pPr>
        <w:ind w:right="4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reason (voluntary or involuntary) more than two years from the effective date of the award, such percentage, if any, (but not greater than the Pro-Rated Percentage) as the Committee may, in its sole discretion, determine; and</w:t>
      </w:r>
    </w:p>
    <w:p>
      <w:pPr>
        <w:ind w:left="2220" w:hanging="526"/>
        <w:spacing w:after="0" w:line="238" w:lineRule="auto"/>
        <w:tabs>
          <w:tab w:leader="none" w:pos="22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for any other</w:t>
      </w:r>
    </w:p>
    <w:p>
      <w:pPr>
        <w:spacing w:after="0" w:line="4" w:lineRule="exact"/>
        <w:rPr>
          <w:rFonts w:ascii="Courier New" w:cs="Courier New" w:eastAsia="Courier New" w:hAnsi="Courier New"/>
          <w:sz w:val="18"/>
          <w:szCs w:val="18"/>
          <w:color w:val="auto"/>
        </w:rPr>
      </w:pPr>
    </w:p>
    <w:p>
      <w:pPr>
        <w:jc w:val="both"/>
        <w:ind w:right="3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 (voluntary or involuntary) within two years from the effective date of the award, ownership of all the shares of Restricted Stock shall revert to the Company.</w:t>
      </w:r>
    </w:p>
    <w:p>
      <w:pPr>
        <w:spacing w:after="0" w:line="1" w:lineRule="exact"/>
        <w:rPr>
          <w:sz w:val="20"/>
          <w:szCs w:val="20"/>
          <w:color w:val="auto"/>
        </w:rPr>
      </w:pPr>
    </w:p>
    <w:p>
      <w:pPr>
        <w:ind w:left="2320" w:hanging="626"/>
        <w:spacing w:after="0"/>
        <w:tabs>
          <w:tab w:leader="none" w:pos="2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restriction set</w:t>
      </w:r>
    </w:p>
    <w:p>
      <w:pPr>
        <w:spacing w:after="0" w:line="4" w:lineRule="exact"/>
        <w:rPr>
          <w:rFonts w:ascii="Courier New" w:cs="Courier New" w:eastAsia="Courier New" w:hAnsi="Courier New"/>
          <w:sz w:val="18"/>
          <w:szCs w:val="18"/>
          <w:color w:val="auto"/>
        </w:rPr>
      </w:pPr>
    </w:p>
    <w:p>
      <w:pPr>
        <w:ind w:right="41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forth in subparagraph (c)(i)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 a stock certificate or certificates for such</w:t>
      </w:r>
    </w:p>
    <w:p>
      <w:pPr>
        <w:sectPr>
          <w:pgSz w:w="11900" w:h="16838" w:orient="portrait"/>
          <w:cols w:equalWidth="0" w:num="1">
            <w:col w:w="10219"/>
          </w:cols>
          <w:pgMar w:left="240" w:top="136" w:right="1440" w:bottom="0" w:gutter="0" w:footer="0" w:header="0"/>
        </w:sectPr>
      </w:pPr>
    </w:p>
    <w:bookmarkStart w:id="6" w:name="page7"/>
    <w:bookmarkEnd w:id="6"/>
    <w:p>
      <w:pPr>
        <w:ind w:right="3899"/>
        <w:spacing w:after="0" w:line="237" w:lineRule="auto"/>
        <w:rPr>
          <w:sz w:val="20"/>
          <w:szCs w:val="20"/>
          <w:color w:val="auto"/>
        </w:rPr>
      </w:pPr>
      <w:r>
        <w:rPr>
          <w:rFonts w:ascii="Courier New" w:cs="Courier New" w:eastAsia="Courier New" w:hAnsi="Courier New"/>
          <w:sz w:val="18"/>
          <w:szCs w:val="18"/>
          <w:color w:val="auto"/>
        </w:rPr>
        <w:t>shares. Alternatively, pursuant to rules established by the Compensation Committee, a participant may elect to receive all or a portion of the participants award in the form of cash in lieu of shares, based on the fair market value (the mean between the high and low price per share on the New York Stock Exchange) of such shares on the date the restrictions set forth in subparagraph (c)(i) shall terminate; and the Company will deduct the amount of all withholding taxes payable on the compensation represented by such shares from the cash value of the shares to be paid to the participant.</w:t>
      </w:r>
    </w:p>
    <w:p>
      <w:pPr>
        <w:spacing w:after="0" w:line="13" w:lineRule="exact"/>
        <w:rPr>
          <w:sz w:val="20"/>
          <w:szCs w:val="20"/>
          <w:color w:val="auto"/>
        </w:rPr>
      </w:pPr>
    </w:p>
    <w:p>
      <w:pPr>
        <w:ind w:right="3999" w:firstLine="1694"/>
        <w:spacing w:after="0" w:line="237" w:lineRule="auto"/>
        <w:tabs>
          <w:tab w:leader="none" w:pos="22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long as shares of Restricted Stock remain registered in the name of a participant he shall be entitled to all the attributes of ownership of such shares (subject to the restriction on transfer referred to above), including the right to vote such shares and to receive all dividends declared and paid on such shares.</w:t>
      </w:r>
    </w:p>
    <w:p>
      <w:pPr>
        <w:spacing w:after="0" w:line="7" w:lineRule="exact"/>
        <w:rPr>
          <w:sz w:val="20"/>
          <w:szCs w:val="20"/>
          <w:color w:val="auto"/>
        </w:rPr>
      </w:pPr>
    </w:p>
    <w:p>
      <w:pPr>
        <w:ind w:right="4099" w:firstLine="1694"/>
        <w:spacing w:after="0" w:line="237" w:lineRule="auto"/>
        <w:tabs>
          <w:tab w:leader="none" w:pos="221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Common Stock issued to recipients of Restricted Stock awards shall be issued from previously issued and outstanding shares held in the Treasury of the Company.</w:t>
      </w:r>
    </w:p>
    <w:p>
      <w:pPr>
        <w:ind w:left="2220" w:hanging="526"/>
        <w:spacing w:after="0" w:line="238" w:lineRule="auto"/>
        <w:tabs>
          <w:tab w:leader="none" w:pos="2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w:t>
      </w:r>
    </w:p>
    <w:tbl>
      <w:tblPr>
        <w:tblLayout w:type="fixed"/>
        <w:tblInd w:w="0" w:type="dxa"/>
        <w:tblCellMar>
          <w:top w:w="0" w:type="dxa"/>
          <w:left w:w="0" w:type="dxa"/>
          <w:bottom w:w="0" w:type="dxa"/>
          <w:right w:w="0" w:type="dxa"/>
        </w:tblCellMar>
      </w:tblPr>
      <w:tr>
        <w:trPr>
          <w:trHeight w:val="203"/>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w w:val="99"/>
              </w:rPr>
              <w:t>Common Stock that may</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be</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w w:val="99"/>
              </w:rPr>
              <w:t>awarded as</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Restricted Stock</w:t>
            </w: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under the Plan shall not</w:t>
            </w:r>
          </w:p>
        </w:tc>
        <w:tc>
          <w:tcPr>
            <w:tcW w:w="34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exceed 275,000 shares; provided,</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however, that</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effective</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November 1,</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1991, shares which</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revert to 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in</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accordance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1740" w:type="dxa"/>
            <w:vAlign w:val="bottom"/>
          </w:tcPr>
          <w:p>
            <w:pPr>
              <w:spacing w:after="0"/>
              <w:rPr>
                <w:sz w:val="17"/>
                <w:szCs w:val="17"/>
                <w:color w:val="auto"/>
              </w:rPr>
            </w:pPr>
          </w:p>
        </w:tc>
      </w:tr>
      <w:tr>
        <w:trPr>
          <w:trHeight w:val="203"/>
        </w:trPr>
        <w:tc>
          <w:tcPr>
            <w:tcW w:w="3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paragraph 9(c)(iii) shall be deemed</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have been</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awarded as Restricted</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Stock for purposes</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determining</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number of</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 of</w:t>
            </w: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Restricted Stock</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remaining</w:t>
            </w: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available to be awarded</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hereunder.</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Units</w:t>
      </w:r>
    </w:p>
    <w:p>
      <w:pPr>
        <w:spacing w:after="0" w:line="4" w:lineRule="exact"/>
        <w:rPr>
          <w:rFonts w:ascii="Courier New" w:cs="Courier New" w:eastAsia="Courier New" w:hAnsi="Courier New"/>
          <w:sz w:val="18"/>
          <w:szCs w:val="18"/>
          <w:color w:val="auto"/>
        </w:rPr>
      </w:pPr>
    </w:p>
    <w:p>
      <w:pPr>
        <w:ind w:right="4099" w:firstLine="851"/>
        <w:spacing w:after="0" w:line="237" w:lineRule="auto"/>
        <w:tabs>
          <w:tab w:leader="none" w:pos="137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each participant designated to receive an award of Performance Units for an Award Cycle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10" w:lineRule="exact"/>
        <w:rPr>
          <w:rFonts w:ascii="Courier New" w:cs="Courier New" w:eastAsia="Courier New" w:hAnsi="Courier New"/>
          <w:sz w:val="18"/>
          <w:szCs w:val="18"/>
          <w:color w:val="auto"/>
        </w:rPr>
      </w:pPr>
    </w:p>
    <w:p>
      <w:pPr>
        <w:ind w:right="4319" w:firstLine="851"/>
        <w:spacing w:after="0" w:line="268" w:lineRule="auto"/>
        <w:tabs>
          <w:tab w:leader="none" w:pos="137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90 days after the beginning of each Award Cycle the Committee shall establish a method for determining the earned value of a Performance Unit at the end of such Award Cycle (hereinafter called the Payout Value) based on performance goals over</w:t>
      </w:r>
    </w:p>
    <w:p>
      <w:pPr>
        <w:ind w:right="38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of the Award Cycle related to operating income, cash flow, shareholder return, return on assets, return on equity, operating margins, cost control, customer satisfaction, economic value added (EVA) and/or revenue growth measurements, which may be in respect of the Company, as a whole, or any business unit thereof; provided, however, that such method shall provide that (i) no Payout Value may exceed $200 and (ii) the payment of an award of Performance Units to any participant at the end of an Award Cycle shall be the lesser of $5 million or the amount determined by multiplying the Payout Value times the number of Performance Units granted to such participant.</w:t>
      </w:r>
    </w:p>
    <w:p>
      <w:pPr>
        <w:spacing w:after="0" w:line="187" w:lineRule="exact"/>
        <w:rPr>
          <w:rFonts w:ascii="Courier New" w:cs="Courier New" w:eastAsia="Courier New" w:hAnsi="Courier New"/>
          <w:sz w:val="16"/>
          <w:szCs w:val="16"/>
          <w:color w:val="auto"/>
        </w:rPr>
      </w:pPr>
    </w:p>
    <w:p>
      <w:pPr>
        <w:ind w:right="4099" w:firstLine="851"/>
        <w:spacing w:after="0" w:line="237" w:lineRule="auto"/>
        <w:tabs>
          <w:tab w:leader="none" w:pos="137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participants employment by the Company terminates before the end of an Award Cycle for which the participant was granted Performance Units, after the end of such Award Cycle, the participant shall be entitled to a percentage of the Payout Value of said Performance Units determined as set forth below:</w:t>
      </w:r>
    </w:p>
    <w:p>
      <w:pPr>
        <w:spacing w:after="0" w:line="2" w:lineRule="exact"/>
        <w:rPr>
          <w:rFonts w:ascii="Courier New" w:cs="Courier New" w:eastAsia="Courier New" w:hAnsi="Courier New"/>
          <w:sz w:val="18"/>
          <w:szCs w:val="18"/>
          <w:color w:val="auto"/>
        </w:rPr>
      </w:pPr>
    </w:p>
    <w:p>
      <w:pPr>
        <w:ind w:left="2220" w:hanging="526"/>
        <w:spacing w:after="0" w:line="238" w:lineRule="auto"/>
        <w:tabs>
          <w:tab w:leader="none" w:pos="222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is by reason of death,</w:t>
      </w:r>
    </w:p>
    <w:p>
      <w:pPr>
        <w:spacing w:after="0" w:line="4" w:lineRule="exact"/>
        <w:rPr>
          <w:rFonts w:ascii="Courier New" w:cs="Courier New" w:eastAsia="Courier New" w:hAnsi="Courier New"/>
          <w:sz w:val="18"/>
          <w:szCs w:val="18"/>
          <w:color w:val="auto"/>
        </w:rPr>
      </w:pPr>
    </w:p>
    <w:p>
      <w:pPr>
        <w:jc w:val="both"/>
        <w:ind w:right="5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disability or retirement at Normal Retirement Age (as defined in the Companys Retirement Plan), the Pro-Rated Percentage for such Award Cycle;</w:t>
      </w:r>
    </w:p>
    <w:p>
      <w:pPr>
        <w:ind w:right="3779" w:firstLine="1694"/>
        <w:spacing w:after="0" w:line="268" w:lineRule="auto"/>
        <w:tabs>
          <w:tab w:leader="none" w:pos="2212"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is by reason of retirement at or after age 55, but prior to Normal Retirement Age (as defined in the Companys Retirement Plan), such percentage (not greater than the Pro-Rated Percentage) as the Committee may, in its sole discretion, determine;</w:t>
      </w:r>
    </w:p>
    <w:p>
      <w:pPr>
        <w:ind w:left="2220" w:hanging="526"/>
        <w:spacing w:after="0" w:line="238" w:lineRule="auto"/>
        <w:tabs>
          <w:tab w:leader="none" w:pos="222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for any</w:t>
      </w:r>
    </w:p>
    <w:p>
      <w:pPr>
        <w:spacing w:after="0" w:line="5"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other reason (voluntary or involuntary) more than two years after the effective date of the award, such percentage, if any (but not greater than the Pro-Rated Percentage), as the Committee may, in its sole discretion, determine; and</w:t>
      </w:r>
    </w:p>
    <w:p>
      <w:pPr>
        <w:ind w:left="2220" w:hanging="526"/>
        <w:spacing w:after="0" w:line="234" w:lineRule="auto"/>
        <w:tabs>
          <w:tab w:leader="none" w:pos="2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for any other</w:t>
      </w:r>
    </w:p>
    <w:p>
      <w:pPr>
        <w:spacing w:after="0" w:line="4" w:lineRule="exact"/>
        <w:rPr>
          <w:rFonts w:ascii="Courier New" w:cs="Courier New" w:eastAsia="Courier New" w:hAnsi="Courier New"/>
          <w:sz w:val="18"/>
          <w:szCs w:val="18"/>
          <w:color w:val="auto"/>
        </w:rPr>
      </w:pPr>
    </w:p>
    <w:p>
      <w:pPr>
        <w:ind w:right="4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reason (voluntary or involuntary) within two years from the effective date of the award, no percentage of the</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Payout Value shall be paid.</w:t>
      </w:r>
    </w:p>
    <w:p>
      <w:pPr>
        <w:spacing w:after="0" w:line="4" w:lineRule="exact"/>
        <w:rPr>
          <w:sz w:val="20"/>
          <w:szCs w:val="20"/>
          <w:color w:val="auto"/>
        </w:rPr>
      </w:pPr>
    </w:p>
    <w:p>
      <w:pPr>
        <w:ind w:right="4099" w:firstLine="1694"/>
        <w:spacing w:after="0" w:line="268" w:lineRule="auto"/>
        <w:tabs>
          <w:tab w:leader="none" w:pos="2212"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end of each Award Cycle, the Payout Value of a Performance Unit awarded at the beginning of such Award Cycle shall be calculated and paid (unless otherwise deferred as provided herein) in cash to the recipients awarded such Performance Units after deduction of all Federal, state and local withholding taxes payable on the compensation represented thereby. Notwithstanding the foregoing, in the event a participant takes a leave of absence at any time during an Award Cycle (for Award Cycles commencing after September 9, 2004), the payment of the Payout Value of the participants Performance Units may, in the sole discretion of the Compensation Committee, be deferred</w:t>
      </w:r>
    </w:p>
    <w:p>
      <w:pPr>
        <w:spacing w:after="0" w:line="2" w:lineRule="exact"/>
        <w:rPr>
          <w:rFonts w:ascii="Courier New" w:cs="Courier New" w:eastAsia="Courier New" w:hAnsi="Courier New"/>
          <w:sz w:val="16"/>
          <w:szCs w:val="16"/>
          <w:color w:val="auto"/>
        </w:rPr>
      </w:pPr>
    </w:p>
    <w:p>
      <w:pPr>
        <w:ind w:right="4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a period up to the equivalent number of days that the participant was out on a leave of absence. In addition, the Committee may, in its sole discretion, establish terms and conditions under which a participant may elect to defer the payment of the Payout Value of a Performance Unit in whole or in part pursuant to the Deferred Compensation Plan.</w:t>
      </w:r>
    </w:p>
    <w:p>
      <w:pPr>
        <w:ind w:left="2220" w:hanging="526"/>
        <w:spacing w:after="0" w:line="238" w:lineRule="auto"/>
        <w:tabs>
          <w:tab w:leader="none" w:pos="222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end of each Award Cycle, the</w:t>
      </w:r>
    </w:p>
    <w:p>
      <w:pPr>
        <w:spacing w:after="0" w:line="4" w:lineRule="exact"/>
        <w:rPr>
          <w:rFonts w:ascii="Courier New" w:cs="Courier New" w:eastAsia="Courier New" w:hAnsi="Courier New"/>
          <w:sz w:val="18"/>
          <w:szCs w:val="18"/>
          <w:color w:val="auto"/>
        </w:rPr>
      </w:pPr>
    </w:p>
    <w:p>
      <w:pPr>
        <w:ind w:right="441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ested and payable with respect to such Award Cycle.</w:t>
      </w:r>
    </w:p>
    <w:p>
      <w:pPr>
        <w:spacing w:after="0" w:line="18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4" w:lineRule="exact"/>
        <w:rPr>
          <w:sz w:val="20"/>
          <w:szCs w:val="20"/>
          <w:color w:val="auto"/>
        </w:rPr>
      </w:pPr>
    </w:p>
    <w:p>
      <w:pPr>
        <w:ind w:right="4939" w:firstLine="1686"/>
        <w:spacing w:after="0" w:line="235" w:lineRule="auto"/>
        <w:rPr>
          <w:sz w:val="20"/>
          <w:szCs w:val="20"/>
          <w:color w:val="auto"/>
        </w:rPr>
      </w:pPr>
      <w:r>
        <w:rPr>
          <w:rFonts w:ascii="Courier New" w:cs="Courier New" w:eastAsia="Courier New" w:hAnsi="Courier New"/>
          <w:sz w:val="18"/>
          <w:szCs w:val="18"/>
          <w:color w:val="auto"/>
        </w:rPr>
        <w:t>The expenses of administering this Plan shall be borne by the Company.</w:t>
      </w:r>
    </w:p>
    <w:p>
      <w:pPr>
        <w:spacing w:after="0" w:line="203"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Class B Common Stock</w:t>
      </w:r>
    </w:p>
    <w:p>
      <w:pPr>
        <w:spacing w:after="0" w:line="4" w:lineRule="exact"/>
        <w:rPr>
          <w:sz w:val="20"/>
          <w:szCs w:val="20"/>
          <w:color w:val="auto"/>
        </w:rPr>
      </w:pPr>
    </w:p>
    <w:p>
      <w:pPr>
        <w:ind w:right="4199" w:firstLine="1686"/>
        <w:spacing w:after="0" w:line="237" w:lineRule="auto"/>
        <w:rPr>
          <w:sz w:val="20"/>
          <w:szCs w:val="20"/>
          <w:color w:val="auto"/>
        </w:rPr>
      </w:pPr>
      <w:r>
        <w:rPr>
          <w:rFonts w:ascii="Courier New" w:cs="Courier New" w:eastAsia="Courier New" w:hAnsi="Courier New"/>
          <w:sz w:val="18"/>
          <w:szCs w:val="18"/>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5"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4" w:lineRule="exact"/>
        <w:rPr>
          <w:sz w:val="20"/>
          <w:szCs w:val="20"/>
          <w:color w:val="auto"/>
        </w:rPr>
      </w:pPr>
    </w:p>
    <w:p>
      <w:pPr>
        <w:ind w:right="4619" w:firstLine="1686"/>
        <w:spacing w:after="0" w:line="268" w:lineRule="auto"/>
        <w:rPr>
          <w:sz w:val="20"/>
          <w:szCs w:val="20"/>
          <w:color w:val="auto"/>
        </w:rPr>
      </w:pPr>
      <w:r>
        <w:rPr>
          <w:rFonts w:ascii="Courier New" w:cs="Courier New" w:eastAsia="Courier New" w:hAnsi="Courier New"/>
          <w:sz w:val="16"/>
          <w:szCs w:val="16"/>
          <w:color w:val="auto"/>
        </w:rPr>
        <w:t>The Board of Directors of the Company shall have complete power and authority to amend, suspend or discontinue this Plan; provided, however, that the Board of Directors shall not, without the approval of the holders of a majority of the voting stock of the Company entitled to vote thereon,</w:t>
      </w:r>
    </w:p>
    <w:p>
      <w:pPr>
        <w:spacing w:after="0" w:line="1" w:lineRule="exact"/>
        <w:rPr>
          <w:sz w:val="20"/>
          <w:szCs w:val="20"/>
          <w:color w:val="auto"/>
        </w:rPr>
      </w:pPr>
    </w:p>
    <w:p>
      <w:pPr>
        <w:ind w:right="3999" w:firstLine="8"/>
        <w:spacing w:after="0" w:line="268"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either (i) the maximum number of shares of Restricted Stock that may be awarded under the Plan, (ii) the maximum number of shares of Restricted Stock or Performance Units that may be awarded to a participant, (iii) the maximum Payout Value of a Performance Unit, or (iv) the percentage ceiling on the aggregate amount of bonuses which may be awarded pursuant to paragraph 10(e) or</w:t>
      </w:r>
    </w:p>
    <w:p>
      <w:pPr>
        <w:spacing w:after="0" w:line="1" w:lineRule="exact"/>
        <w:rPr>
          <w:rFonts w:ascii="Courier New" w:cs="Courier New" w:eastAsia="Courier New" w:hAnsi="Courier New"/>
          <w:sz w:val="16"/>
          <w:szCs w:val="16"/>
          <w:color w:val="auto"/>
        </w:rPr>
      </w:pPr>
    </w:p>
    <w:p>
      <w:pPr>
        <w:jc w:val="both"/>
        <w:ind w:right="4419" w:firstLine="8"/>
        <w:spacing w:after="0" w:line="279"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amendment which would permit the incentive provision of any year provided in paragraph 5 hereof to exceed the limitations set forth in said paragraph.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7"/>
    </w:lvl>
  </w:abstractNum>
  <w:abstractNum w:abstractNumId="5">
    <w:nsid w:val="333AB105"/>
    <w:multiLevelType w:val="hybridMultilevel"/>
    <w:lvl w:ilvl="0">
      <w:lvlJc w:val="left"/>
      <w:lvlText w:val="%1."/>
      <w:numFmt w:val="decimal"/>
      <w:start w:val="8"/>
    </w:lvl>
  </w:abstractNum>
  <w:abstractNum w:abstractNumId="6">
    <w:nsid w:val="721DA317"/>
    <w:multiLevelType w:val="hybridMultilevel"/>
    <w:lvl w:ilvl="0">
      <w:lvlJc w:val="left"/>
      <w:lvlText w:val="%1."/>
      <w:numFmt w:val="decimal"/>
      <w:start w:val="12"/>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3"/>
    </w:lvl>
    <w:lvl w:ilvl="1">
      <w:lvlJc w:val="left"/>
      <w:lvlText w:val="(%2)"/>
      <w:numFmt w:val="lowerLetter"/>
      <w:start w:val="1"/>
    </w:lvl>
  </w:abstractNum>
  <w:abstractNum w:abstractNumId="10">
    <w:nsid w:val="75A2A8D4"/>
    <w:multiLevelType w:val="hybridMultilevel"/>
    <w:lvl w:ilvl="0">
      <w:lvlJc w:val="left"/>
      <w:lvlText w:val="%1."/>
      <w:numFmt w:val="decimal"/>
      <w:start w:val="4"/>
    </w:lvl>
  </w:abstractNum>
  <w:abstractNum w:abstractNumId="11">
    <w:nsid w:val="8EDBDAB"/>
    <w:multiLevelType w:val="hybridMultilevel"/>
    <w:lvl w:ilvl="0">
      <w:lvlJc w:val="left"/>
      <w:lvlText w:val="%1."/>
      <w:numFmt w:val="decimal"/>
      <w:start w:val="5"/>
    </w:lvl>
    <w:lvl w:ilvl="1">
      <w:lvlJc w:val="left"/>
      <w:lvlText w:val="(%2)"/>
      <w:numFmt w:val="lowerLetter"/>
      <w:start w:val="1"/>
    </w:lvl>
  </w:abstractNum>
  <w:abstractNum w:abstractNumId="12">
    <w:nsid w:val="79838CB2"/>
    <w:multiLevelType w:val="hybridMultilevel"/>
    <w:lvl w:ilvl="0">
      <w:lvlJc w:val="left"/>
      <w:lvlText w:val="%1"/>
      <w:numFmt w:val="lowerLetter"/>
      <w:start w:val="1"/>
    </w:lvl>
    <w:lvl w:ilvl="1">
      <w:lvlJc w:val="left"/>
      <w:lvlText w:val="(%2)"/>
      <w:numFmt w:val="lowerLetter"/>
      <w:start w:val="2"/>
    </w:lvl>
  </w:abstractNum>
  <w:abstractNum w:abstractNumId="13">
    <w:nsid w:val="4353D0CD"/>
    <w:multiLevelType w:val="hybridMultilevel"/>
    <w:lvl w:ilvl="0">
      <w:lvlJc w:val="left"/>
      <w:lvlText w:val="(%1)"/>
      <w:numFmt w:val="lowerLetter"/>
      <w:start w:val="35"/>
    </w:lvl>
    <w:lvl w:ilvl="1">
      <w:lvlJc w:val="left"/>
      <w:lvlText w:val="(%2)"/>
      <w:numFmt w:val="lowerLetter"/>
      <w:start w:val="3"/>
    </w:lvl>
  </w:abstractNum>
  <w:abstractNum w:abstractNumId="14">
    <w:nsid w:val="B03E0C6"/>
    <w:multiLevelType w:val="hybridMultilevel"/>
    <w:lvl w:ilvl="0">
      <w:lvlJc w:val="left"/>
      <w:lvlText w:val="%1."/>
      <w:numFmt w:val="decimal"/>
      <w:start w:val="6"/>
    </w:lvl>
  </w:abstractNum>
  <w:abstractNum w:abstractNumId="15">
    <w:nsid w:val="189A769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4"/>
    </w:lvl>
  </w:abstractNum>
  <w:abstractNum w:abstractNumId="16">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71F3245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1"/>
      <w:numFmt w:val="decimal"/>
      <w:start w:val="1"/>
    </w:lvl>
    <w:lvl w:ilvl="1">
      <w:lvlJc w:val="left"/>
      <w:lvlText w:val="(%2)"/>
      <w:numFmt w:val="lowerLetter"/>
      <w:start w:val="61"/>
    </w:lvl>
  </w:abstractNum>
  <w:abstractNum w:abstractNumId="20">
    <w:nsid w:val="2901D82"/>
    <w:multiLevelType w:val="hybridMultilevel"/>
    <w:lvl w:ilvl="0">
      <w:lvlJc w:val="left"/>
      <w:lvlText w:val="%1."/>
      <w:numFmt w:val="decimal"/>
      <w:start w:val="9"/>
    </w:lvl>
    <w:lvl w:ilvl="1">
      <w:lvlJc w:val="left"/>
      <w:lvlText w:val="(%2)"/>
      <w:numFmt w:val="lowerLetter"/>
      <w:start w:val="1"/>
    </w:lvl>
  </w:abstractNum>
  <w:abstractNum w:abstractNumId="21">
    <w:nsid w:val="3A95F874"/>
    <w:multiLevelType w:val="hybridMultilevel"/>
    <w:lvl w:ilvl="0">
      <w:lvlJc w:val="left"/>
      <w:lvlText w:val="(%1)"/>
      <w:numFmt w:val="lowerLetter"/>
      <w:start w:val="2"/>
    </w:lvl>
  </w:abstractNum>
  <w:abstractNum w:abstractNumId="22">
    <w:nsid w:val="8138641"/>
    <w:multiLevelType w:val="hybridMultilevel"/>
    <w:lvl w:ilvl="0">
      <w:lvlJc w:val="left"/>
      <w:lvlText w:val="(%1)"/>
      <w:numFmt w:val="lowerLetter"/>
      <w:start w:val="3"/>
    </w:lvl>
  </w:abstractNum>
  <w:abstractNum w:abstractNumId="23">
    <w:nsid w:val="1E7FF521"/>
    <w:multiLevelType w:val="hybridMultilevel"/>
    <w:lvl w:ilvl="0">
      <w:lvlJc w:val="left"/>
      <w:lvlText w:val="(%1)"/>
      <w:numFmt w:val="lowerRoman"/>
      <w:start w:val="1"/>
    </w:lvl>
  </w:abstractNum>
  <w:abstractNum w:abstractNumId="24">
    <w:nsid w:val="7C3DBD3D"/>
    <w:multiLevelType w:val="hybridMultilevel"/>
    <w:lvl w:ilvl="0">
      <w:lvlJc w:val="left"/>
      <w:lvlText w:val="(%1)"/>
      <w:numFmt w:val="lowerRoman"/>
      <w:start w:val="2"/>
    </w:lvl>
  </w:abstractNum>
  <w:abstractNum w:abstractNumId="25">
    <w:nsid w:val="737B8DDC"/>
    <w:multiLevelType w:val="hybridMultilevel"/>
    <w:lvl w:ilvl="0">
      <w:lvlJc w:val="left"/>
      <w:lvlText w:val="%1"/>
      <w:numFmt w:val="lowerRoman"/>
      <w:start w:val="1"/>
    </w:lvl>
    <w:lvl w:ilvl="1">
      <w:lvlJc w:val="left"/>
      <w:lvlText w:val="(%2)"/>
      <w:numFmt w:val="upperLetter"/>
      <w:start w:val="1"/>
    </w:lvl>
  </w:abstractNum>
  <w:abstractNum w:abstractNumId="26">
    <w:nsid w:val="6CEAF087"/>
    <w:multiLevelType w:val="hybridMultilevel"/>
    <w:lvl w:ilvl="0">
      <w:lvlJc w:val="left"/>
      <w:lvlText w:val="(%1)"/>
      <w:numFmt w:val="lowerRoman"/>
      <w:start w:val="2"/>
    </w:lvl>
    <w:lvl w:ilvl="1">
      <w:lvlJc w:val="left"/>
      <w:lvlText w:val="(%2)"/>
      <w:numFmt w:val="upperLetter"/>
      <w:start w:val="2"/>
    </w:lvl>
  </w:abstractNum>
  <w:abstractNum w:abstractNumId="27">
    <w:nsid w:val="22221A70"/>
    <w:multiLevelType w:val="hybridMultilevel"/>
    <w:lvl w:ilvl="0">
      <w:lvlJc w:val="left"/>
      <w:lvlText w:val="(%1)"/>
      <w:numFmt w:val="lowerRoman"/>
      <w:start w:val="4"/>
    </w:lvl>
  </w:abstractNum>
  <w:abstractNum w:abstractNumId="28">
    <w:nsid w:val="4516DDE9"/>
    <w:multiLevelType w:val="hybridMultilevel"/>
    <w:lvl w:ilvl="0">
      <w:lvlJc w:val="left"/>
      <w:lvlText w:val="(%1)"/>
      <w:numFmt w:val="lowerRoman"/>
      <w:start w:val="5"/>
    </w:lvl>
  </w:abstractNum>
  <w:abstractNum w:abstractNumId="29">
    <w:nsid w:val="3006C83E"/>
    <w:multiLevelType w:val="hybridMultilevel"/>
    <w:lvl w:ilvl="0">
      <w:lvlJc w:val="left"/>
      <w:lvlText w:val="(%1)"/>
      <w:numFmt w:val="lowerLetter"/>
      <w:start w:val="4"/>
    </w:lvl>
  </w:abstractNum>
  <w:abstractNum w:abstractNumId="30">
    <w:nsid w:val="614FD4A1"/>
    <w:multiLevelType w:val="hybridMultilevel"/>
    <w:lvl w:ilvl="0">
      <w:lvlJc w:val="left"/>
      <w:lvlText w:val="%1."/>
      <w:numFmt w:val="decimal"/>
      <w:start w:val="10"/>
    </w:lvl>
    <w:lvl w:ilvl="1">
      <w:lvlJc w:val="left"/>
      <w:lvlText w:val="(%2)"/>
      <w:numFmt w:val="lowerLetter"/>
      <w:start w:val="1"/>
    </w:lvl>
    <w:lvl w:ilvl="2">
      <w:lvlJc w:val="left"/>
      <w:lvlText w:val="(%3)"/>
      <w:numFmt w:val="upperLetter"/>
      <w:start w:val="1"/>
    </w:lvl>
  </w:abstractNum>
  <w:abstractNum w:abstractNumId="31">
    <w:nsid w:val="419AC241"/>
    <w:multiLevelType w:val="hybridMultilevel"/>
    <w:lvl w:ilvl="0">
      <w:lvlJc w:val="left"/>
      <w:lvlText w:val="(%1)"/>
      <w:numFmt w:val="upperLetter"/>
      <w:start w:val="4"/>
    </w:lvl>
  </w:abstractNum>
  <w:abstractNum w:abstractNumId="32">
    <w:nsid w:val="5577F8E1"/>
    <w:multiLevelType w:val="hybridMultilevel"/>
    <w:lvl w:ilvl="0">
      <w:lvlJc w:val="left"/>
      <w:lvlText w:val="%1"/>
      <w:numFmt w:val="decimal"/>
      <w:start w:val="1"/>
    </w:lvl>
    <w:lvl w:ilvl="1">
      <w:lvlJc w:val="left"/>
      <w:lvlText w:val="(%2)"/>
      <w:numFmt w:val="lowerLetter"/>
      <w:start w:val="4"/>
    </w:lvl>
  </w:abstractNum>
  <w:abstractNum w:abstractNumId="33">
    <w:nsid w:val="440BADFC"/>
    <w:multiLevelType w:val="hybridMultilevel"/>
    <w:lvl w:ilvl="0">
      <w:lvlJc w:val="left"/>
      <w:lvlText w:val="%1."/>
      <w:numFmt w:val="decimal"/>
      <w:start w:val="11"/>
    </w:lvl>
    <w:lvl w:ilvl="1">
      <w:lvlJc w:val="left"/>
      <w:lvlText w:val="%2"/>
      <w:numFmt w:val="lowerLetter"/>
      <w:start w:val="1"/>
    </w:lvl>
  </w:abstractNum>
  <w:abstractNum w:abstractNumId="34">
    <w:nsid w:val="5072367"/>
    <w:multiLevelType w:val="hybridMultilevel"/>
    <w:lvl w:ilvl="0">
      <w:lvlJc w:val="left"/>
      <w:lvlText w:val="%1."/>
      <w:numFmt w:val="decimal"/>
      <w:start w:val="12"/>
    </w:lvl>
  </w:abstractNum>
  <w:abstractNum w:abstractNumId="35">
    <w:nsid w:val="3804823E"/>
    <w:multiLevelType w:val="hybridMultilevel"/>
    <w:lvl w:ilvl="0">
      <w:lvlJc w:val="left"/>
      <w:lvlText w:val="%1."/>
      <w:numFmt w:val="decimal"/>
      <w:start w:val="13"/>
    </w:lvl>
  </w:abstractNum>
  <w:abstractNum w:abstractNumId="36">
    <w:nsid w:val="77465F0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2019-12-13T08:07:22Z</dcterms:created>
  <dcterms:modified xsi:type="dcterms:W3CDTF">2019-12-13T08:07:22Z</dcterms:modified>
</cp:coreProperties>
</file>