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4,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20" w:type="dxa"/>
            <w:vAlign w:val="bottom"/>
          </w:tcPr>
          <w:p>
            <w:pPr>
              <w:spacing w:after="0"/>
              <w:rPr>
                <w:sz w:val="23"/>
                <w:szCs w:val="23"/>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spacing w:after="0"/>
              <w:rPr>
                <w:sz w:val="24"/>
                <w:szCs w:val="24"/>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3"/>
          </w:tcPr>
          <w:p>
            <w:pPr>
              <w:ind w:left="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8060" w:type="dxa"/>
            <w:vAlign w:val="bottom"/>
            <w:gridSpan w:val="3"/>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10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No</w:t>
            </w:r>
          </w:p>
        </w:tc>
        <w:tc>
          <w:tcPr>
            <w:tcW w:w="192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60" w:type="dxa"/>
            <w:vAlign w:val="bottom"/>
            <w:gridSpan w:val="3"/>
          </w:tcPr>
          <w:p>
            <w:pPr>
              <w:spacing w:after="0"/>
              <w:rPr>
                <w:sz w:val="20"/>
                <w:szCs w:val="20"/>
                <w:color w:val="auto"/>
              </w:rPr>
            </w:pPr>
            <w:r>
              <w:rPr>
                <w:rFonts w:ascii="Arial" w:cs="Arial" w:eastAsia="Arial" w:hAnsi="Arial"/>
                <w:sz w:val="18"/>
                <w:szCs w:val="18"/>
                <w:color w:val="auto"/>
              </w:rPr>
              <w:t>Shares outstanding at August 6, 2010:</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Shares</w:t>
            </w:r>
          </w:p>
        </w:tc>
        <w:tc>
          <w:tcPr>
            <w:tcW w:w="1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Class B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7,875,962</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1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260" w:type="dxa"/>
            <w:vAlign w:val="bottom"/>
          </w:tcPr>
          <w:p>
            <w:pPr>
              <w:spacing w:after="0"/>
              <w:rPr>
                <w:sz w:val="19"/>
                <w:szCs w:val="19"/>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105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spacing w:after="0"/>
              <w:rPr>
                <w:sz w:val="24"/>
                <w:szCs w:val="24"/>
                <w:color w:val="auto"/>
              </w:rPr>
            </w:pPr>
          </w:p>
        </w:tc>
      </w:tr>
      <w:tr>
        <w:trPr>
          <w:trHeight w:val="286"/>
        </w:trPr>
        <w:tc>
          <w:tcPr>
            <w:tcW w:w="66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a. Condensed Consolidated Statements of Operations (Unaudited) for the Thirteen and Twenty-Six Weeks Ended July 4, 2010 and June 28, 2009</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b. Condensed Consolidated Statements of Comprehensive Income (Unaudited) for the Thirteen and Twenty-Six Weeks Ended July 4, 2010 and June</w:t>
              </w:r>
            </w:hyperlink>
          </w:p>
        </w:tc>
        <w:tc>
          <w:tcPr>
            <w:tcW w:w="2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20" w:type="dxa"/>
            <w:vAlign w:val="bottom"/>
            <w:tcBorders>
              <w:top w:val="single" w:sz="8" w:color="0000EE"/>
            </w:tcBorders>
            <w:gridSpan w:val="2"/>
          </w:tcPr>
          <w:p>
            <w:pPr>
              <w:spacing w:after="0"/>
              <w:rPr>
                <w:sz w:val="17"/>
                <w:szCs w:val="17"/>
                <w:color w:val="auto"/>
              </w:rPr>
            </w:pPr>
          </w:p>
        </w:tc>
        <w:tc>
          <w:tcPr>
            <w:tcW w:w="62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28, 2009</w:t>
              </w:r>
            </w:hyperlink>
          </w:p>
        </w:tc>
        <w:tc>
          <w:tcPr>
            <w:tcW w:w="90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66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July 4, 2010 (Unaudited) and January 3, 2010</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93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d. Condensed Consolidated Statements of Cash Flows (Unaudited) for the Twenty-Six Weeks Ended July 4, 2010 and June 28, 2009</w:t>
              </w:r>
            </w:hyperlink>
          </w:p>
        </w:tc>
        <w:tc>
          <w:tcPr>
            <w:tcW w:w="120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6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 (Unaudited)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11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4">
              <w:r>
                <w:rPr>
                  <w:rFonts w:ascii="Arial" w:cs="Arial" w:eastAsia="Arial" w:hAnsi="Arial"/>
                  <w:sz w:val="18"/>
                  <w:szCs w:val="18"/>
                  <w:color w:val="0000EE"/>
                </w:rPr>
                <w:t>Management’s Discussion and Analysis of Results of Operations and Financial Condition</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11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1">
              <w:r>
                <w:rPr>
                  <w:rFonts w:ascii="Arial" w:cs="Arial" w:eastAsia="Arial" w:hAnsi="Arial"/>
                  <w:sz w:val="18"/>
                  <w:szCs w:val="18"/>
                  <w:color w:val="0000EE"/>
                </w:rPr>
                <w:t>Quantitative and Qualitative Disclosures about Market Risk</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2480" w:type="dxa"/>
            <w:vAlign w:val="bottom"/>
            <w:tcBorders>
              <w:top w:val="single" w:sz="8" w:color="0000EE"/>
            </w:tcBorders>
          </w:tcPr>
          <w:p>
            <w:pPr>
              <w:spacing w:after="0"/>
              <w:rPr>
                <w:sz w:val="24"/>
                <w:szCs w:val="24"/>
                <w:color w:val="auto"/>
              </w:rPr>
            </w:pPr>
          </w:p>
        </w:tc>
        <w:tc>
          <w:tcPr>
            <w:tcW w:w="628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3"/>
        </w:trPr>
        <w:tc>
          <w:tcPr>
            <w:tcW w:w="111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260" w:type="dxa"/>
            <w:vAlign w:val="bottom"/>
          </w:tcPr>
          <w:p>
            <w:pPr>
              <w:spacing w:after="0"/>
              <w:rPr>
                <w:sz w:val="24"/>
                <w:szCs w:val="24"/>
                <w:color w:val="auto"/>
              </w:rPr>
            </w:pPr>
          </w:p>
        </w:tc>
      </w:tr>
      <w:tr>
        <w:trPr>
          <w:trHeight w:val="286"/>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Unregistered Sales of Equity Securities and Use of Proceeds</w:t>
              </w:r>
            </w:hyperlink>
          </w:p>
        </w:tc>
        <w:tc>
          <w:tcPr>
            <w:tcW w:w="624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990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16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20" w:type="dxa"/>
            <w:vAlign w:val="bottom"/>
            <w:gridSpan w:val="8"/>
          </w:tcPr>
          <w:p>
            <w:pPr>
              <w:jc w:val="right"/>
              <w:ind w:right="1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40" w:type="dxa"/>
            <w:vAlign w:val="bottom"/>
            <w:gridSpan w:val="3"/>
          </w:tcPr>
          <w:p>
            <w:pPr>
              <w:jc w:val="center"/>
              <w:ind w:left="1512"/>
              <w:spacing w:after="0"/>
              <w:rPr>
                <w:sz w:val="20"/>
                <w:szCs w:val="20"/>
                <w:color w:val="auto"/>
              </w:rPr>
            </w:pPr>
            <w:r>
              <w:rPr>
                <w:rFonts w:ascii="Arial" w:cs="Arial" w:eastAsia="Arial" w:hAnsi="Arial"/>
                <w:sz w:val="18"/>
                <w:szCs w:val="18"/>
                <w:b w:val="1"/>
                <w:bCs w:val="1"/>
                <w:color w:val="auto"/>
                <w:w w:val="99"/>
              </w:rPr>
              <w:t>PART I. FINANCIAL INFORMATION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1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7"/>
              </w:rPr>
              <w:t>The Washington Post Company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40" w:type="dxa"/>
            <w:vAlign w:val="bottom"/>
            <w:gridSpan w:val="5"/>
          </w:tcPr>
          <w:p>
            <w:pPr>
              <w:jc w:val="center"/>
              <w:ind w:left="6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Thirteen Weeks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July 4,</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2"/>
              </w:rPr>
              <w:t>June 28,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July 4,</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747,323</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649,323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1,458,705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215,973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1,201,812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1,083,179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2,343,843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2,091,479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473,480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943,104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122,731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1,038,323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1,063,726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2,077,251</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2,063,056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237,767</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Redeemable preferred stock dividends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available for The Washington Post Company 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Discontinued operations,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9"/>
              </w:rPr>
              <w:t>Per share information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Basic average number of common shares outstanding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40" w:type="dxa"/>
            <w:vAlign w:val="bottom"/>
            <w:gridSpan w:val="2"/>
            <w:vMerge w:val="restart"/>
          </w:tcPr>
          <w:p>
            <w:pPr>
              <w:jc w:val="center"/>
              <w:ind w:left="3332"/>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Thirteen Weeks Ended</w:t>
            </w: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July 4,</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28,</w:t>
            </w:r>
          </w:p>
        </w:tc>
        <w:tc>
          <w:tcPr>
            <w:tcW w:w="3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July 4,</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11,368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$ 137,955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(8,115)</w:t>
            </w:r>
          </w:p>
        </w:tc>
        <w:tc>
          <w:tcPr>
            <w:tcW w:w="0" w:type="dxa"/>
            <w:vAlign w:val="bottom"/>
          </w:tcPr>
          <w:p>
            <w:pPr>
              <w:spacing w:after="0"/>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color w:val="auto"/>
              </w:rPr>
              <w:t>Other comprehensive (loss) income</w:t>
            </w:r>
          </w:p>
        </w:tc>
        <w:tc>
          <w:tcPr>
            <w:tcW w:w="10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32,137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Change in unrealized (loss) gain on available-for-sale securities</w:t>
            </w:r>
          </w:p>
        </w:tc>
        <w:tc>
          <w:tcPr>
            <w:tcW w:w="1960" w:type="dxa"/>
            <w:vAlign w:val="bottom"/>
            <w:gridSpan w:val="3"/>
          </w:tcPr>
          <w:p>
            <w:pPr>
              <w:jc w:val="right"/>
              <w:ind w:right="260"/>
              <w:spacing w:after="0"/>
              <w:rPr>
                <w:sz w:val="20"/>
                <w:szCs w:val="20"/>
                <w:color w:val="auto"/>
              </w:rPr>
            </w:pPr>
            <w:r>
              <w:rPr>
                <w:rFonts w:ascii="Arial" w:cs="Arial" w:eastAsia="Arial" w:hAnsi="Arial"/>
                <w:sz w:val="18"/>
                <w:szCs w:val="18"/>
                <w:color w:val="auto"/>
              </w:rPr>
              <w:t>(80,751)</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(30,995)</w:t>
            </w:r>
          </w:p>
        </w:tc>
        <w:tc>
          <w:tcPr>
            <w:tcW w:w="700" w:type="dxa"/>
            <w:vAlign w:val="bottom"/>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(91,865)</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(11,899)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17,442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benefit (expense) related to other comprehensive income (loss)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10,898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(58,857)</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11,361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(13,327)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17,481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22,729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vMerge w:val="restart"/>
          </w:tcPr>
          <w:p>
            <w:pPr>
              <w:ind w:left="420"/>
              <w:spacing w:after="0"/>
              <w:rPr>
                <w:sz w:val="20"/>
                <w:szCs w:val="20"/>
                <w:color w:val="auto"/>
              </w:rPr>
            </w:pPr>
            <w:r>
              <w:rPr>
                <w:rFonts w:ascii="Arial" w:cs="Arial" w:eastAsia="Arial" w:hAnsi="Arial"/>
                <w:sz w:val="18"/>
                <w:szCs w:val="18"/>
                <w:color w:val="auto"/>
              </w:rPr>
              <w:t>Comprehensive income attributable to noncontrolling interests</w:t>
            </w: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1,106</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attributable to The Washington Post Company</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$ 33,291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23,835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$ 124,661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11,255</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jc w:val="right"/>
              <w:ind w:right="100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76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July 4,</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3,</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392,515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assets of discontinued operations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1,544,228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1,388,064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1,368,605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Indefinite-lived intangible assets,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530,406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Prepaid pension cost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412,838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5,230,055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552,321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375,534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declared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Short-term borrowings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liabilities of discontinued operations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1,026,717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989,583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210,448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404,382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2,250,677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2,227,752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Preferred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4,399,356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4,324,289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Unrealized loss on pensions and other postretirement plans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(1,794,034)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(1,750,686)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The Washington Post Company common shareholders’ equity</w:t>
            </w:r>
          </w:p>
        </w:tc>
        <w:tc>
          <w:tcPr>
            <w:tcW w:w="1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2,960,494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2,939,550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equity</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2,961,009</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2,940,021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equity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5,230,055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July 4,</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Net income (loss)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$137,955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125,633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Net pension benefit</w:t>
            </w:r>
          </w:p>
        </w:tc>
        <w:tc>
          <w:tcPr>
            <w:tcW w:w="2360" w:type="dxa"/>
            <w:vAlign w:val="bottom"/>
            <w:gridSpan w:val="3"/>
          </w:tcPr>
          <w:p>
            <w:pPr>
              <w:jc w:val="right"/>
              <w:ind w:right="12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Multiemployer pension plan withdrawal charge</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Early retirement program expense</w:t>
            </w:r>
          </w:p>
        </w:tc>
        <w:tc>
          <w:tcPr>
            <w:tcW w:w="15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Foreign exchange loss (gain)</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Benefit for deferred income taxes</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Long-lived asset impairment charges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3,207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on sale or write-down of property, plant and equipment</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receivable, net</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Decrease in inventories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4,458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liabilities</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Increase in Kaplan stock compensation</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revenue</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Increase (decrease) in income taxes payable</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16,441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other assets and other liabilities, net</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317,318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282,429</w:t>
            </w:r>
          </w:p>
        </w:tc>
        <w:tc>
          <w:tcPr>
            <w:tcW w:w="0" w:type="dxa"/>
            <w:vAlign w:val="bottom"/>
          </w:tcPr>
          <w:p>
            <w:pPr>
              <w:spacing w:after="0"/>
              <w:rPr>
                <w:sz w:val="1"/>
                <w:szCs w:val="1"/>
                <w:color w:val="auto"/>
              </w:rPr>
            </w:pPr>
          </w:p>
        </w:tc>
      </w:tr>
      <w:tr>
        <w:trPr>
          <w:trHeight w:val="222"/>
        </w:trPr>
        <w:tc>
          <w:tcPr>
            <w:tcW w:w="80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Net proceeds from sale of business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23,176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2360" w:type="dxa"/>
            <w:vAlign w:val="bottom"/>
            <w:gridSpan w:val="3"/>
          </w:tcPr>
          <w:p>
            <w:pPr>
              <w:jc w:val="right"/>
              <w:ind w:right="120"/>
              <w:spacing w:after="0"/>
              <w:rPr>
                <w:sz w:val="20"/>
                <w:szCs w:val="20"/>
                <w:color w:val="auto"/>
              </w:rPr>
            </w:pPr>
            <w:r>
              <w:rPr>
                <w:rFonts w:ascii="Arial" w:cs="Arial" w:eastAsia="Arial" w:hAnsi="Arial"/>
                <w:sz w:val="18"/>
                <w:szCs w:val="18"/>
                <w:color w:val="auto"/>
              </w:rPr>
              <w:t>(3,626)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Return of investment in affiliates</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Return of escrow funds from acquisition</w:t>
            </w:r>
          </w:p>
        </w:tc>
        <w:tc>
          <w:tcPr>
            <w:tcW w:w="1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(135,923)</w:t>
            </w:r>
          </w:p>
        </w:tc>
        <w:tc>
          <w:tcPr>
            <w:tcW w:w="0" w:type="dxa"/>
            <w:vAlign w:val="bottom"/>
          </w:tcPr>
          <w:p>
            <w:pPr>
              <w:spacing w:after="0"/>
              <w:rPr>
                <w:sz w:val="1"/>
                <w:szCs w:val="1"/>
                <w:color w:val="auto"/>
              </w:rPr>
            </w:pPr>
          </w:p>
        </w:tc>
      </w:tr>
      <w:tr>
        <w:trPr>
          <w:trHeight w:val="222"/>
        </w:trPr>
        <w:tc>
          <w:tcPr>
            <w:tcW w:w="80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2360" w:type="dxa"/>
            <w:vAlign w:val="bottom"/>
            <w:gridSpan w:val="3"/>
          </w:tcPr>
          <w:p>
            <w:pPr>
              <w:jc w:val="right"/>
              <w:ind w:right="120"/>
              <w:spacing w:after="0"/>
              <w:rPr>
                <w:sz w:val="20"/>
                <w:szCs w:val="20"/>
                <w:color w:val="auto"/>
              </w:rPr>
            </w:pPr>
            <w:r>
              <w:rPr>
                <w:rFonts w:ascii="Arial" w:cs="Arial" w:eastAsia="Arial" w:hAnsi="Arial"/>
                <w:sz w:val="18"/>
                <w:szCs w:val="18"/>
                <w:color w:val="auto"/>
              </w:rPr>
              <w:t>(41,997)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Issuance of notes, net</w:t>
            </w:r>
          </w:p>
        </w:tc>
        <w:tc>
          <w:tcPr>
            <w:tcW w:w="15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commercial paper, net</w:t>
            </w:r>
          </w:p>
        </w:tc>
        <w:tc>
          <w:tcPr>
            <w:tcW w:w="1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(149,983)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(5,218)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390,509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349,288</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jc w:val="right"/>
              <w:ind w:right="2232"/>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8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announced on August 2, 2010 that it had entered into an agreement to sell Newsweek. The operating results of Newsweek have been presented in loss from discontinued operations, net of tax, for all periods presented.</w:t>
      </w:r>
    </w:p>
    <w:p>
      <w:pPr>
        <w:spacing w:after="0" w:line="12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generally reports on a thirteen week fiscal quarter ending on the Sunday nearest the calendar quarter-end. The fiscal quarters</w:t>
      </w:r>
      <w:r>
        <w:rPr>
          <w:rFonts w:ascii="Arial" w:cs="Arial" w:eastAsia="Arial" w:hAnsi="Arial"/>
          <w:sz w:val="18"/>
          <w:szCs w:val="18"/>
          <w:b w:val="1"/>
          <w:bCs w:val="1"/>
          <w:color w:val="auto"/>
        </w:rPr>
        <w:t xml:space="preserve"> </w:t>
      </w:r>
      <w:r>
        <w:rPr>
          <w:rFonts w:ascii="Arial" w:cs="Arial" w:eastAsia="Arial" w:hAnsi="Arial"/>
          <w:sz w:val="18"/>
          <w:szCs w:val="18"/>
          <w:color w:val="auto"/>
        </w:rPr>
        <w:t>for 2010 and 2009 ended on July 4, 2010, April 4, 2010, June 28, 2009 and March 29, 2009, respectively. With the exception of the newspaper publishing operations and the corporate office, subsidiaries of the Company report on a calendar-quarter basis.</w:t>
      </w:r>
    </w:p>
    <w:p>
      <w:pPr>
        <w:spacing w:after="0" w:line="13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twenty-six weeks ended July 4, 2010 and June 28, 2009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3, 2010.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the magazine publishing segment as discontinued operations for all periods presented.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A business is classified as a discontinued operation when (i) the operations and cash flows of the business can be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condensed consolidated statement of operations, net of income taxes. The assets and related liabilities are aggregated and separately presented in the Company’s condensed consolidated balance sheet.</w:t>
      </w:r>
    </w:p>
    <w:p>
      <w:pPr>
        <w:spacing w:after="0" w:line="13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October 2009, the Financial Accounting Standards Board (“FASB”) issued new guidance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Early application is permitted. The Company is not planning to early adopt the guidance and will continue evaluating the impact of this new guidance on its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FASB issued additional disclosure requirements for fair value measurements.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These additional requirements became effective for interim and annual periods beginning after December 15, 2009 and did not have an impact on the condensed consolidated financial statements of the Company. In addition, the fair value disclosure amendments also require more detailed disclosures of the changes in Level 3 instruments. These changes will not become effective until interim and annual periods beginning after December 15, 2010 and are not expected to have an impact on the condensed consolidated financial statements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announced on August 2, 2010 that it had entered into an agreement to sell Newsweek. Under the terms of the asset purchase agreement, the buyer will receive target working capital and selected equipment used in the business, and agrees to fulfill Newsweek’s subscription obligations. The Company retains the pension assets and liabilities and certain employee obligations, including severance, and other liabilities arising prior to the sale. The closing of the transaction is contingent on satisfying certain conditions and is expected to close in the third quarter. The resulting gain or loss at closing is not expected to be material to the financial position of the Company.</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assets and liabilities of Newsweek have been classified on the Company’s condensed consolidated balance sheet as assets and liabilities of discontinued operations as of June 30, 2010. The Company did not reclassify its consolidated balance sheet as of December 31, 2009 to reflect the discontinued operations. The Company also did not reclassify its cash flow statements to reflect the discontinued operations. The results of operations of the magazine publishing division for the second quarter and first half of 2010 and 2009 are included in the Company’s condensed consolidated statement of income as “Loss from discontinued operations, net of tax”. All corresponding prior period operating results presented in the Company’s condensed consolidated financial statements and the accompanying notes have been reclassified to reflect the discontinued operations presented.</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Newsweek employees are participants in The Washington Post Company Retirement Plan and Newsweek has historically been allocated a net pension credit for segment reporting purposes. Since the associated pension assets and liabilities will be retained by the Company, the associated credit has been excluded from the reclassification of Newsweek results to discontinued operations. Pension cost arising from early retirement programs at Newsweek, however, is included in discontinued operations (see Note 12).</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Assets and liabilities of Newsweek included in discontinued operations include the following: net accounts receivable of $21.9 million and other current assets of $5.8 million; goodwill of $24.5 million and other non-current assets of $2.7 million; current accounts payable and accrued expenses of $14.1 million; current and non-current deferred revenue of $50.8 million.</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second quarter of 2010, Newsweek recorded $3.9 million in accelerated depreciation and property, plant and equipment write-downs; additional accelerated depreciation and write-downs are expected to be recorded in the third quarter, prior to the sale closing.</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summarized operating results of the Company’s discontinued operations for the second quarter and first six months of 2010 and 2009 are presented below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Thirteen Weeks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July 4,</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28,</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1"/>
              </w:rPr>
              <w:t>July 4,</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36,104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45,539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65,481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(40,724)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(58,811)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(80,693)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(133,457)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(13,272)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60" w:type="dxa"/>
            <w:vAlign w:val="bottom"/>
            <w:vMerge w:val="restart"/>
          </w:tcPr>
          <w:p>
            <w:pPr>
              <w:jc w:val="right"/>
              <w:ind w:right="87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table summarizes the quarterly operating results of the Company for 2009 and the first quarter of 2010, following the reclassification of the magazine publishing division as discontinued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Thirteen Weeks Ended</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April 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March 29,</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June 28,</w:t>
            </w: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0" w:type="dxa"/>
            <w:vAlign w:val="bottom"/>
          </w:tcPr>
          <w:p>
            <w:pPr>
              <w:spacing w:after="0"/>
              <w:rPr>
                <w:sz w:val="11"/>
                <w:szCs w:val="11"/>
                <w:color w:val="auto"/>
              </w:rPr>
            </w:pPr>
          </w:p>
        </w:tc>
        <w:tc>
          <w:tcPr>
            <w:tcW w:w="7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6"/>
              </w:rPr>
              <w:t>January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711,382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593,530</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649,323</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684,516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179,804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213,454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211,773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1,142,031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1,008,300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1,083,179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1,108,794</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469,624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478,420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461,867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469,285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471,249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82,914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68,897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25,387</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1,038,928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1,063,726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1,034,167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1,031,414</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103,103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74,627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154,829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Equity in losses of affiliates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(27,192)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(7,533)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31,740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40,560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143,294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20,340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25,960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91,894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(9,645)</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(19,483)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11,368</w:t>
            </w: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17,066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82,249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(18,695)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17,280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81,715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440" w:type="dxa"/>
            <w:vAlign w:val="bottom"/>
            <w:gridSpan w:val="3"/>
          </w:tcPr>
          <w:p>
            <w:pPr>
              <w:spacing w:after="0"/>
              <w:rPr>
                <w:sz w:val="20"/>
                <w:szCs w:val="20"/>
                <w:color w:val="auto"/>
              </w:rPr>
            </w:pPr>
            <w:r>
              <w:rPr>
                <w:rFonts w:ascii="Arial" w:cs="Arial" w:eastAsia="Arial" w:hAnsi="Arial"/>
                <w:sz w:val="18"/>
                <w:szCs w:val="18"/>
                <w:color w:val="auto"/>
                <w:w w:val="94"/>
              </w:rPr>
              <w:t>Net income (loss) available for The Washington Post Company common</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45,379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12,249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6"/>
              </w:rPr>
              <w:t>Amounts attributable to The Washington Post Company common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51,571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21,221</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25,944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(9,645)</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12,249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1"/>
              </w:rPr>
              <w:t>Per share information attributable to The Washington Post Company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Basic income (loss) per common share from 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(loss) per common share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Diluted income (loss) per common share from continuing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summarizes the operating results of the Company for fiscal year 2009 and 2008, following the reclassification of the magazine publishing division as discontinued operations: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6"/>
              </w:rPr>
              <w:t>January 3,</w:t>
            </w:r>
          </w:p>
        </w:tc>
        <w:tc>
          <w:tcPr>
            <w:tcW w:w="10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2,636,638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2,331,580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845,848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4,386,516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4,211,715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1,868,747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1,864,533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1,916,177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1,693,744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291,684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4,128,637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3,979,795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257,879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(29,421)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(31,565)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(30,512)</w:t>
            </w: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w w:val="98"/>
              </w:rPr>
              <w:t>Net income available for The Washington Post Company common stockholders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3"/>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91,846</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Amounts attributable to The Washington Post Company common stockholders: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136,933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(30,512)</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3"/>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91,846</w:t>
            </w:r>
          </w:p>
        </w:tc>
        <w:tc>
          <w:tcPr>
            <w:tcW w:w="2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Per share information attributable to The Washington Post Company common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July 4, 2010 and January 3, 2010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July 4,</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January 3,</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unrealized gains</w:t>
            </w:r>
          </w:p>
        </w:tc>
        <w:tc>
          <w:tcPr>
            <w:tcW w:w="2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136,183</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130,820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359,247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353,884</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were no new investments or sales of marketable equity securities in the first six months of 2010. In the first quarter of 2009, the Company invested $10.8 million in the Class B common stock of Berkshire Hathaway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Dispositions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2010, the Company made two small acquisitions in its Other Businesses and Corporate and Cable divisions. In the first quarter of 2010, Kaplan made one small acquisition in its Kaplan Ventures division. The Company made one small acquisition in the second quarter of 2009 and did not make any acquisitions during the first quarter of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2010, Kaplan completed the sale of Education Connection, which was part of the Kaplan Ventures division.</w:t>
      </w:r>
    </w:p>
    <w:p>
      <w:pPr>
        <w:sectPr>
          <w:pgSz w:w="11900" w:h="16857" w:orient="portrait"/>
          <w:cols w:equalWidth="0" w:num="1">
            <w:col w:w="11380"/>
          </w:cols>
          <w:pgMar w:left="240" w:top="459" w:right="279" w:bottom="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57" w:orient="portrait"/>
          <w:cols w:equalWidth="0" w:num="1">
            <w:col w:w="11380"/>
          </w:cols>
          <w:pgMar w:left="240" w:top="459" w:right="279" w:bottom="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education division made several minor changes to its operating and reporting structure in the first quarter of 2010, changing the composition of the reporting units within Kaplan Test Preparation, Kaplan Ventures and Kaplan Higher Education (see Note 12).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amortizes the recorded values of its amortized intangible assets over their estimated useful lives. Amortization of intangible assets for the thirteen weeks ended July 4, 2010 and June 28, 2009 was $7.6 million and $7.2 million, respectively. Amortization of intangible assets for the twenty-six weeks ended July 4, 2010 and June 28, 2009 was $14.1 million and $13.8 million, respectively. Amortization of intangible assets is estimated to be approximately $15 million for the remainder of 2010, $23 million in 2011, $11 million in 2012, $5 million in each of 2013 and 2014 and $13 million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related to continuing operations, by segment, for the twenty-six weeks ended July 4, 2010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Newspaper</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0"/>
              </w:rPr>
              <w:t>and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Publishing</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$1,073,852</w:t>
            </w: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$85,488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$ 81,186</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203,165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$ 24,515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97,342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(65,772)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(60,785)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1,058,323</w:t>
            </w:r>
          </w:p>
        </w:tc>
        <w:tc>
          <w:tcPr>
            <w:tcW w:w="1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85,488</w:t>
            </w:r>
          </w:p>
        </w:tc>
        <w:tc>
          <w:tcPr>
            <w:tcW w:w="200" w:type="dxa"/>
            <w:vAlign w:val="bottom"/>
            <w:gridSpan w:val="2"/>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203,165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24,515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1,423,462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to discontinued operations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(24,515)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4, 2010</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1,040,703</w:t>
            </w: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85,488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81,183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203,165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100,152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1,510,691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(65,772)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(60,785)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1,025,174</w:t>
            </w: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85,488</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$ 15,411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203,165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39,367</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1,368,605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Kaplan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Higher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Test</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Kaplan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Kaplan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Education</w:t>
            </w:r>
          </w:p>
        </w:tc>
        <w:tc>
          <w:tcPr>
            <w:tcW w:w="1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Preparation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Ventures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and Other</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$335,226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$ 236,779</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432,973</w:t>
            </w:r>
          </w:p>
        </w:tc>
        <w:tc>
          <w:tcPr>
            <w:tcW w:w="10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$ 68,874</w:t>
            </w:r>
          </w:p>
        </w:tc>
        <w:tc>
          <w:tcPr>
            <w:tcW w:w="10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335,226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236,779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432,973</w:t>
            </w:r>
          </w:p>
        </w:tc>
        <w:tc>
          <w:tcPr>
            <w:tcW w:w="1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53,345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1,058,323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net (Note 12)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(14,534)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14,534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(19,851)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(16,332)</w:t>
            </w:r>
          </w:p>
        </w:tc>
        <w:tc>
          <w:tcPr>
            <w:tcW w:w="10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4, 2010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335,226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229,286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416,641</w:t>
            </w:r>
          </w:p>
        </w:tc>
        <w:tc>
          <w:tcPr>
            <w:tcW w:w="10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59,550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335,226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$ 222,249</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416,641</w:t>
            </w:r>
          </w:p>
        </w:tc>
        <w:tc>
          <w:tcPr>
            <w:tcW w:w="1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$ 51,058</w:t>
            </w:r>
          </w:p>
        </w:tc>
        <w:tc>
          <w:tcPr>
            <w:tcW w:w="10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1,025,174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gridSpan w:val="4"/>
          </w:tcPr>
          <w:p>
            <w:pPr>
              <w:jc w:val="right"/>
              <w:ind w:right="26"/>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667"/>
              <w:spacing w:after="0"/>
              <w:rPr>
                <w:sz w:val="20"/>
                <w:szCs w:val="20"/>
                <w:color w:val="auto"/>
              </w:rPr>
            </w:pPr>
            <w:r>
              <w:rPr>
                <w:rFonts w:ascii="Arial" w:cs="Arial" w:eastAsia="Arial" w:hAnsi="Arial"/>
                <w:sz w:val="14"/>
                <w:szCs w:val="14"/>
                <w:b w:val="1"/>
                <w:bCs w:val="1"/>
                <w:color w:val="auto"/>
                <w:w w:val="88"/>
              </w:rPr>
              <w:t>As of July 4, 2010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As of January 3, 2010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9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8"/>
              </w:rPr>
              <w:t>Amortization</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Non-compete agreements</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$ 43,140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28,309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$14,831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43,886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24,093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$19,793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67,360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35,475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Databases and technology</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680" w:type="dxa"/>
            <w:vAlign w:val="bottom"/>
          </w:tcPr>
          <w:p>
            <w:pPr>
              <w:jc w:val="right"/>
              <w:spacing w:after="0"/>
              <w:rPr>
                <w:sz w:val="20"/>
                <w:szCs w:val="20"/>
                <w:color w:val="auto"/>
              </w:rPr>
            </w:pPr>
            <w:r>
              <w:rPr>
                <w:rFonts w:ascii="Arial" w:cs="Arial" w:eastAsia="Arial" w:hAnsi="Arial"/>
                <w:sz w:val="18"/>
                <w:szCs w:val="18"/>
                <w:color w:val="auto"/>
              </w:rPr>
              <w:t>16,801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5,487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19,978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1-25 years</w:t>
            </w:r>
          </w:p>
        </w:tc>
        <w:tc>
          <w:tcPr>
            <w:tcW w:w="680" w:type="dxa"/>
            <w:vAlign w:val="bottom"/>
          </w:tcPr>
          <w:p>
            <w:pPr>
              <w:jc w:val="right"/>
              <w:spacing w:after="0"/>
              <w:rPr>
                <w:sz w:val="20"/>
                <w:szCs w:val="20"/>
                <w:color w:val="auto"/>
              </w:rPr>
            </w:pPr>
            <w:r>
              <w:rPr>
                <w:rFonts w:ascii="Arial" w:cs="Arial" w:eastAsia="Arial" w:hAnsi="Arial"/>
                <w:sz w:val="18"/>
                <w:szCs w:val="18"/>
                <w:color w:val="auto"/>
              </w:rPr>
              <w:t>7,767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6,265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162,657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91,111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71,546</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151,216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79,902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4"/>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gridSpan w:val="4"/>
            <w:vMerge w:val="continue"/>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$496,166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$496,047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Wireless licenses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22,150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530,406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6: Borrowings</w:t>
            </w: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60" w:type="dxa"/>
            <w:vAlign w:val="bottom"/>
            <w:gridSpan w:val="4"/>
            <w:vMerge w:val="continue"/>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60" w:type="dxa"/>
            <w:vAlign w:val="bottom"/>
            <w:gridSpan w:val="4"/>
          </w:tcPr>
          <w:p>
            <w:pPr>
              <w:spacing w:after="0"/>
              <w:rPr>
                <w:sz w:val="20"/>
                <w:szCs w:val="20"/>
                <w:color w:val="auto"/>
              </w:rPr>
            </w:pPr>
            <w:r>
              <w:rPr>
                <w:rFonts w:ascii="Arial" w:cs="Arial" w:eastAsia="Arial" w:hAnsi="Arial"/>
                <w:sz w:val="18"/>
                <w:szCs w:val="18"/>
                <w:color w:val="auto"/>
                <w:w w:val="97"/>
              </w:rPr>
              <w:t>The Company’s borrowings consist of the following (in millions):</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3"/>
              </w:rPr>
              <w:t>July 4, 2010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7"/>
          </w:tcPr>
          <w:p>
            <w:pPr>
              <w:ind w:left="80"/>
              <w:spacing w:after="0"/>
              <w:rPr>
                <w:sz w:val="20"/>
                <w:szCs w:val="20"/>
                <w:color w:val="auto"/>
              </w:rPr>
            </w:pPr>
            <w:r>
              <w:rPr>
                <w:rFonts w:ascii="Arial" w:cs="Arial" w:eastAsia="Arial" w:hAnsi="Arial"/>
                <w:sz w:val="14"/>
                <w:szCs w:val="14"/>
                <w:b w:val="1"/>
                <w:bCs w:val="1"/>
                <w:color w:val="auto"/>
                <w:w w:val="97"/>
              </w:rPr>
              <w:t>January 3, 2010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7"/>
              </w:rPr>
              <w:t>7.25% unsecured notes due February 1, 2019</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5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indebtedness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27"/>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5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July 4, 2010 and January 3, 2010 is at an interest rate of 6% and matures during 2010.</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2010 and 2009, the Company had average borrowings outstanding of approximately $399.4 million and $399.1 million, respectively, at average annual interest rates of approximately 7.2%. During the second quarter of 2010 and 2009, the Company incurred net interest expense of $7.0 million and $7.2 million, respectively.</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six months of 2010 and 2009, the Company had average borrowings outstanding of approximately $399.4 million and $450.2 million, respectively, at average annual interest rates of approximately 7.2% and 6.7%, respectively. During each of the first six months of 2010 and 2009, the Company incurred net interest expense of $14.3 million.</w:t>
      </w:r>
    </w:p>
    <w:p>
      <w:pPr>
        <w:spacing w:after="0" w:line="140"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At July 4, 2010, the fair value of the Company’s 7.25% unsecured notes, based on quoted market prices, totaled $479.5 million, compared with the carrying amount of $396.4 million. At January 3, 2010, the fair value of the Company’s 7.25% unsecured notes, based on quoted market prices, totaled $443.1 million, compared with the carrying amount of $396.2 million. The carrying value of the Company’s other unsecured debt at July 4, 2010 approximates fair value.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Company’s earnings per share from continuing operations (basic and diluted) for the second quarter and first six months of 2010 and 2009 are presented below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7"/>
              </w:rPr>
              <w:t>Thirteen Weeks Ended</w:t>
            </w:r>
          </w:p>
        </w:tc>
        <w:tc>
          <w:tcPr>
            <w:tcW w:w="100" w:type="dxa"/>
            <w:vAlign w:val="bottom"/>
          </w:tcPr>
          <w:p>
            <w:pPr>
              <w:spacing w:after="0"/>
              <w:rPr>
                <w:sz w:val="14"/>
                <w:szCs w:val="14"/>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2"/>
              </w:rPr>
              <w:t>July 4,</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July 4,</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The Washington Post Company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94,224</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21,221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145,795</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Amount attributable to participating securities</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income from continuing operations attributable to The Washington Post Company</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93,562</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21,142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144,805</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19,662</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20" w:type="dxa"/>
            <w:vAlign w:val="bottom"/>
            <w:gridSpan w:val="2"/>
          </w:tcPr>
          <w:p>
            <w:pPr>
              <w:spacing w:after="0"/>
              <w:rPr>
                <w:sz w:val="20"/>
                <w:szCs w:val="20"/>
                <w:color w:val="auto"/>
              </w:rPr>
            </w:pPr>
            <w:r>
              <w:rPr>
                <w:rFonts w:ascii="Arial" w:cs="Arial" w:eastAsia="Arial" w:hAnsi="Arial"/>
                <w:sz w:val="18"/>
                <w:szCs w:val="18"/>
                <w:color w:val="auto"/>
              </w:rPr>
              <w:t>Plus: Amount attributable to participating securities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income from continuing operations attributable to The Washington Post Company</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94,224</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21,221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145,795</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19,629</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720" w:type="dxa"/>
            <w:vAlign w:val="bottom"/>
            <w:gridSpan w:val="2"/>
          </w:tcPr>
          <w:p>
            <w:pPr>
              <w:spacing w:after="0"/>
              <w:rPr>
                <w:sz w:val="20"/>
                <w:szCs w:val="20"/>
                <w:color w:val="auto"/>
              </w:rPr>
            </w:pPr>
            <w:r>
              <w:rPr>
                <w:rFonts w:ascii="Arial" w:cs="Arial" w:eastAsia="Arial" w:hAnsi="Arial"/>
                <w:sz w:val="18"/>
                <w:szCs w:val="18"/>
                <w:color w:val="auto"/>
              </w:rPr>
              <w:t>Basic weighted-average shares outstanding</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9,126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Income per share from continuing operations attributable to The Washington Post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Company common stockholders: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treats unvested share-based payment awards that contain nonforfeitable rights to dividends as participating securities and includes these securities in the computation of earnings per share under the two-class method.</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six months of 2010, there were 9,150,315 weighted average basic and 9,216,626 weighted average diluted shares outstanding. For the second quarter of 2010, there were 9,125,783 weighted average basic and 9,192,690 weighted average diluted shares outstanding. For the first six months of 2009, there were 9,339,445 weighted average basic and 9,400,050 weighted average diluted shares outstanding. For the second quarter of 2009, there were 9,339,815 weighted average basic and 9,400,420 weighted average diluted shares outstanding.</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diluted earnings per share amounts for the second quarter of 2010 and the first six months of 2010 exclude the effects of 51,275 stock options outstanding, as their inclusion would have been antidilutive. The diluted earnings per share amounts for the second quarter of 2009 and the first six months of 2009 exclude the effects of 86,719 and 71,719 stock options outstanding, respectively, as their inclusion would have been antidilutive.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r>
        <w:rPr>
          <w:rFonts w:ascii="Arial" w:cs="Arial" w:eastAsia="Arial" w:hAnsi="Arial"/>
          <w:sz w:val="16"/>
          <w:szCs w:val="16"/>
          <w:color w:val="auto"/>
        </w:rPr>
        <w:t>. The total (income) cost arising from the Company’s defined benefit pension plans for the second quarter and six months ended July 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2010 and June 28, 2009, included in income from continuing operations,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100" w:type="dxa"/>
            <w:vAlign w:val="bottom"/>
          </w:tcPr>
          <w:p>
            <w:pPr>
              <w:spacing w:after="0"/>
              <w:rPr>
                <w:sz w:val="12"/>
                <w:szCs w:val="12"/>
                <w:color w:val="auto"/>
              </w:rPr>
            </w:pPr>
          </w:p>
        </w:tc>
        <w:tc>
          <w:tcPr>
            <w:tcW w:w="1700" w:type="dxa"/>
            <w:vAlign w:val="bottom"/>
            <w:gridSpan w:val="5"/>
          </w:tcPr>
          <w:p>
            <w:pPr>
              <w:jc w:val="right"/>
              <w:ind w:right="96"/>
              <w:spacing w:after="0" w:line="142" w:lineRule="exact"/>
              <w:rPr>
                <w:sz w:val="20"/>
                <w:szCs w:val="20"/>
                <w:color w:val="auto"/>
              </w:rPr>
            </w:pPr>
            <w:r>
              <w:rPr>
                <w:rFonts w:ascii="Arial" w:cs="Arial" w:eastAsia="Arial" w:hAnsi="Arial"/>
                <w:sz w:val="14"/>
                <w:szCs w:val="14"/>
                <w:b w:val="1"/>
                <w:bCs w:val="1"/>
                <w:color w:val="auto"/>
                <w:w w:val="88"/>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July 4,</w:t>
            </w: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28,</w:t>
            </w: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1"/>
              </w:rPr>
              <w:t>July 4,</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14,133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14,993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14,513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30,187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(23,688)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(24,764)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(47,711)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56,800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(income) cost</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40"/>
        <w:spacing w:after="0" w:line="332" w:lineRule="auto"/>
        <w:rPr>
          <w:sz w:val="20"/>
          <w:szCs w:val="20"/>
          <w:color w:val="auto"/>
        </w:rPr>
      </w:pPr>
      <w:r>
        <w:rPr>
          <w:rFonts w:ascii="Arial" w:cs="Arial" w:eastAsia="Arial" w:hAnsi="Arial"/>
          <w:sz w:val="16"/>
          <w:szCs w:val="16"/>
          <w:color w:val="auto"/>
        </w:rPr>
        <w:t>Newsweek offered a Voluntary Retirement Incentive Program to certain employees in November 2008 that was completed in the first quarter of 2009; early retirement program expense of $6.6 million was recorded in the first quarter of 2009, and is included in income from discontinued operations.</w:t>
      </w:r>
    </w:p>
    <w:p>
      <w:pPr>
        <w:spacing w:after="0" w:line="85"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color w:val="auto"/>
        </w:rPr>
        <w:t>The Company offered a Voluntary Retirement Incentive Program to certain employees of The Washington Post newspaper in the first quarter of 2009; early retirement program expense of $56.8 million was recorded in the second quarter of 2009, funded mostly from the assets of the Company’s pension plans.</w:t>
      </w:r>
    </w:p>
    <w:p>
      <w:pPr>
        <w:spacing w:after="0" w:line="6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total cost arising from the Company’s Supplemental Executive Retirement Plan (SERP) for the second quarter and six months ended July 4, 2010 and June 28, 2009, including a portion included in income from discontinued operations, consists of the following components (in thousands):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SERP</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6"/>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Thirteen Weeks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5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July 4,</w:t>
            </w: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28,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July 4,</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2"/>
              </w:rPr>
              <w:t>June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1,756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1,866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June 30, 2010 and December 31, 2009,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600" w:type="dxa"/>
            <w:vAlign w:val="bottom"/>
            <w:tcBorders>
              <w:top w:val="single" w:sz="8" w:color="auto"/>
            </w:tcBorders>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5"/>
              </w:rPr>
              <w:t>June 30,</w:t>
            </w: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1040" w:type="dxa"/>
            <w:vAlign w:val="bottom"/>
          </w:tcPr>
          <w:p>
            <w:pPr>
              <w:spacing w:after="0"/>
              <w:rPr>
                <w:sz w:val="14"/>
                <w:szCs w:val="1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U.S. fixed income</w:t>
            </w: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June 30, 2010, up to 13% of the assets could be invested in international stocks, and no less than 9% of the assets could be invested in fixed-income securities. None of the assets is managed internally by the Company.</w:t>
      </w:r>
    </w:p>
    <w:p>
      <w:pPr>
        <w:sectPr>
          <w:pgSz w:w="11900" w:h="16838" w:orient="portrait"/>
          <w:cols w:equalWidth="0" w:num="1">
            <w:col w:w="11380"/>
          </w:cols>
          <w:pgMar w:left="240" w:top="459" w:right="279" w:bottom="1440" w:gutter="0" w:footer="0" w:header="0"/>
        </w:sectPr>
      </w:pP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determining the 6.5%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2010. Types of concentrations that were evaluated include, but are not limited to, investment concentrations in a single entity, type of industry, foreign country and individual fund. Included in the assets are $161.0 million and $274.3 million of Berkshire Hathaway Class A and Class B common stock at June 30, 2010 and December 31, 2009, respectively. Approximately 52% of the Berkshire Hathaway common stock held at December 31, 2009 was sold during the first six months of 2010.</w:t>
      </w:r>
    </w:p>
    <w:p>
      <w:pPr>
        <w:spacing w:after="0" w:line="13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Other Postretirement Plans</w:t>
      </w:r>
      <w:r>
        <w:rPr>
          <w:rFonts w:ascii="Arial" w:cs="Arial" w:eastAsia="Arial" w:hAnsi="Arial"/>
          <w:sz w:val="16"/>
          <w:szCs w:val="16"/>
          <w:color w:val="auto"/>
        </w:rPr>
        <w:t>. The total cost (income) arising from the Company’s postretirement plans for the second quarter and six months ended July 4, 2010</w:t>
      </w:r>
      <w:r>
        <w:rPr>
          <w:rFonts w:ascii="Arial" w:cs="Arial" w:eastAsia="Arial" w:hAnsi="Arial"/>
          <w:sz w:val="16"/>
          <w:szCs w:val="16"/>
          <w:b w:val="1"/>
          <w:bCs w:val="1"/>
          <w:color w:val="auto"/>
        </w:rPr>
        <w:t xml:space="preserve"> </w:t>
      </w:r>
      <w:r>
        <w:rPr>
          <w:rFonts w:ascii="Arial" w:cs="Arial" w:eastAsia="Arial" w:hAnsi="Arial"/>
          <w:sz w:val="16"/>
          <w:szCs w:val="16"/>
          <w:color w:val="auto"/>
        </w:rPr>
        <w:t>and June 28, 2009, including a portion included in income from discontinued operations, consists of the following components (in thousands):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Postretirement Plans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6"/>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Thirteen Weeks Ended</w:t>
            </w:r>
          </w:p>
        </w:tc>
        <w:tc>
          <w:tcPr>
            <w:tcW w:w="100" w:type="dxa"/>
            <w:vAlign w:val="bottom"/>
          </w:tcPr>
          <w:p>
            <w:pPr>
              <w:spacing w:after="0"/>
              <w:rPr>
                <w:sz w:val="12"/>
                <w:szCs w:val="12"/>
                <w:color w:val="auto"/>
              </w:rPr>
            </w:pPr>
          </w:p>
        </w:tc>
        <w:tc>
          <w:tcPr>
            <w:tcW w:w="1760" w:type="dxa"/>
            <w:vAlign w:val="bottom"/>
            <w:gridSpan w:val="5"/>
          </w:tcPr>
          <w:p>
            <w:pPr>
              <w:jc w:val="right"/>
              <w:ind w:right="117"/>
              <w:spacing w:after="0" w:line="142" w:lineRule="exact"/>
              <w:rPr>
                <w:sz w:val="20"/>
                <w:szCs w:val="20"/>
                <w:color w:val="auto"/>
              </w:rPr>
            </w:pPr>
            <w:r>
              <w:rPr>
                <w:rFonts w:ascii="Arial" w:cs="Arial" w:eastAsia="Arial" w:hAnsi="Arial"/>
                <w:sz w:val="14"/>
                <w:szCs w:val="14"/>
                <w:b w:val="1"/>
                <w:bCs w:val="1"/>
                <w:color w:val="auto"/>
                <w:w w:val="91"/>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2"/>
              </w:rPr>
              <w:t>July 4,</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28,</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1"/>
              </w:rPr>
              <w:t>July 4,</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2"/>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(1,242)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 (benefit)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Curtailment gain</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cost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12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Multiemployer Pension Plans</w:t>
      </w:r>
      <w:r>
        <w:rPr>
          <w:rFonts w:ascii="Arial" w:cs="Arial" w:eastAsia="Arial" w:hAnsi="Arial"/>
          <w:sz w:val="16"/>
          <w:szCs w:val="16"/>
          <w:color w:val="auto"/>
        </w:rPr>
        <w:t>. The Washington Post newspaper contributes to multiemployer pension plans on behalf of three union-represented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groups: the CWA-ITU Negotiated Pension Plan on behalf of Post mailers, helpers and utility mailers; the IAM National Pension Fund on behalf of Post machinists; and the Central Pension Fund of the International Union of Operating Engineers on behalf of Post engineers, carpenters and painters. Contributions are made in accordance with the relevant collective bargaining agreements and are generally based on straight-time hours.</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Post has negotiated in collective bargaining the contractual right to withdraw from two of these plans; the right to withdraw from the CWA-ITU Negotiated Pension Plan (the Plan) has been the subject of contract negotiations that have reached an impasse. In July 2010, the Post notified the union and the Plan of its unilateral withdrawal from the Plan effective November 30, 2010. In connection with this action, The Washington Post recorded a $17.7 million charge in the second quarter of 2010 based on an estimate of the withdrawal liability. The Plan is obligated to notify the Post of the actual withdrawal liability in a timely manner at which time an adjustment to the estimated charge will be made to reflect the difference between the estimated and actual withdrawal liability. Payment of the actual withdrawal liability will relieve the Post of further liability to the Plan absent certain circumstances prescribed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(expense) income for the thirteen and twenty-six weeks ended July 4, 2010 and June 28, 2009, is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6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July 4,</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28,</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July 4,</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80" w:type="dxa"/>
            <w:vAlign w:val="bottom"/>
            <w:vMerge w:val="restart"/>
          </w:tcPr>
          <w:p>
            <w:pPr>
              <w:jc w:val="right"/>
              <w:ind w:right="6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Department of Education Rulemaking. </w:t>
      </w:r>
      <w:r>
        <w:rPr>
          <w:rFonts w:ascii="Arial" w:cs="Arial" w:eastAsia="Arial" w:hAnsi="Arial"/>
          <w:sz w:val="18"/>
          <w:szCs w:val="18"/>
          <w:color w:val="auto"/>
        </w:rPr>
        <w:t>In June 2010, the Department of Education released for public comment a notice of proposed rulemaking that addresses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integrity issues for postsecondary education institutions that participate in Title IV programs. The proposed regulations included, among other items, revised standards governing the payment of incentive compensation to admissions and financial aid advisors, standards around misrepresentation and the definition of “credit hour.” The Company cannot predict the substance of any final rules that may be adopted by the Department of Education with respect to program integrity issues.</w:t>
      </w:r>
    </w:p>
    <w:p>
      <w:pPr>
        <w:spacing w:after="0" w:line="14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2010, the Department of Education released another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includes provisions whereby students at a program level must demonstrate certain levels of student loan repayment and/or a program’s graduates must achieve certain debt to income ratios for the institution’s program to remain eligible for participation in the Title IV program. Under the proposed regulation, if a program fails to meet some or all of these proposed requirements, the program’s eligibility to participate in the Title IV program may be restricted or lost entirely. The data needed to compute program eligibility under this proposed regulation is not readily accessible to the institutions, but is compiled by the Department of Education. Accordingly, the Company cannot currently predict with reasonable accuracy the impact the proposed regulation will have on its program offerings if it were enacted in its current form.</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both notices of proposed rulemaking, the Department of Education would need to issue final rules by November 1, 2010, for them to be effective July 31, 2011. The changes ultimately made to the Title IV regulations could adversely affect, among other things, Kaplan’s ability to retain admissions and financial aid advisors and the ability of Kaplan Higher Education division’s programs and students to qualify for Title IV financial assistance, and could otherwise have a material adverse effect on Kaplan’s operating results.</w:t>
      </w:r>
    </w:p>
    <w:p>
      <w:pPr>
        <w:spacing w:after="0" w:line="13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Department of Education Program Reviews. </w:t>
      </w:r>
      <w:r>
        <w:rPr>
          <w:rFonts w:ascii="Arial" w:cs="Arial" w:eastAsia="Arial" w:hAnsi="Arial"/>
          <w:sz w:val="18"/>
          <w:szCs w:val="18"/>
          <w:color w:val="auto"/>
        </w:rPr>
        <w:t>From 2007 through 2010, the Department of Education undertook program reviews at four of Kaplan Higher</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Education’s campus locations and at Kaplan University. The Department of Education has issued a final report with respect to one of the campus locations with no action taken. No final reports with respect to the other reviews have been issued. Therefore, the results of these reviews and their impact on Kaplan’s operations is uncertain.</w:t>
      </w:r>
    </w:p>
    <w:p>
      <w:pPr>
        <w:spacing w:after="0" w:line="136"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 January 2010, the UK government announced changes to the UK Immigration Points Based Visa System that went into effect in March. These rules</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potential to adversely impact the number of overseas students entering the UK and therefore, the number of students studying at Kaplan.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96" w:lineRule="exact"/>
        <w:rPr>
          <w:sz w:val="20"/>
          <w:szCs w:val="20"/>
          <w:color w:val="auto"/>
        </w:rPr>
      </w:pPr>
    </w:p>
    <w:p>
      <w:pPr>
        <w:jc w:val="both"/>
        <w:ind w:right="48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200"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July 4, 2010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5"/>
          </w:tcPr>
          <w:p>
            <w:pPr>
              <w:jc w:val="center"/>
              <w:ind w:right="15"/>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52"/>
              <w:spacing w:after="0"/>
              <w:rPr>
                <w:sz w:val="20"/>
                <w:szCs w:val="20"/>
                <w:color w:val="auto"/>
              </w:rPr>
            </w:pPr>
            <w:r>
              <w:rPr>
                <w:rFonts w:ascii="Arial" w:cs="Arial" w:eastAsia="Arial" w:hAnsi="Arial"/>
                <w:sz w:val="14"/>
                <w:szCs w:val="14"/>
                <w:b w:val="1"/>
                <w:bCs w:val="1"/>
                <w:color w:val="auto"/>
                <w:w w:val="88"/>
              </w:rPr>
              <w:t>July 4, 2010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Items</w:t>
            </w:r>
          </w:p>
        </w:tc>
        <w:tc>
          <w:tcPr>
            <w:tcW w:w="7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8"/>
              </w:rPr>
              <w:t>July 4, 2010</w:t>
            </w: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Money market investments </w:t>
            </w:r>
            <w:r>
              <w:rPr>
                <w:rFonts w:ascii="Arial" w:cs="Arial" w:eastAsia="Arial" w:hAnsi="Arial"/>
                <w:sz w:val="11"/>
                <w:szCs w:val="11"/>
                <w:color w:val="auto"/>
              </w:rPr>
              <w:t>(1)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Marketable equity securities </w:t>
            </w:r>
            <w:r>
              <w:rPr>
                <w:rFonts w:ascii="Arial" w:cs="Arial" w:eastAsia="Arial" w:hAnsi="Arial"/>
                <w:sz w:val="11"/>
                <w:szCs w:val="11"/>
                <w:color w:val="auto"/>
              </w:rPr>
              <w:t>(2)</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Other current investments </w:t>
            </w:r>
            <w:r>
              <w:rPr>
                <w:rFonts w:ascii="Arial" w:cs="Arial" w:eastAsia="Arial" w:hAnsi="Arial"/>
                <w:sz w:val="11"/>
                <w:szCs w:val="11"/>
                <w:color w:val="auto"/>
              </w:rPr>
              <w:t>(3)</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837.</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7.25% unsecured notes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543.</w:t>
            </w:r>
            <w:r>
              <w:rPr>
                <w:rFonts w:ascii="Arial" w:cs="Arial" w:eastAsia="Arial" w:hAnsi="Arial"/>
                <w:sz w:val="18"/>
                <w:szCs w:val="18"/>
                <w:u w:val="single" w:color="auto"/>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459" w:right="239" w:bottom="1440" w:gutter="0" w:footer="0" w:header="0"/>
        </w:sectPr>
      </w:pPr>
    </w:p>
    <w:p>
      <w:pPr>
        <w:ind w:left="920"/>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9"/>
          <w:szCs w:val="9"/>
          <w:color w:val="auto"/>
        </w:rPr>
        <w:t>(2)</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9"/>
          <w:szCs w:val="9"/>
          <w:color w:val="auto"/>
        </w:rPr>
        <w:t>(3)</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money market investments are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-151130</wp:posOffset>
            </wp:positionV>
            <wp:extent cx="608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Company’s investments in marketable equity securities are classified as available-for-sale.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93" w:lineRule="exact"/>
        <w:rPr>
          <w:sz w:val="20"/>
          <w:szCs w:val="20"/>
          <w:color w:val="auto"/>
        </w:rPr>
      </w:pPr>
    </w:p>
    <w:p>
      <w:pPr>
        <w:sectPr>
          <w:pgSz w:w="11900" w:h="16838" w:orient="portrait"/>
          <w:cols w:equalWidth="0" w:num="2">
            <w:col w:w="1040" w:space="440"/>
            <w:col w:w="99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January 3, 2010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Fair Value Measurements as of</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January 3, 2010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18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Identical Items</w:t>
            </w: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January 3, 2010</w:t>
            </w:r>
          </w:p>
        </w:tc>
        <w:tc>
          <w:tcPr>
            <w:tcW w:w="10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 xml:space="preserve">Money market investments </w:t>
            </w:r>
            <w:r>
              <w:rPr>
                <w:rFonts w:ascii="Arial" w:cs="Arial" w:eastAsia="Arial" w:hAnsi="Arial"/>
                <w:sz w:val="11"/>
                <w:szCs w:val="11"/>
                <w:color w:val="auto"/>
              </w:rPr>
              <w:t>(1)</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327.8</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Marketable equity securities </w:t>
            </w:r>
            <w:r>
              <w:rPr>
                <w:rFonts w:ascii="Arial" w:cs="Arial" w:eastAsia="Arial" w:hAnsi="Arial"/>
                <w:sz w:val="11"/>
                <w:szCs w:val="11"/>
                <w:color w:val="auto"/>
              </w:rPr>
              <w:t>(2)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 xml:space="preserve">Other current investments </w:t>
            </w:r>
            <w:r>
              <w:rPr>
                <w:rFonts w:ascii="Arial" w:cs="Arial" w:eastAsia="Arial" w:hAnsi="Arial"/>
                <w:sz w:val="11"/>
                <w:szCs w:val="11"/>
                <w:color w:val="auto"/>
              </w:rPr>
              <w:t>(3)</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7.25% unsecured notes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9"/>
          <w:szCs w:val="9"/>
          <w:color w:val="auto"/>
        </w:rPr>
        <w:t>(2)</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9"/>
          <w:szCs w:val="9"/>
          <w:color w:val="auto"/>
        </w:rPr>
        <w:t>(3)</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money market investments are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-151130</wp:posOffset>
            </wp:positionV>
            <wp:extent cx="608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Company’s investments in marketable equity securities are classified as available-for-sale.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93" w:lineRule="exact"/>
        <w:rPr>
          <w:sz w:val="20"/>
          <w:szCs w:val="20"/>
          <w:color w:val="auto"/>
        </w:rPr>
      </w:pPr>
    </w:p>
    <w:p>
      <w:pPr>
        <w:sectPr>
          <w:pgSz w:w="11900" w:h="16838" w:orient="portrait"/>
          <w:cols w:equalWidth="0" w:num="2">
            <w:col w:w="1040" w:space="440"/>
            <w:col w:w="9940"/>
          </w:cols>
          <w:pgMar w:left="240" w:top="459" w:right="23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13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Kaplan Higher Education to Kaplan Ventures. The business segments disclosed are based on this organizational structure. Segment operating results of the education division for fiscal years ended 2009 and 2008 have been restated to reflect these changes.</w:t>
      </w:r>
    </w:p>
    <w:p>
      <w:pPr>
        <w:spacing w:after="0" w:line="9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third quarter of 2009, Kaplan Higher Education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The Company has concluded that the impact of this change was not material to the Company’s financial position or results of operations for 2009 and the related interim periods, based on its consideration of quantitative and qualitative factors.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the end of March 2009, the Company approved a plan to offer tutoring services, previously provided at Score, in Kaplan test preparation centers. The plan was substantially completed by the end of the second quarter of 2009. The Company recorded $24.9 million in asset write-downs, lease terminations, severance and accelerated depreciation of fixed assets in the first half of 2009. Of this amount, $13.4 million was recorded in the second quarter of 2009.</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Restructuring-related expenses of $1.8 million and $7.2 million were recorded in the second quarter and first half of 2009, respectively, at Kaplan’s professional domestic training businesses (part of Test Preparation division).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 Revenues from newspaper publishing operations are derived from advertising and, to a lesser extent, from circulation.</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Other Businesses and Corporate Office includes the expenses associated with the Company’s corporate office and the operating results of Avenue100 Media Solutions.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planned sale of Newsweek, the magazine publishing division is no longer included as a separate segment as its results have been reclassified to discontinued operations. Newsweek employees are participants in The Washington Post Company Retirement Plan, and Newsweek has historically been allocated a net pension credit for segment reporting purposes. Since the associated pension assets and liabilities will be retained by the Company, the associated credit has been excluded from the reclassification of Newsweek results to discontinued operations. Pension cost arising from early retirement programs at Newsweek, however, is included in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net pension credit is included with operating results for other businesses and corporate,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Quarter 1</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Quarter 2</w:t>
            </w: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8,238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Quarter 3</w:t>
            </w:r>
          </w:p>
        </w:tc>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Quarter 4</w:t>
            </w: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9,080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88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34,636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$41,652</w:t>
            </w:r>
          </w:p>
        </w:tc>
      </w:tr>
    </w:tbl>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7"/>
              </w:rPr>
              <w:t>Second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2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2010 Quarterly Operating Results</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38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711,382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1,142,031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1,201,812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200" w:type="dxa"/>
            <w:vAlign w:val="bottom"/>
            <w:gridSpan w:val="3"/>
          </w:tcPr>
          <w:p>
            <w:pPr>
              <w:ind w:left="420"/>
              <w:spacing w:after="0"/>
              <w:rPr>
                <w:sz w:val="20"/>
                <w:szCs w:val="20"/>
                <w:color w:val="auto"/>
              </w:rPr>
            </w:pPr>
            <w:r>
              <w:rPr>
                <w:rFonts w:ascii="Arial" w:cs="Arial" w:eastAsia="Arial" w:hAnsi="Arial"/>
                <w:sz w:val="18"/>
                <w:szCs w:val="18"/>
                <w:color w:val="auto"/>
              </w:rPr>
              <w:t>Income (loss) from operations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20,911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420"/>
              <w:spacing w:after="0"/>
              <w:rPr>
                <w:sz w:val="20"/>
                <w:szCs w:val="20"/>
                <w:color w:val="auto"/>
              </w:rPr>
            </w:pPr>
            <w:r>
              <w:rPr>
                <w:rFonts w:ascii="Arial" w:cs="Arial" w:eastAsia="Arial" w:hAnsi="Arial"/>
                <w:sz w:val="18"/>
                <w:szCs w:val="18"/>
                <w:color w:val="auto"/>
              </w:rPr>
              <w:t>Interest expense,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(7,253)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 before income taxes</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18,748</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61,133</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200" w:type="dxa"/>
            <w:vAlign w:val="bottom"/>
            <w:gridSpan w:val="3"/>
          </w:tcPr>
          <w:p>
            <w:pPr>
              <w:ind w:left="420"/>
              <w:spacing w:after="0"/>
              <w:rPr>
                <w:sz w:val="20"/>
                <w:szCs w:val="20"/>
                <w:color w:val="auto"/>
              </w:rPr>
            </w:pPr>
            <w:r>
              <w:rPr>
                <w:rFonts w:ascii="Arial" w:cs="Arial" w:eastAsia="Arial" w:hAnsi="Arial"/>
                <w:sz w:val="18"/>
                <w:szCs w:val="18"/>
                <w:color w:val="auto"/>
              </w:rPr>
              <w:t>Amortization of intangible assets</w:t>
            </w:r>
          </w:p>
        </w:tc>
        <w:tc>
          <w:tcPr>
            <w:tcW w:w="1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6,516</w:t>
            </w:r>
          </w:p>
        </w:tc>
        <w:tc>
          <w:tcPr>
            <w:tcW w:w="34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pension credit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(1,349)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r>
              <w:rPr>
                <w:rFonts w:ascii="Arial" w:cs="Arial" w:eastAsia="Arial" w:hAnsi="Arial"/>
                <w:sz w:val="11"/>
                <w:szCs w:val="11"/>
                <w:color w:val="auto"/>
              </w:rPr>
              <w:t>1</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5620" w:right="1840" w:hanging="5612"/>
        <w:spacing w:after="0" w:line="387" w:lineRule="auto"/>
        <w:tabs>
          <w:tab w:leader="none" w:pos="448"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a $17.7 million charge in the second quarter of 2010 related to the withdrawal from a multiemployer pension plan.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2009 Quarterly Operating Results</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2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684,516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183,508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186,684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189,647</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160,891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156,281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61,163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66,653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64,599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15,314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(1,563)</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1,008,300</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1,083,179</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1,108,794</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280" w:type="dxa"/>
            <w:vAlign w:val="bottom"/>
            <w:gridSpan w:val="3"/>
          </w:tcPr>
          <w:p>
            <w:pPr>
              <w:ind w:left="42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45,900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42,012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39,807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40,329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(53,752)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(89,347)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(23,622)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12,143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14,268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15,052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19,453</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74,627</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(27,192)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(7,072)</w:t>
            </w: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(6,978)</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gridSpan w:val="3"/>
            <w:vMerge w:val="restart"/>
          </w:tcPr>
          <w:p>
            <w:pPr>
              <w:ind w:left="420"/>
              <w:spacing w:after="0"/>
              <w:rPr>
                <w:sz w:val="20"/>
                <w:szCs w:val="20"/>
                <w:color w:val="auto"/>
              </w:rPr>
            </w:pPr>
            <w:r>
              <w:rPr>
                <w:rFonts w:ascii="Arial" w:cs="Arial" w:eastAsia="Arial" w:hAnsi="Arial"/>
                <w:sz w:val="18"/>
                <w:szCs w:val="18"/>
                <w:color w:val="auto"/>
                <w:w w:val="97"/>
              </w:rPr>
              <w:t>(Loss) 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31,740</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40,560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19,681</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22,401</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19,017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30,800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25,741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15,352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280" w:type="dxa"/>
            <w:vAlign w:val="bottom"/>
            <w:gridSpan w:val="3"/>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6,648</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7,191</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25,387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25,387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280" w:type="dxa"/>
            <w:vAlign w:val="bottom"/>
            <w:gridSpan w:val="3"/>
          </w:tcPr>
          <w:p>
            <w:pPr>
              <w:ind w:left="420"/>
              <w:spacing w:after="0"/>
              <w:rPr>
                <w:sz w:val="20"/>
                <w:szCs w:val="20"/>
                <w:color w:val="auto"/>
              </w:rPr>
            </w:pPr>
            <w:r>
              <w:rPr>
                <w:rFonts w:ascii="Arial" w:cs="Arial" w:eastAsia="Arial" w:hAnsi="Arial"/>
                <w:sz w:val="18"/>
                <w:szCs w:val="18"/>
                <w:color w:val="auto"/>
              </w:rPr>
              <w:t>Net pension credit (expense)</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(61,600)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1,330</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(55,230)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60"/>
          </w:cols>
          <w:pgMar w:left="240" w:top="459" w:right="699" w:bottom="1440" w:gutter="0" w:footer="0" w:header="0"/>
          <w:type w:val="continuous"/>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for the six months ended 2010 and 2009, as well as for the fiscal years 2009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 Period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1,458,705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1,242,853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2,636,638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2,331,580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750,409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328,501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329,656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679,282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272,651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24,827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53,921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2,343,843</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2,091,479</w:t>
            </w:r>
          </w:p>
        </w:tc>
        <w:tc>
          <w:tcPr>
            <w:tcW w:w="3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4,386,516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4,211,715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166,930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69,269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194,761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169,051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(143,099)</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(163,549)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(5,977)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(12,890)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231,920</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(29,421)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(14,298)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13,197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237,767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212,687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202,908</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124,207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12,299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122,731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160,082</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291,684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263,554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11,631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11,630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22,223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22,525</w:t>
            </w:r>
          </w:p>
        </w:tc>
        <w:tc>
          <w:tcPr>
            <w:tcW w:w="0" w:type="dxa"/>
            <w:vAlign w:val="bottom"/>
          </w:tcPr>
          <w:p>
            <w:pPr>
              <w:spacing w:after="0"/>
              <w:rPr>
                <w:sz w:val="1"/>
                <w:szCs w:val="1"/>
                <w:color w:val="auto"/>
              </w:rPr>
            </w:pPr>
          </w:p>
        </w:tc>
      </w:tr>
      <w:tr>
        <w:trPr>
          <w:trHeight w:val="222"/>
        </w:trPr>
        <w:tc>
          <w:tcPr>
            <w:tcW w:w="7160" w:type="dxa"/>
            <w:vAlign w:val="bottom"/>
            <w:gridSpan w:val="3"/>
          </w:tcPr>
          <w:p>
            <w:pPr>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25,387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(expense) credit</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(28,752)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(66,616)</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(75,925)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16,626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33,754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300" w:firstLine="8"/>
        <w:spacing w:after="0" w:line="403" w:lineRule="auto"/>
        <w:tabs>
          <w:tab w:leader="none" w:pos="446"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a $17.7 million charge in the second quarter of 2010 related to the withdrawal from a multiemployer pension plan. Asset information for the Company’s business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July 4, 2010</w:t>
            </w:r>
          </w:p>
        </w:tc>
        <w:tc>
          <w:tcPr>
            <w:tcW w:w="52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January 3, 2010</w:t>
            </w:r>
          </w:p>
        </w:tc>
        <w:tc>
          <w:tcPr>
            <w:tcW w:w="26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28, 2008</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$1,876,783</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2,188,328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2,080,037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1,141,237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1,164,209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1,204,373</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142,765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207,234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383,849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430,464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433,705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412,129</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Other businesses and corporate office</w:t>
            </w:r>
          </w:p>
        </w:tc>
        <w:tc>
          <w:tcPr>
            <w:tcW w:w="1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1,182,327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784,124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668,290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4,773,576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4,777,600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4,748,678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Investments in marketable equity securities</w:t>
            </w: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359,247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353,884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333,319</w:t>
            </w:r>
          </w:p>
        </w:tc>
        <w:tc>
          <w:tcPr>
            <w:tcW w:w="0" w:type="dxa"/>
            <w:vAlign w:val="bottom"/>
          </w:tcPr>
          <w:p>
            <w:pPr>
              <w:spacing w:after="0"/>
              <w:rPr>
                <w:sz w:val="1"/>
                <w:szCs w:val="1"/>
                <w:color w:val="auto"/>
              </w:rPr>
            </w:pPr>
          </w:p>
        </w:tc>
      </w:tr>
      <w:tr>
        <w:trPr>
          <w:trHeight w:val="152"/>
        </w:trPr>
        <w:tc>
          <w:tcPr>
            <w:tcW w:w="4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54,722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2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54,924</w:t>
            </w:r>
          </w:p>
        </w:tc>
        <w:tc>
          <w:tcPr>
            <w:tcW w:w="52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5,230,055</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5,186,206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5,158,434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60" w:type="dxa"/>
            <w:vAlign w:val="bottom"/>
            <w:vMerge w:val="restart"/>
          </w:tcPr>
          <w:p>
            <w:pPr>
              <w:jc w:val="right"/>
              <w:ind w:right="732"/>
              <w:spacing w:after="0"/>
              <w:rPr>
                <w:sz w:val="20"/>
                <w:szCs w:val="20"/>
                <w:color w:val="auto"/>
              </w:rPr>
            </w:pPr>
            <w:r>
              <w:rPr>
                <w:rFonts w:ascii="Arial" w:cs="Arial" w:eastAsia="Arial" w:hAnsi="Arial"/>
                <w:sz w:val="18"/>
                <w:szCs w:val="18"/>
                <w:color w:val="auto"/>
              </w:rPr>
              <w:t>21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160" w:top="140" w:right="11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7"/>
              </w:rPr>
              <w:t>Second Quarter Period</w:t>
            </w:r>
          </w:p>
        </w:tc>
        <w:tc>
          <w:tcPr>
            <w:tcW w:w="100" w:type="dxa"/>
            <w:vAlign w:val="bottom"/>
          </w:tcPr>
          <w:p>
            <w:pPr>
              <w:spacing w:after="0"/>
              <w:rPr>
                <w:sz w:val="14"/>
                <w:szCs w:val="14"/>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 Period</w:t>
            </w:r>
          </w:p>
        </w:tc>
      </w:tr>
      <w:tr>
        <w:trPr>
          <w:trHeight w:val="142"/>
        </w:trPr>
        <w:tc>
          <w:tcPr>
            <w:tcW w:w="880" w:type="dxa"/>
            <w:vAlign w:val="bottom"/>
            <w:tcBorders>
              <w:top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02"/>
        </w:trPr>
        <w:tc>
          <w:tcPr>
            <w:tcW w:w="8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475,109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376,899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917,693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710,434</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118,696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211,515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232,280</w:t>
            </w: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126,061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271,374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243,977</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61,038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60,526</w:t>
            </w: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(5,577)</w:t>
            </w: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747,323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649,323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1,458,705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1,242,853</w:t>
            </w:r>
          </w:p>
        </w:tc>
      </w:tr>
      <w:tr>
        <w:trPr>
          <w:trHeight w:val="116"/>
        </w:trPr>
        <w:tc>
          <w:tcPr>
            <w:tcW w:w="8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126,243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76,796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212,136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113,718</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(19,184)</w:t>
            </w: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17,472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18,993</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(6,270)</w:t>
            </w: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(22,109)</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(20,377)</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(41,110)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(38,139)</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108,982</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58,107</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166,930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69,269</w:t>
            </w:r>
          </w:p>
        </w:tc>
      </w:tr>
      <w:tr>
        <w:trPr>
          <w:trHeight w:val="116"/>
        </w:trPr>
        <w:tc>
          <w:tcPr>
            <w:tcW w:w="8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9,847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9,290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14,729</w:t>
            </w: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5,955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5,241</w:t>
            </w: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23"/>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r>
      <w:tr>
        <w:trPr>
          <w:trHeight w:val="216"/>
        </w:trPr>
        <w:tc>
          <w:tcPr>
            <w:tcW w:w="8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37,877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42,082</w:t>
            </w:r>
          </w:p>
        </w:tc>
      </w:tr>
      <w:tr>
        <w:trPr>
          <w:trHeight w:val="20"/>
        </w:trPr>
        <w:tc>
          <w:tcPr>
            <w:tcW w:w="4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9"/>
        </w:trPr>
        <w:tc>
          <w:tcPr>
            <w:tcW w:w="43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6,355</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6,089</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11,630</w:t>
            </w:r>
          </w:p>
        </w:tc>
      </w:tr>
      <w:tr>
        <w:trPr>
          <w:trHeight w:val="110"/>
        </w:trPr>
        <w:tc>
          <w:tcPr>
            <w:tcW w:w="8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18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618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658,118</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920,039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391,200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643,303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671,306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115,491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143,399</w:t>
            </w:r>
          </w:p>
        </w:tc>
        <w:tc>
          <w:tcPr>
            <w:tcW w:w="0" w:type="dxa"/>
            <w:vAlign w:val="bottom"/>
          </w:tcPr>
          <w:p>
            <w:pPr>
              <w:spacing w:after="0"/>
              <w:rPr>
                <w:sz w:val="1"/>
                <w:szCs w:val="1"/>
                <w:color w:val="auto"/>
              </w:rPr>
            </w:pPr>
          </w:p>
        </w:tc>
      </w:tr>
      <w:tr>
        <w:trPr>
          <w:trHeight w:val="223"/>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60,185</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1,876,783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 Preparation amounts include revenues and operating losses from Score as follows:</w:t>
      </w:r>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900" w:type="dxa"/>
            <w:vAlign w:val="bottom"/>
            <w:gridSpan w:val="4"/>
          </w:tcPr>
          <w:p>
            <w:pPr>
              <w:ind w:left="2040"/>
              <w:spacing w:after="0"/>
              <w:rPr>
                <w:sz w:val="20"/>
                <w:szCs w:val="20"/>
                <w:color w:val="auto"/>
              </w:rPr>
            </w:pPr>
            <w:r>
              <w:rPr>
                <w:rFonts w:ascii="Arial" w:cs="Arial" w:eastAsia="Arial" w:hAnsi="Arial"/>
                <w:sz w:val="14"/>
                <w:szCs w:val="14"/>
                <w:b w:val="1"/>
                <w:bCs w:val="1"/>
                <w:color w:val="auto"/>
              </w:rPr>
              <w:t>Second Quarter Period</w:t>
            </w:r>
          </w:p>
        </w:tc>
        <w:tc>
          <w:tcPr>
            <w:tcW w:w="1600" w:type="dxa"/>
            <w:vAlign w:val="bottom"/>
            <w:gridSpan w:val="4"/>
          </w:tcPr>
          <w:p>
            <w:pPr>
              <w:ind w:left="460"/>
              <w:spacing w:after="0"/>
              <w:rPr>
                <w:sz w:val="20"/>
                <w:szCs w:val="20"/>
                <w:color w:val="auto"/>
              </w:rPr>
            </w:pPr>
            <w:r>
              <w:rPr>
                <w:rFonts w:ascii="Arial" w:cs="Arial" w:eastAsia="Arial" w:hAnsi="Arial"/>
                <w:sz w:val="14"/>
                <w:szCs w:val="14"/>
                <w:b w:val="1"/>
                <w:bCs w:val="1"/>
                <w:color w:val="auto"/>
                <w:w w:val="97"/>
              </w:rPr>
              <w:t>Six Month Period</w:t>
            </w: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(18,532)</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(36,168)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Kaplan Ventures amounts include revenues and operating income from Education Connection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Second Quarter Period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 Period</w:t>
            </w:r>
          </w:p>
        </w:tc>
      </w:tr>
      <w:tr>
        <w:trPr>
          <w:trHeight w:val="142"/>
        </w:trPr>
        <w:tc>
          <w:tcPr>
            <w:tcW w:w="880" w:type="dxa"/>
            <w:vAlign w:val="bottom"/>
            <w:tcBorders>
              <w:top w:val="single" w:sz="8" w:color="auto"/>
            </w:tcBorders>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10,945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12,940</w:t>
            </w:r>
          </w:p>
        </w:tc>
        <w:tc>
          <w:tcPr>
            <w:tcW w:w="20" w:type="dxa"/>
            <w:vAlign w:val="bottom"/>
          </w:tcPr>
          <w:p>
            <w:pPr>
              <w:spacing w:after="0"/>
              <w:rPr>
                <w:sz w:val="18"/>
                <w:szCs w:val="18"/>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60"/>
          </w:cols>
          <w:pgMar w:left="240" w:top="459" w:right="6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Net income available for common shares was $91.9 million ($10.00 per share) for the second quarter ended July 4, 2010, compared to net income available for common shares of $12.2 million ($1.30 per share) for the second quarter of last year. Net income includes $2.3 million ($0.25 per share) and $9.0 million ($0.95 per share) in losses from discontinued operations for the second quarter of 2010 and 2009, respectively. Income from continuing operations available for common shares was $94.2 million ($10.25 per share) for the second quarter of 2010, compared to $21.2 million ($2.25 per share) for the second quarter of 2009.</w:t>
      </w:r>
    </w:p>
    <w:p>
      <w:pPr>
        <w:spacing w:after="0" w:line="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Department of Education recently issued notices of proposed rulemaking. If enacted, the proposed rules may have a material effect on the future operations and results of Kaplan as further described in the division results below.</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August 2, 2010, the Company announced that it had entered into an agreement to sell Newsweek. The Company expects a closing date in the third quarter of 2010. Consequently, the Company’s income from continuing operations for the second quarter and year-to-date periods excludes Newsweek results, which have been reclassified to discontinued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2010:</w:t>
      </w:r>
    </w:p>
    <w:p>
      <w:pPr>
        <w:spacing w:after="0" w:line="90" w:lineRule="exact"/>
        <w:rPr>
          <w:sz w:val="20"/>
          <w:szCs w:val="20"/>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planned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$3.8 million in non-operating unrealized foreign currency losses arising from the strengthening of the U.S. dollar (after-tax impact of $2.3 million, or $0.25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2009:</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$56.8 million in early retirement program expense at The Washington Post (after-tax impact of $35.2 million, or $3.77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$15.2 million in restructuring charges related to Kaplan’s Score and Test Preparation operations (after-tax impact of $9.4 million, or $1.01 per share);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$14.3 million in accelerated depreciation at The Washington Post (after-tax impact of $8.8 million, or $0.95 per share);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$19.8 million in non-operating unrealized foreign currency gains arising from the weakening of the U.S. dollar (after-tax impact of $12.3 million, or $1.31 per share).</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 for the second quarter of 2010 was $1,201.8 million, up 11% from $1,083.2 million in the second quarter of 2009. Operating income increased in the second quarter of 2010 to $163.5 million, from $19.5 million in the second quarter of 2009. Revenue and operating results improved at all of the Company’s divisions for the quarter.</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first six months of 2010, the Company reported net income available for common shares of $137.3 million ($14.90 per share), compared to a net loss available for common shares of $6.9 million ($0.74 per share) for the same period of 2009. Net income includes $8.5 million ($0.92 per share) and $26.5 million ($2.83 per share) in losses from discontinued operations for the first six months of 2010 and 2009, respectively. Income from continuing operations available for common shares was $145.8 million ($15.82 per share) for the first six months of 2010, compared to $19.6 million ($2.09 per share) for the first six months of 2009.</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2010:</w:t>
      </w:r>
    </w:p>
    <w:p>
      <w:pPr>
        <w:spacing w:after="0" w:line="90" w:lineRule="exact"/>
        <w:rPr>
          <w:sz w:val="20"/>
          <w:szCs w:val="20"/>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planned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$7.1 million in non-operating unrealized foreign currency losses arising from the strengthening of the U.S. dollar (after-tax impact of $4.4 million, or $0.48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2009:</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$56.8 million in early retirement program expense at The Washington Post (after-tax impact of $35.2 million, or $3.77 per share);</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$32.1 million in restructuring charges related to Kaplan’s Score and Test Preparation operations (after-tax impact of $19.9 million, or $2.13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$27.7 million in accelerated depreciation at The Washington Post (after-tax impact of $17.2 million, or $1.84 per share);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$1.22 per share).</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for the first half of 2010 was $2,343.8 million, up 12% from $2,091.5 million in the first half of 2009, due to increased revenues at the Company’s education, television broadcasting and cable television divisions, offset by a slight revenue decline at the Company’s newspaper division. The Company reported operating income of $266.6 million for the first half of 2010, compared to $28.4 million for the first half of 2009. Operating results improved at all of the Company’s divisions for the first half of 2010.</w:t>
      </w:r>
    </w:p>
    <w:p>
      <w:pPr>
        <w:spacing w:after="0" w:line="137"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totaled $747.3 million for the second quarter of 2010, a 15% increase over revenue of $649.3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2009. Kaplan reported operating income of $109.0 million for the second quarter of 2010, up 88% from $58.1 million in the second quarter of 2009.</w:t>
      </w:r>
    </w:p>
    <w:p>
      <w:pPr>
        <w:spacing w:after="0" w:line="13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For the first six months of 2010, education division revenue totaled $1,458.7 million, a 17% increase over revenue of $1,242.9 million for the same period of 2009. Kaplan reported operating income of $166.9 million for the first six months of 2010, up from $69.3 million for the first six months of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the first six months of 2010 compared to 2009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5"/>
              </w:rPr>
              <w:t>Second Quarter</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9"/>
        </w:trPr>
        <w:tc>
          <w:tcPr>
            <w:tcW w:w="42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7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$475,109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376,899</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917,693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710,434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 excluding Score</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109,096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115,117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223,928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Score</w:t>
            </w:r>
          </w:p>
        </w:tc>
        <w:tc>
          <w:tcPr>
            <w:tcW w:w="17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3,579</w:t>
            </w:r>
          </w:p>
        </w:tc>
        <w:tc>
          <w:tcPr>
            <w:tcW w:w="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8,352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126,061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243,977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Kaplan ventures</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26,306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29,509</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61,038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60,526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(2,445)</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(5,489)</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(5,577)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747,323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649,323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1,458,705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1,242,853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20" w:type="dxa"/>
            <w:vAlign w:val="bottom"/>
            <w:gridSpan w:val="3"/>
            <w:vMerge w:val="continue"/>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$126,243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113,718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Test preparation, excluding Score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12,061</w:t>
            </w:r>
          </w:p>
        </w:tc>
        <w:tc>
          <w:tcPr>
            <w:tcW w:w="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(7,363)</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16,984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1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(18,532)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(36,168)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12,945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12,220</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18,993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(15,202)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(12,591)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(28,392)</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(23,051)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22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(6,355)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(6,089)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(11,631)</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(11,630)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5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58,107</w:t>
            </w: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166,930</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69,269</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vMerge w:val="restart"/>
          </w:tcPr>
          <w:p>
            <w:pPr>
              <w:jc w:val="right"/>
              <w:ind w:right="113"/>
              <w:spacing w:after="0"/>
              <w:rPr>
                <w:sz w:val="20"/>
                <w:szCs w:val="20"/>
                <w:color w:val="auto"/>
              </w:rPr>
            </w:pPr>
            <w:r>
              <w:rPr>
                <w:rFonts w:ascii="Arial" w:cs="Arial" w:eastAsia="Arial" w:hAnsi="Arial"/>
                <w:sz w:val="18"/>
                <w:szCs w:val="18"/>
                <w:color w:val="auto"/>
              </w:rPr>
              <w:t>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Kaplan Higher Education to Kaplan Ventures. The division results presented above reflect these changes.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Higher education revenue and operating income grew significantly in the first half of 2010 due to enrollment growth, improved student retention, and increased margins. Total KHE enrollments increased 18% in the first half of 2010, compared to 31% in the first half of 2009. A summary of KHE student enrollment at June 30, 2010, and June 30, 2009, is as follows: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June 30,</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67,409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52,591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44,812</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42,112</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112,221</w:t>
            </w: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94,703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Kaplan University and Kaplan Higher Education Campuses enrollment at June 30, 2010, and June 30, 2009, by degree and certificate programs is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4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3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Associate’s</w:t>
            </w:r>
          </w:p>
        </w:tc>
        <w:tc>
          <w:tcPr>
            <w:tcW w:w="3900" w:type="dxa"/>
            <w:vAlign w:val="bottom"/>
            <w:gridSpan w:val="3"/>
          </w:tcPr>
          <w:p>
            <w:pPr>
              <w:jc w:val="right"/>
              <w:ind w:right="220"/>
              <w:spacing w:after="0"/>
              <w:rPr>
                <w:sz w:val="20"/>
                <w:szCs w:val="20"/>
                <w:color w:val="auto"/>
              </w:rPr>
            </w:pPr>
            <w:r>
              <w:rPr>
                <w:rFonts w:ascii="Arial" w:cs="Arial" w:eastAsia="Arial" w:hAnsi="Arial"/>
                <w:sz w:val="18"/>
                <w:szCs w:val="18"/>
                <w:color w:val="auto"/>
              </w:rPr>
              <w:t>33.9%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3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Master’s</w:t>
            </w:r>
          </w:p>
        </w:tc>
        <w:tc>
          <w:tcPr>
            <w:tcW w:w="32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27"/>
        </w:trPr>
        <w:tc>
          <w:tcPr>
            <w:tcW w:w="4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4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June 2010, the Department of Education released for public comment a notice of proposed rulemaking that addresses program integrity issues for postsecondary education institutions that participate in Title IV programs. The proposed regulations included, among other items, revised standards governing the payment of incentive compensation to admissions and financial aid advisors, standards around misrepresentation and the definition of “credit hour.” The Company cannot predict the substance of any final rules that may be adopted by the Department of Education with respect to program integrity issues.</w:t>
      </w:r>
    </w:p>
    <w:p>
      <w:pPr>
        <w:spacing w:after="0" w:line="11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July 2010, the Department of Education released another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includes provisions whereby students at a program level must demonstrate certain levels of student loan repayment and/or a program’s graduates must achieve certain debt-to- income ratios for the institution’s program to remain eligible for participation in the Title IV program. Under the proposed regulation, if a program fails to meet some or all of these proposed requirements, the program’s eligibility to participate in the Title IV program may be restricted or lost entirely. The data needed to compute program eligibility under this proposed regulation is not readily accessible to the institution, but is compiled by the Department of Education. Accordingly, the Company cannot currently predict with reasonable accuracy the impact the proposed regulation will have on its program offerings if it were enacted in its current form.</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both notices of proposed rulemaking, the Department of Education would need to issue final rules by November 1, 2010, for them to be effective July 31, 2011. The changes ultimately made to the Title IV regulations could adversely affect, among other things, Kaplan’s ability to retain admissions and financial aid advisors and the ability of Kaplan Higher Education division’s programs and students to qualify for Title IV financial assistance, and could otherwise have a material adverse effect on Kaplan’s operating results.</w:t>
      </w:r>
    </w:p>
    <w:p>
      <w:pPr>
        <w:spacing w:after="0" w:line="14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Management has filed public comments related to the proposed rules issued in June 2010 and also plans to file comments regarding the proposed gainful employment regulation.</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summer of 2010, the Health, Education, Labor and Pension Committee (“the Committee”) of the U.S. Senate commenced an industry-wide review of private sector higher education institutions. The institutions owned and operated by Kaplan’s Higher Education Division (KHE) are included in the scope of this industry-wide review. The scope of the hearings are being established and directed by the chairman of the Committee. Two hearings have been conducted thus far and additional hearings are anticipated. The ultimate outcome of the hearings and implications to the operation of KHE’s institutions are presently unknown.</w:t>
      </w:r>
    </w:p>
    <w:p>
      <w:pPr>
        <w:spacing w:after="0" w:line="11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part of the Committee’s review of private sector higher education institutions, investigators from the United Sates Government Accountability Office (GAO) performed undercover tests at 15 private sector higher education institutions, including two campuses of KHE. In August 2010, the GAO issued a report which was critical of the recruiting tactics at several schools, including the two Kaplan campuses. The Company is in the process of evaluating the GAO findings and completing its own internal investigation.</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in August 2010, Kaplan and other companies that operate private sector higher education institutions received a request from the Committee to provide extensive information dating back to 2006 covering financial results, management, operations, personnel, recruiting, enrollment, graduation, student withdrawals, receipt of Title IV funds, accreditation, regulatory compliance and other items. The Company is working to cooperate fully with the Committee’s request.</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Test Preparation includes Kaplan’s standardized test preparation and tutoring offerings, as well as the professional domestic training business, K12 and other businesses. In the first quarter of 2010, the Company discontinued certain offerings of the K12 business; $3.2 million and $7.8 million in severance, assets write-offs and other closure costs were recorded in the second quarter and first half of 2010, respectively, in connection with this plan. Test preparation revenue declined 5% and 6% in the second quarter and first half of 2010, respectively. Excluding acquisitions, test preparation revenue declined 8% in both the second quarter and first half of 2010 due</w:t>
      </w:r>
    </w:p>
    <w:p>
      <w:pPr>
        <w:sectPr>
          <w:pgSz w:w="11900" w:h="16838" w:orient="portrait"/>
          <w:cols w:equalWidth="0" w:num="1">
            <w:col w:w="11420"/>
          </w:cols>
          <w:pgMar w:left="240" w:top="459" w:right="239" w:bottom="886"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886"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mostly to the termination of certain K12 offerings. Test Preparation operating results were also down in the first half of 2010 due to K12, reduced prices at the traditional test preparation programs and higher spending to expand online offerings and innovate various programs. The declines were offset by improved results at Test Preparation’s professional domestic training businesses due to expense reductions; total restructuring-related expenses of $1.8 million and $7.2 million were recorded in the second quarter and first half of 2009, respectively.</w:t>
      </w:r>
    </w:p>
    <w:p>
      <w:pPr>
        <w:spacing w:after="0" w:line="143"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At the end of March 2009, the Company approved a plan to offer tutoring services, previously provided by Score, in Kaplan test preparation centers. The plan was substantially completed by the end of the second quarter of 2009. The Company recorded charges of $24.9 million in asset write-downs, lease terminations, severance and accelerated depreciation of fixed assets in the first half of 2009. Of this amount, $13.4 million was recorded in the second quarter of 2009.</w:t>
      </w:r>
    </w:p>
    <w:p>
      <w:pPr>
        <w:spacing w:after="0" w:line="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Kaplan International includes professional training and postsecondary education businesses outside the United States, as well as English-language programs. Kaplan International revenue increased 9% and 11% in the second quarter and first six months of 2010, respectively. The increase for 2010 is the result of strong enrollment growth in the University pathways business and favorable exchange rates in the U.K., Europe, Australia and Asia. Kaplan International operating income increased in the second quarter of 2010, but was down for the first six months of 2010 largely due to increased costs at Kaplan’s English-language programs.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Kaplan Ventures is made up of a number of businesses in various stages of development that are managed separately from the other education businesses. Kaplan Ventures includes Kaplan EduNeering, Kaplan Continuing Education, Kaplan Virtual Education, Kidum, Kaplan IT Learning and other smaller businesses. Revenues at Kaplan Ventures declined 11% in the second quarter and increased 1% in the first six months of 2010, respectively; these revenue comparisons were adversely impacted by the April 2010 sale of Education Connection. Kaplan Ventures reported operating losses of $7.2 million and $13.9 million in the second quarter and first six months of 2010, respectively, compared to operating losses of $4.2 million and $6.3 million in the second quarter and first six months of 2009, respectively. The decline in results for 2010 is due to increased losses at Kaplan Virtual Education, a developing group of online high school institutions, and declines at some of the other Kaplan Ventures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Stock compensation charges relate to incentive compensation arising from equity awards under the Kaplan stock option plan. Kaplan recorded stock compensation expense of $0.6 million and $1.7 million in the second quarter of 2010 and 2009, respectively, and $1.1 million and $3.5 million in the first six months of 2010 and 2009, respectively, related to this plan.</w:t>
      </w:r>
    </w:p>
    <w:p>
      <w:pPr>
        <w:spacing w:after="0" w:line="134"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television division revenue of $190.6 million for the second quarter of 2010 represents a 2% increase from $186.7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2009; for the first six months of 2010, revenue increased 3% to $379.9 million, from $370.2 million in the same period of 2009. The 2010 revenue increase is due to continued growth in the division’s cable modem and telephone revenues, and a $4 monthly rate increase for most basic subscribers in June 2009.</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Cable division operating income increased 10% to $43.8 million in the second quarter of 2010, versus $39.8 million in the second quarter of 2009; cable division operating income for the first six months of 2010 increased 6% to $86.3 million, from $81.8 million for the first six months of 2009. The increase in operating income is due to the division’s revenue growth, offset by increased technical and sales costs.</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June 30, 2010, Revenue Generating Units (RGUs) were down 1% from the prior year due to a reduction in basic and digital subscribers, offset by growth in high-speed data and telephony subscribers. RGUs include about 6,300 subscribers who receive free basic cable service, primarily local governments, schools and other organizations as required by the various franchise agreements. A summary of RGUs is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jc w:val="right"/>
              <w:ind w:right="10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800" w:type="dxa"/>
            <w:vAlign w:val="bottom"/>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20"/>
                <w:szCs w:val="20"/>
                <w:color w:val="auto"/>
              </w:rPr>
            </w:pPr>
            <w:r>
              <w:rPr>
                <w:rFonts w:ascii="Arial" w:cs="Arial" w:eastAsia="Arial" w:hAnsi="Arial"/>
                <w:sz w:val="14"/>
                <w:szCs w:val="14"/>
                <w:b w:val="1"/>
                <w:bCs w:val="1"/>
                <w:color w:val="auto"/>
                <w:w w:val="89"/>
              </w:rPr>
              <w:t>Cable Television Division Subscribers</w:t>
            </w:r>
          </w:p>
        </w:tc>
        <w:tc>
          <w:tcPr>
            <w:tcW w:w="53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0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2"/>
        </w:trPr>
        <w:tc>
          <w:tcPr>
            <w:tcW w:w="2300" w:type="dxa"/>
            <w:vAlign w:val="bottom"/>
            <w:tcBorders>
              <w:top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692,076</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color w:val="auto"/>
              </w:rPr>
              <w:t>Digital</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217,073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227,840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386,472</w:t>
            </w:r>
          </w:p>
        </w:tc>
        <w:tc>
          <w:tcPr>
            <w:tcW w:w="0" w:type="dxa"/>
            <w:vAlign w:val="bottom"/>
          </w:tcPr>
          <w:p>
            <w:pPr>
              <w:spacing w:after="0"/>
              <w:rPr>
                <w:sz w:val="1"/>
                <w:szCs w:val="1"/>
                <w:color w:val="auto"/>
              </w:rPr>
            </w:pPr>
          </w:p>
        </w:tc>
      </w:tr>
      <w:tr>
        <w:trPr>
          <w:trHeight w:val="223"/>
        </w:trPr>
        <w:tc>
          <w:tcPr>
            <w:tcW w:w="230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4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120,588</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1,398,789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1,406,596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540" w:type="dxa"/>
            <w:vAlign w:val="bottom"/>
            <w:vMerge w:val="restart"/>
          </w:tcPr>
          <w:p>
            <w:pPr>
              <w:jc w:val="right"/>
              <w:ind w:right="2336"/>
              <w:spacing w:after="0"/>
              <w:rPr>
                <w:sz w:val="20"/>
                <w:szCs w:val="20"/>
                <w:color w:val="auto"/>
              </w:rPr>
            </w:pPr>
            <w:r>
              <w:rPr>
                <w:rFonts w:ascii="Arial" w:cs="Arial" w:eastAsia="Arial" w:hAnsi="Arial"/>
                <w:sz w:val="18"/>
                <w:szCs w:val="18"/>
                <w:color w:val="auto"/>
              </w:rPr>
              <w:t>26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3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2010 and 2009,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Commercial</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Line Extensions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Support Capital</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w:t>
            </w:r>
          </w:p>
        </w:tc>
      </w:tr>
      <w:tr>
        <w:trPr>
          <w:trHeight w:val="20"/>
        </w:trPr>
        <w:tc>
          <w:tcPr>
            <w:tcW w:w="4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$172.7 million for the second quarter of 2010, an increase of 2% from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of $168.8 million for the second quarter of 2009; division revenue declined slightly to $328.5 million for the first six months of 2010, from $329.7 million for the first six months of 2009. Print advertising revenue at The Washington Post in the second quarter of 2010 declined 6% to $75.2 million, from $80.0 million in the second quarter of 2009, and decreased 7% to $143.9 million for the first six months of 2010, from $154.3 million for the first six months of 2009. The print revenue decline in the second quarter of 2010 is largely due to reductions in retail and classified advertising; the decline in the first half of 2010 is largely due to reductions in retail, classified and general advertising. Revenue generated by the Company’s newspaper online publishing activities, primarily washingtonpost.com and Slate, increased 14% to $26.9 million for the second quarter of 2010, versus $23.5 million for the second quarter of 2009; newspaper online revenues increased 11% to $50.6 million for the first six months of 2010, versus $45.6 million for the first six months of 2009. Display online advertising revenue grew 20% and 19% for the second quarter and first six months of 2010, respectively. Online classified advertising revenue on washingtonpost.com increased 5% for the second quarter of 2010, but decreased 4% for the first six months of 2010.</w:t>
      </w:r>
    </w:p>
    <w:p>
      <w:pPr>
        <w:spacing w:after="0" w:line="12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For the first six months of 2010, Post daily and Sunday circulation declined 10.7% and 9.5%, respectively, compared to the same periods of the prior year. A portion of this decline relates to increased circulation volumes in the first quarter of 2009 due to the Presidential Inauguration. For the six months ended July 4, 2010, average daily circulation at The Washington Post totaled 556,300, and average Sunday circulation totaled 776,900.</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previously disclosed, The Washington Post contributes to multiemployer plans on behalf of three union-represented employee groups. The Post has negotiated in collective bargaining the contractual right to withdraw from two of these plans; the right to withdraw from the CWA-ITU Negotiated Pension Plan (the Plan) has been the subject of contract negotiations that reached an impasse. In July 2010, the Post notified the union and the Plan of its unilateral withdrawal from the Plan effective November 30, 2010. In connection with this action, The Washington Post recorded a $17.7 million charge in the second quarter of 2010 based on an estimate of the withdrawal liability.</w:t>
      </w:r>
    </w:p>
    <w:p>
      <w:pPr>
        <w:spacing w:after="0" w:line="14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As previously reported, The Washington Post recorded early retirement program expense of $56.8 million in the second quarter of 2009, the costs of which are being funded primarily from the assets of the Company’s pension plans. Also as previously reported, the Post closed a printing plant in July 2009 and consolidated its printing operations. The Post also completed the consolidation of certain other operations in Washington, DC, in the first quarter of 2010. In connection with these activities, accelerated depreciation of $14.3 million and $27.7 million was recorded in the second quarter and first six months of 2009, respectively, and a $3.1 million loss on an office lease was recorded by the Company in the first quarter of 2010.</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newspaper division reported an operating loss of $14.3 million in the second quarter of 2010, compared to an operating loss of $89.3 million in the second quarter of 2009. For the first six months of 2010, the newspaper division reported an operating loss of $28.1 million, compared to an operating loss of $143.1 million for the first six months of 2009. Excluding the multiemployer pension plan charge, early retirement program expense and accelerated depreciation, operating results improved in the first half of 2010 due to expense reductions in payroll, newsprint, depreciation, bad debt and agency fees, and expense reductions at washingtonpost.com. Newsprint expense was down 17% and 26% for the second quarter and first six months of 2010, respectively, due to a decline in newsprint consumption and prices.</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24% in the second quarter of 2010 to $82.6 million, from $66.7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2009; operating income for the second quarter of 2010 increased to $29.8 million, from $14.3 million in 2009. For the first six months of 2010, revenue increased 22% to $156.1 million, from $127.8 million in 2009; operating income for the first six months of 2010 increased 92% to $50.7 million, from $26.4 million in 2009.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increase in revenue and operating income is due to improved advertising demand in all markets and most product categories, particularly automotive. The increased revenue and operating income also includes $5.1 million in incremental winter Olympics-related advertising at the Company’s NBC affiliates in the first quarter of 2010, and a $3.3 million and $5.5 million increase in political advertising revenue for the second quarter and first six months of 2010, respectively.</w:t>
      </w:r>
    </w:p>
    <w:p>
      <w:pPr>
        <w:spacing w:after="0" w:line="101"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Other Businesses and Corporate Office. </w:t>
      </w:r>
      <w:r>
        <w:rPr>
          <w:rFonts w:ascii="Arial" w:cs="Arial" w:eastAsia="Arial" w:hAnsi="Arial"/>
          <w:sz w:val="15"/>
          <w:szCs w:val="15"/>
          <w:color w:val="auto"/>
        </w:rPr>
        <w:t>Other businesses and corporate office included the expenses of the Company’s corporate office, the operating results of</w:t>
      </w:r>
      <w:r>
        <w:rPr>
          <w:rFonts w:ascii="Arial" w:cs="Arial" w:eastAsia="Arial" w:hAnsi="Arial"/>
          <w:sz w:val="15"/>
          <w:szCs w:val="15"/>
          <w:b w:val="1"/>
          <w:bCs w:val="1"/>
          <w:color w:val="auto"/>
        </w:rPr>
        <w:t xml:space="preserve"> </w:t>
      </w:r>
      <w:r>
        <w:rPr>
          <w:rFonts w:ascii="Arial" w:cs="Arial" w:eastAsia="Arial" w:hAnsi="Arial"/>
          <w:sz w:val="15"/>
          <w:szCs w:val="15"/>
          <w:color w:val="auto"/>
        </w:rPr>
        <w:t>Avenue100 Media Solutions and the pension credit previously reported in the magazine publishing division (refer to Discontinued Operations discussion below).</w:t>
      </w:r>
    </w:p>
    <w:p>
      <w:pPr>
        <w:spacing w:after="0" w:line="5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Equity in Earnings (Losses) of Affiliates. </w:t>
      </w:r>
      <w:r>
        <w:rPr>
          <w:rFonts w:ascii="Arial" w:cs="Arial" w:eastAsia="Arial" w:hAnsi="Arial"/>
          <w:sz w:val="18"/>
          <w:szCs w:val="18"/>
          <w:color w:val="auto"/>
        </w:rPr>
        <w:t>The Company’s equity in earnings of affiliates for the second quarter of 2010 was $2.0 million, compared to losses of</w:t>
      </w:r>
      <w:r>
        <w:rPr>
          <w:rFonts w:ascii="Arial" w:cs="Arial" w:eastAsia="Arial" w:hAnsi="Arial"/>
          <w:sz w:val="18"/>
          <w:szCs w:val="18"/>
          <w:b w:val="1"/>
          <w:bCs w:val="1"/>
          <w:color w:val="auto"/>
        </w:rPr>
        <w:t xml:space="preserve"> </w:t>
      </w:r>
      <w:r>
        <w:rPr>
          <w:rFonts w:ascii="Arial" w:cs="Arial" w:eastAsia="Arial" w:hAnsi="Arial"/>
          <w:sz w:val="18"/>
          <w:szCs w:val="18"/>
          <w:color w:val="auto"/>
        </w:rPr>
        <w:t>$0.2 million for the second quarter of 2009. For the first six months of 2010, the Company’s equity in losses of affiliates totaled $6.1 million, compared to losses of $1.0 million for the same period of 2009.</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expense, net, of $5.2 million for the second quarter of 2010,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income, net, of $19.7 million for the second quarter of 2009. The second quarter 2010 non-operating expense, net, included $3.8 million in unrealized foreign currency losses and other items. The second quarter 2009 non-operating income, net, included $19.8 million in unrealized foreign currency gains.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recorded other non-operating expense, net, of $8.5 million for the first six months of 2010, compared to other non-operating income, net, of $15.7 million for the same period of the prior year. The 2010 non-operating expense, net, included $7.1 million in unrealized foreign currency losses and other items. The 2009 non-operating income, net, included $18.4 million in unrealized foreign currency gains, offset by $2.9 million in impairment write-downs on cost method investments and other items.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or losses arising from the translation of British pound and Australian dollar-denominated intercompany loans into U.S. dollars.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July 4, 2010 and June 28, 2009, is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vMerge w:val="continue"/>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60"/>
        <w:spacing w:after="0" w:line="262"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$7.0 million and $14.3 million for the second quarter and first six months of 2010,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$7.2 million and $14.3 million for the same periods of 2009. At July 4, 2010, the Company had $399.5 million in borrowings outstanding at an average interest rate of 7.2%.</w:t>
      </w:r>
    </w:p>
    <w:p>
      <w:pPr>
        <w:spacing w:after="0" w:line="132"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both the second quarter and first six months of 2010 was 38.4%, compared to 35.9% and 36.1%,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the second quarter and first six months of 2009.</w:t>
      </w:r>
    </w:p>
    <w:p>
      <w:pPr>
        <w:spacing w:after="0" w:line="12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On August 2, 2010, the Company announced that it had entered into an agreement to sell Newsweek. Consequently,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continuing operations for the second quarter and year-to-date periods excludes magazine publishing operations, which have been reclassified to discontinued operations, net of tax. Under the terms of the asset purchase agreement, The Washington Post Company retains the pension assets and liabilities and certain employee obligations arising prior to the sale. The resulting gain or loss at closing is not expected to be material to the financial position of The Washington Post Company. The Company expects a closing date in the third quarter of 2010.</w:t>
      </w:r>
    </w:p>
    <w:p>
      <w:pPr>
        <w:spacing w:after="0" w:line="11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Newsweek employees are participants in The Washington Post Company Retirement Plan, and Newsweek has historically been allocated a net pension credit for segment reporting purposes. Since the associated pension assets and liabilities will be retained by the Company, the associated credit has been excluded from the reclassification of Newsweek results to discontinued operations. The pension cost arising from early retirement programs at Newsweek, however, is included in discontinued operations.</w:t>
      </w:r>
    </w:p>
    <w:p>
      <w:pPr>
        <w:spacing w:after="0" w:line="137"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Earnings (Losses) Per Share. </w:t>
      </w:r>
      <w:r>
        <w:rPr>
          <w:rFonts w:ascii="Arial" w:cs="Arial" w:eastAsia="Arial" w:hAnsi="Arial"/>
          <w:sz w:val="16"/>
          <w:szCs w:val="16"/>
          <w:color w:val="auto"/>
        </w:rPr>
        <w:t>The calculation of diluted earnings per share for the second quarter and first six months of 2010 was based on 9,192,690 and</w:t>
      </w:r>
      <w:r>
        <w:rPr>
          <w:rFonts w:ascii="Arial" w:cs="Arial" w:eastAsia="Arial" w:hAnsi="Arial"/>
          <w:sz w:val="16"/>
          <w:szCs w:val="16"/>
          <w:b w:val="1"/>
          <w:bCs w:val="1"/>
          <w:color w:val="auto"/>
        </w:rPr>
        <w:t xml:space="preserve"> </w:t>
      </w:r>
      <w:r>
        <w:rPr>
          <w:rFonts w:ascii="Arial" w:cs="Arial" w:eastAsia="Arial" w:hAnsi="Arial"/>
          <w:sz w:val="16"/>
          <w:szCs w:val="16"/>
          <w:color w:val="auto"/>
        </w:rPr>
        <w:t>9,216,626 weighted average shares outstanding, respectively, compared to 9,400,420 and 9,400,050, respectively, for the second quarter and first six months of 2009. In the first half of 2010, the Company repurchased 99,935 shares of its Class B common stock at a cost of $43.5 million.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second quarter of 2010, the Company made two small acquisitions in its Other Businesses and Corporate office and Cable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In the first quarter of 2010, Kaplan made one small acquisition in its Kaplan Ventures division. The Company made one small acquisition in the second quarter of 2009 and did not make any acquisitions during the first quarter of 2009.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2010, Kaplan completed the sale of Education Connection, which was part of the Kaplan Ventures division.</w:t>
      </w:r>
    </w:p>
    <w:p>
      <w:pPr>
        <w:spacing w:after="0" w:line="16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2010, the Company’s capital expenditures totaled $84.8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$240 million to $265 million in 2010.</w:t>
      </w:r>
    </w:p>
    <w:p>
      <w:pPr>
        <w:spacing w:after="0" w:line="12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increased by $0.2 million, to $399.5 million at July 4, 2010, as compared to borrowings of $399.3 million at January 3,</w:t>
      </w:r>
      <w:r>
        <w:rPr>
          <w:rFonts w:ascii="Arial" w:cs="Arial" w:eastAsia="Arial" w:hAnsi="Arial"/>
          <w:sz w:val="18"/>
          <w:szCs w:val="18"/>
          <w:b w:val="1"/>
          <w:bCs w:val="1"/>
          <w:color w:val="auto"/>
        </w:rPr>
        <w:t xml:space="preserve"> </w:t>
      </w:r>
      <w:r>
        <w:rPr>
          <w:rFonts w:ascii="Arial" w:cs="Arial" w:eastAsia="Arial" w:hAnsi="Arial"/>
          <w:sz w:val="18"/>
          <w:szCs w:val="18"/>
          <w:color w:val="auto"/>
        </w:rPr>
        <w:t>2010</w:t>
      </w:r>
      <w:r>
        <w:rPr>
          <w:rFonts w:ascii="Arial" w:cs="Arial" w:eastAsia="Arial" w:hAnsi="Arial"/>
          <w:sz w:val="18"/>
          <w:szCs w:val="18"/>
          <w:i w:val="1"/>
          <w:iCs w:val="1"/>
          <w:color w:val="auto"/>
        </w:rPr>
        <w:t>.</w:t>
      </w:r>
      <w:r>
        <w:rPr>
          <w:rFonts w:ascii="Arial" w:cs="Arial" w:eastAsia="Arial" w:hAnsi="Arial"/>
          <w:sz w:val="18"/>
          <w:szCs w:val="18"/>
          <w:color w:val="auto"/>
        </w:rPr>
        <w:t xml:space="preserve"> At July 4, 2010, the Company has $659.0 million in cash and cash equivalents, compared to $477.7 million at January 3, 2010. The Company had money market investments of $445.0 million and $327.8 million that are classified as cash and cash equivalents in the Company’s condensed consolidated Balance Sheets as of July 4, 2010 and January 3, 2010, respectively.</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total debt outstanding of $399.5 million at July 4, 2010 included $396.4 million of 7.25% unsecured notes due February 1, 2019 and $3.1 million in other debt.</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 has a $500 million revolving credit facility that expires in August 2011, which supports the issuance of the Company’s short-term commercial paper and provides for general corporate purposes. The Company did not issue any commercial paper in the first six months of 2010.</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2010 and 2009, the Company had average borrowings outstanding of approximately $399.4 million and $399.1 million, respectively, at average annual interest rates of approximately 7.2%. During the second quarter of 2010 and 2009, the Company incurred net interest expense of $7.0 million and $7.2 million, respectively.</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six months of 2010 and 2009, the Company had average borrowings outstanding of approximately $399.4 million and $450.2 million, respectively, at average annual interest rates of approximately 7.2% and 6.7%, respectively. During the first six months of 2010 and 2009, the Company incurred net interest expense of $14.3 million.</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July 4, 2010 and January 3, 2010, the Company had working capital of $540.5 million and $398.5 million, respectively. The working capital amount at July 4, 2010 excludes current assets and current liabilities of discontinued operations.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2010.</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3,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3,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2009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July 4, 2010.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July 4, 2010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July 4, 2010,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 5 - May 9,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$439.83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May 10 - Jun. 6, 2010</w:t>
            </w: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 7 - Jul. 4, 2010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31,982</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439.29</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35,630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$439.35</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35,630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January 21, 2010, the Company’s Board of Directors increased the authorization to a total of 750,000 shares of its Class B Common Stock. There is no expiration date for that authorization. All purchases made during the quarter ended July 4, 2010, were open market transactions.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By-Laws of the Company as amended and restated through November 8, 2007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dated November 14, 2007).</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8-K dated January 30, 2009).</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Five Year Credit Agreement dated as of August 8, 2006, among the Company, Citibank, N.A., JPMorgan Chase Bank, N.A., Wachovia Bank,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0"/>
              </w:rPr>
              <w:t>National Association, SunTrust Bank, The Bank of New York, PNC Bank, National Association, Bank of America, N.A. and Wells Fargo Bank,</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7"/>
              </w:rPr>
              <w:t>N.A. (incorporated by reference to Exhibit 4.4 to the Company’s Quarterly Report on Form 10-Q for the quarter ended July 2, 2006).</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620" w:val="left"/>
          <w:tab w:leader="none" w:pos="7980" w:val="left"/>
        </w:tabs>
        <w:rPr>
          <w:sz w:val="20"/>
          <w:szCs w:val="20"/>
          <w:color w:val="auto"/>
        </w:rPr>
      </w:pPr>
      <w:r>
        <w:rPr>
          <w:rFonts w:ascii="Arial" w:cs="Arial" w:eastAsia="Arial" w:hAnsi="Arial"/>
          <w:sz w:val="18"/>
          <w:szCs w:val="18"/>
          <w:color w:val="auto"/>
        </w:rPr>
        <w:t>Date: August 10,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Donald E. Graham,</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spacing w:after="0"/>
        <w:tabs>
          <w:tab w:leader="none" w:pos="7900" w:val="left"/>
          <w:tab w:leader="none" w:pos="8240" w:val="left"/>
        </w:tabs>
        <w:rPr>
          <w:sz w:val="20"/>
          <w:szCs w:val="20"/>
          <w:color w:val="auto"/>
        </w:rPr>
      </w:pPr>
      <w:r>
        <w:rPr>
          <w:rFonts w:ascii="Arial" w:cs="Arial" w:eastAsia="Arial" w:hAnsi="Arial"/>
          <w:sz w:val="18"/>
          <w:szCs w:val="18"/>
          <w:color w:val="auto"/>
        </w:rPr>
        <w:t>Date: August 10,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AL</w:t>
      </w:r>
      <w:r>
        <w:rPr>
          <w:rFonts w:ascii="Arial" w:cs="Arial" w:eastAsia="Arial" w:hAnsi="Arial"/>
          <w:sz w:val="16"/>
          <w:szCs w:val="16"/>
          <w:color w:val="auto"/>
        </w:rPr>
        <w:t xml:space="preserve"> S.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Hal S. Jones,</w:t>
      </w:r>
    </w:p>
    <w:p>
      <w:pPr>
        <w:jc w:val="center"/>
        <w:ind w:left="606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2010</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2010</w:t>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4, 2010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4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2010</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2019-12-10T03:26:51Z</dcterms:created>
  <dcterms:modified xsi:type="dcterms:W3CDTF">2019-12-10T03:26:51Z</dcterms:modified>
</cp:coreProperties>
</file>