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Gillespie, III, George J.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NW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28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December 1999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37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|12/30/|G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|V|1,200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|4,800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|4,000*</w:t>
            </w:r>
          </w:p>
        </w:tc>
        <w:tc>
          <w:tcPr>
            <w:tcW w:w="9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left="1820"/>
        <w:spacing w:after="0"/>
        <w:tabs>
          <w:tab w:leader="none" w:pos="2560" w:val="left"/>
          <w:tab w:leader="none" w:pos="3040" w:val="left"/>
          <w:tab w:leader="none" w:pos="3460" w:val="left"/>
          <w:tab w:leader="none" w:pos="4620" w:val="left"/>
          <w:tab w:leader="none" w:pos="4960" w:val="left"/>
          <w:tab w:leader="none" w:pos="5460" w:val="left"/>
          <w:tab w:leader="none" w:pos="5940" w:val="left"/>
          <w:tab w:leader="none" w:pos="7020" w:val="left"/>
          <w:tab w:leader="none" w:pos="7680" w:val="left"/>
          <w:tab w:leader="none" w:pos="8340" w:val="left"/>
          <w:tab w:leader="none" w:pos="9420" w:val="left"/>
          <w:tab w:leader="none" w:pos="976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7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in these securities. This amendment is intended to replace previous filing dated January 10, 2000.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George J. Gillespie, III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2020-10-07T03:36:49Z</dcterms:created>
  <dcterms:modified xsi:type="dcterms:W3CDTF">2020-10-07T03:36:49Z</dcterms:modified>
</cp:coreProperties>
</file>