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COO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|11/16/|M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|$222.00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|11/16/|M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|$318.50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|11/16/|F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|7,166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|$579.40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|11/16/|S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|1,800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|$575.013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|11/17/|S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|$575.00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|11/17/|S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|$575.50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|57,300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|222.00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|11/16|M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|5/9/9|5/9/2|Class B Comm|10,000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|001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|318.50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|11/16|M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|6/30/|12/19|Class B Comm|50,000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|50,000*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|/2001|on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*Includes all outstanding option rights to buy previously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reported.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Alan G. Spoon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10, 1999</w:t>
      </w:r>
    </w:p>
    <w:sectPr>
      <w:pgSz w:w="11900" w:h="16838" w:orient="portrait"/>
      <w:cols w:equalWidth="0" w:num="1">
        <w:col w:w="11540"/>
      </w:cols>
      <w:pgMar w:left="220" w:top="230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2020-02-22T16:56:48Z</dcterms:created>
  <dcterms:modified xsi:type="dcterms:W3CDTF">2020-02-22T16:56:48Z</dcterms:modified>
</cp:coreProperties>
</file>