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46355</wp:posOffset>
            </wp:positionV>
            <wp:extent cx="6080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60" w:lineRule="exact"/>
        <w:rPr>
          <w:rFonts w:ascii="MS PGothic" w:cs="MS PGothic" w:eastAsia="MS PGothic" w:hAnsi="MS PGothic"/>
          <w:sz w:val="18"/>
          <w:szCs w:val="18"/>
          <w:color w:val="auto"/>
        </w:rPr>
      </w:pPr>
    </w:p>
    <w:p>
      <w:pPr>
        <w:ind w:left="37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2019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6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60"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1-671</w:t>
      </w: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-305435</wp:posOffset>
            </wp:positionV>
            <wp:extent cx="6080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28575</wp:posOffset>
            </wp:positionV>
            <wp:extent cx="6080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340" w:lineRule="exact"/>
        <w:rPr>
          <w:sz w:val="24"/>
          <w:szCs w:val="24"/>
          <w:color w:val="auto"/>
        </w:rPr>
      </w:pPr>
    </w:p>
    <w:tbl>
      <w:tblPr>
        <w:tblLayout w:type="fixed"/>
        <w:tblInd w:w="1080" w:type="dxa"/>
        <w:tblCellMar>
          <w:top w:w="0" w:type="dxa"/>
          <w:left w:w="0" w:type="dxa"/>
          <w:bottom w:w="0" w:type="dxa"/>
          <w:right w:w="0" w:type="dxa"/>
        </w:tblCellMar>
      </w:tblPr>
      <w:tr>
        <w:trPr>
          <w:trHeight w:val="239"/>
        </w:trPr>
        <w:tc>
          <w:tcPr>
            <w:tcW w:w="6660" w:type="dxa"/>
            <w:vAlign w:val="bottom"/>
          </w:tcPr>
          <w:p>
            <w:pPr>
              <w:jc w:val="center"/>
              <w:ind w:right="3020"/>
              <w:spacing w:after="0"/>
              <w:rPr>
                <w:sz w:val="20"/>
                <w:szCs w:val="20"/>
                <w:color w:val="auto"/>
              </w:rPr>
            </w:pPr>
            <w:r>
              <w:rPr>
                <w:rFonts w:ascii="Arial" w:cs="Arial" w:eastAsia="Arial" w:hAnsi="Arial"/>
                <w:sz w:val="18"/>
                <w:szCs w:val="18"/>
                <w:b w:val="1"/>
                <w:bCs w:val="1"/>
                <w:color w:val="auto"/>
              </w:rPr>
              <w:t>Delaware</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6660" w:type="dxa"/>
            <w:vAlign w:val="bottom"/>
          </w:tcPr>
          <w:p>
            <w:pPr>
              <w:jc w:val="center"/>
              <w:ind w:right="3000"/>
              <w:spacing w:after="0"/>
              <w:rPr>
                <w:sz w:val="20"/>
                <w:szCs w:val="20"/>
                <w:color w:val="auto"/>
              </w:rPr>
            </w:pPr>
            <w:r>
              <w:rPr>
                <w:rFonts w:ascii="Arial" w:cs="Arial" w:eastAsia="Arial" w:hAnsi="Arial"/>
                <w:sz w:val="14"/>
                <w:szCs w:val="14"/>
                <w:b w:val="1"/>
                <w:bCs w:val="1"/>
                <w:color w:val="auto"/>
              </w:rPr>
              <w:t>(State or other jurisdiction of</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6660" w:type="dxa"/>
            <w:vAlign w:val="bottom"/>
          </w:tcPr>
          <w:p>
            <w:pPr>
              <w:jc w:val="center"/>
              <w:ind w:right="3000"/>
              <w:spacing w:after="0"/>
              <w:rPr>
                <w:sz w:val="20"/>
                <w:szCs w:val="20"/>
                <w:color w:val="auto"/>
              </w:rPr>
            </w:pPr>
            <w:r>
              <w:rPr>
                <w:rFonts w:ascii="Arial" w:cs="Arial" w:eastAsia="Arial" w:hAnsi="Arial"/>
                <w:sz w:val="14"/>
                <w:szCs w:val="14"/>
                <w:b w:val="1"/>
                <w:bCs w:val="1"/>
                <w:color w:val="auto"/>
              </w:rPr>
              <w:t>incorporation or organization)</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Identification No.)</w:t>
            </w:r>
          </w:p>
        </w:tc>
      </w:tr>
      <w:tr>
        <w:trPr>
          <w:trHeight w:val="377"/>
        </w:trPr>
        <w:tc>
          <w:tcPr>
            <w:tcW w:w="6660" w:type="dxa"/>
            <w:vAlign w:val="bottom"/>
          </w:tcPr>
          <w:p>
            <w:pPr>
              <w:jc w:val="center"/>
              <w:ind w:right="3020"/>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14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8"/>
        </w:trPr>
        <w:tc>
          <w:tcPr>
            <w:tcW w:w="6660" w:type="dxa"/>
            <w:vAlign w:val="bottom"/>
          </w:tcPr>
          <w:p>
            <w:pPr>
              <w:jc w:val="center"/>
              <w:ind w:right="3020"/>
              <w:spacing w:after="0"/>
              <w:rPr>
                <w:sz w:val="20"/>
                <w:szCs w:val="20"/>
                <w:color w:val="auto"/>
              </w:rPr>
            </w:pPr>
            <w:r>
              <w:rPr>
                <w:rFonts w:ascii="Arial" w:cs="Arial" w:eastAsia="Arial" w:hAnsi="Arial"/>
                <w:sz w:val="14"/>
                <w:szCs w:val="14"/>
                <w:b w:val="1"/>
                <w:bCs w:val="1"/>
                <w:color w:val="auto"/>
              </w:rPr>
              <w:t>(Address of principal executive offices)</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(Zip Code)</w:t>
            </w:r>
          </w:p>
        </w:tc>
      </w:tr>
      <w:tr>
        <w:trPr>
          <w:trHeight w:val="552"/>
        </w:trPr>
        <w:tc>
          <w:tcPr>
            <w:tcW w:w="6660" w:type="dxa"/>
            <w:vAlign w:val="bottom"/>
          </w:tcPr>
          <w:p>
            <w:pPr>
              <w:jc w:val="right"/>
              <w:ind w:right="1340"/>
              <w:spacing w:after="0"/>
              <w:rPr>
                <w:sz w:val="20"/>
                <w:szCs w:val="20"/>
                <w:color w:val="auto"/>
              </w:rPr>
            </w:pPr>
            <w:r>
              <w:rPr>
                <w:rFonts w:ascii="Arial" w:cs="Arial" w:eastAsia="Arial" w:hAnsi="Arial"/>
                <w:sz w:val="18"/>
                <w:szCs w:val="18"/>
                <w:b w:val="1"/>
                <w:bCs w:val="1"/>
                <w:color w:val="auto"/>
              </w:rPr>
              <w:t>(703) 345-6300</w:t>
            </w:r>
          </w:p>
        </w:tc>
        <w:tc>
          <w:tcPr>
            <w:tcW w:w="1440" w:type="dxa"/>
            <w:vAlign w:val="bottom"/>
          </w:tcPr>
          <w:p>
            <w:pPr>
              <w:spacing w:after="0"/>
              <w:rPr>
                <w:sz w:val="24"/>
                <w:szCs w:val="24"/>
                <w:color w:val="auto"/>
              </w:rPr>
            </w:pPr>
          </w:p>
        </w:tc>
      </w:tr>
      <w:tr>
        <w:trPr>
          <w:trHeight w:val="231"/>
        </w:trPr>
        <w:tc>
          <w:tcPr>
            <w:tcW w:w="6660" w:type="dxa"/>
            <w:vAlign w:val="bottom"/>
          </w:tcPr>
          <w:p>
            <w:pPr>
              <w:jc w:val="center"/>
              <w:ind w:left="254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4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1171575</wp:posOffset>
            </wp:positionH>
            <wp:positionV relativeFrom="paragraph">
              <wp:posOffset>153670</wp:posOffset>
            </wp:positionV>
            <wp:extent cx="4913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275" w:lineRule="exact"/>
        <w:rPr>
          <w:sz w:val="24"/>
          <w:szCs w:val="24"/>
          <w:color w:val="auto"/>
        </w:rPr>
      </w:pPr>
    </w:p>
    <w:p>
      <w:pPr>
        <w:ind w:right="80"/>
        <w:spacing w:after="0" w:line="20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62" w:lineRule="exact"/>
        <w:rPr>
          <w:sz w:val="24"/>
          <w:szCs w:val="24"/>
          <w:color w:val="auto"/>
        </w:rPr>
      </w:pPr>
    </w:p>
    <w:p>
      <w:pPr>
        <w:ind w:right="40"/>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6" w:lineRule="exact"/>
        <w:rPr>
          <w:sz w:val="24"/>
          <w:szCs w:val="24"/>
          <w:color w:val="auto"/>
        </w:rPr>
      </w:pPr>
    </w:p>
    <w:p>
      <w:pPr>
        <w:ind w:right="20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80" w:type="dxa"/>
        <w:tblCellMar>
          <w:top w:w="0" w:type="dxa"/>
          <w:left w:w="0" w:type="dxa"/>
          <w:bottom w:w="0" w:type="dxa"/>
          <w:right w:w="0" w:type="dxa"/>
        </w:tblCellMar>
      </w:tblPr>
      <w:tr>
        <w:trPr>
          <w:trHeight w:val="189"/>
        </w:trPr>
        <w:tc>
          <w:tcPr>
            <w:tcW w:w="1500" w:type="dxa"/>
            <w:vAlign w:val="bottom"/>
          </w:tcPr>
          <w:p>
            <w:pPr>
              <w:jc w:val="center"/>
              <w:ind w:right="119"/>
              <w:spacing w:after="0"/>
              <w:rPr>
                <w:sz w:val="20"/>
                <w:szCs w:val="20"/>
                <w:color w:val="auto"/>
              </w:rPr>
            </w:pPr>
            <w:r>
              <w:rPr>
                <w:rFonts w:ascii="Arial" w:cs="Arial" w:eastAsia="Arial" w:hAnsi="Arial"/>
                <w:sz w:val="16"/>
                <w:szCs w:val="16"/>
                <w:color w:val="auto"/>
              </w:rPr>
              <w:t>Large accelerated</w:t>
            </w:r>
          </w:p>
        </w:tc>
        <w:tc>
          <w:tcPr>
            <w:tcW w:w="7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Accelerated</w:t>
            </w:r>
          </w:p>
        </w:tc>
        <w:tc>
          <w:tcPr>
            <w:tcW w:w="72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62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3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07"/>
        </w:trPr>
        <w:tc>
          <w:tcPr>
            <w:tcW w:w="1500" w:type="dxa"/>
            <w:vAlign w:val="bottom"/>
          </w:tcPr>
          <w:p>
            <w:pPr>
              <w:jc w:val="center"/>
              <w:ind w:right="119"/>
              <w:spacing w:after="0"/>
              <w:rPr>
                <w:sz w:val="20"/>
                <w:szCs w:val="20"/>
                <w:color w:val="auto"/>
              </w:rPr>
            </w:pPr>
            <w:r>
              <w:rPr>
                <w:rFonts w:ascii="Arial" w:cs="Arial" w:eastAsia="Arial" w:hAnsi="Arial"/>
                <w:sz w:val="16"/>
                <w:szCs w:val="16"/>
                <w:color w:val="auto"/>
              </w:rPr>
              <w:t>filer</w:t>
            </w:r>
          </w:p>
        </w:tc>
        <w:tc>
          <w:tcPr>
            <w:tcW w:w="700" w:type="dxa"/>
            <w:vAlign w:val="bottom"/>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filer</w:t>
            </w:r>
          </w:p>
        </w:tc>
        <w:tc>
          <w:tcPr>
            <w:tcW w:w="720" w:type="dxa"/>
            <w:vAlign w:val="bottom"/>
            <w:vMerge w:val="continue"/>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filer</w:t>
            </w:r>
          </w:p>
        </w:tc>
        <w:tc>
          <w:tcPr>
            <w:tcW w:w="620" w:type="dxa"/>
            <w:vAlign w:val="bottom"/>
            <w:vMerge w:val="continue"/>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600" w:type="dxa"/>
            <w:vAlign w:val="bottom"/>
            <w:vMerge w:val="continue"/>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company</w:t>
            </w:r>
          </w:p>
        </w:tc>
        <w:tc>
          <w:tcPr>
            <w:tcW w:w="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14"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9"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April 26, 2019:</w:t>
      </w:r>
    </w:p>
    <w:p>
      <w:pPr>
        <w:spacing w:after="0" w:line="158"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9"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4,350,929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6"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GRAHAM HOLDINGS COMPANY</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180" w:type="dxa"/>
            <w:vAlign w:val="bottom"/>
            <w:gridSpan w:val="2"/>
          </w:tcPr>
          <w:p>
            <w:pPr>
              <w:spacing w:after="0"/>
              <w:rPr>
                <w:sz w:val="20"/>
                <w:szCs w:val="20"/>
                <w:color w:val="auto"/>
              </w:rPr>
            </w:pPr>
            <w:r>
              <w:rPr>
                <w:rFonts w:ascii="Arial" w:cs="Arial" w:eastAsia="Arial" w:hAnsi="Arial"/>
                <w:sz w:val="16"/>
                <w:szCs w:val="16"/>
                <w:color w:val="auto"/>
              </w:rPr>
              <w:t>PART I. FINANCIAL INFORMATION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86"/>
        </w:trPr>
        <w:tc>
          <w:tcPr>
            <w:tcW w:w="840" w:type="dxa"/>
            <w:vAlign w:val="bottom"/>
          </w:tcPr>
          <w:p>
            <w:pPr>
              <w:spacing w:after="0"/>
              <w:rPr>
                <w:sz w:val="20"/>
                <w:szCs w:val="20"/>
                <w:color w:val="auto"/>
              </w:rPr>
            </w:pPr>
            <w:r>
              <w:rPr>
                <w:rFonts w:ascii="Arial" w:cs="Arial" w:eastAsia="Arial" w:hAnsi="Arial"/>
                <w:sz w:val="16"/>
                <w:szCs w:val="16"/>
                <w:color w:val="auto"/>
              </w:rPr>
              <w:t>Item 1.</w:t>
            </w:r>
          </w:p>
        </w:tc>
        <w:tc>
          <w:tcPr>
            <w:tcW w:w="10340" w:type="dxa"/>
            <w:vAlign w:val="bottom"/>
          </w:tcPr>
          <w:p>
            <w:pPr>
              <w:ind w:left="80"/>
              <w:spacing w:after="0"/>
              <w:rPr>
                <w:sz w:val="20"/>
                <w:szCs w:val="20"/>
                <w:color w:val="auto"/>
              </w:rPr>
            </w:pPr>
            <w:r>
              <w:rPr>
                <w:rFonts w:ascii="Arial" w:cs="Arial" w:eastAsia="Arial" w:hAnsi="Arial"/>
                <w:sz w:val="16"/>
                <w:szCs w:val="16"/>
                <w:color w:val="auto"/>
              </w:rPr>
              <w:t>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a. Condensed Consolidated Statements of Operations (Unaudited) for the Three Months Ended March 31, 2019 and 2018</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1</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b. Condensed Consolidated Statements of Comprehensive Income (Unaudited) for the Three Months Ended March 31, 2019 and 2018</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2</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c. Condensed Consolidated Balance Sheets at March 31, 2019 (Unaudited) and December 31, 2018</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3</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d. Condensed Consolidated Statements of Cash Flows (Unaudited) for the Three Months Ended March 31, 2019 and 2018</w:t>
            </w:r>
          </w:p>
        </w:tc>
        <w:tc>
          <w:tcPr>
            <w:tcW w:w="180" w:type="dxa"/>
            <w:vAlign w:val="bottom"/>
            <w:gridSpan w:val="2"/>
          </w:tcPr>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4</w:t>
              </w:r>
            </w:hyperlink>
          </w:p>
        </w:tc>
      </w:tr>
      <w:tr>
        <w:trPr>
          <w:trHeight w:val="549"/>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e. Condensed Consolidated Statements of Changes in Common Stockholders’ Equity (Unaudited) for the Three Months Ended March</w:t>
            </w: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160"/>
        </w:trPr>
        <w:tc>
          <w:tcPr>
            <w:tcW w:w="840" w:type="dxa"/>
            <w:vAlign w:val="bottom"/>
          </w:tcPr>
          <w:p>
            <w:pPr>
              <w:spacing w:after="0"/>
              <w:rPr>
                <w:sz w:val="13"/>
                <w:szCs w:val="13"/>
                <w:color w:val="auto"/>
              </w:rPr>
            </w:pPr>
          </w:p>
        </w:tc>
        <w:tc>
          <w:tcPr>
            <w:tcW w:w="10340" w:type="dxa"/>
            <w:vAlign w:val="bottom"/>
          </w:tcPr>
          <w:p>
            <w:pPr>
              <w:ind w:left="80"/>
              <w:spacing w:after="0" w:line="160" w:lineRule="exact"/>
              <w:rPr>
                <w:sz w:val="20"/>
                <w:szCs w:val="20"/>
                <w:color w:val="auto"/>
              </w:rPr>
            </w:pPr>
            <w:r>
              <w:rPr>
                <w:rFonts w:ascii="Arial" w:cs="Arial" w:eastAsia="Arial" w:hAnsi="Arial"/>
                <w:sz w:val="16"/>
                <w:szCs w:val="16"/>
                <w:color w:val="auto"/>
              </w:rPr>
              <w:t>31, 2019 and 2018</w:t>
            </w:r>
          </w:p>
        </w:tc>
        <w:tc>
          <w:tcPr>
            <w:tcW w:w="80" w:type="dxa"/>
            <w:vAlign w:val="bottom"/>
          </w:tcPr>
          <w:p>
            <w:pPr>
              <w:spacing w:after="0"/>
              <w:rPr>
                <w:sz w:val="13"/>
                <w:szCs w:val="13"/>
                <w:color w:val="auto"/>
              </w:rPr>
            </w:pPr>
          </w:p>
        </w:tc>
        <w:tc>
          <w:tcPr>
            <w:tcW w:w="100" w:type="dxa"/>
            <w:vAlign w:val="bottom"/>
            <w:tcBorders>
              <w:bottom w:val="single" w:sz="8" w:color="0000EE"/>
            </w:tcBorders>
          </w:tcPr>
          <w:p>
            <w:pPr>
              <w:jc w:val="right"/>
              <w:spacing w:after="0" w:line="160" w:lineRule="exact"/>
              <w:rPr>
                <w:rFonts w:ascii="Arial" w:cs="Arial" w:eastAsia="Arial" w:hAnsi="Arial"/>
                <w:sz w:val="16"/>
                <w:szCs w:val="16"/>
                <w:color w:val="0000EE"/>
                <w:w w:val="89"/>
              </w:rPr>
            </w:pPr>
            <w:hyperlink w:anchor="page8">
              <w:r>
                <w:rPr>
                  <w:rFonts w:ascii="Arial" w:cs="Arial" w:eastAsia="Arial" w:hAnsi="Arial"/>
                  <w:sz w:val="16"/>
                  <w:szCs w:val="16"/>
                  <w:color w:val="0000EE"/>
                  <w:w w:val="89"/>
                </w:rPr>
                <w:t>5</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f. Notes to Condensed Consolidated 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9">
              <w:r>
                <w:rPr>
                  <w:rFonts w:ascii="Arial" w:cs="Arial" w:eastAsia="Arial" w:hAnsi="Arial"/>
                  <w:sz w:val="16"/>
                  <w:szCs w:val="16"/>
                  <w:color w:val="0000EE"/>
                  <w:w w:val="89"/>
                </w:rPr>
                <w:t>6</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2.</w:t>
            </w:r>
          </w:p>
        </w:tc>
        <w:tc>
          <w:tcPr>
            <w:tcW w:w="10340" w:type="dxa"/>
            <w:vAlign w:val="bottom"/>
          </w:tcPr>
          <w:p>
            <w:pPr>
              <w:ind w:left="80"/>
              <w:spacing w:after="0"/>
              <w:rPr>
                <w:sz w:val="20"/>
                <w:szCs w:val="20"/>
                <w:color w:val="auto"/>
              </w:rPr>
            </w:pPr>
            <w:r>
              <w:rPr>
                <w:rFonts w:ascii="Arial" w:cs="Arial" w:eastAsia="Arial" w:hAnsi="Arial"/>
                <w:sz w:val="16"/>
                <w:szCs w:val="16"/>
                <w:color w:val="auto"/>
              </w:rPr>
              <w:t>Management’s Discussion and Analysis of Results of Operations and Financial Condition</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8">
              <w:r>
                <w:rPr>
                  <w:rFonts w:ascii="Arial" w:cs="Arial" w:eastAsia="Arial" w:hAnsi="Arial"/>
                  <w:sz w:val="16"/>
                  <w:szCs w:val="16"/>
                  <w:color w:val="0000EE"/>
                  <w:w w:val="89"/>
                </w:rPr>
                <w:t>25</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3.</w:t>
            </w:r>
          </w:p>
        </w:tc>
        <w:tc>
          <w:tcPr>
            <w:tcW w:w="10340" w:type="dxa"/>
            <w:vAlign w:val="bottom"/>
          </w:tcPr>
          <w:p>
            <w:pPr>
              <w:ind w:left="80"/>
              <w:spacing w:after="0"/>
              <w:rPr>
                <w:sz w:val="20"/>
                <w:szCs w:val="20"/>
                <w:color w:val="auto"/>
              </w:rPr>
            </w:pPr>
            <w:r>
              <w:rPr>
                <w:rFonts w:ascii="Arial" w:cs="Arial" w:eastAsia="Arial" w:hAnsi="Arial"/>
                <w:sz w:val="16"/>
                <w:szCs w:val="16"/>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5">
              <w:r>
                <w:rPr>
                  <w:rFonts w:ascii="Arial" w:cs="Arial" w:eastAsia="Arial" w:hAnsi="Arial"/>
                  <w:sz w:val="16"/>
                  <w:szCs w:val="16"/>
                  <w:color w:val="0000EE"/>
                  <w:w w:val="89"/>
                </w:rPr>
                <w:t>32</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4.</w:t>
            </w:r>
          </w:p>
        </w:tc>
        <w:tc>
          <w:tcPr>
            <w:tcW w:w="10340" w:type="dxa"/>
            <w:vAlign w:val="bottom"/>
          </w:tcPr>
          <w:p>
            <w:pPr>
              <w:ind w:left="80"/>
              <w:spacing w:after="0"/>
              <w:rPr>
                <w:sz w:val="20"/>
                <w:szCs w:val="20"/>
                <w:color w:val="auto"/>
              </w:rPr>
            </w:pPr>
            <w:r>
              <w:rPr>
                <w:rFonts w:ascii="Arial" w:cs="Arial" w:eastAsia="Arial" w:hAnsi="Arial"/>
                <w:sz w:val="16"/>
                <w:szCs w:val="16"/>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5">
              <w:r>
                <w:rPr>
                  <w:rFonts w:ascii="Arial" w:cs="Arial" w:eastAsia="Arial" w:hAnsi="Arial"/>
                  <w:sz w:val="16"/>
                  <w:szCs w:val="16"/>
                  <w:color w:val="0000EE"/>
                  <w:w w:val="89"/>
                </w:rPr>
                <w:t>32</w:t>
              </w:r>
            </w:hyperlink>
          </w:p>
        </w:tc>
      </w:tr>
      <w:tr>
        <w:trPr>
          <w:trHeight w:val="501"/>
        </w:trPr>
        <w:tc>
          <w:tcPr>
            <w:tcW w:w="11180" w:type="dxa"/>
            <w:vAlign w:val="bottom"/>
            <w:gridSpan w:val="2"/>
          </w:tcPr>
          <w:p>
            <w:pPr>
              <w:spacing w:after="0"/>
              <w:rPr>
                <w:sz w:val="20"/>
                <w:szCs w:val="20"/>
                <w:color w:val="auto"/>
              </w:rPr>
            </w:pPr>
            <w:r>
              <w:rPr>
                <w:rFonts w:ascii="Arial" w:cs="Arial" w:eastAsia="Arial" w:hAnsi="Arial"/>
                <w:sz w:val="16"/>
                <w:szCs w:val="16"/>
                <w:color w:val="auto"/>
              </w:rPr>
              <w:t>PART II.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840" w:type="dxa"/>
            <w:vAlign w:val="bottom"/>
          </w:tcPr>
          <w:p>
            <w:pPr>
              <w:spacing w:after="0"/>
              <w:rPr>
                <w:sz w:val="20"/>
                <w:szCs w:val="20"/>
                <w:color w:val="auto"/>
              </w:rPr>
            </w:pPr>
            <w:r>
              <w:rPr>
                <w:rFonts w:ascii="Arial" w:cs="Arial" w:eastAsia="Arial" w:hAnsi="Arial"/>
                <w:sz w:val="16"/>
                <w:szCs w:val="16"/>
                <w:color w:val="auto"/>
              </w:rPr>
              <w:t>Item 6.</w:t>
            </w:r>
          </w:p>
        </w:tc>
        <w:tc>
          <w:tcPr>
            <w:tcW w:w="10340" w:type="dxa"/>
            <w:vAlign w:val="bottom"/>
          </w:tcPr>
          <w:p>
            <w:pPr>
              <w:ind w:left="80"/>
              <w:spacing w:after="0"/>
              <w:rPr>
                <w:sz w:val="20"/>
                <w:szCs w:val="20"/>
                <w:color w:val="auto"/>
              </w:rPr>
            </w:pPr>
            <w:r>
              <w:rPr>
                <w:rFonts w:ascii="Arial" w:cs="Arial" w:eastAsia="Arial" w:hAnsi="Arial"/>
                <w:sz w:val="16"/>
                <w:szCs w:val="16"/>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6">
              <w:r>
                <w:rPr>
                  <w:rFonts w:ascii="Arial" w:cs="Arial" w:eastAsia="Arial" w:hAnsi="Arial"/>
                  <w:sz w:val="16"/>
                  <w:szCs w:val="16"/>
                  <w:color w:val="0000EE"/>
                  <w:w w:val="89"/>
                </w:rPr>
                <w:t>33</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Signatures</w:t>
            </w:r>
          </w:p>
        </w:tc>
        <w:tc>
          <w:tcPr>
            <w:tcW w:w="103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7">
              <w:r>
                <w:rPr>
                  <w:rFonts w:ascii="Arial" w:cs="Arial" w:eastAsia="Arial" w:hAnsi="Arial"/>
                  <w:sz w:val="16"/>
                  <w:szCs w:val="16"/>
                  <w:color w:val="0000EE"/>
                  <w:w w:val="89"/>
                </w:rPr>
                <w:t>34</w:t>
              </w:r>
            </w:hyperlink>
          </w:p>
        </w:tc>
      </w:tr>
    </w:tbl>
    <w:p>
      <w:pPr>
        <w:sectPr>
          <w:pgSz w:w="11900" w:h="16838" w:orient="portrait"/>
          <w:cols w:equalWidth="0" w:num="1">
            <w:col w:w="11360"/>
          </w:cols>
          <w:pgMar w:left="280" w:top="71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9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8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50"/>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692,199</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659,436</w:t>
            </w:r>
          </w:p>
        </w:tc>
        <w:tc>
          <w:tcPr>
            <w:tcW w:w="0" w:type="dxa"/>
            <w:vAlign w:val="bottom"/>
          </w:tcPr>
          <w:p>
            <w:pPr>
              <w:spacing w:after="0"/>
              <w:rPr>
                <w:sz w:val="1"/>
                <w:szCs w:val="1"/>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30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477,230</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365,151</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148,383</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225,045</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30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13,523</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14,642</w:t>
            </w:r>
          </w:p>
        </w:tc>
        <w:tc>
          <w:tcPr>
            <w:tcW w:w="0" w:type="dxa"/>
            <w:vAlign w:val="bottom"/>
          </w:tcPr>
          <w:p>
            <w:pPr>
              <w:spacing w:after="0"/>
              <w:rPr>
                <w:sz w:val="1"/>
                <w:szCs w:val="1"/>
                <w:color w:val="auto"/>
              </w:rPr>
            </w:pPr>
          </w:p>
        </w:tc>
      </w:tr>
      <w:tr>
        <w:trPr>
          <w:trHeight w:val="283"/>
        </w:trPr>
        <w:tc>
          <w:tcPr>
            <w:tcW w:w="880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13,060</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10,384</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652,196</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615,222</w:t>
            </w:r>
          </w:p>
        </w:tc>
        <w:tc>
          <w:tcPr>
            <w:tcW w:w="0" w:type="dxa"/>
            <w:vAlign w:val="bottom"/>
          </w:tcPr>
          <w:p>
            <w:pPr>
              <w:spacing w:after="0"/>
              <w:rPr>
                <w:sz w:val="1"/>
                <w:szCs w:val="1"/>
                <w:color w:val="auto"/>
              </w:rPr>
            </w:pPr>
          </w:p>
        </w:tc>
      </w:tr>
      <w:tr>
        <w:trPr>
          <w:trHeight w:val="251"/>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30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40,003</w:t>
            </w:r>
          </w:p>
        </w:tc>
        <w:tc>
          <w:tcPr>
            <w:tcW w:w="4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44,214</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30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1,679</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2,579</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1,700</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1,372</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(7,425)</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(8,071)</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30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19,928</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21,386</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Gain (loss) on marketable equity securities, net</w:t>
            </w:r>
          </w:p>
        </w:tc>
        <w:tc>
          <w:tcPr>
            <w:tcW w:w="30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24,066</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(14,102)</w:t>
            </w:r>
          </w:p>
        </w:tc>
        <w:tc>
          <w:tcPr>
            <w:tcW w:w="0" w:type="dxa"/>
            <w:vAlign w:val="bottom"/>
          </w:tcPr>
          <w:p>
            <w:pPr>
              <w:spacing w:after="0"/>
              <w:rPr>
                <w:sz w:val="1"/>
                <w:szCs w:val="1"/>
                <w:color w:val="auto"/>
              </w:rPr>
            </w:pPr>
          </w:p>
        </w:tc>
      </w:tr>
      <w:tr>
        <w:trPr>
          <w:trHeight w:val="283"/>
        </w:trPr>
        <w:tc>
          <w:tcPr>
            <w:tcW w:w="880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29,351</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9,187</w:t>
            </w:r>
          </w:p>
        </w:tc>
        <w:tc>
          <w:tcPr>
            <w:tcW w:w="0" w:type="dxa"/>
            <w:vAlign w:val="bottom"/>
          </w:tcPr>
          <w:p>
            <w:pPr>
              <w:spacing w:after="0"/>
              <w:rPr>
                <w:sz w:val="1"/>
                <w:szCs w:val="1"/>
                <w:color w:val="auto"/>
              </w:rPr>
            </w:pPr>
          </w:p>
        </w:tc>
      </w:tr>
      <w:tr>
        <w:trPr>
          <w:trHeight w:val="251"/>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30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109,302</w:t>
            </w:r>
          </w:p>
        </w:tc>
        <w:tc>
          <w:tcPr>
            <w:tcW w:w="4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56,565</w:t>
            </w:r>
          </w:p>
        </w:tc>
        <w:tc>
          <w:tcPr>
            <w:tcW w:w="0" w:type="dxa"/>
            <w:vAlign w:val="bottom"/>
          </w:tcPr>
          <w:p>
            <w:pPr>
              <w:spacing w:after="0"/>
              <w:rPr>
                <w:sz w:val="1"/>
                <w:szCs w:val="1"/>
                <w:color w:val="auto"/>
              </w:rPr>
            </w:pPr>
          </w:p>
        </w:tc>
      </w:tr>
      <w:tr>
        <w:trPr>
          <w:trHeight w:val="283"/>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27,600</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13,600</w:t>
            </w:r>
          </w:p>
        </w:tc>
        <w:tc>
          <w:tcPr>
            <w:tcW w:w="0" w:type="dxa"/>
            <w:vAlign w:val="bottom"/>
          </w:tcPr>
          <w:p>
            <w:pPr>
              <w:spacing w:after="0"/>
              <w:rPr>
                <w:sz w:val="1"/>
                <w:szCs w:val="1"/>
                <w:color w:val="auto"/>
              </w:rPr>
            </w:pPr>
          </w:p>
        </w:tc>
      </w:tr>
      <w:tr>
        <w:trPr>
          <w:trHeight w:val="251"/>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81,702</w:t>
            </w:r>
          </w:p>
        </w:tc>
        <w:tc>
          <w:tcPr>
            <w:tcW w:w="4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42,965</w:t>
            </w:r>
          </w:p>
        </w:tc>
        <w:tc>
          <w:tcPr>
            <w:tcW w:w="0" w:type="dxa"/>
            <w:vAlign w:val="bottom"/>
          </w:tcPr>
          <w:p>
            <w:pPr>
              <w:spacing w:after="0"/>
              <w:rPr>
                <w:sz w:val="1"/>
                <w:szCs w:val="1"/>
                <w:color w:val="auto"/>
              </w:rPr>
            </w:pPr>
          </w:p>
        </w:tc>
      </w:tr>
      <w:tr>
        <w:trPr>
          <w:trHeight w:val="283"/>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Noncontrolling Interests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46</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81,748</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42,891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15.38</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30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5,284</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5,436</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15.26</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30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5,326</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5,473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9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59" w:lineRule="exact"/>
        <w:rPr>
          <w:sz w:val="20"/>
          <w:szCs w:val="20"/>
          <w:color w:val="auto"/>
        </w:rPr>
      </w:pPr>
    </w:p>
    <w:p>
      <w:pPr>
        <w:ind w:left="96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r>
      <w:tr>
        <w:trPr>
          <w:trHeight w:val="258"/>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2018</w:t>
            </w:r>
          </w:p>
        </w:tc>
      </w:tr>
      <w:tr>
        <w:trPr>
          <w:trHeight w:val="250"/>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81,702</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42,965</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Before Tax</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926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9260" w:type="dxa"/>
            <w:vAlign w:val="bottom"/>
          </w:tcPr>
          <w:p>
            <w:pPr>
              <w:ind w:left="280"/>
              <w:spacing w:after="0"/>
              <w:rPr>
                <w:sz w:val="20"/>
                <w:szCs w:val="20"/>
                <w:color w:val="auto"/>
              </w:rPr>
            </w:pPr>
            <w:r>
              <w:rPr>
                <w:rFonts w:ascii="Arial" w:cs="Arial" w:eastAsia="Arial" w:hAnsi="Arial"/>
                <w:sz w:val="16"/>
                <w:szCs w:val="16"/>
                <w:color w:val="auto"/>
              </w:rPr>
              <w:t>Translation adjustments arising during the period</w:t>
            </w:r>
          </w:p>
        </w:tc>
        <w:tc>
          <w:tcPr>
            <w:tcW w:w="24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10,033</w:t>
            </w:r>
          </w:p>
        </w:tc>
        <w:tc>
          <w:tcPr>
            <w:tcW w:w="400" w:type="dxa"/>
            <w:vAlign w:val="bottom"/>
          </w:tcPr>
          <w:p>
            <w:pPr>
              <w:spacing w:after="0"/>
              <w:rPr>
                <w:sz w:val="23"/>
                <w:szCs w:val="23"/>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11,564</w:t>
            </w:r>
          </w:p>
        </w:tc>
      </w:tr>
      <w:tr>
        <w:trPr>
          <w:trHeight w:val="270"/>
        </w:trPr>
        <w:tc>
          <w:tcPr>
            <w:tcW w:w="9260" w:type="dxa"/>
            <w:vAlign w:val="bottom"/>
          </w:tcPr>
          <w:p>
            <w:pPr>
              <w:ind w:left="180"/>
              <w:spacing w:after="0"/>
              <w:rPr>
                <w:sz w:val="20"/>
                <w:szCs w:val="20"/>
                <w:color w:val="auto"/>
              </w:rPr>
            </w:pPr>
            <w:r>
              <w:rPr>
                <w:rFonts w:ascii="Arial" w:cs="Arial" w:eastAsia="Arial" w:hAnsi="Arial"/>
                <w:sz w:val="16"/>
                <w:szCs w:val="16"/>
                <w:color w:val="auto"/>
              </w:rPr>
              <w:t>Pension and other postretirement plans:</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9260" w:type="dxa"/>
            <w:vAlign w:val="bottom"/>
          </w:tcPr>
          <w:p>
            <w:pPr>
              <w:ind w:left="280"/>
              <w:spacing w:after="0"/>
              <w:rPr>
                <w:sz w:val="20"/>
                <w:szCs w:val="20"/>
                <w:color w:val="auto"/>
              </w:rPr>
            </w:pPr>
            <w:r>
              <w:rPr>
                <w:rFonts w:ascii="Arial" w:cs="Arial" w:eastAsia="Arial" w:hAnsi="Arial"/>
                <w:sz w:val="16"/>
                <w:szCs w:val="16"/>
                <w:color w:val="auto"/>
              </w:rPr>
              <w:t>Amortization of net prior service (credit) cost included in net income</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(1,347)</w:t>
            </w:r>
          </w:p>
        </w:tc>
        <w:tc>
          <w:tcPr>
            <w:tcW w:w="400" w:type="dxa"/>
            <w:vAlign w:val="bottom"/>
          </w:tcPr>
          <w:p>
            <w:pPr>
              <w:spacing w:after="0"/>
              <w:rPr>
                <w:sz w:val="23"/>
                <w:szCs w:val="23"/>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76</w:t>
            </w:r>
          </w:p>
        </w:tc>
      </w:tr>
      <w:tr>
        <w:trPr>
          <w:trHeight w:val="283"/>
        </w:trPr>
        <w:tc>
          <w:tcPr>
            <w:tcW w:w="9260" w:type="dxa"/>
            <w:vAlign w:val="bottom"/>
          </w:tcPr>
          <w:p>
            <w:pPr>
              <w:ind w:left="280"/>
              <w:spacing w:after="0"/>
              <w:rPr>
                <w:sz w:val="20"/>
                <w:szCs w:val="20"/>
                <w:color w:val="auto"/>
              </w:rPr>
            </w:pPr>
            <w:r>
              <w:rPr>
                <w:rFonts w:ascii="Arial" w:cs="Arial" w:eastAsia="Arial" w:hAnsi="Arial"/>
                <w:sz w:val="16"/>
                <w:szCs w:val="16"/>
                <w:color w:val="auto"/>
              </w:rPr>
              <w:t>Amortization of net actuarial gain included in net income</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(548)</w:t>
            </w: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w:t>
            </w:r>
          </w:p>
        </w:tc>
      </w:tr>
      <w:tr>
        <w:trPr>
          <w:trHeight w:val="251"/>
        </w:trPr>
        <w:tc>
          <w:tcPr>
            <w:tcW w:w="9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(1,895)</w:t>
            </w: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(1,291)</w:t>
            </w:r>
          </w:p>
        </w:tc>
      </w:tr>
      <w:tr>
        <w:trPr>
          <w:trHeight w:val="283"/>
        </w:trPr>
        <w:tc>
          <w:tcPr>
            <w:tcW w:w="9260" w:type="dxa"/>
            <w:vAlign w:val="bottom"/>
          </w:tcPr>
          <w:p>
            <w:pPr>
              <w:ind w:left="180"/>
              <w:spacing w:after="0"/>
              <w:rPr>
                <w:sz w:val="20"/>
                <w:szCs w:val="20"/>
                <w:color w:val="auto"/>
              </w:rPr>
            </w:pPr>
            <w:r>
              <w:rPr>
                <w:rFonts w:ascii="Arial" w:cs="Arial" w:eastAsia="Arial" w:hAnsi="Arial"/>
                <w:sz w:val="16"/>
                <w:szCs w:val="16"/>
                <w:color w:val="auto"/>
              </w:rPr>
              <w:t>Cash flow hedges (loss) gain</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(467)</w:t>
            </w: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236</w:t>
            </w:r>
          </w:p>
        </w:tc>
      </w:tr>
      <w:tr>
        <w:trPr>
          <w:trHeight w:val="251"/>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Before Tax</w:t>
            </w:r>
          </w:p>
        </w:tc>
        <w:tc>
          <w:tcPr>
            <w:tcW w:w="240" w:type="dxa"/>
            <w:vAlign w:val="bottom"/>
          </w:tcPr>
          <w:p>
            <w:pPr>
              <w:spacing w:after="0"/>
              <w:rPr>
                <w:sz w:val="21"/>
                <w:szCs w:val="21"/>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7,671</w:t>
            </w:r>
          </w:p>
        </w:tc>
        <w:tc>
          <w:tcPr>
            <w:tcW w:w="400" w:type="dxa"/>
            <w:vAlign w:val="bottom"/>
          </w:tcPr>
          <w:p>
            <w:pPr>
              <w:spacing w:after="0"/>
              <w:rPr>
                <w:sz w:val="21"/>
                <w:szCs w:val="21"/>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10,509</w:t>
            </w:r>
          </w:p>
        </w:tc>
      </w:tr>
      <w:tr>
        <w:trPr>
          <w:trHeight w:val="283"/>
        </w:trPr>
        <w:tc>
          <w:tcPr>
            <w:tcW w:w="9260" w:type="dxa"/>
            <w:vAlign w:val="bottom"/>
          </w:tcPr>
          <w:p>
            <w:pPr>
              <w:ind w:left="180"/>
              <w:spacing w:after="0"/>
              <w:rPr>
                <w:sz w:val="20"/>
                <w:szCs w:val="20"/>
                <w:color w:val="auto"/>
              </w:rPr>
            </w:pPr>
            <w:r>
              <w:rPr>
                <w:rFonts w:ascii="Arial" w:cs="Arial" w:eastAsia="Arial" w:hAnsi="Arial"/>
                <w:sz w:val="16"/>
                <w:szCs w:val="16"/>
                <w:color w:val="auto"/>
              </w:rPr>
              <w:t>Income tax benefit related to items of other comprehensive income</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619</w:t>
            </w: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303</w:t>
            </w:r>
          </w:p>
        </w:tc>
      </w:tr>
      <w:tr>
        <w:trPr>
          <w:trHeight w:val="264"/>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Net of Tax</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8,290</w:t>
            </w: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10,812</w:t>
            </w:r>
          </w:p>
        </w:tc>
      </w:tr>
      <w:tr>
        <w:trPr>
          <w:trHeight w:val="251"/>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240" w:type="dxa"/>
            <w:vAlign w:val="bottom"/>
          </w:tcPr>
          <w:p>
            <w:pPr>
              <w:spacing w:after="0"/>
              <w:rPr>
                <w:sz w:val="21"/>
                <w:szCs w:val="21"/>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89,992</w:t>
            </w:r>
          </w:p>
        </w:tc>
        <w:tc>
          <w:tcPr>
            <w:tcW w:w="400" w:type="dxa"/>
            <w:vAlign w:val="bottom"/>
          </w:tcPr>
          <w:p>
            <w:pPr>
              <w:spacing w:after="0"/>
              <w:rPr>
                <w:sz w:val="21"/>
                <w:szCs w:val="21"/>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53,777</w:t>
            </w:r>
          </w:p>
        </w:tc>
      </w:tr>
      <w:tr>
        <w:trPr>
          <w:trHeight w:val="283"/>
        </w:trPr>
        <w:tc>
          <w:tcPr>
            <w:tcW w:w="9260" w:type="dxa"/>
            <w:vAlign w:val="bottom"/>
          </w:tcPr>
          <w:p>
            <w:pPr>
              <w:ind w:left="180"/>
              <w:spacing w:after="0"/>
              <w:rPr>
                <w:sz w:val="20"/>
                <w:szCs w:val="20"/>
                <w:color w:val="auto"/>
              </w:rPr>
            </w:pPr>
            <w:r>
              <w:rPr>
                <w:rFonts w:ascii="Arial" w:cs="Arial" w:eastAsia="Arial" w:hAnsi="Arial"/>
                <w:sz w:val="16"/>
                <w:szCs w:val="16"/>
                <w:color w:val="auto"/>
              </w:rPr>
              <w:t>Comprehensive loss (income) attributable to noncontrolling interests</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46</w:t>
            </w: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267"/>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90,038</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53,703</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1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22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5"/>
                <w:szCs w:val="15"/>
                <w:color w:val="auto"/>
              </w:rPr>
            </w:pPr>
          </w:p>
        </w:tc>
        <w:tc>
          <w:tcPr>
            <w:tcW w:w="1260" w:type="dxa"/>
            <w:vAlign w:val="bottom"/>
          </w:tcPr>
          <w:p>
            <w:pPr>
              <w:jc w:val="right"/>
              <w:ind w:right="21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58"/>
        </w:trPr>
        <w:tc>
          <w:tcPr>
            <w:tcW w:w="8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center"/>
              <w:ind w:right="20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170,882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253,256</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20,243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10,859</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527,942</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514,581</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551,617</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582,280</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Income taxes receivable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2,591</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19,166</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Inventories and contracts in progress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107,344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69,477</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96,916</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82,723</w:t>
            </w:r>
          </w:p>
        </w:tc>
        <w:tc>
          <w:tcPr>
            <w:tcW w:w="0" w:type="dxa"/>
            <w:vAlign w:val="bottom"/>
          </w:tcPr>
          <w:p>
            <w:pPr>
              <w:spacing w:after="0"/>
              <w:rPr>
                <w:sz w:val="1"/>
                <w:szCs w:val="1"/>
                <w:color w:val="auto"/>
              </w:rPr>
            </w:pPr>
          </w:p>
        </w:tc>
      </w:tr>
      <w:tr>
        <w:trPr>
          <w:trHeight w:val="251"/>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Pr>
          <w:p>
            <w:pPr>
              <w:spacing w:after="0"/>
              <w:rPr>
                <w:sz w:val="21"/>
                <w:szCs w:val="21"/>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1,477,535</w:t>
            </w:r>
          </w:p>
        </w:tc>
        <w:tc>
          <w:tcPr>
            <w:tcW w:w="28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1,532,342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319,408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293,085</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Lease Right-of-Use Assets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382,050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140,127</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143,813</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1,339,822</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1,297,712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128,557</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99,052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250,256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263,261</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1,017,584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1,003,558</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12,605</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13,388</w:t>
            </w:r>
          </w:p>
        </w:tc>
        <w:tc>
          <w:tcPr>
            <w:tcW w:w="0" w:type="dxa"/>
            <w:vAlign w:val="bottom"/>
          </w:tcPr>
          <w:p>
            <w:pPr>
              <w:spacing w:after="0"/>
              <w:rPr>
                <w:sz w:val="1"/>
                <w:szCs w:val="1"/>
                <w:color w:val="auto"/>
              </w:rPr>
            </w:pPr>
          </w:p>
        </w:tc>
      </w:tr>
      <w:tr>
        <w:trPr>
          <w:trHeight w:val="28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129,290</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117,830</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5,197,234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4,764,041</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422,380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486,578</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295,966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308,728</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12,025</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10,496</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Current portion of lease liabilities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82,429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9,568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6,360</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Dividends declared</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7,388</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Pr>
          <w:p>
            <w:pPr>
              <w:spacing w:after="0"/>
              <w:rPr>
                <w:sz w:val="21"/>
                <w:szCs w:val="21"/>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829,756</w:t>
            </w:r>
          </w:p>
        </w:tc>
        <w:tc>
          <w:tcPr>
            <w:tcW w:w="28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812,162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176,319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179,652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22,747</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57,901</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327,124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322,421</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Lease Liabilities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337,648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500,238</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470,777</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2,193,832</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1,842,913</w:t>
            </w:r>
          </w:p>
        </w:tc>
        <w:tc>
          <w:tcPr>
            <w:tcW w:w="0" w:type="dxa"/>
            <w:vAlign w:val="bottom"/>
          </w:tcPr>
          <w:p>
            <w:pPr>
              <w:spacing w:after="0"/>
              <w:rPr>
                <w:sz w:val="1"/>
                <w:szCs w:val="1"/>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3,866</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4,346</w:t>
            </w:r>
          </w:p>
        </w:tc>
        <w:tc>
          <w:tcPr>
            <w:tcW w:w="0" w:type="dxa"/>
            <w:vAlign w:val="bottom"/>
          </w:tcPr>
          <w:p>
            <w:pPr>
              <w:spacing w:after="0"/>
              <w:rPr>
                <w:sz w:val="1"/>
                <w:szCs w:val="1"/>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20,000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Capital in excess of par value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376,639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378,837</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6,303,094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6,236,125</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net of tax</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Cumulative foreign currency translation adjustment</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(19,237)</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(29,270)</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Unrealized gain on pensions and other postretirement plans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231,452</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232,836</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Cash flow hedges</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(96)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Cost of Class B common stock held in treasury</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(3,918,254)</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(3,922,009)</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Common Stockholders’ Equity</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2,993,598</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2,916,782</w:t>
            </w:r>
          </w:p>
        </w:tc>
        <w:tc>
          <w:tcPr>
            <w:tcW w:w="0" w:type="dxa"/>
            <w:vAlign w:val="bottom"/>
          </w:tcPr>
          <w:p>
            <w:pPr>
              <w:spacing w:after="0"/>
              <w:rPr>
                <w:sz w:val="1"/>
                <w:szCs w:val="1"/>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5,938</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2,999,536</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2,916,782</w:t>
            </w:r>
          </w:p>
        </w:tc>
        <w:tc>
          <w:tcPr>
            <w:tcW w:w="0" w:type="dxa"/>
            <w:vAlign w:val="bottom"/>
          </w:tcPr>
          <w:p>
            <w:pPr>
              <w:spacing w:after="0"/>
              <w:rPr>
                <w:sz w:val="1"/>
                <w:szCs w:val="1"/>
                <w:color w:val="auto"/>
              </w:rPr>
            </w:pPr>
          </w:p>
        </w:tc>
      </w:tr>
      <w:tr>
        <w:trPr>
          <w:trHeight w:val="267"/>
        </w:trPr>
        <w:tc>
          <w:tcPr>
            <w:tcW w:w="8320" w:type="dxa"/>
            <w:vAlign w:val="bottom"/>
          </w:tcPr>
          <w:p>
            <w:pPr>
              <w:ind w:left="70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5,197,234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4,764,041</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60" w:top="697" w:right="259" w:bottom="9" w:gutter="0" w:footer="0" w:header="0"/>
        </w:sectPr>
      </w:pPr>
    </w:p>
    <w:bookmarkStart w:id="5" w:name="page6"/>
    <w:bookmarkEnd w:id="5"/>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7"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158"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9"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r>
      <w:tr>
        <w:trPr>
          <w:trHeight w:val="258"/>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2018</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81,702</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42,965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26,583</w:t>
            </w:r>
          </w:p>
        </w:tc>
        <w:tc>
          <w:tcPr>
            <w:tcW w:w="4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25,026</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Amortization of lease right-of-use asset</w:t>
            </w:r>
          </w:p>
        </w:tc>
        <w:tc>
          <w:tcPr>
            <w:tcW w:w="2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20,353</w:t>
            </w:r>
          </w:p>
        </w:tc>
        <w:tc>
          <w:tcPr>
            <w:tcW w:w="4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pension benefit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(13,653)</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(17,295)</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(Gain) loss on marketable equity securities and cost method investments, net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(25,357)</w:t>
            </w:r>
          </w:p>
        </w:tc>
        <w:tc>
          <w:tcPr>
            <w:tcW w:w="4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14,102</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Stock-based compensation expense, net</w:t>
            </w:r>
          </w:p>
        </w:tc>
        <w:tc>
          <w:tcPr>
            <w:tcW w:w="2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1,611</w:t>
            </w:r>
          </w:p>
        </w:tc>
        <w:tc>
          <w:tcPr>
            <w:tcW w:w="4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2,111</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Gain on disposition of businesses, property, plant and equipment and investments, net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(29,204)</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(8,739)</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Foreign exchange gain</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(514)</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Equity in earnings of affiliates, net of distributions</w:t>
            </w:r>
          </w:p>
        </w:tc>
        <w:tc>
          <w:tcPr>
            <w:tcW w:w="2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1,021</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(2,115)</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Provision (benefit) for deferred income taxes</w:t>
            </w:r>
          </w:p>
        </w:tc>
        <w:tc>
          <w:tcPr>
            <w:tcW w:w="2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5,892</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(7,436)</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Change in operating assets and liabilities:</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30,556</w:t>
            </w:r>
          </w:p>
        </w:tc>
        <w:tc>
          <w:tcPr>
            <w:tcW w:w="4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87,311</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(8,807)</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(5,429)</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(84,663)</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(85,955)</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(16,459)</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(8,783)</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Income taxes receivable</w:t>
            </w:r>
          </w:p>
        </w:tc>
        <w:tc>
          <w:tcPr>
            <w:tcW w:w="2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17,964</w:t>
            </w:r>
          </w:p>
        </w:tc>
        <w:tc>
          <w:tcPr>
            <w:tcW w:w="4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18,718</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Other assets and other liabilities, net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(45,327)</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(35,757)</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380</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404</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(Used in) Provided by Operating Activities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(37,922)</w:t>
            </w: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18,951</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certain businesses, net of cash acquired</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(83,721)</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(2,619)</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proceeds (payments) from disposition of businesses, property, plant and equipment and investments</w:t>
            </w:r>
          </w:p>
        </w:tc>
        <w:tc>
          <w:tcPr>
            <w:tcW w:w="2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34,718</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(17,890)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(28,252)</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(17,506)</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Proceeds from sales of marketable equity securities</w:t>
            </w:r>
          </w:p>
        </w:tc>
        <w:tc>
          <w:tcPr>
            <w:tcW w:w="2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17,162</w:t>
            </w:r>
          </w:p>
        </w:tc>
        <w:tc>
          <w:tcPr>
            <w:tcW w:w="4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49,635</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Purchases of marketable equity securities</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(7,499)</w:t>
            </w:r>
          </w:p>
        </w:tc>
        <w:tc>
          <w:tcPr>
            <w:tcW w:w="4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equity affiliates, cost method and other investments</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(3,401)</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(4,552)</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Loan to related party and advance related to Kaplan University transaction</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(3,500)</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(20,000)</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Return of investment in equity affiliates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615</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1,402</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(73,878)</w:t>
            </w: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(11,530)</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Common shares repurchased</w:t>
            </w:r>
          </w:p>
        </w:tc>
        <w:tc>
          <w:tcPr>
            <w:tcW w:w="2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(79,001)</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Issuance of borrowings</w:t>
            </w:r>
          </w:p>
        </w:tc>
        <w:tc>
          <w:tcPr>
            <w:tcW w:w="2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30,000</w:t>
            </w:r>
          </w:p>
        </w:tc>
        <w:tc>
          <w:tcPr>
            <w:tcW w:w="4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proceeds from vehicle floor plan payable</w:t>
            </w:r>
          </w:p>
        </w:tc>
        <w:tc>
          <w:tcPr>
            <w:tcW w:w="2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9,529</w:t>
            </w:r>
          </w:p>
        </w:tc>
        <w:tc>
          <w:tcPr>
            <w:tcW w:w="4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(7,391)</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(7,319)</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Issuance of noncontrolling interest</w:t>
            </w:r>
          </w:p>
        </w:tc>
        <w:tc>
          <w:tcPr>
            <w:tcW w:w="2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6,000</w:t>
            </w:r>
          </w:p>
        </w:tc>
        <w:tc>
          <w:tcPr>
            <w:tcW w:w="4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(1,104)</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(4,653)</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37,034</w:t>
            </w: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(90,973)</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Effect of Currency Exchange Rate Change</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1,776</w:t>
            </w: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4,171</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Decrease in Cash and Cash Equivalents and Restricted Cash</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(72,990)</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(79,381)</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Beginning Cash and Cash Equivalents and Restricted Cash</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264,115</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407,566</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Ending Cash and Cash Equivalents and Restricted Cash</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191,125</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328,185</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20"/>
          </w:cols>
          <w:pgMar w:left="240" w:top="711"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11" w:right="2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COMMON STOCKHOLDERS’ EQUITY (UNAUDITED)</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ind w:left="40"/>
              <w:spacing w:after="0"/>
              <w:rPr>
                <w:sz w:val="20"/>
                <w:szCs w:val="20"/>
                <w:color w:val="auto"/>
              </w:rPr>
            </w:pPr>
            <w:r>
              <w:rPr>
                <w:rFonts w:ascii="Arial" w:cs="Arial" w:eastAsia="Arial" w:hAnsi="Arial"/>
                <w:sz w:val="11"/>
                <w:szCs w:val="11"/>
                <w:color w:val="auto"/>
              </w:rPr>
              <w:t>Capital in</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20" w:type="dxa"/>
            <w:vAlign w:val="bottom"/>
            <w:gridSpan w:val="2"/>
          </w:tcPr>
          <w:p>
            <w:pPr>
              <w:jc w:val="center"/>
              <w:spacing w:after="0"/>
              <w:rPr>
                <w:sz w:val="20"/>
                <w:szCs w:val="20"/>
                <w:color w:val="auto"/>
              </w:rPr>
            </w:pPr>
            <w:r>
              <w:rPr>
                <w:rFonts w:ascii="Arial" w:cs="Arial" w:eastAsia="Arial" w:hAnsi="Arial"/>
                <w:sz w:val="11"/>
                <w:szCs w:val="11"/>
                <w:color w:val="auto"/>
                <w:w w:val="97"/>
              </w:rPr>
              <w:t>Accumulated Other</w:t>
            </w: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center"/>
              <w:ind w:right="56"/>
              <w:spacing w:after="0"/>
              <w:rPr>
                <w:sz w:val="20"/>
                <w:szCs w:val="20"/>
                <w:color w:val="auto"/>
              </w:rPr>
            </w:pPr>
            <w:r>
              <w:rPr>
                <w:rFonts w:ascii="Arial" w:cs="Arial" w:eastAsia="Arial" w:hAnsi="Arial"/>
                <w:sz w:val="11"/>
                <w:szCs w:val="11"/>
                <w:color w:val="auto"/>
                <w:w w:val="96"/>
              </w:rPr>
              <w:t>Redeemable</w:t>
            </w:r>
          </w:p>
        </w:tc>
      </w:tr>
      <w:tr>
        <w:trPr>
          <w:trHeight w:val="122"/>
        </w:trPr>
        <w:tc>
          <w:tcPr>
            <w:tcW w:w="3640" w:type="dxa"/>
            <w:vAlign w:val="bottom"/>
          </w:tcPr>
          <w:p>
            <w:pPr>
              <w:spacing w:after="0"/>
              <w:rPr>
                <w:sz w:val="10"/>
                <w:szCs w:val="10"/>
                <w:color w:val="auto"/>
              </w:rPr>
            </w:pPr>
          </w:p>
        </w:tc>
        <w:tc>
          <w:tcPr>
            <w:tcW w:w="660" w:type="dxa"/>
            <w:vAlign w:val="bottom"/>
          </w:tcPr>
          <w:p>
            <w:pPr>
              <w:jc w:val="right"/>
              <w:ind w:right="37"/>
              <w:spacing w:after="0" w:line="122" w:lineRule="exact"/>
              <w:rPr>
                <w:sz w:val="20"/>
                <w:szCs w:val="20"/>
                <w:color w:val="auto"/>
              </w:rPr>
            </w:pPr>
            <w:r>
              <w:rPr>
                <w:rFonts w:ascii="Arial" w:cs="Arial" w:eastAsia="Arial" w:hAnsi="Arial"/>
                <w:sz w:val="11"/>
                <w:szCs w:val="11"/>
                <w:color w:val="auto"/>
              </w:rPr>
              <w:t>Common</w:t>
            </w:r>
          </w:p>
        </w:tc>
        <w:tc>
          <w:tcPr>
            <w:tcW w:w="180" w:type="dxa"/>
            <w:vAlign w:val="bottom"/>
          </w:tcPr>
          <w:p>
            <w:pPr>
              <w:spacing w:after="0"/>
              <w:rPr>
                <w:sz w:val="10"/>
                <w:szCs w:val="10"/>
                <w:color w:val="auto"/>
              </w:rPr>
            </w:pPr>
          </w:p>
        </w:tc>
        <w:tc>
          <w:tcPr>
            <w:tcW w:w="660" w:type="dxa"/>
            <w:vAlign w:val="bottom"/>
          </w:tcPr>
          <w:p>
            <w:pPr>
              <w:ind w:left="40"/>
              <w:spacing w:after="0" w:line="122" w:lineRule="exact"/>
              <w:rPr>
                <w:sz w:val="20"/>
                <w:szCs w:val="20"/>
                <w:color w:val="auto"/>
              </w:rPr>
            </w:pPr>
            <w:r>
              <w:rPr>
                <w:rFonts w:ascii="Arial" w:cs="Arial" w:eastAsia="Arial" w:hAnsi="Arial"/>
                <w:sz w:val="11"/>
                <w:szCs w:val="11"/>
                <w:color w:val="auto"/>
              </w:rPr>
              <w:t>Excess of</w:t>
            </w:r>
          </w:p>
        </w:tc>
        <w:tc>
          <w:tcPr>
            <w:tcW w:w="180" w:type="dxa"/>
            <w:vAlign w:val="bottom"/>
          </w:tcPr>
          <w:p>
            <w:pPr>
              <w:spacing w:after="0"/>
              <w:rPr>
                <w:sz w:val="10"/>
                <w:szCs w:val="10"/>
                <w:color w:val="auto"/>
              </w:rPr>
            </w:pPr>
          </w:p>
        </w:tc>
        <w:tc>
          <w:tcPr>
            <w:tcW w:w="760" w:type="dxa"/>
            <w:vAlign w:val="bottom"/>
          </w:tcPr>
          <w:p>
            <w:pPr>
              <w:jc w:val="right"/>
              <w:ind w:right="174"/>
              <w:spacing w:after="0" w:line="122" w:lineRule="exact"/>
              <w:rPr>
                <w:sz w:val="20"/>
                <w:szCs w:val="20"/>
                <w:color w:val="auto"/>
              </w:rPr>
            </w:pPr>
            <w:r>
              <w:rPr>
                <w:rFonts w:ascii="Arial" w:cs="Arial" w:eastAsia="Arial" w:hAnsi="Arial"/>
                <w:sz w:val="11"/>
                <w:szCs w:val="11"/>
                <w:color w:val="auto"/>
              </w:rPr>
              <w:t>Retained</w:t>
            </w:r>
          </w:p>
        </w:tc>
        <w:tc>
          <w:tcPr>
            <w:tcW w:w="160" w:type="dxa"/>
            <w:vAlign w:val="bottom"/>
          </w:tcPr>
          <w:p>
            <w:pPr>
              <w:spacing w:after="0"/>
              <w:rPr>
                <w:sz w:val="10"/>
                <w:szCs w:val="10"/>
                <w:color w:val="auto"/>
              </w:rPr>
            </w:pPr>
          </w:p>
        </w:tc>
        <w:tc>
          <w:tcPr>
            <w:tcW w:w="960" w:type="dxa"/>
            <w:vAlign w:val="bottom"/>
          </w:tcPr>
          <w:p>
            <w:pPr>
              <w:jc w:val="center"/>
              <w:ind w:right="55"/>
              <w:spacing w:after="0" w:line="122" w:lineRule="exact"/>
              <w:rPr>
                <w:sz w:val="20"/>
                <w:szCs w:val="20"/>
                <w:color w:val="auto"/>
              </w:rPr>
            </w:pPr>
            <w:r>
              <w:rPr>
                <w:rFonts w:ascii="Arial" w:cs="Arial" w:eastAsia="Arial" w:hAnsi="Arial"/>
                <w:sz w:val="11"/>
                <w:szCs w:val="11"/>
                <w:color w:val="auto"/>
                <w:w w:val="98"/>
              </w:rPr>
              <w:t>Comprehensive</w:t>
            </w:r>
          </w:p>
        </w:tc>
        <w:tc>
          <w:tcPr>
            <w:tcW w:w="200" w:type="dxa"/>
            <w:vAlign w:val="bottom"/>
          </w:tcPr>
          <w:p>
            <w:pPr>
              <w:spacing w:after="0"/>
              <w:rPr>
                <w:sz w:val="10"/>
                <w:szCs w:val="10"/>
                <w:color w:val="auto"/>
              </w:rPr>
            </w:pPr>
          </w:p>
        </w:tc>
        <w:tc>
          <w:tcPr>
            <w:tcW w:w="820" w:type="dxa"/>
            <w:vAlign w:val="bottom"/>
          </w:tcPr>
          <w:p>
            <w:pPr>
              <w:jc w:val="right"/>
              <w:ind w:right="235"/>
              <w:spacing w:after="0" w:line="122" w:lineRule="exact"/>
              <w:rPr>
                <w:sz w:val="20"/>
                <w:szCs w:val="20"/>
                <w:color w:val="auto"/>
              </w:rPr>
            </w:pPr>
            <w:r>
              <w:rPr>
                <w:rFonts w:ascii="Arial" w:cs="Arial" w:eastAsia="Arial" w:hAnsi="Arial"/>
                <w:sz w:val="11"/>
                <w:szCs w:val="11"/>
                <w:color w:val="auto"/>
              </w:rPr>
              <w:t>Treasury</w:t>
            </w:r>
          </w:p>
        </w:tc>
        <w:tc>
          <w:tcPr>
            <w:tcW w:w="140" w:type="dxa"/>
            <w:vAlign w:val="bottom"/>
          </w:tcPr>
          <w:p>
            <w:pPr>
              <w:spacing w:after="0"/>
              <w:rPr>
                <w:sz w:val="10"/>
                <w:szCs w:val="10"/>
                <w:color w:val="auto"/>
              </w:rPr>
            </w:pPr>
          </w:p>
        </w:tc>
        <w:tc>
          <w:tcPr>
            <w:tcW w:w="880" w:type="dxa"/>
            <w:vAlign w:val="bottom"/>
          </w:tcPr>
          <w:p>
            <w:pPr>
              <w:jc w:val="right"/>
              <w:ind w:right="96"/>
              <w:spacing w:after="0" w:line="122" w:lineRule="exact"/>
              <w:rPr>
                <w:sz w:val="20"/>
                <w:szCs w:val="20"/>
                <w:color w:val="auto"/>
              </w:rPr>
            </w:pPr>
            <w:r>
              <w:rPr>
                <w:rFonts w:ascii="Arial" w:cs="Arial" w:eastAsia="Arial" w:hAnsi="Arial"/>
                <w:sz w:val="11"/>
                <w:szCs w:val="11"/>
                <w:color w:val="auto"/>
                <w:w w:val="99"/>
              </w:rPr>
              <w:t>Noncontrolling</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center"/>
              <w:ind w:right="56"/>
              <w:spacing w:after="0" w:line="122" w:lineRule="exact"/>
              <w:rPr>
                <w:sz w:val="20"/>
                <w:szCs w:val="20"/>
                <w:color w:val="auto"/>
              </w:rPr>
            </w:pPr>
            <w:r>
              <w:rPr>
                <w:rFonts w:ascii="Arial" w:cs="Arial" w:eastAsia="Arial" w:hAnsi="Arial"/>
                <w:sz w:val="11"/>
                <w:szCs w:val="11"/>
                <w:color w:val="auto"/>
                <w:w w:val="96"/>
              </w:rPr>
              <w:t>Noncontrolling</w:t>
            </w:r>
          </w:p>
        </w:tc>
      </w:tr>
      <w:tr>
        <w:trPr>
          <w:trHeight w:val="130"/>
        </w:trPr>
        <w:tc>
          <w:tcPr>
            <w:tcW w:w="364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660" w:type="dxa"/>
            <w:vAlign w:val="bottom"/>
          </w:tcPr>
          <w:p>
            <w:pPr>
              <w:jc w:val="right"/>
              <w:ind w:right="97"/>
              <w:spacing w:after="0"/>
              <w:rPr>
                <w:sz w:val="20"/>
                <w:szCs w:val="20"/>
                <w:color w:val="auto"/>
              </w:rPr>
            </w:pPr>
            <w:r>
              <w:rPr>
                <w:rFonts w:ascii="Arial" w:cs="Arial" w:eastAsia="Arial" w:hAnsi="Arial"/>
                <w:sz w:val="11"/>
                <w:szCs w:val="11"/>
                <w:color w:val="auto"/>
              </w:rPr>
              <w:t>Stock</w:t>
            </w:r>
          </w:p>
        </w:tc>
        <w:tc>
          <w:tcPr>
            <w:tcW w:w="1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color w:val="auto"/>
              </w:rPr>
              <w:t>Par Value</w:t>
            </w:r>
          </w:p>
        </w:tc>
        <w:tc>
          <w:tcPr>
            <w:tcW w:w="180" w:type="dxa"/>
            <w:vAlign w:val="bottom"/>
          </w:tcPr>
          <w:p>
            <w:pPr>
              <w:spacing w:after="0"/>
              <w:rPr>
                <w:sz w:val="11"/>
                <w:szCs w:val="11"/>
                <w:color w:val="auto"/>
              </w:rPr>
            </w:pPr>
          </w:p>
        </w:tc>
        <w:tc>
          <w:tcPr>
            <w:tcW w:w="760" w:type="dxa"/>
            <w:vAlign w:val="bottom"/>
          </w:tcPr>
          <w:p>
            <w:pPr>
              <w:jc w:val="right"/>
              <w:ind w:right="154"/>
              <w:spacing w:after="0"/>
              <w:rPr>
                <w:sz w:val="20"/>
                <w:szCs w:val="20"/>
                <w:color w:val="auto"/>
              </w:rPr>
            </w:pPr>
            <w:r>
              <w:rPr>
                <w:rFonts w:ascii="Arial" w:cs="Arial" w:eastAsia="Arial" w:hAnsi="Arial"/>
                <w:sz w:val="11"/>
                <w:szCs w:val="11"/>
                <w:color w:val="auto"/>
              </w:rPr>
              <w:t>Earnings</w:t>
            </w:r>
          </w:p>
        </w:tc>
        <w:tc>
          <w:tcPr>
            <w:tcW w:w="160" w:type="dxa"/>
            <w:vAlign w:val="bottom"/>
          </w:tcPr>
          <w:p>
            <w:pPr>
              <w:spacing w:after="0"/>
              <w:rPr>
                <w:sz w:val="11"/>
                <w:szCs w:val="11"/>
                <w:color w:val="auto"/>
              </w:rPr>
            </w:pPr>
          </w:p>
        </w:tc>
        <w:tc>
          <w:tcPr>
            <w:tcW w:w="960" w:type="dxa"/>
            <w:vAlign w:val="bottom"/>
          </w:tcPr>
          <w:p>
            <w:pPr>
              <w:jc w:val="center"/>
              <w:ind w:right="55"/>
              <w:spacing w:after="0"/>
              <w:rPr>
                <w:sz w:val="20"/>
                <w:szCs w:val="20"/>
                <w:color w:val="auto"/>
              </w:rPr>
            </w:pPr>
            <w:r>
              <w:rPr>
                <w:rFonts w:ascii="Arial" w:cs="Arial" w:eastAsia="Arial" w:hAnsi="Arial"/>
                <w:sz w:val="11"/>
                <w:szCs w:val="11"/>
                <w:color w:val="auto"/>
                <w:w w:val="99"/>
              </w:rPr>
              <w:t>Income</w:t>
            </w:r>
          </w:p>
        </w:tc>
        <w:tc>
          <w:tcPr>
            <w:tcW w:w="200" w:type="dxa"/>
            <w:vAlign w:val="bottom"/>
          </w:tcPr>
          <w:p>
            <w:pPr>
              <w:spacing w:after="0"/>
              <w:rPr>
                <w:sz w:val="11"/>
                <w:szCs w:val="11"/>
                <w:color w:val="auto"/>
              </w:rPr>
            </w:pPr>
          </w:p>
        </w:tc>
        <w:tc>
          <w:tcPr>
            <w:tcW w:w="820" w:type="dxa"/>
            <w:vAlign w:val="bottom"/>
          </w:tcPr>
          <w:p>
            <w:pPr>
              <w:jc w:val="right"/>
              <w:ind w:right="295"/>
              <w:spacing w:after="0"/>
              <w:rPr>
                <w:sz w:val="20"/>
                <w:szCs w:val="20"/>
                <w:color w:val="auto"/>
              </w:rPr>
            </w:pPr>
            <w:r>
              <w:rPr>
                <w:rFonts w:ascii="Arial" w:cs="Arial" w:eastAsia="Arial" w:hAnsi="Arial"/>
                <w:sz w:val="11"/>
                <w:szCs w:val="11"/>
                <w:color w:val="auto"/>
              </w:rPr>
              <w:t>Stock</w:t>
            </w:r>
          </w:p>
        </w:tc>
        <w:tc>
          <w:tcPr>
            <w:tcW w:w="140" w:type="dxa"/>
            <w:vAlign w:val="bottom"/>
          </w:tcPr>
          <w:p>
            <w:pPr>
              <w:spacing w:after="0"/>
              <w:rPr>
                <w:sz w:val="11"/>
                <w:szCs w:val="11"/>
                <w:color w:val="auto"/>
              </w:rPr>
            </w:pPr>
          </w:p>
        </w:tc>
        <w:tc>
          <w:tcPr>
            <w:tcW w:w="880" w:type="dxa"/>
            <w:vAlign w:val="bottom"/>
          </w:tcPr>
          <w:p>
            <w:pPr>
              <w:jc w:val="right"/>
              <w:ind w:right="256"/>
              <w:spacing w:after="0"/>
              <w:rPr>
                <w:sz w:val="20"/>
                <w:szCs w:val="20"/>
                <w:color w:val="auto"/>
              </w:rPr>
            </w:pPr>
            <w:r>
              <w:rPr>
                <w:rFonts w:ascii="Arial" w:cs="Arial" w:eastAsia="Arial" w:hAnsi="Arial"/>
                <w:sz w:val="11"/>
                <w:szCs w:val="11"/>
                <w:color w:val="auto"/>
              </w:rPr>
              <w:t>Interest</w:t>
            </w:r>
          </w:p>
        </w:tc>
        <w:tc>
          <w:tcPr>
            <w:tcW w:w="180" w:type="dxa"/>
            <w:vAlign w:val="bottom"/>
          </w:tcPr>
          <w:p>
            <w:pPr>
              <w:spacing w:after="0"/>
              <w:rPr>
                <w:sz w:val="11"/>
                <w:szCs w:val="11"/>
                <w:color w:val="auto"/>
              </w:rPr>
            </w:pPr>
          </w:p>
        </w:tc>
        <w:tc>
          <w:tcPr>
            <w:tcW w:w="880" w:type="dxa"/>
            <w:vAlign w:val="bottom"/>
          </w:tcPr>
          <w:p>
            <w:pPr>
              <w:jc w:val="right"/>
              <w:ind w:right="193"/>
              <w:spacing w:after="0"/>
              <w:rPr>
                <w:sz w:val="20"/>
                <w:szCs w:val="20"/>
                <w:color w:val="auto"/>
              </w:rPr>
            </w:pPr>
            <w:r>
              <w:rPr>
                <w:rFonts w:ascii="Arial" w:cs="Arial" w:eastAsia="Arial" w:hAnsi="Arial"/>
                <w:sz w:val="11"/>
                <w:szCs w:val="11"/>
                <w:color w:val="auto"/>
              </w:rPr>
              <w:t>Total Equity</w:t>
            </w:r>
          </w:p>
        </w:tc>
        <w:tc>
          <w:tcPr>
            <w:tcW w:w="200" w:type="dxa"/>
            <w:vAlign w:val="bottom"/>
          </w:tcPr>
          <w:p>
            <w:pPr>
              <w:spacing w:after="0"/>
              <w:rPr>
                <w:sz w:val="11"/>
                <w:szCs w:val="11"/>
                <w:color w:val="auto"/>
              </w:rPr>
            </w:pPr>
          </w:p>
        </w:tc>
        <w:tc>
          <w:tcPr>
            <w:tcW w:w="880" w:type="dxa"/>
            <w:vAlign w:val="bottom"/>
          </w:tcPr>
          <w:p>
            <w:pPr>
              <w:jc w:val="center"/>
              <w:ind w:right="56"/>
              <w:spacing w:after="0"/>
              <w:rPr>
                <w:sz w:val="20"/>
                <w:szCs w:val="20"/>
                <w:color w:val="auto"/>
              </w:rPr>
            </w:pPr>
            <w:r>
              <w:rPr>
                <w:rFonts w:ascii="Arial" w:cs="Arial" w:eastAsia="Arial" w:hAnsi="Arial"/>
                <w:sz w:val="11"/>
                <w:szCs w:val="11"/>
                <w:color w:val="auto"/>
                <w:w w:val="97"/>
              </w:rPr>
              <w:t>Interest</w:t>
            </w:r>
          </w:p>
        </w:tc>
      </w:tr>
      <w:tr>
        <w:trPr>
          <w:trHeight w:val="22"/>
        </w:trPr>
        <w:tc>
          <w:tcPr>
            <w:tcW w:w="3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2018</w:t>
            </w:r>
          </w:p>
        </w:tc>
        <w:tc>
          <w:tcPr>
            <w:tcW w:w="660" w:type="dxa"/>
            <w:vAlign w:val="bottom"/>
          </w:tcPr>
          <w:p>
            <w:pPr>
              <w:jc w:val="right"/>
              <w:ind w:right="17"/>
              <w:spacing w:after="0"/>
              <w:rPr>
                <w:sz w:val="20"/>
                <w:szCs w:val="20"/>
                <w:color w:val="auto"/>
              </w:rPr>
            </w:pPr>
            <w:r>
              <w:rPr>
                <w:rFonts w:ascii="Arial" w:cs="Arial" w:eastAsia="Arial" w:hAnsi="Arial"/>
                <w:sz w:val="14"/>
                <w:szCs w:val="14"/>
                <w:b w:val="1"/>
                <w:bCs w:val="1"/>
                <w:color w:val="auto"/>
              </w:rPr>
              <w:t>$ 20,000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16"/>
              <w:spacing w:after="0"/>
              <w:rPr>
                <w:sz w:val="20"/>
                <w:szCs w:val="20"/>
                <w:color w:val="auto"/>
              </w:rPr>
            </w:pPr>
            <w:r>
              <w:rPr>
                <w:rFonts w:ascii="Arial" w:cs="Arial" w:eastAsia="Arial" w:hAnsi="Arial"/>
                <w:sz w:val="14"/>
                <w:szCs w:val="14"/>
                <w:b w:val="1"/>
                <w:bCs w:val="1"/>
                <w:color w:val="auto"/>
              </w:rPr>
              <w:t>378,837</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34"/>
              <w:spacing w:after="0"/>
              <w:rPr>
                <w:sz w:val="20"/>
                <w:szCs w:val="20"/>
                <w:color w:val="auto"/>
              </w:rPr>
            </w:pPr>
            <w:r>
              <w:rPr>
                <w:rFonts w:ascii="Arial" w:cs="Arial" w:eastAsia="Arial" w:hAnsi="Arial"/>
                <w:sz w:val="14"/>
                <w:szCs w:val="14"/>
                <w:b w:val="1"/>
                <w:bCs w:val="1"/>
                <w:color w:val="auto"/>
              </w:rPr>
              <w:t>6,236,125</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5"/>
              <w:spacing w:after="0"/>
              <w:rPr>
                <w:sz w:val="20"/>
                <w:szCs w:val="20"/>
                <w:color w:val="auto"/>
              </w:rPr>
            </w:pPr>
            <w:r>
              <w:rPr>
                <w:rFonts w:ascii="Arial" w:cs="Arial" w:eastAsia="Arial" w:hAnsi="Arial"/>
                <w:sz w:val="14"/>
                <w:szCs w:val="14"/>
                <w:b w:val="1"/>
                <w:bCs w:val="1"/>
                <w:color w:val="auto"/>
              </w:rPr>
              <w:t>203,829</w:t>
            </w:r>
          </w:p>
        </w:tc>
        <w:tc>
          <w:tcPr>
            <w:tcW w:w="20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(3,922,009)</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36"/>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73"/>
              <w:spacing w:after="0"/>
              <w:rPr>
                <w:sz w:val="20"/>
                <w:szCs w:val="20"/>
                <w:color w:val="auto"/>
              </w:rPr>
            </w:pPr>
            <w:r>
              <w:rPr>
                <w:rFonts w:ascii="Arial" w:cs="Arial" w:eastAsia="Arial" w:hAnsi="Arial"/>
                <w:sz w:val="14"/>
                <w:szCs w:val="14"/>
                <w:b w:val="1"/>
                <w:bCs w:val="1"/>
                <w:color w:val="auto"/>
              </w:rPr>
              <w:t>2,916,782</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36"/>
              <w:spacing w:after="0"/>
              <w:rPr>
                <w:sz w:val="20"/>
                <w:szCs w:val="20"/>
                <w:color w:val="auto"/>
              </w:rPr>
            </w:pPr>
            <w:r>
              <w:rPr>
                <w:rFonts w:ascii="Arial" w:cs="Arial" w:eastAsia="Arial" w:hAnsi="Arial"/>
                <w:sz w:val="14"/>
                <w:szCs w:val="14"/>
                <w:b w:val="1"/>
                <w:bCs w:val="1"/>
                <w:color w:val="auto"/>
              </w:rPr>
              <w:t>4,346</w:t>
            </w:r>
          </w:p>
        </w:tc>
      </w:tr>
      <w:tr>
        <w:trPr>
          <w:trHeight w:val="270"/>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Net income for the period</w:t>
            </w: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34"/>
              <w:spacing w:after="0"/>
              <w:rPr>
                <w:sz w:val="20"/>
                <w:szCs w:val="20"/>
                <w:color w:val="auto"/>
              </w:rPr>
            </w:pPr>
            <w:r>
              <w:rPr>
                <w:rFonts w:ascii="Arial" w:cs="Arial" w:eastAsia="Arial" w:hAnsi="Arial"/>
                <w:sz w:val="14"/>
                <w:szCs w:val="14"/>
                <w:b w:val="1"/>
                <w:bCs w:val="1"/>
                <w:color w:val="auto"/>
              </w:rPr>
              <w:t>81,702</w:t>
            </w: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73"/>
              <w:spacing w:after="0"/>
              <w:rPr>
                <w:sz w:val="20"/>
                <w:szCs w:val="20"/>
                <w:color w:val="auto"/>
              </w:rPr>
            </w:pPr>
            <w:r>
              <w:rPr>
                <w:rFonts w:ascii="Arial" w:cs="Arial" w:eastAsia="Arial" w:hAnsi="Arial"/>
                <w:sz w:val="14"/>
                <w:szCs w:val="14"/>
                <w:b w:val="1"/>
                <w:bCs w:val="1"/>
                <w:color w:val="auto"/>
              </w:rPr>
              <w:t>81,702</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Issuance of noncontrolling interest</w:t>
            </w: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6"/>
              <w:spacing w:after="0"/>
              <w:rPr>
                <w:sz w:val="20"/>
                <w:szCs w:val="20"/>
                <w:color w:val="auto"/>
              </w:rPr>
            </w:pPr>
            <w:r>
              <w:rPr>
                <w:rFonts w:ascii="Arial" w:cs="Arial" w:eastAsia="Arial" w:hAnsi="Arial"/>
                <w:sz w:val="14"/>
                <w:szCs w:val="14"/>
                <w:b w:val="1"/>
                <w:bCs w:val="1"/>
                <w:color w:val="auto"/>
              </w:rPr>
              <w:t>6,000</w:t>
            </w:r>
          </w:p>
        </w:tc>
        <w:tc>
          <w:tcPr>
            <w:tcW w:w="180" w:type="dxa"/>
            <w:vAlign w:val="bottom"/>
          </w:tcPr>
          <w:p>
            <w:pPr>
              <w:spacing w:after="0"/>
              <w:rPr>
                <w:sz w:val="23"/>
                <w:szCs w:val="23"/>
                <w:color w:val="auto"/>
              </w:rPr>
            </w:pPr>
          </w:p>
        </w:tc>
        <w:tc>
          <w:tcPr>
            <w:tcW w:w="880" w:type="dxa"/>
            <w:vAlign w:val="bottom"/>
          </w:tcPr>
          <w:p>
            <w:pPr>
              <w:jc w:val="right"/>
              <w:ind w:right="73"/>
              <w:spacing w:after="0"/>
              <w:rPr>
                <w:sz w:val="20"/>
                <w:szCs w:val="20"/>
                <w:color w:val="auto"/>
              </w:rPr>
            </w:pPr>
            <w:r>
              <w:rPr>
                <w:rFonts w:ascii="Arial" w:cs="Arial" w:eastAsia="Arial" w:hAnsi="Arial"/>
                <w:sz w:val="14"/>
                <w:szCs w:val="14"/>
                <w:b w:val="1"/>
                <w:bCs w:val="1"/>
                <w:color w:val="auto"/>
              </w:rPr>
              <w:t>6,000</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noncontrolling interest</w:t>
            </w: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34"/>
              <w:spacing w:after="0"/>
              <w:rPr>
                <w:sz w:val="20"/>
                <w:szCs w:val="20"/>
                <w:color w:val="auto"/>
              </w:rPr>
            </w:pPr>
            <w:r>
              <w:rPr>
                <w:rFonts w:ascii="Arial" w:cs="Arial" w:eastAsia="Arial" w:hAnsi="Arial"/>
                <w:sz w:val="14"/>
                <w:szCs w:val="14"/>
                <w:b w:val="1"/>
                <w:bCs w:val="1"/>
                <w:color w:val="auto"/>
              </w:rPr>
              <w:t>62</w:t>
            </w: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(62)</w:t>
            </w:r>
          </w:p>
        </w:tc>
        <w:tc>
          <w:tcPr>
            <w:tcW w:w="180" w:type="dxa"/>
            <w:vAlign w:val="bottom"/>
          </w:tcPr>
          <w:p>
            <w:pPr>
              <w:spacing w:after="0"/>
              <w:rPr>
                <w:sz w:val="23"/>
                <w:szCs w:val="23"/>
                <w:color w:val="auto"/>
              </w:rPr>
            </w:pPr>
          </w:p>
        </w:tc>
        <w:tc>
          <w:tcPr>
            <w:tcW w:w="88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73"/>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redeemable noncontrolling</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8"/>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interests</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b w:val="1"/>
                <w:bCs w:val="1"/>
                <w:color w:val="auto"/>
              </w:rPr>
              <w:t>(16)</w:t>
            </w:r>
          </w:p>
        </w:tc>
        <w:tc>
          <w:tcPr>
            <w:tcW w:w="20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4"/>
                <w:szCs w:val="14"/>
                <w:b w:val="1"/>
                <w:bCs w:val="1"/>
                <w:color w:val="auto"/>
              </w:rPr>
              <w:t>16</w:t>
            </w:r>
          </w:p>
        </w:tc>
      </w:tr>
      <w:tr>
        <w:trPr>
          <w:trHeight w:val="173"/>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Change in redemption value of redeemable</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8"/>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noncontrolling interests</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b w:val="1"/>
                <w:bCs w:val="1"/>
                <w:color w:val="auto"/>
              </w:rPr>
              <w:t>(54)</w:t>
            </w:r>
          </w:p>
        </w:tc>
        <w:tc>
          <w:tcPr>
            <w:tcW w:w="20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4"/>
                <w:szCs w:val="14"/>
                <w:b w:val="1"/>
                <w:bCs w:val="1"/>
                <w:color w:val="auto"/>
              </w:rPr>
              <w:t>54</w:t>
            </w:r>
          </w:p>
        </w:tc>
      </w:tr>
      <w:tr>
        <w:trPr>
          <w:trHeight w:val="270"/>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Dividends on common stock</w:t>
            </w: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(14,779)</w:t>
            </w: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b w:val="1"/>
                <w:bCs w:val="1"/>
                <w:color w:val="auto"/>
              </w:rPr>
              <w:t>(14,779)</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73"/>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Issuance of Class B common stock, net of restricted</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8"/>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stock award forfeitures</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(3,783)</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15"/>
              <w:spacing w:after="0"/>
              <w:rPr>
                <w:sz w:val="20"/>
                <w:szCs w:val="20"/>
                <w:color w:val="auto"/>
              </w:rPr>
            </w:pPr>
            <w:r>
              <w:rPr>
                <w:rFonts w:ascii="Arial" w:cs="Arial" w:eastAsia="Arial" w:hAnsi="Arial"/>
                <w:sz w:val="14"/>
                <w:szCs w:val="14"/>
                <w:b w:val="1"/>
                <w:bCs w:val="1"/>
                <w:color w:val="auto"/>
              </w:rPr>
              <w:t>3,755</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b w:val="1"/>
                <w:bCs w:val="1"/>
                <w:color w:val="auto"/>
              </w:rPr>
              <w:t>(28)</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Amortization of unearned stock compensation and</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8"/>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stock option expense</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6"/>
              <w:spacing w:after="0"/>
              <w:rPr>
                <w:sz w:val="20"/>
                <w:szCs w:val="20"/>
                <w:color w:val="auto"/>
              </w:rPr>
            </w:pPr>
            <w:r>
              <w:rPr>
                <w:rFonts w:ascii="Arial" w:cs="Arial" w:eastAsia="Arial" w:hAnsi="Arial"/>
                <w:sz w:val="14"/>
                <w:szCs w:val="14"/>
                <w:b w:val="1"/>
                <w:bCs w:val="1"/>
                <w:color w:val="auto"/>
              </w:rPr>
              <w:t>1,639</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73"/>
              <w:spacing w:after="0"/>
              <w:rPr>
                <w:sz w:val="20"/>
                <w:szCs w:val="20"/>
                <w:color w:val="auto"/>
              </w:rPr>
            </w:pPr>
            <w:r>
              <w:rPr>
                <w:rFonts w:ascii="Arial" w:cs="Arial" w:eastAsia="Arial" w:hAnsi="Arial"/>
                <w:sz w:val="14"/>
                <w:szCs w:val="14"/>
                <w:b w:val="1"/>
                <w:bCs w:val="1"/>
                <w:color w:val="auto"/>
              </w:rPr>
              <w:t>1,639</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70"/>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Other comprehensive income, net of income taxes</w:t>
            </w: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5"/>
              <w:spacing w:after="0"/>
              <w:rPr>
                <w:sz w:val="20"/>
                <w:szCs w:val="20"/>
                <w:color w:val="auto"/>
              </w:rPr>
            </w:pPr>
            <w:r>
              <w:rPr>
                <w:rFonts w:ascii="Arial" w:cs="Arial" w:eastAsia="Arial" w:hAnsi="Arial"/>
                <w:sz w:val="14"/>
                <w:szCs w:val="14"/>
                <w:b w:val="1"/>
                <w:bCs w:val="1"/>
                <w:color w:val="auto"/>
              </w:rPr>
              <w:t>8,290</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73"/>
              <w:spacing w:after="0"/>
              <w:rPr>
                <w:sz w:val="20"/>
                <w:szCs w:val="20"/>
                <w:color w:val="auto"/>
              </w:rPr>
            </w:pPr>
            <w:r>
              <w:rPr>
                <w:rFonts w:ascii="Arial" w:cs="Arial" w:eastAsia="Arial" w:hAnsi="Arial"/>
                <w:sz w:val="14"/>
                <w:szCs w:val="14"/>
                <w:b w:val="1"/>
                <w:bCs w:val="1"/>
                <w:color w:val="auto"/>
              </w:rPr>
              <w:t>8,290</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8"/>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Purchase of redeemable noncontrolling interest</w:t>
            </w: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(550)</w:t>
            </w:r>
          </w:p>
        </w:tc>
      </w:tr>
      <w:tr>
        <w:trPr>
          <w:trHeight w:val="270"/>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As of March 31, 2019</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$ 20,000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376,639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6,303,094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212,119</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(3,918,254)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5,938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2,999,536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3,866</w:t>
            </w:r>
          </w:p>
        </w:tc>
      </w:tr>
      <w:tr>
        <w:trPr>
          <w:trHeight w:val="20"/>
        </w:trPr>
        <w:tc>
          <w:tcPr>
            <w:tcW w:w="3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80"/>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2017</w:t>
            </w:r>
          </w:p>
        </w:tc>
        <w:tc>
          <w:tcPr>
            <w:tcW w:w="660" w:type="dxa"/>
            <w:vAlign w:val="bottom"/>
          </w:tcPr>
          <w:p>
            <w:pPr>
              <w:jc w:val="right"/>
              <w:ind w:right="17"/>
              <w:spacing w:after="0"/>
              <w:rPr>
                <w:sz w:val="20"/>
                <w:szCs w:val="20"/>
                <w:color w:val="auto"/>
              </w:rPr>
            </w:pPr>
            <w:r>
              <w:rPr>
                <w:rFonts w:ascii="Arial" w:cs="Arial" w:eastAsia="Arial" w:hAnsi="Arial"/>
                <w:sz w:val="14"/>
                <w:szCs w:val="14"/>
                <w:b w:val="1"/>
                <w:bCs w:val="1"/>
                <w:color w:val="auto"/>
              </w:rPr>
              <w:t>$ 20,000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16"/>
              <w:spacing w:after="0"/>
              <w:rPr>
                <w:sz w:val="20"/>
                <w:szCs w:val="20"/>
                <w:color w:val="auto"/>
              </w:rPr>
            </w:pPr>
            <w:r>
              <w:rPr>
                <w:rFonts w:ascii="Arial" w:cs="Arial" w:eastAsia="Arial" w:hAnsi="Arial"/>
                <w:sz w:val="14"/>
                <w:szCs w:val="14"/>
                <w:b w:val="1"/>
                <w:bCs w:val="1"/>
                <w:color w:val="auto"/>
              </w:rPr>
              <w:t>370,700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34"/>
              <w:spacing w:after="0"/>
              <w:rPr>
                <w:sz w:val="20"/>
                <w:szCs w:val="20"/>
                <w:color w:val="auto"/>
              </w:rPr>
            </w:pPr>
            <w:r>
              <w:rPr>
                <w:rFonts w:ascii="Arial" w:cs="Arial" w:eastAsia="Arial" w:hAnsi="Arial"/>
                <w:sz w:val="14"/>
                <w:szCs w:val="14"/>
                <w:b w:val="1"/>
                <w:bCs w:val="1"/>
                <w:color w:val="auto"/>
              </w:rPr>
              <w:t>5,791,724</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5"/>
              <w:spacing w:after="0"/>
              <w:rPr>
                <w:sz w:val="20"/>
                <w:szCs w:val="20"/>
                <w:color w:val="auto"/>
              </w:rPr>
            </w:pPr>
            <w:r>
              <w:rPr>
                <w:rFonts w:ascii="Arial" w:cs="Arial" w:eastAsia="Arial" w:hAnsi="Arial"/>
                <w:sz w:val="14"/>
                <w:szCs w:val="14"/>
                <w:b w:val="1"/>
                <w:bCs w:val="1"/>
                <w:color w:val="auto"/>
              </w:rPr>
              <w:t>535,555</w:t>
            </w:r>
          </w:p>
        </w:tc>
        <w:tc>
          <w:tcPr>
            <w:tcW w:w="20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(3,802,834)</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36"/>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73"/>
              <w:spacing w:after="0"/>
              <w:rPr>
                <w:sz w:val="20"/>
                <w:szCs w:val="20"/>
                <w:color w:val="auto"/>
              </w:rPr>
            </w:pPr>
            <w:r>
              <w:rPr>
                <w:rFonts w:ascii="Arial" w:cs="Arial" w:eastAsia="Arial" w:hAnsi="Arial"/>
                <w:sz w:val="14"/>
                <w:szCs w:val="14"/>
                <w:b w:val="1"/>
                <w:bCs w:val="1"/>
                <w:color w:val="auto"/>
              </w:rPr>
              <w:t>2,915,145</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36"/>
              <w:spacing w:after="0"/>
              <w:rPr>
                <w:sz w:val="20"/>
                <w:szCs w:val="20"/>
                <w:color w:val="auto"/>
              </w:rPr>
            </w:pPr>
            <w:r>
              <w:rPr>
                <w:rFonts w:ascii="Arial" w:cs="Arial" w:eastAsia="Arial" w:hAnsi="Arial"/>
                <w:sz w:val="14"/>
                <w:szCs w:val="14"/>
                <w:b w:val="1"/>
                <w:bCs w:val="1"/>
                <w:color w:val="auto"/>
              </w:rPr>
              <w:t>4,607</w:t>
            </w:r>
          </w:p>
        </w:tc>
      </w:tr>
      <w:tr>
        <w:trPr>
          <w:trHeight w:val="270"/>
        </w:trPr>
        <w:tc>
          <w:tcPr>
            <w:tcW w:w="3640" w:type="dxa"/>
            <w:vAlign w:val="bottom"/>
          </w:tcPr>
          <w:p>
            <w:pPr>
              <w:ind w:left="20"/>
              <w:spacing w:after="0"/>
              <w:rPr>
                <w:sz w:val="20"/>
                <w:szCs w:val="20"/>
                <w:color w:val="auto"/>
              </w:rPr>
            </w:pPr>
            <w:r>
              <w:rPr>
                <w:rFonts w:ascii="Arial" w:cs="Arial" w:eastAsia="Arial" w:hAnsi="Arial"/>
                <w:sz w:val="14"/>
                <w:szCs w:val="14"/>
                <w:color w:val="auto"/>
              </w:rPr>
              <w:t>Net income for the period</w:t>
            </w: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34"/>
              <w:spacing w:after="0"/>
              <w:rPr>
                <w:sz w:val="20"/>
                <w:szCs w:val="20"/>
                <w:color w:val="auto"/>
              </w:rPr>
            </w:pPr>
            <w:r>
              <w:rPr>
                <w:rFonts w:ascii="Arial" w:cs="Arial" w:eastAsia="Arial" w:hAnsi="Arial"/>
                <w:sz w:val="14"/>
                <w:szCs w:val="14"/>
                <w:color w:val="auto"/>
              </w:rPr>
              <w:t>42,965</w:t>
            </w: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42,965</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89"/>
        </w:trPr>
        <w:tc>
          <w:tcPr>
            <w:tcW w:w="3640" w:type="dxa"/>
            <w:vAlign w:val="bottom"/>
          </w:tcPr>
          <w:p>
            <w:pPr>
              <w:ind w:left="20"/>
              <w:spacing w:after="0"/>
              <w:rPr>
                <w:sz w:val="20"/>
                <w:szCs w:val="20"/>
                <w:color w:val="auto"/>
              </w:rPr>
            </w:pPr>
            <w:r>
              <w:rPr>
                <w:rFonts w:ascii="Arial" w:cs="Arial" w:eastAsia="Arial" w:hAnsi="Arial"/>
                <w:sz w:val="14"/>
                <w:szCs w:val="14"/>
                <w:color w:val="auto"/>
              </w:rPr>
              <w:t>Net income attributable to redeemable noncontrolling</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2"/>
        </w:trPr>
        <w:tc>
          <w:tcPr>
            <w:tcW w:w="3640" w:type="dxa"/>
            <w:vAlign w:val="bottom"/>
          </w:tcPr>
          <w:p>
            <w:pPr>
              <w:ind w:left="20"/>
              <w:spacing w:after="0"/>
              <w:rPr>
                <w:sz w:val="20"/>
                <w:szCs w:val="20"/>
                <w:color w:val="auto"/>
              </w:rPr>
            </w:pPr>
            <w:r>
              <w:rPr>
                <w:rFonts w:ascii="Arial" w:cs="Arial" w:eastAsia="Arial" w:hAnsi="Arial"/>
                <w:sz w:val="14"/>
                <w:szCs w:val="14"/>
                <w:color w:val="auto"/>
              </w:rPr>
              <w:t>interests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(73)</w:t>
            </w:r>
          </w:p>
        </w:tc>
        <w:tc>
          <w:tcPr>
            <w:tcW w:w="20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Arial" w:cs="Arial" w:eastAsia="Arial" w:hAnsi="Arial"/>
                <w:sz w:val="14"/>
                <w:szCs w:val="14"/>
                <w:color w:val="auto"/>
              </w:rPr>
              <w:t>73</w:t>
            </w:r>
          </w:p>
        </w:tc>
      </w:tr>
      <w:tr>
        <w:trPr>
          <w:trHeight w:val="270"/>
        </w:trPr>
        <w:tc>
          <w:tcPr>
            <w:tcW w:w="3640" w:type="dxa"/>
            <w:vAlign w:val="bottom"/>
          </w:tcPr>
          <w:p>
            <w:pPr>
              <w:ind w:left="20"/>
              <w:spacing w:after="0"/>
              <w:rPr>
                <w:sz w:val="20"/>
                <w:szCs w:val="20"/>
                <w:color w:val="auto"/>
              </w:rPr>
            </w:pPr>
            <w:r>
              <w:rPr>
                <w:rFonts w:ascii="Arial" w:cs="Arial" w:eastAsia="Arial" w:hAnsi="Arial"/>
                <w:sz w:val="14"/>
                <w:szCs w:val="14"/>
                <w:color w:val="auto"/>
              </w:rPr>
              <w:t>Dividends on common stock</w:t>
            </w: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(14,638)</w:t>
            </w: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(14,638)</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3640" w:type="dxa"/>
            <w:vAlign w:val="bottom"/>
          </w:tcPr>
          <w:p>
            <w:pPr>
              <w:ind w:left="20"/>
              <w:spacing w:after="0"/>
              <w:rPr>
                <w:sz w:val="20"/>
                <w:szCs w:val="20"/>
                <w:color w:val="auto"/>
              </w:rPr>
            </w:pPr>
            <w:r>
              <w:rPr>
                <w:rFonts w:ascii="Arial" w:cs="Arial" w:eastAsia="Arial" w:hAnsi="Arial"/>
                <w:sz w:val="14"/>
                <w:szCs w:val="14"/>
                <w:color w:val="auto"/>
              </w:rPr>
              <w:t>Repurchase of Class B common stock</w:t>
            </w: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(79,001)</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(79,001)</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89"/>
        </w:trPr>
        <w:tc>
          <w:tcPr>
            <w:tcW w:w="3640" w:type="dxa"/>
            <w:vAlign w:val="bottom"/>
          </w:tcPr>
          <w:p>
            <w:pPr>
              <w:ind w:left="20"/>
              <w:spacing w:after="0"/>
              <w:rPr>
                <w:sz w:val="20"/>
                <w:szCs w:val="20"/>
                <w:color w:val="auto"/>
              </w:rPr>
            </w:pPr>
            <w:r>
              <w:rPr>
                <w:rFonts w:ascii="Arial" w:cs="Arial" w:eastAsia="Arial" w:hAnsi="Arial"/>
                <w:sz w:val="14"/>
                <w:szCs w:val="14"/>
                <w:color w:val="auto"/>
              </w:rPr>
              <w:t>Issuance of Class B common stock, net of restricted stock</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2"/>
        </w:trPr>
        <w:tc>
          <w:tcPr>
            <w:tcW w:w="3640" w:type="dxa"/>
            <w:vAlign w:val="bottom"/>
          </w:tcPr>
          <w:p>
            <w:pPr>
              <w:ind w:left="20"/>
              <w:spacing w:after="0"/>
              <w:rPr>
                <w:sz w:val="20"/>
                <w:szCs w:val="20"/>
                <w:color w:val="auto"/>
              </w:rPr>
            </w:pPr>
            <w:r>
              <w:rPr>
                <w:rFonts w:ascii="Arial" w:cs="Arial" w:eastAsia="Arial" w:hAnsi="Arial"/>
                <w:sz w:val="14"/>
                <w:szCs w:val="14"/>
                <w:color w:val="auto"/>
              </w:rPr>
              <w:t>award forfeitures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(189)</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5"/>
              <w:spacing w:after="0"/>
              <w:rPr>
                <w:sz w:val="20"/>
                <w:szCs w:val="20"/>
                <w:color w:val="auto"/>
              </w:rPr>
            </w:pPr>
            <w:r>
              <w:rPr>
                <w:rFonts w:ascii="Arial" w:cs="Arial" w:eastAsia="Arial" w:hAnsi="Arial"/>
                <w:sz w:val="14"/>
                <w:szCs w:val="14"/>
                <w:color w:val="auto"/>
              </w:rPr>
              <w:t>119</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(70)</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9"/>
        </w:trPr>
        <w:tc>
          <w:tcPr>
            <w:tcW w:w="3640" w:type="dxa"/>
            <w:vAlign w:val="bottom"/>
          </w:tcPr>
          <w:p>
            <w:pPr>
              <w:ind w:left="20"/>
              <w:spacing w:after="0"/>
              <w:rPr>
                <w:sz w:val="20"/>
                <w:szCs w:val="20"/>
                <w:color w:val="auto"/>
              </w:rPr>
            </w:pPr>
            <w:r>
              <w:rPr>
                <w:rFonts w:ascii="Arial" w:cs="Arial" w:eastAsia="Arial" w:hAnsi="Arial"/>
                <w:sz w:val="14"/>
                <w:szCs w:val="14"/>
                <w:color w:val="auto"/>
              </w:rPr>
              <w:t>Amortization of unearned stock compensation and stock</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2"/>
        </w:trPr>
        <w:tc>
          <w:tcPr>
            <w:tcW w:w="3640" w:type="dxa"/>
            <w:vAlign w:val="bottom"/>
          </w:tcPr>
          <w:p>
            <w:pPr>
              <w:ind w:left="20"/>
              <w:spacing w:after="0"/>
              <w:rPr>
                <w:sz w:val="20"/>
                <w:szCs w:val="20"/>
                <w:color w:val="auto"/>
              </w:rPr>
            </w:pPr>
            <w:r>
              <w:rPr>
                <w:rFonts w:ascii="Arial" w:cs="Arial" w:eastAsia="Arial" w:hAnsi="Arial"/>
                <w:sz w:val="14"/>
                <w:szCs w:val="14"/>
                <w:color w:val="auto"/>
              </w:rPr>
              <w:t>option expense</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4"/>
                <w:szCs w:val="14"/>
                <w:color w:val="auto"/>
              </w:rPr>
              <w:t>2,325</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2,325</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70"/>
        </w:trPr>
        <w:tc>
          <w:tcPr>
            <w:tcW w:w="3640" w:type="dxa"/>
            <w:vAlign w:val="bottom"/>
          </w:tcPr>
          <w:p>
            <w:pPr>
              <w:ind w:left="20"/>
              <w:spacing w:after="0"/>
              <w:rPr>
                <w:sz w:val="20"/>
                <w:szCs w:val="20"/>
                <w:color w:val="auto"/>
              </w:rPr>
            </w:pPr>
            <w:r>
              <w:rPr>
                <w:rFonts w:ascii="Arial" w:cs="Arial" w:eastAsia="Arial" w:hAnsi="Arial"/>
                <w:sz w:val="14"/>
                <w:szCs w:val="14"/>
                <w:color w:val="auto"/>
              </w:rPr>
              <w:t>Other comprehensive income, net of income taxes</w:t>
            </w: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5"/>
              <w:spacing w:after="0"/>
              <w:rPr>
                <w:sz w:val="20"/>
                <w:szCs w:val="20"/>
                <w:color w:val="auto"/>
              </w:rPr>
            </w:pPr>
            <w:r>
              <w:rPr>
                <w:rFonts w:ascii="Arial" w:cs="Arial" w:eastAsia="Arial" w:hAnsi="Arial"/>
                <w:sz w:val="14"/>
                <w:szCs w:val="14"/>
                <w:color w:val="auto"/>
              </w:rPr>
              <w:t>10,812</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10,812</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8"/>
        </w:trPr>
        <w:tc>
          <w:tcPr>
            <w:tcW w:w="3640" w:type="dxa"/>
            <w:vAlign w:val="bottom"/>
          </w:tcPr>
          <w:p>
            <w:pPr>
              <w:ind w:left="20"/>
              <w:spacing w:after="0"/>
              <w:rPr>
                <w:sz w:val="20"/>
                <w:szCs w:val="20"/>
                <w:color w:val="auto"/>
              </w:rPr>
            </w:pPr>
            <w:r>
              <w:rPr>
                <w:rFonts w:ascii="Arial" w:cs="Arial" w:eastAsia="Arial" w:hAnsi="Arial"/>
                <w:sz w:val="14"/>
                <w:szCs w:val="14"/>
                <w:color w:val="auto"/>
              </w:rPr>
              <w:t>Cumulative effect of accounting change</w:t>
            </w: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201,812</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(194,889)</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6,923</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70"/>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As of March 31, 2018</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$ 20,000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372,836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6,021,790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351,478</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(3,881,716)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2,884,388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4,680</w:t>
            </w:r>
          </w:p>
        </w:tc>
      </w:tr>
      <w:tr>
        <w:trPr>
          <w:trHeight w:val="20"/>
        </w:trPr>
        <w:tc>
          <w:tcPr>
            <w:tcW w:w="3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711" w:right="259" w:bottom="1440" w:gutter="0" w:footer="0" w:header="0"/>
        </w:sectPr>
      </w:pPr>
    </w:p>
    <w:bookmarkStart w:id="8" w:name="page9"/>
    <w:bookmarkEnd w:id="8"/>
    <w:p>
      <w:pPr>
        <w:ind w:left="4340"/>
        <w:spacing w:after="0"/>
        <w:rPr>
          <w:sz w:val="20"/>
          <w:szCs w:val="20"/>
          <w:color w:val="auto"/>
        </w:rPr>
      </w:pPr>
      <w:r>
        <w:rPr>
          <w:rFonts w:ascii="Arial" w:cs="Arial" w:eastAsia="Arial" w:hAnsi="Arial"/>
          <w:sz w:val="18"/>
          <w:szCs w:val="18"/>
          <w:b w:val="1"/>
          <w:bCs w:val="1"/>
          <w:color w:val="auto"/>
        </w:rPr>
        <w:t>GRAHAM HOLDINGS COMPANY</w:t>
      </w:r>
    </w:p>
    <w:p>
      <w:pPr>
        <w:spacing w:after="0" w:line="144"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seven television broadcasting stations, several websites and print publications, and a marketing solutions provider. The Company’s other business operations include manufacturing, automotive dealerships and home health and hospice services.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ind w:left="220" w:hanging="212"/>
        <w:spacing w:after="0" w:line="223"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w:t>
      </w:r>
    </w:p>
    <w:p>
      <w:pPr>
        <w:ind w:right="200"/>
        <w:spacing w:after="0" w:line="222" w:lineRule="auto"/>
        <w:rPr>
          <w:rFonts w:ascii="Arial" w:cs="Arial" w:eastAsia="Arial" w:hAnsi="Arial"/>
          <w:sz w:val="18"/>
          <w:szCs w:val="18"/>
          <w:color w:val="auto"/>
        </w:rPr>
      </w:pPr>
      <w:r>
        <w:rPr>
          <w:rFonts w:ascii="Arial" w:cs="Arial" w:eastAsia="Arial" w:hAnsi="Arial"/>
          <w:sz w:val="18"/>
          <w:szCs w:val="18"/>
          <w:color w:val="auto"/>
        </w:rPr>
        <w:t>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months ended March 31, 2019 and 2018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2018.</w:t>
      </w:r>
    </w:p>
    <w:p>
      <w:pPr>
        <w:spacing w:after="0" w:line="13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13"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16"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February 2016, the Financial Accounting Standards Board (FASB) issued</w:t>
      </w:r>
      <w:r>
        <w:rPr>
          <w:rFonts w:ascii="Arial" w:cs="Arial" w:eastAsia="Arial" w:hAnsi="Arial"/>
          <w:sz w:val="18"/>
          <w:szCs w:val="18"/>
          <w:b w:val="1"/>
          <w:bCs w:val="1"/>
          <w:color w:val="auto"/>
        </w:rPr>
        <w:t xml:space="preserve"> </w:t>
      </w:r>
      <w:r>
        <w:rPr>
          <w:rFonts w:ascii="Arial" w:cs="Arial" w:eastAsia="Arial" w:hAnsi="Arial"/>
          <w:sz w:val="18"/>
          <w:szCs w:val="18"/>
          <w:color w:val="auto"/>
        </w:rPr>
        <w:t>new guidance that requires, among other things, a lessee to recognize a right-of-use asset representing an entity’s right to use the underlying asset for the lease term and a liability for lease payments on its balance sheet, regardless of classification of a lease as operating or financing. For leases with a term of twelve months or less, a lessee is permitted to make an accounting policy election by class of underlying asset not to recognize lease assets and liabilities and account for the lease similar to existing guidance for operating leases today. This new guidance supersedes all prior guidance. The guidance is effective for interim and fiscal years beginning after December 15, 2018. The standard provides two methods of adoption under the modified retrospective approach. Under the comparative date method, lessees and lessors are required to recognize and measure leases as of the beginning of the earliest period presented. Under the effective date method, lessees and lessors are required to recognize and measure leases as of the period of adoption. The Company adopted the new guidance on January 1, 2019 using the effective date method.</w:t>
      </w:r>
    </w:p>
    <w:p>
      <w:pPr>
        <w:spacing w:after="0" w:line="134"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The Company elected the available package of transition practical expedients, which allowed the Company to use its historical assessments of whether contracts are or contain leases, lease classification and initial direct costs. Additionally, the Company elected the transition practical expedient to use hindsight to determine the lease term. Upon adoption of the new guidance, the Company recognized right-of-use assets of $369.3 million and lease liabilities of $418.3 million.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97" w:right="239" w:bottom="1440" w:gutter="0" w:footer="0" w:header="0"/>
        </w:sectPr>
      </w:pPr>
    </w:p>
    <w:bookmarkStart w:id="9" w:name="page10"/>
    <w:bookmarkEnd w:id="9"/>
    <w:p>
      <w:pPr>
        <w:ind w:right="360"/>
        <w:spacing w:after="0" w:line="235" w:lineRule="auto"/>
        <w:rPr>
          <w:sz w:val="20"/>
          <w:szCs w:val="20"/>
          <w:color w:val="auto"/>
        </w:rPr>
      </w:pPr>
      <w:r>
        <w:rPr>
          <w:rFonts w:ascii="Arial" w:cs="Arial" w:eastAsia="Arial" w:hAnsi="Arial"/>
          <w:sz w:val="18"/>
          <w:szCs w:val="18"/>
          <w:color w:val="auto"/>
        </w:rPr>
        <w:t>The cumulative effect of the changes to the Company’s Condensed Consolidated Balance Sheets as a result of adopting the new guidance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318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 as of December</w:t>
            </w: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 as of January 1,</w:t>
            </w:r>
          </w:p>
        </w:tc>
      </w:tr>
      <w:tr>
        <w:trPr>
          <w:trHeight w:val="196"/>
        </w:trPr>
        <w:tc>
          <w:tcPr>
            <w:tcW w:w="45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31, 2018</w:t>
            </w: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2019</w:t>
            </w:r>
          </w:p>
        </w:tc>
      </w:tr>
      <w:tr>
        <w:trPr>
          <w:trHeight w:val="250"/>
        </w:trPr>
        <w:tc>
          <w:tcPr>
            <w:tcW w:w="456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7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17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82,723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(5,595)</w:t>
            </w:r>
          </w:p>
        </w:tc>
        <w:tc>
          <w:tcPr>
            <w:tcW w:w="46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77,128</w:t>
            </w: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Lease Right-of-Use Assets</w:t>
            </w:r>
          </w:p>
        </w:tc>
        <w:tc>
          <w:tcPr>
            <w:tcW w:w="17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369,333</w:t>
            </w:r>
          </w:p>
        </w:tc>
        <w:tc>
          <w:tcPr>
            <w:tcW w:w="4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369,333</w:t>
            </w:r>
          </w:p>
        </w:tc>
      </w:tr>
      <w:tr>
        <w:trPr>
          <w:trHeight w:val="270"/>
        </w:trPr>
        <w:tc>
          <w:tcPr>
            <w:tcW w:w="456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1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7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486,578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(14,029)</w:t>
            </w:r>
          </w:p>
        </w:tc>
        <w:tc>
          <w:tcPr>
            <w:tcW w:w="46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472,549</w:t>
            </w: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Current portion of lease liabilities</w:t>
            </w:r>
          </w:p>
        </w:tc>
        <w:tc>
          <w:tcPr>
            <w:tcW w:w="17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86,747</w:t>
            </w:r>
          </w:p>
        </w:tc>
        <w:tc>
          <w:tcPr>
            <w:tcW w:w="4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86,747</w:t>
            </w: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Other Liabilities</w:t>
            </w:r>
          </w:p>
        </w:tc>
        <w:tc>
          <w:tcPr>
            <w:tcW w:w="17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57,901</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(40,500)</w:t>
            </w:r>
          </w:p>
        </w:tc>
        <w:tc>
          <w:tcPr>
            <w:tcW w:w="4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17,401</w:t>
            </w: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Lease Liabilities</w:t>
            </w:r>
          </w:p>
        </w:tc>
        <w:tc>
          <w:tcPr>
            <w:tcW w:w="17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331,520</w:t>
            </w:r>
          </w:p>
        </w:tc>
        <w:tc>
          <w:tcPr>
            <w:tcW w:w="4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331,520</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DISPOSITIONS OF BUSINESSES</w:t>
      </w:r>
    </w:p>
    <w:p>
      <w:pPr>
        <w:spacing w:after="0" w:line="14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On January 31, 2019, the Company acquired an interest in two automotive dealerships for cash and the assumption of floor</w:t>
      </w:r>
      <w:r>
        <w:rPr>
          <w:rFonts w:ascii="Arial" w:cs="Arial" w:eastAsia="Arial" w:hAnsi="Arial"/>
          <w:sz w:val="18"/>
          <w:szCs w:val="18"/>
          <w:b w:val="1"/>
          <w:bCs w:val="1"/>
          <w:color w:val="auto"/>
        </w:rPr>
        <w:t xml:space="preserve"> </w:t>
      </w:r>
      <w:r>
        <w:rPr>
          <w:rFonts w:ascii="Arial" w:cs="Arial" w:eastAsia="Arial" w:hAnsi="Arial"/>
          <w:sz w:val="18"/>
          <w:szCs w:val="18"/>
          <w:color w:val="auto"/>
        </w:rPr>
        <w:t>plan payables (see Note 5). In connection with the acquisition, the automotive subsidiary of the Company borrowed $ 30 million to finance the acquisition and entered into an interest rate swap to fix the interest rate on the debt at 4.7% per annum (see Note 8). The Company has a 90% interest in the automotive subsidiary. The Company also entered into a management services agreement with an entity affiliated with Christopher J. Ourisman, a member of the Ourisman Automotive Group family of dealerships. Mr. Ourisman and his team will operate and manage the dealerships. In addition, the Company advanced $3.5 million to the minority shareholder, an entity controlled by Mr. Ourisman, at an interest rate of 6% per annum. The acquisition is expected to provide benefits in the future by diversifying the Company’s business operations and is included in other businesses.</w:t>
      </w:r>
    </w:p>
    <w:p>
      <w:pPr>
        <w:spacing w:after="0" w:line="137" w:lineRule="exact"/>
        <w:rPr>
          <w:sz w:val="20"/>
          <w:szCs w:val="20"/>
          <w:color w:val="auto"/>
        </w:rPr>
      </w:pPr>
    </w:p>
    <w:p>
      <w:pPr>
        <w:jc w:val="both"/>
        <w:ind w:right="200"/>
        <w:spacing w:after="0" w:line="229" w:lineRule="auto"/>
        <w:rPr>
          <w:sz w:val="20"/>
          <w:szCs w:val="20"/>
          <w:color w:val="auto"/>
        </w:rPr>
      </w:pPr>
      <w:r>
        <w:rPr>
          <w:rFonts w:ascii="Arial" w:cs="Arial" w:eastAsia="Arial" w:hAnsi="Arial"/>
          <w:sz w:val="18"/>
          <w:szCs w:val="18"/>
          <w:color w:val="auto"/>
        </w:rPr>
        <w:t>During 2018, the Company acquired eight businesses, five in its education division, one in its healthcare division and two in other businesses for $121.1 million in cash and contingent consideration. The assets and liabilities of the companies acquired were recorded at their estimated fair values at the date of acquisition.</w:t>
      </w:r>
    </w:p>
    <w:p>
      <w:pPr>
        <w:spacing w:after="0" w:line="1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In January and February 2018, Kaplan acquired the assets of i-Human Patients, Inc., a provider of cloud-based, interactive patient encounter simulations for medical and nursing professionals and educators, and another small business in test preparation and international, respectively. These acquisitions are expected to provide strategic benefits in the future.</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May 2018, Kaplan acquired a 100% interest in Professional Publications, Inc. (PPI), an independent publisher of professional licensing exam review materials and engineering, surveying, architecture, and interior design licensure exam review, by purchasing all of its issued and outstanding shares. This acquisition is expected to provide certain strategic benefits in the future. This acquisition is included in Professional (U.S.).</w:t>
      </w:r>
    </w:p>
    <w:p>
      <w:pPr>
        <w:spacing w:after="0" w:line="135"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On July 12, 2018, Kaplan acquired 100% of the issued and outstanding shares of the College for Financial Planning (CFFP), a provider of financial education and training to individuals pursuing the Certified Financial Planner certification, a Master of Science in Personal Financial Planning, or a Master of Science in Finance. The acquisition is expected to expand Kaplan’s financial education product offerings and is included in Professional (U.S.).</w:t>
      </w:r>
    </w:p>
    <w:p>
      <w:pPr>
        <w:spacing w:after="0" w:line="135"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On July 31, 2018, Dekko acquired 100% of the issued and outstanding shares of Furnlite, Inc., a Fallston, NC-based manufacturer of power and data solutions for the hospitality and residential furniture industries. Dekko’s primary reasons for the acquisition are to complement existing product offerings and to provide potential synergies across the businesses. The acquisition is included in other businesses.</w:t>
      </w:r>
    </w:p>
    <w:p>
      <w:pPr>
        <w:spacing w:after="0" w:line="137"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In August 2018, SocialCode acquired 100% of the membership interests of Marketplace Strategy (MPS), a Cleveland-based digital marketing agency that provides strategy consulting, optimization services, advertising management and creative solutions on online marketplaces including Amazon. SocialCode’s primary reason for the acquisition is to expand its platform offerings. The acquisition is included in other businesses.</w:t>
      </w:r>
    </w:p>
    <w:p>
      <w:pPr>
        <w:spacing w:after="0" w:line="1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September 2018, Graham Healthcare Group (GHG) acquired the assets of a small business and Kaplan acquired the test preparation and study guide assets of Barron’s Educational Series, a New York-based education publishing company. The acquisitions are expected to complement the healthcare and test preparation services currently offered by GHG and Kaplan, respectively. GHG is included in the healthcare division. The Barron’s Educational Series acquisition is included in test preparation.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19" w:right="239" w:bottom="1440" w:gutter="0" w:footer="0" w:header="0"/>
        </w:sectPr>
      </w:pPr>
    </w:p>
    <w:bookmarkStart w:id="10" w:name="page11"/>
    <w:bookmarkEnd w:id="10"/>
    <w:p>
      <w:pPr>
        <w:jc w:val="both"/>
        <w:ind w:right="260"/>
        <w:spacing w:after="0" w:line="229" w:lineRule="auto"/>
        <w:rPr>
          <w:sz w:val="20"/>
          <w:szCs w:val="20"/>
          <w:color w:val="auto"/>
        </w:rPr>
      </w:pPr>
      <w:r>
        <w:rPr>
          <w:rFonts w:ascii="Arial" w:cs="Arial" w:eastAsia="Arial" w:hAnsi="Arial"/>
          <w:sz w:val="18"/>
          <w:szCs w:val="18"/>
          <w:color w:val="auto"/>
        </w:rPr>
        <w:t>Acquisition-related costs for acquisitions that closed during the first three months of 2018 were $0.1 million and were expensed as incurred. The aggregate purchase price of the 2018 acquisitions was allocated as follows, based on acquisition date fair values to the following assets and liabilities: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Purchase Price Allocation</w:t>
            </w:r>
          </w:p>
        </w:tc>
      </w:tr>
      <w:tr>
        <w:trPr>
          <w:trHeight w:val="244"/>
        </w:trPr>
        <w:tc>
          <w:tcPr>
            <w:tcW w:w="9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00" w:type="dxa"/>
            <w:vAlign w:val="bottom"/>
          </w:tcPr>
          <w:p>
            <w:pPr>
              <w:jc w:val="center"/>
              <w:ind w:right="101"/>
              <w:spacing w:after="0"/>
              <w:rPr>
                <w:sz w:val="20"/>
                <w:szCs w:val="20"/>
                <w:color w:val="auto"/>
              </w:rPr>
            </w:pPr>
            <w:r>
              <w:rPr>
                <w:rFonts w:ascii="Arial" w:cs="Arial" w:eastAsia="Arial" w:hAnsi="Arial"/>
                <w:sz w:val="14"/>
                <w:szCs w:val="14"/>
                <w:b w:val="1"/>
                <w:bCs w:val="1"/>
                <w:color w:val="auto"/>
              </w:rPr>
              <w:t>Year Ended</w:t>
            </w:r>
          </w:p>
        </w:tc>
      </w:tr>
      <w:tr>
        <w:trPr>
          <w:trHeight w:val="276"/>
        </w:trPr>
        <w:tc>
          <w:tcPr>
            <w:tcW w:w="9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914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100" w:type="dxa"/>
            <w:vAlign w:val="bottom"/>
          </w:tcPr>
          <w:p>
            <w:pPr>
              <w:jc w:val="right"/>
              <w:ind w:right="21"/>
              <w:spacing w:after="0"/>
              <w:rPr>
                <w:sz w:val="20"/>
                <w:szCs w:val="20"/>
                <w:color w:val="auto"/>
              </w:rPr>
            </w:pPr>
            <w:r>
              <w:rPr>
                <w:rFonts w:ascii="Arial" w:cs="Arial" w:eastAsia="Arial" w:hAnsi="Arial"/>
                <w:sz w:val="16"/>
                <w:szCs w:val="16"/>
                <w:color w:val="auto"/>
              </w:rPr>
              <w:t>2,344</w:t>
            </w:r>
          </w:p>
        </w:tc>
      </w:tr>
      <w:tr>
        <w:trPr>
          <w:trHeight w:val="270"/>
        </w:trPr>
        <w:tc>
          <w:tcPr>
            <w:tcW w:w="9140" w:type="dxa"/>
            <w:vAlign w:val="bottom"/>
          </w:tcPr>
          <w:p>
            <w:pPr>
              <w:ind w:left="40"/>
              <w:spacing w:after="0"/>
              <w:rPr>
                <w:sz w:val="20"/>
                <w:szCs w:val="20"/>
                <w:color w:val="auto"/>
              </w:rPr>
            </w:pPr>
            <w:r>
              <w:rPr>
                <w:rFonts w:ascii="Arial" w:cs="Arial" w:eastAsia="Arial" w:hAnsi="Arial"/>
                <w:sz w:val="16"/>
                <w:szCs w:val="16"/>
                <w:color w:val="auto"/>
              </w:rPr>
              <w:t>Inventory</w:t>
            </w:r>
          </w:p>
        </w:tc>
        <w:tc>
          <w:tcPr>
            <w:tcW w:w="180" w:type="dxa"/>
            <w:vAlign w:val="bottom"/>
          </w:tcPr>
          <w:p>
            <w:pPr>
              <w:spacing w:after="0"/>
              <w:rPr>
                <w:sz w:val="23"/>
                <w:szCs w:val="23"/>
                <w:color w:val="auto"/>
              </w:rPr>
            </w:pPr>
          </w:p>
        </w:tc>
        <w:tc>
          <w:tcPr>
            <w:tcW w:w="2100" w:type="dxa"/>
            <w:vAlign w:val="bottom"/>
          </w:tcPr>
          <w:p>
            <w:pPr>
              <w:jc w:val="right"/>
              <w:ind w:right="21"/>
              <w:spacing w:after="0"/>
              <w:rPr>
                <w:sz w:val="20"/>
                <w:szCs w:val="20"/>
                <w:color w:val="auto"/>
              </w:rPr>
            </w:pPr>
            <w:r>
              <w:rPr>
                <w:rFonts w:ascii="Arial" w:cs="Arial" w:eastAsia="Arial" w:hAnsi="Arial"/>
                <w:sz w:val="16"/>
                <w:szCs w:val="16"/>
                <w:color w:val="auto"/>
              </w:rPr>
              <w:t>1,268</w:t>
            </w:r>
          </w:p>
        </w:tc>
      </w:tr>
      <w:tr>
        <w:trPr>
          <w:trHeight w:val="270"/>
        </w:trPr>
        <w:tc>
          <w:tcPr>
            <w:tcW w:w="914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180" w:type="dxa"/>
            <w:vAlign w:val="bottom"/>
          </w:tcPr>
          <w:p>
            <w:pPr>
              <w:spacing w:after="0"/>
              <w:rPr>
                <w:sz w:val="23"/>
                <w:szCs w:val="23"/>
                <w:color w:val="auto"/>
              </w:rPr>
            </w:pPr>
          </w:p>
        </w:tc>
        <w:tc>
          <w:tcPr>
            <w:tcW w:w="2100" w:type="dxa"/>
            <w:vAlign w:val="bottom"/>
          </w:tcPr>
          <w:p>
            <w:pPr>
              <w:jc w:val="right"/>
              <w:ind w:right="21"/>
              <w:spacing w:after="0"/>
              <w:rPr>
                <w:sz w:val="20"/>
                <w:szCs w:val="20"/>
                <w:color w:val="auto"/>
              </w:rPr>
            </w:pPr>
            <w:r>
              <w:rPr>
                <w:rFonts w:ascii="Arial" w:cs="Arial" w:eastAsia="Arial" w:hAnsi="Arial"/>
                <w:sz w:val="16"/>
                <w:szCs w:val="16"/>
                <w:color w:val="auto"/>
              </w:rPr>
              <w:t>1,518</w:t>
            </w:r>
          </w:p>
        </w:tc>
      </w:tr>
      <w:tr>
        <w:trPr>
          <w:trHeight w:val="270"/>
        </w:trPr>
        <w:tc>
          <w:tcPr>
            <w:tcW w:w="914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3"/>
                <w:szCs w:val="23"/>
                <w:color w:val="auto"/>
              </w:rPr>
            </w:pPr>
          </w:p>
        </w:tc>
        <w:tc>
          <w:tcPr>
            <w:tcW w:w="2100" w:type="dxa"/>
            <w:vAlign w:val="bottom"/>
          </w:tcPr>
          <w:p>
            <w:pPr>
              <w:jc w:val="right"/>
              <w:ind w:right="21"/>
              <w:spacing w:after="0"/>
              <w:rPr>
                <w:sz w:val="20"/>
                <w:szCs w:val="20"/>
                <w:color w:val="auto"/>
              </w:rPr>
            </w:pPr>
            <w:r>
              <w:rPr>
                <w:rFonts w:ascii="Arial" w:cs="Arial" w:eastAsia="Arial" w:hAnsi="Arial"/>
                <w:sz w:val="16"/>
                <w:szCs w:val="16"/>
                <w:color w:val="auto"/>
              </w:rPr>
              <w:t>41,840</w:t>
            </w:r>
          </w:p>
        </w:tc>
      </w:tr>
      <w:tr>
        <w:trPr>
          <w:trHeight w:val="270"/>
        </w:trPr>
        <w:tc>
          <w:tcPr>
            <w:tcW w:w="9140" w:type="dxa"/>
            <w:vAlign w:val="bottom"/>
          </w:tcPr>
          <w:p>
            <w:pPr>
              <w:ind w:left="40"/>
              <w:spacing w:after="0"/>
              <w:rPr>
                <w:sz w:val="20"/>
                <w:szCs w:val="20"/>
                <w:color w:val="auto"/>
              </w:rPr>
            </w:pPr>
            <w:r>
              <w:rPr>
                <w:rFonts w:ascii="Arial" w:cs="Arial" w:eastAsia="Arial" w:hAnsi="Arial"/>
                <w:sz w:val="16"/>
                <w:szCs w:val="16"/>
                <w:color w:val="auto"/>
              </w:rPr>
              <w:t>Amortized intangible assets</w:t>
            </w:r>
          </w:p>
        </w:tc>
        <w:tc>
          <w:tcPr>
            <w:tcW w:w="180" w:type="dxa"/>
            <w:vAlign w:val="bottom"/>
          </w:tcPr>
          <w:p>
            <w:pPr>
              <w:spacing w:after="0"/>
              <w:rPr>
                <w:sz w:val="23"/>
                <w:szCs w:val="23"/>
                <w:color w:val="auto"/>
              </w:rPr>
            </w:pPr>
          </w:p>
        </w:tc>
        <w:tc>
          <w:tcPr>
            <w:tcW w:w="2100" w:type="dxa"/>
            <w:vAlign w:val="bottom"/>
          </w:tcPr>
          <w:p>
            <w:pPr>
              <w:jc w:val="right"/>
              <w:ind w:right="21"/>
              <w:spacing w:after="0"/>
              <w:rPr>
                <w:sz w:val="20"/>
                <w:szCs w:val="20"/>
                <w:color w:val="auto"/>
              </w:rPr>
            </w:pPr>
            <w:r>
              <w:rPr>
                <w:rFonts w:ascii="Arial" w:cs="Arial" w:eastAsia="Arial" w:hAnsi="Arial"/>
                <w:sz w:val="16"/>
                <w:szCs w:val="16"/>
                <w:color w:val="auto"/>
              </w:rPr>
              <w:t>78,427</w:t>
            </w:r>
          </w:p>
        </w:tc>
      </w:tr>
      <w:tr>
        <w:trPr>
          <w:trHeight w:val="270"/>
        </w:trPr>
        <w:tc>
          <w:tcPr>
            <w:tcW w:w="91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3"/>
                <w:szCs w:val="23"/>
                <w:color w:val="auto"/>
              </w:rPr>
            </w:pPr>
          </w:p>
        </w:tc>
        <w:tc>
          <w:tcPr>
            <w:tcW w:w="2100" w:type="dxa"/>
            <w:vAlign w:val="bottom"/>
          </w:tcPr>
          <w:p>
            <w:pPr>
              <w:jc w:val="right"/>
              <w:ind w:right="21"/>
              <w:spacing w:after="0"/>
              <w:rPr>
                <w:sz w:val="20"/>
                <w:szCs w:val="20"/>
                <w:color w:val="auto"/>
              </w:rPr>
            </w:pPr>
            <w:r>
              <w:rPr>
                <w:rFonts w:ascii="Arial" w:cs="Arial" w:eastAsia="Arial" w:hAnsi="Arial"/>
                <w:sz w:val="16"/>
                <w:szCs w:val="16"/>
                <w:color w:val="auto"/>
              </w:rPr>
              <w:t>5,198</w:t>
            </w:r>
          </w:p>
        </w:tc>
      </w:tr>
      <w:tr>
        <w:trPr>
          <w:trHeight w:val="270"/>
        </w:trPr>
        <w:tc>
          <w:tcPr>
            <w:tcW w:w="914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1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(7,678)</w:t>
            </w:r>
          </w:p>
        </w:tc>
      </w:tr>
      <w:tr>
        <w:trPr>
          <w:trHeight w:val="283"/>
        </w:trPr>
        <w:tc>
          <w:tcPr>
            <w:tcW w:w="91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(4,900)</w:t>
            </w:r>
          </w:p>
        </w:tc>
      </w:tr>
      <w:tr>
        <w:trPr>
          <w:trHeight w:val="240"/>
        </w:trPr>
        <w:tc>
          <w:tcPr>
            <w:tcW w:w="9140" w:type="dxa"/>
            <w:vAlign w:val="bottom"/>
          </w:tcPr>
          <w:p>
            <w:pPr>
              <w:ind w:left="40"/>
              <w:spacing w:after="0"/>
              <w:rPr>
                <w:sz w:val="20"/>
                <w:szCs w:val="20"/>
                <w:color w:val="auto"/>
              </w:rPr>
            </w:pPr>
            <w:r>
              <w:rPr>
                <w:rFonts w:ascii="Arial" w:cs="Arial" w:eastAsia="Arial" w:hAnsi="Arial"/>
                <w:sz w:val="16"/>
                <w:szCs w:val="16"/>
                <w:color w:val="auto"/>
              </w:rPr>
              <w:t>Aggregate purchase price, net of cash acquired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118,017</w:t>
            </w:r>
          </w:p>
        </w:tc>
      </w:tr>
      <w:tr>
        <w:trPr>
          <w:trHeight w:val="20"/>
        </w:trPr>
        <w:tc>
          <w:tcPr>
            <w:tcW w:w="9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The fair values recorded were based upon valuations. 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 The Company expects to deduct $32.3 million of goodwill for income tax purposes for the acquisitions completed in 2018.</w:t>
      </w:r>
    </w:p>
    <w:p>
      <w:pPr>
        <w:spacing w:after="0" w:line="137" w:lineRule="exact"/>
        <w:rPr>
          <w:sz w:val="20"/>
          <w:szCs w:val="20"/>
          <w:color w:val="auto"/>
        </w:rPr>
      </w:pPr>
    </w:p>
    <w:p>
      <w:pPr>
        <w:ind w:right="540"/>
        <w:spacing w:after="0" w:line="229"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following unaudited pro forma financial information presents the Company’s results as if the current year acquisitions had occurred at the beginning of 2018. The unaudited pro forma information also includes the 2018 acquisitions as if they occurred at the beginning of 2017:</w:t>
      </w:r>
    </w:p>
    <w:p>
      <w:pPr>
        <w:spacing w:after="0" w:line="138"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r>
      <w:tr>
        <w:trPr>
          <w:trHeight w:val="258"/>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2018</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43"/>
              <w:spacing w:after="0"/>
              <w:rPr>
                <w:sz w:val="20"/>
                <w:szCs w:val="20"/>
                <w:color w:val="auto"/>
              </w:rPr>
            </w:pPr>
            <w:r>
              <w:rPr>
                <w:rFonts w:ascii="Arial" w:cs="Arial" w:eastAsia="Arial" w:hAnsi="Arial"/>
                <w:sz w:val="16"/>
                <w:szCs w:val="16"/>
                <w:b w:val="1"/>
                <w:bCs w:val="1"/>
                <w:color w:val="auto"/>
              </w:rPr>
              <w:t>705,393</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728,632</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spacing w:after="0"/>
              <w:rPr>
                <w:sz w:val="23"/>
                <w:szCs w:val="23"/>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b w:val="1"/>
                <w:bCs w:val="1"/>
                <w:color w:val="auto"/>
              </w:rPr>
              <w:t>82,127</w:t>
            </w:r>
          </w:p>
        </w:tc>
        <w:tc>
          <w:tcPr>
            <w:tcW w:w="500" w:type="dxa"/>
            <w:vAlign w:val="bottom"/>
          </w:tcPr>
          <w:p>
            <w:pPr>
              <w:spacing w:after="0"/>
              <w:rPr>
                <w:sz w:val="23"/>
                <w:szCs w:val="23"/>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44,854</w:t>
            </w:r>
          </w:p>
        </w:tc>
      </w:tr>
    </w:tbl>
    <w:p>
      <w:pPr>
        <w:spacing w:after="0" w:line="167"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pre-acquisition transaction related expenses incurred by the Company and the acquired entities. The pro forma information does not include efficiencies, cost reductions and synergies expected to result from the acquisitions. They are not the results that would have been realized had these entities been part of the Company during the periods presented and are not necessarily indicative of the Company’s consolidated results of operations in future periods.</w:t>
      </w:r>
    </w:p>
    <w:p>
      <w:pPr>
        <w:spacing w:after="0" w:line="115"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Kaplan University Transaction. </w:t>
      </w:r>
      <w:r>
        <w:rPr>
          <w:rFonts w:ascii="Arial" w:cs="Arial" w:eastAsia="Arial" w:hAnsi="Arial"/>
          <w:sz w:val="18"/>
          <w:szCs w:val="18"/>
          <w:color w:val="auto"/>
        </w:rPr>
        <w:t>On March 22, 2018, the Company closed on the Kaplan University (KU) transaction and recorded a pre-tax</w:t>
      </w:r>
      <w:r>
        <w:rPr>
          <w:rFonts w:ascii="Arial" w:cs="Arial" w:eastAsia="Arial" w:hAnsi="Arial"/>
          <w:sz w:val="18"/>
          <w:szCs w:val="18"/>
          <w:b w:val="1"/>
          <w:bCs w:val="1"/>
          <w:color w:val="auto"/>
        </w:rPr>
        <w:t xml:space="preserve"> </w:t>
      </w:r>
      <w:r>
        <w:rPr>
          <w:rFonts w:ascii="Arial" w:cs="Arial" w:eastAsia="Arial" w:hAnsi="Arial"/>
          <w:sz w:val="18"/>
          <w:szCs w:val="18"/>
          <w:color w:val="auto"/>
        </w:rPr>
        <w:t>gain of $4.3 million in the first quarter of 2018. For financial reporting purposes, Kaplan may receive payment of additional consideration related to the sale of the institutional assets as part of its fee to the extent there are sufficient revenues available after paying all amounts required by the Transition and Operations Support Agreement (TOSA). The Company did not recognize any contingent consideration as part of the initial disposition. In the first quarter of 2019, the Company recorded a $0.2 million contingent consideration gain related to the disposition.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revenue and operating income related to the KU business disposed of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606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rPr>
              <w:t>Three Months Ended March</w:t>
            </w:r>
          </w:p>
        </w:tc>
      </w:tr>
      <w:tr>
        <w:trPr>
          <w:trHeight w:val="196"/>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31, 2018</w:t>
            </w:r>
          </w:p>
        </w:tc>
      </w:tr>
      <w:tr>
        <w:trPr>
          <w:trHeight w:val="223"/>
        </w:trPr>
        <w:tc>
          <w:tcPr>
            <w:tcW w:w="5360" w:type="dxa"/>
            <w:vAlign w:val="bottom"/>
          </w:tcPr>
          <w:p>
            <w:pPr>
              <w:ind w:left="40"/>
              <w:spacing w:after="0"/>
              <w:rPr>
                <w:sz w:val="20"/>
                <w:szCs w:val="20"/>
                <w:color w:val="auto"/>
              </w:rPr>
            </w:pPr>
            <w:r>
              <w:rPr>
                <w:rFonts w:ascii="Arial" w:cs="Arial" w:eastAsia="Arial" w:hAnsi="Arial"/>
                <w:sz w:val="16"/>
                <w:szCs w:val="16"/>
                <w:color w:val="auto"/>
              </w:rPr>
              <w:t>Revenue</w:t>
            </w:r>
          </w:p>
        </w:tc>
        <w:tc>
          <w:tcPr>
            <w:tcW w:w="4440" w:type="dxa"/>
            <w:vAlign w:val="bottom"/>
          </w:tcPr>
          <w:p>
            <w:pPr>
              <w:jc w:val="right"/>
              <w:ind w:right="243"/>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91,526</w:t>
            </w:r>
          </w:p>
        </w:tc>
      </w:tr>
      <w:tr>
        <w:trPr>
          <w:trHeight w:val="243"/>
        </w:trPr>
        <w:tc>
          <w:tcPr>
            <w:tcW w:w="536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4440" w:type="dxa"/>
            <w:vAlign w:val="bottom"/>
          </w:tcPr>
          <w:p>
            <w:pPr>
              <w:spacing w:after="0"/>
              <w:rPr>
                <w:sz w:val="21"/>
                <w:szCs w:val="21"/>
                <w:color w:val="auto"/>
              </w:rPr>
            </w:pP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213</w:t>
            </w:r>
          </w:p>
        </w:tc>
      </w:tr>
    </w:tbl>
    <w:p>
      <w:pPr>
        <w:spacing w:after="0" w:line="145"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February 2018, Kaplan completed the sale of a small business which was included in Test Preparation. In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2018, Kaplan Australia completed the sale of a small business which was included in Kaplan International. As a result of these sales, the Company reported gains in other non-operating income (see Note 13).</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19" w:right="239" w:bottom="1440" w:gutter="0" w:footer="0" w:header="0"/>
        </w:sectPr>
      </w:pPr>
    </w:p>
    <w:bookmarkStart w:id="11" w:name="page12"/>
    <w:bookmarkEnd w:id="11"/>
    <w:p>
      <w:pPr>
        <w:ind w:right="140"/>
        <w:spacing w:after="0" w:line="233"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March 2019, a Hoover minority shareholder put some of his shares to the Company, which had a redemption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$0.6 million. Following the redemption, the Company owns 98.01% of Hoover. In June 2018, the Company incurred $6.2 million of interest expense related to the mandatorily redeemable noncontrolling interest redemption settlement at GHG. The mandatorily redeemable noncontrolling interest was redeemed and paid in July 2018.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44" w:lineRule="exact"/>
        <w:rPr>
          <w:sz w:val="20"/>
          <w:szCs w:val="20"/>
          <w:color w:val="auto"/>
        </w:rPr>
      </w:pPr>
    </w:p>
    <w:p>
      <w:pPr>
        <w:ind w:right="240"/>
        <w:spacing w:after="0" w:line="285" w:lineRule="auto"/>
        <w:rPr>
          <w:sz w:val="20"/>
          <w:szCs w:val="20"/>
          <w:color w:val="auto"/>
        </w:rPr>
      </w:pPr>
      <w:r>
        <w:rPr>
          <w:rFonts w:ascii="Arial" w:cs="Arial" w:eastAsia="Arial" w:hAnsi="Arial"/>
          <w:sz w:val="17"/>
          <w:szCs w:val="17"/>
          <w:b w:val="1"/>
          <w:bCs w:val="1"/>
          <w:color w:val="auto"/>
        </w:rPr>
        <w:t xml:space="preserve">Money Market Investments. </w:t>
      </w:r>
      <w:r>
        <w:rPr>
          <w:rFonts w:ascii="Arial" w:cs="Arial" w:eastAsia="Arial" w:hAnsi="Arial"/>
          <w:sz w:val="17"/>
          <w:szCs w:val="17"/>
          <w:color w:val="auto"/>
        </w:rPr>
        <w:t>As of March 31, 2019 and December 31, 2018, the Company had money market investments of $65.0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and $75.5 million, respectively, that are classified as cash and cash equivalents in the Company’s Condensed Consolidated Balance Sheets.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7"/>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303"/>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24"/>
                <w:szCs w:val="24"/>
                <w:color w:val="auto"/>
              </w:rPr>
            </w:pPr>
          </w:p>
        </w:tc>
        <w:tc>
          <w:tcPr>
            <w:tcW w:w="1200" w:type="dxa"/>
            <w:vAlign w:val="bottom"/>
          </w:tcPr>
          <w:p>
            <w:pPr>
              <w:jc w:val="right"/>
              <w:ind w:right="162"/>
              <w:spacing w:after="0"/>
              <w:rPr>
                <w:sz w:val="20"/>
                <w:szCs w:val="20"/>
                <w:color w:val="auto"/>
              </w:rPr>
            </w:pPr>
            <w:r>
              <w:rPr>
                <w:rFonts w:ascii="Arial" w:cs="Arial" w:eastAsia="Arial" w:hAnsi="Arial"/>
                <w:sz w:val="14"/>
                <w:szCs w:val="14"/>
                <w:color w:val="auto"/>
              </w:rPr>
              <w:t>December 31,</w:t>
            </w: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2018</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43"/>
              <w:spacing w:after="0"/>
              <w:rPr>
                <w:sz w:val="20"/>
                <w:szCs w:val="20"/>
                <w:color w:val="auto"/>
              </w:rPr>
            </w:pPr>
            <w:r>
              <w:rPr>
                <w:rFonts w:ascii="Arial" w:cs="Arial" w:eastAsia="Arial" w:hAnsi="Arial"/>
                <w:sz w:val="16"/>
                <w:szCs w:val="16"/>
                <w:b w:val="1"/>
                <w:bCs w:val="1"/>
                <w:color w:val="auto"/>
              </w:rPr>
              <w:t>282,349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282,563</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Gross unrealized gains</w:t>
            </w:r>
          </w:p>
        </w:tc>
        <w:tc>
          <w:tcPr>
            <w:tcW w:w="220" w:type="dxa"/>
            <w:vAlign w:val="bottom"/>
          </w:tcPr>
          <w:p>
            <w:pPr>
              <w:spacing w:after="0"/>
              <w:rPr>
                <w:sz w:val="23"/>
                <w:szCs w:val="23"/>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b w:val="1"/>
                <w:bCs w:val="1"/>
                <w:color w:val="auto"/>
              </w:rPr>
              <w:t>227,958</w:t>
            </w:r>
          </w:p>
        </w:tc>
        <w:tc>
          <w:tcPr>
            <w:tcW w:w="26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216,111</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Gross unrealized losses</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510,307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496,390</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60"/>
        <w:spacing w:after="0" w:line="235" w:lineRule="auto"/>
        <w:rPr>
          <w:sz w:val="20"/>
          <w:szCs w:val="20"/>
          <w:color w:val="auto"/>
        </w:rPr>
      </w:pPr>
      <w:r>
        <w:rPr>
          <w:rFonts w:ascii="Arial" w:cs="Arial" w:eastAsia="Arial" w:hAnsi="Arial"/>
          <w:sz w:val="18"/>
          <w:szCs w:val="18"/>
          <w:color w:val="auto"/>
        </w:rPr>
        <w:t>The Company purchased $7.5 million of marketable equity securities during the first three months of 2019. There were no purchases of marketable equity securities during the first three months of 2018.</w:t>
      </w:r>
    </w:p>
    <w:p>
      <w:pPr>
        <w:spacing w:after="0" w:line="135"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During the first three months of 2019, the gross cumulative realized gains from the sales of marketable equity securities were $9.7 million. The total proceeds from such sales were $17.2 million. During the first three months of 2018, the gross cumulative realized gains from the sales of marketable equity securities were $28.5 million. The total proceeds from such sales were $50.5 million, of which $0.9 million settled in April 2018.</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gain (loss) on marketable equity securities comprised the following:</w:t>
      </w:r>
    </w:p>
    <w:p>
      <w:pPr>
        <w:spacing w:after="0" w:line="145"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r>
      <w:tr>
        <w:trPr>
          <w:trHeight w:val="258"/>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Gain (loss) on marketable equity securities, net</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63"/>
              <w:spacing w:after="0"/>
              <w:rPr>
                <w:sz w:val="20"/>
                <w:szCs w:val="20"/>
                <w:color w:val="auto"/>
              </w:rPr>
            </w:pPr>
            <w:r>
              <w:rPr>
                <w:rFonts w:ascii="Arial" w:cs="Arial" w:eastAsia="Arial" w:hAnsi="Arial"/>
                <w:sz w:val="16"/>
                <w:szCs w:val="16"/>
                <w:b w:val="1"/>
                <w:bCs w:val="1"/>
                <w:color w:val="auto"/>
              </w:rPr>
              <w:t>24,066</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(14,102)</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Less: Net (gains) losses in earnings from marketable equity securities sold and donated</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(2,982)</w:t>
            </w: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2,611</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color w:val="auto"/>
              </w:rPr>
              <w:t>Net unrealized gains (losses) in earnings from marketable equity securities still held at the end of the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21,084</w:t>
            </w:r>
          </w:p>
        </w:tc>
        <w:tc>
          <w:tcPr>
            <w:tcW w:w="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(11,491)</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As of March 31, 2019, the Company held an approximate 11% interest in Intersection Holdings, LLC, and in several</w:t>
      </w:r>
      <w:r>
        <w:rPr>
          <w:rFonts w:ascii="Arial" w:cs="Arial" w:eastAsia="Arial" w:hAnsi="Arial"/>
          <w:sz w:val="18"/>
          <w:szCs w:val="18"/>
          <w:b w:val="1"/>
          <w:bCs w:val="1"/>
          <w:color w:val="auto"/>
        </w:rPr>
        <w:t xml:space="preserve"> </w:t>
      </w:r>
      <w:r>
        <w:rPr>
          <w:rFonts w:ascii="Arial" w:cs="Arial" w:eastAsia="Arial" w:hAnsi="Arial"/>
          <w:sz w:val="18"/>
          <w:szCs w:val="18"/>
          <w:color w:val="auto"/>
        </w:rPr>
        <w:t>other affiliates; GHG held a 40% interest in Residential Home Health Illinois, a 42.5% interest in Residential Hospice Illinois, a 40% interest in the joint venture formed between GHG and a Michigan hospital, and a 40% interest in the joint venture formed between GHG and Allegheny Health Network (AHN). For the three months ended March 31, 2019, and 2018, the Company recorded $2.3 million and $3.7 million, respectively, in revenue for services provided to the affiliates of GHG.</w:t>
      </w:r>
    </w:p>
    <w:p>
      <w:pPr>
        <w:spacing w:after="0" w:line="138"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In February 2019, the Company sold its interest in Gimlet Media. In connection with this sale, the Company recorded a gain of $29.0 million in the first quarter of 2019. The total proceeds from the sale were $33.5 million.</w:t>
      </w:r>
    </w:p>
    <w:p>
      <w:pPr>
        <w:spacing w:after="0" w:line="135"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Additionally, Kaplan International Holdings Limited (KIHL) held a 45% interest in a joint venture formed with York University. KIHL agreed to loan the joint venture £25 million, of which £16 million was advanced as of December 31, 2017. In the second quarter of 2018, KIHL advanced a final amount of £6 million in additional funding to the joint venture under this agreement, bringing the total amount advanced to £22 million. The loan is repayable over 25 years at an interest rate of 7% and the loan is guaranteed by the University of York.</w:t>
      </w:r>
    </w:p>
    <w:p>
      <w:pPr>
        <w:spacing w:after="0" w:line="113"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as cost method investments, which are recorded at cost, less impairment, and adjusted for observable price changes for identical or similar investments of the same issuer. The carrying value of these investments was $34.4 million and $30.6 million as of March 31, 2019 and December 31, 2018, respectively.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9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4. ACCOUNTS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7"/>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303"/>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24"/>
                <w:szCs w:val="24"/>
                <w:color w:val="auto"/>
              </w:rPr>
            </w:pPr>
          </w:p>
        </w:tc>
        <w:tc>
          <w:tcPr>
            <w:tcW w:w="1200" w:type="dxa"/>
            <w:vAlign w:val="bottom"/>
          </w:tcPr>
          <w:p>
            <w:pPr>
              <w:jc w:val="right"/>
              <w:ind w:right="163"/>
              <w:spacing w:after="0"/>
              <w:rPr>
                <w:sz w:val="20"/>
                <w:szCs w:val="20"/>
                <w:color w:val="auto"/>
              </w:rPr>
            </w:pPr>
            <w:r>
              <w:rPr>
                <w:rFonts w:ascii="Arial" w:cs="Arial" w:eastAsia="Arial" w:hAnsi="Arial"/>
                <w:sz w:val="14"/>
                <w:szCs w:val="14"/>
                <w:color w:val="auto"/>
              </w:rPr>
              <w:t>December 31,</w:t>
            </w: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2018</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Receivables from contracts with customers, less doubtful accounts of $14,152 and $14,775</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43"/>
              <w:spacing w:after="0"/>
              <w:rPr>
                <w:sz w:val="20"/>
                <w:szCs w:val="20"/>
                <w:color w:val="auto"/>
              </w:rPr>
            </w:pPr>
            <w:r>
              <w:rPr>
                <w:rFonts w:ascii="Arial" w:cs="Arial" w:eastAsia="Arial" w:hAnsi="Arial"/>
                <w:sz w:val="16"/>
                <w:szCs w:val="16"/>
                <w:b w:val="1"/>
                <w:bCs w:val="1"/>
                <w:color w:val="auto"/>
              </w:rPr>
              <w:t>503,753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538,021</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Other receivables</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47,864</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44,259</w:t>
            </w:r>
          </w:p>
        </w:tc>
      </w:tr>
      <w:tr>
        <w:trPr>
          <w:trHeight w:val="264"/>
        </w:trPr>
        <w:tc>
          <w:tcPr>
            <w:tcW w:w="858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551,617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582,280</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Bad debt expense was $0.2 million and $5.8 million for the three months ended March 31, 2019 and 2018, respectively.</w:t>
      </w:r>
    </w:p>
    <w:p>
      <w:pPr>
        <w:spacing w:after="0" w:line="122"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CONTRACTS IN PROGRESS AND VEHICLE FLOOR PLAN PAYABLE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Inventories and contracts in progress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7"/>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302"/>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24"/>
                <w:szCs w:val="24"/>
                <w:color w:val="auto"/>
              </w:rPr>
            </w:pPr>
          </w:p>
        </w:tc>
        <w:tc>
          <w:tcPr>
            <w:tcW w:w="1200" w:type="dxa"/>
            <w:vAlign w:val="bottom"/>
          </w:tcPr>
          <w:p>
            <w:pPr>
              <w:jc w:val="right"/>
              <w:ind w:right="162"/>
              <w:spacing w:after="0"/>
              <w:rPr>
                <w:sz w:val="20"/>
                <w:szCs w:val="20"/>
                <w:color w:val="auto"/>
              </w:rPr>
            </w:pPr>
            <w:r>
              <w:rPr>
                <w:rFonts w:ascii="Arial" w:cs="Arial" w:eastAsia="Arial" w:hAnsi="Arial"/>
                <w:sz w:val="14"/>
                <w:szCs w:val="14"/>
                <w:color w:val="auto"/>
              </w:rPr>
              <w:t>December 31,</w:t>
            </w: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2018</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Raw materials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42"/>
              <w:spacing w:after="0"/>
              <w:rPr>
                <w:sz w:val="20"/>
                <w:szCs w:val="20"/>
                <w:color w:val="auto"/>
              </w:rPr>
            </w:pPr>
            <w:r>
              <w:rPr>
                <w:rFonts w:ascii="Arial" w:cs="Arial" w:eastAsia="Arial" w:hAnsi="Arial"/>
                <w:sz w:val="16"/>
                <w:szCs w:val="16"/>
                <w:b w:val="1"/>
                <w:bCs w:val="1"/>
                <w:color w:val="auto"/>
              </w:rPr>
              <w:t>35,178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37,248</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Work-in-process</w:t>
            </w:r>
          </w:p>
        </w:tc>
        <w:tc>
          <w:tcPr>
            <w:tcW w:w="220" w:type="dxa"/>
            <w:vAlign w:val="bottom"/>
          </w:tcPr>
          <w:p>
            <w:pPr>
              <w:spacing w:after="0"/>
              <w:rPr>
                <w:sz w:val="23"/>
                <w:szCs w:val="23"/>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b w:val="1"/>
                <w:bCs w:val="1"/>
                <w:color w:val="auto"/>
              </w:rPr>
              <w:t>11,901</w:t>
            </w:r>
          </w:p>
        </w:tc>
        <w:tc>
          <w:tcPr>
            <w:tcW w:w="26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11,633</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Finished goods</w:t>
            </w:r>
          </w:p>
        </w:tc>
        <w:tc>
          <w:tcPr>
            <w:tcW w:w="220" w:type="dxa"/>
            <w:vAlign w:val="bottom"/>
          </w:tcPr>
          <w:p>
            <w:pPr>
              <w:spacing w:after="0"/>
              <w:rPr>
                <w:sz w:val="23"/>
                <w:szCs w:val="23"/>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b w:val="1"/>
                <w:bCs w:val="1"/>
                <w:color w:val="auto"/>
              </w:rPr>
              <w:t>58,520</w:t>
            </w:r>
          </w:p>
        </w:tc>
        <w:tc>
          <w:tcPr>
            <w:tcW w:w="26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17,861</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Contracts in progress</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1,745</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2,735</w:t>
            </w:r>
          </w:p>
        </w:tc>
      </w:tr>
      <w:tr>
        <w:trPr>
          <w:trHeight w:val="264"/>
        </w:trPr>
        <w:tc>
          <w:tcPr>
            <w:tcW w:w="858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107,344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69,477</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 finances all new vehicle inventory through a standardized floor plan facility (the “floor plan facility”) with SunTrust Bank. The new vehicle floor plan facility bears interest at variable rates that are based on LIBOR plus 1.15% per annum. The weighted average interest rate for the floor plan facility was 3.5% for the three months ended March 31, 2019. As of March 31, 2019, the aggregate capacity under the floor plan facility was $40 million, of which $35.3 million had been utilized, and is included in accounts payable and accrued liabilities in the Condensed Consolidated Balance Sheet. Changes in the vehicle floor plan payable are reported as cash flows from financing activities in the Condensed Consolidated Statements of Cash Flows.</w:t>
      </w:r>
    </w:p>
    <w:p>
      <w:pPr>
        <w:spacing w:after="0" w:line="137"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The floor plan facility is collateralized by vehicle inventory and other assets of the relevant dealership subsidiary, and contains a number of covenants, including, among others, covenants restricting the dealership subsidiary with respect to the creation of liens and changes in ownership, officers and key management personnel. The Company was in compliance with all of these restrictive covenants as of March 31, 2019.</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floor plan interest expense related to the new vehicle floor plan arrangements is offset by amounts received from manufacturers in the form of floor plan assistance capitalized in inventory and recorded against operating expense in the Condensed Consolidated Statements of Operations when the associated inventory is sold. For the three months ended March 31, 2019, the Company recognized a reduction in operating expense of $0.4 million related to manufacturer floor plan assistance.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6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has operating leases for substantially all of its educational facilities, corporate offices and other facilities used in conducting its business, as well as certain equipment. The Company determines if an arrangement is a lease at inception.</w:t>
      </w:r>
    </w:p>
    <w:p>
      <w:pPr>
        <w:spacing w:after="0" w:line="135"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Operating leases are included in lease right-of-use (“ROU”) assets, current portion of lease liabilities, and lease liabilities on the Company’s Condensed Consolidated Balance Sheets. ROU assets represent the Company’s right to use an underlying asset for the lease term and lease liabilities represent the Company’s obligation to make lease payments arising from the lease. Operating lease ROU assets and liabilities are recognized at the lease commencement date based on the present value of lease payments over the lease term. ROU assets also include any initial direct costs, prepaid lease payments and lease incentives received, when applicable. As most of the Company’s leases do not provide an implicit rate, the Company used its incremental borrowing rate based on the information available at the lease commencement date in determining the present value of lease payments. The Company used the incremental borrowing rate on December 31, 2018 for operating leases that commenced prior to that date.</w:t>
      </w:r>
    </w:p>
    <w:p>
      <w:pPr>
        <w:spacing w:after="0" w:line="136"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Company’s lease terms may include options to extend or terminate the lease by one to ten years or more when it is reasonably certain that the option will be exercised. Leases with a term of twelve months or less are not recorded on the balance sheet; however, lease expense for these leases is recognized on a straight-line basis. The Company has elected the practical expedient to not separate lease components from nonlease components. As such, lease</w:t>
      </w:r>
    </w:p>
    <w:p>
      <w:pPr>
        <w:sectPr>
          <w:pgSz w:w="11900" w:h="16838" w:orient="portrait"/>
          <w:cols w:equalWidth="0" w:num="1">
            <w:col w:w="11420"/>
          </w:cols>
          <w:pgMar w:left="240" w:top="697" w:right="2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697" w:right="239" w:bottom="1440" w:gutter="0" w:footer="0" w:header="0"/>
          <w:type w:val="continuous"/>
        </w:sectPr>
      </w:pPr>
    </w:p>
    <w:bookmarkStart w:id="13" w:name="page14"/>
    <w:bookmarkEnd w:id="13"/>
    <w:p>
      <w:pPr>
        <w:jc w:val="both"/>
        <w:spacing w:after="0" w:line="227" w:lineRule="auto"/>
        <w:rPr>
          <w:sz w:val="20"/>
          <w:szCs w:val="20"/>
          <w:color w:val="auto"/>
        </w:rPr>
      </w:pPr>
      <w:r>
        <w:rPr>
          <w:rFonts w:ascii="Arial" w:cs="Arial" w:eastAsia="Arial" w:hAnsi="Arial"/>
          <w:sz w:val="18"/>
          <w:szCs w:val="18"/>
          <w:color w:val="auto"/>
        </w:rPr>
        <w:t>expense includes these nonlease components, when applicable. Fixed lease expense is recognized on a straight-line basis over the lease term. Variable lease expense is recognized when incurred. The Company’s lease agreements do not contain any significant residual value guarantees or restrictive covenants. In some instances, the Company subleases its leased real estate facilities to third parties. The Company does not have significant financing leases.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jc w:val="right"/>
              <w:ind w:right="182"/>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9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March 31, 2019</w:t>
            </w:r>
          </w:p>
        </w:tc>
      </w:tr>
      <w:tr>
        <w:trPr>
          <w:trHeight w:val="223"/>
        </w:trPr>
        <w:tc>
          <w:tcPr>
            <w:tcW w:w="9480" w:type="dxa"/>
            <w:vAlign w:val="bottom"/>
          </w:tcPr>
          <w:p>
            <w:pPr>
              <w:ind w:left="40"/>
              <w:spacing w:after="0"/>
              <w:rPr>
                <w:sz w:val="20"/>
                <w:szCs w:val="20"/>
                <w:color w:val="auto"/>
              </w:rPr>
            </w:pPr>
            <w:r>
              <w:rPr>
                <w:rFonts w:ascii="Arial" w:cs="Arial" w:eastAsia="Arial" w:hAnsi="Arial"/>
                <w:sz w:val="16"/>
                <w:szCs w:val="16"/>
                <w:color w:val="auto"/>
              </w:rPr>
              <w:t>Operating lease cost</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Pr>
          <w:p>
            <w:pPr>
              <w:jc w:val="right"/>
              <w:ind w:right="22"/>
              <w:spacing w:after="0"/>
              <w:rPr>
                <w:sz w:val="20"/>
                <w:szCs w:val="20"/>
                <w:color w:val="auto"/>
              </w:rPr>
            </w:pPr>
            <w:r>
              <w:rPr>
                <w:rFonts w:ascii="Arial" w:cs="Arial" w:eastAsia="Arial" w:hAnsi="Arial"/>
                <w:sz w:val="16"/>
                <w:szCs w:val="16"/>
                <w:b w:val="1"/>
                <w:bCs w:val="1"/>
                <w:color w:val="auto"/>
              </w:rPr>
              <w:t>25,010</w:t>
            </w:r>
          </w:p>
        </w:tc>
      </w:tr>
      <w:tr>
        <w:trPr>
          <w:trHeight w:val="243"/>
        </w:trPr>
        <w:tc>
          <w:tcPr>
            <w:tcW w:w="9480" w:type="dxa"/>
            <w:vAlign w:val="bottom"/>
          </w:tcPr>
          <w:p>
            <w:pPr>
              <w:ind w:left="40"/>
              <w:spacing w:after="0"/>
              <w:rPr>
                <w:sz w:val="20"/>
                <w:szCs w:val="20"/>
                <w:color w:val="auto"/>
              </w:rPr>
            </w:pPr>
            <w:r>
              <w:rPr>
                <w:rFonts w:ascii="Arial" w:cs="Arial" w:eastAsia="Arial" w:hAnsi="Arial"/>
                <w:sz w:val="16"/>
                <w:szCs w:val="16"/>
                <w:color w:val="auto"/>
              </w:rPr>
              <w:t>Short-term and month-to-month lease cost</w:t>
            </w:r>
          </w:p>
        </w:tc>
        <w:tc>
          <w:tcPr>
            <w:tcW w:w="200" w:type="dxa"/>
            <w:vAlign w:val="bottom"/>
          </w:tcPr>
          <w:p>
            <w:pPr>
              <w:spacing w:after="0"/>
              <w:rPr>
                <w:sz w:val="21"/>
                <w:szCs w:val="21"/>
                <w:color w:val="auto"/>
              </w:rPr>
            </w:pPr>
          </w:p>
        </w:tc>
        <w:tc>
          <w:tcPr>
            <w:tcW w:w="1740" w:type="dxa"/>
            <w:vAlign w:val="bottom"/>
          </w:tcPr>
          <w:p>
            <w:pPr>
              <w:jc w:val="right"/>
              <w:ind w:right="22"/>
              <w:spacing w:after="0"/>
              <w:rPr>
                <w:sz w:val="20"/>
                <w:szCs w:val="20"/>
                <w:color w:val="auto"/>
              </w:rPr>
            </w:pPr>
            <w:r>
              <w:rPr>
                <w:rFonts w:ascii="Arial" w:cs="Arial" w:eastAsia="Arial" w:hAnsi="Arial"/>
                <w:sz w:val="16"/>
                <w:szCs w:val="16"/>
                <w:b w:val="1"/>
                <w:bCs w:val="1"/>
                <w:color w:val="auto"/>
              </w:rPr>
              <w:t>4,813</w:t>
            </w:r>
          </w:p>
        </w:tc>
      </w:tr>
      <w:tr>
        <w:trPr>
          <w:trHeight w:val="243"/>
        </w:trPr>
        <w:tc>
          <w:tcPr>
            <w:tcW w:w="9480" w:type="dxa"/>
            <w:vAlign w:val="bottom"/>
          </w:tcPr>
          <w:p>
            <w:pPr>
              <w:ind w:left="40"/>
              <w:spacing w:after="0"/>
              <w:rPr>
                <w:sz w:val="20"/>
                <w:szCs w:val="20"/>
                <w:color w:val="auto"/>
              </w:rPr>
            </w:pPr>
            <w:r>
              <w:rPr>
                <w:rFonts w:ascii="Arial" w:cs="Arial" w:eastAsia="Arial" w:hAnsi="Arial"/>
                <w:sz w:val="16"/>
                <w:szCs w:val="16"/>
                <w:color w:val="auto"/>
              </w:rPr>
              <w:t>Variable lease cost</w:t>
            </w:r>
          </w:p>
        </w:tc>
        <w:tc>
          <w:tcPr>
            <w:tcW w:w="200" w:type="dxa"/>
            <w:vAlign w:val="bottom"/>
          </w:tcPr>
          <w:p>
            <w:pPr>
              <w:spacing w:after="0"/>
              <w:rPr>
                <w:sz w:val="21"/>
                <w:szCs w:val="21"/>
                <w:color w:val="auto"/>
              </w:rPr>
            </w:pPr>
          </w:p>
        </w:tc>
        <w:tc>
          <w:tcPr>
            <w:tcW w:w="1740" w:type="dxa"/>
            <w:vAlign w:val="bottom"/>
          </w:tcPr>
          <w:p>
            <w:pPr>
              <w:jc w:val="right"/>
              <w:ind w:right="22"/>
              <w:spacing w:after="0"/>
              <w:rPr>
                <w:sz w:val="20"/>
                <w:szCs w:val="20"/>
                <w:color w:val="auto"/>
              </w:rPr>
            </w:pPr>
            <w:r>
              <w:rPr>
                <w:rFonts w:ascii="Arial" w:cs="Arial" w:eastAsia="Arial" w:hAnsi="Arial"/>
                <w:sz w:val="16"/>
                <w:szCs w:val="16"/>
                <w:b w:val="1"/>
                <w:bCs w:val="1"/>
                <w:color w:val="auto"/>
              </w:rPr>
              <w:t>4,356</w:t>
            </w:r>
          </w:p>
        </w:tc>
      </w:tr>
      <w:tr>
        <w:trPr>
          <w:trHeight w:val="256"/>
        </w:trPr>
        <w:tc>
          <w:tcPr>
            <w:tcW w:w="9480" w:type="dxa"/>
            <w:vAlign w:val="bottom"/>
          </w:tcPr>
          <w:p>
            <w:pPr>
              <w:ind w:left="40"/>
              <w:spacing w:after="0"/>
              <w:rPr>
                <w:sz w:val="20"/>
                <w:szCs w:val="20"/>
                <w:color w:val="auto"/>
              </w:rPr>
            </w:pPr>
            <w:r>
              <w:rPr>
                <w:rFonts w:ascii="Arial" w:cs="Arial" w:eastAsia="Arial" w:hAnsi="Arial"/>
                <w:sz w:val="16"/>
                <w:szCs w:val="16"/>
                <w:color w:val="auto"/>
              </w:rPr>
              <w:t>Sublease income</w:t>
            </w: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(4,652)</w:t>
            </w:r>
          </w:p>
        </w:tc>
      </w:tr>
      <w:tr>
        <w:trPr>
          <w:trHeight w:val="240"/>
        </w:trPr>
        <w:tc>
          <w:tcPr>
            <w:tcW w:w="9480" w:type="dxa"/>
            <w:vAlign w:val="bottom"/>
          </w:tcPr>
          <w:p>
            <w:pPr>
              <w:ind w:left="40"/>
              <w:spacing w:after="0"/>
              <w:rPr>
                <w:sz w:val="20"/>
                <w:szCs w:val="20"/>
                <w:color w:val="auto"/>
              </w:rPr>
            </w:pPr>
            <w:r>
              <w:rPr>
                <w:rFonts w:ascii="Arial" w:cs="Arial" w:eastAsia="Arial" w:hAnsi="Arial"/>
                <w:sz w:val="16"/>
                <w:szCs w:val="16"/>
                <w:b w:val="1"/>
                <w:bCs w:val="1"/>
                <w:color w:val="auto"/>
              </w:rPr>
              <w:t>Total net lease cost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29,527</w:t>
            </w:r>
          </w:p>
        </w:tc>
      </w:tr>
      <w:tr>
        <w:trPr>
          <w:trHeight w:val="20"/>
        </w:trPr>
        <w:tc>
          <w:tcPr>
            <w:tcW w:w="9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In connection with the sale of the KHE Campuses business, the Company is the guarantor of several leases for which it has established ROU assets and lease liabilities (see Note 15). Any lease cost or sublease income related to these leases is recorded in other non-operating income. The total net lease cost related to these leases was $0.3 million for the three months ended March 31, 2019.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6200" w:type="dxa"/>
            <w:vAlign w:val="bottom"/>
          </w:tcPr>
          <w:p>
            <w:pPr>
              <w:jc w:val="center"/>
              <w:ind w:left="4128"/>
              <w:spacing w:after="0"/>
              <w:rPr>
                <w:sz w:val="20"/>
                <w:szCs w:val="20"/>
                <w:color w:val="auto"/>
              </w:rPr>
            </w:pPr>
            <w:r>
              <w:rPr>
                <w:rFonts w:ascii="Arial" w:cs="Arial" w:eastAsia="Arial" w:hAnsi="Arial"/>
                <w:sz w:val="14"/>
                <w:szCs w:val="14"/>
                <w:b w:val="1"/>
                <w:bCs w:val="1"/>
                <w:color w:val="auto"/>
              </w:rPr>
              <w:t>Three Months Ended March</w:t>
            </w:r>
          </w:p>
        </w:tc>
      </w:tr>
      <w:tr>
        <w:trPr>
          <w:trHeight w:val="196"/>
        </w:trPr>
        <w:tc>
          <w:tcPr>
            <w:tcW w:w="5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62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31, 2019</w:t>
            </w:r>
          </w:p>
        </w:tc>
      </w:tr>
    </w:tbl>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20" w:type="dxa"/>
            <w:vAlign w:val="bottom"/>
          </w:tcPr>
          <w:p>
            <w:pPr>
              <w:ind w:left="40"/>
              <w:spacing w:after="0"/>
              <w:rPr>
                <w:sz w:val="20"/>
                <w:szCs w:val="20"/>
                <w:color w:val="auto"/>
              </w:rPr>
            </w:pPr>
            <w:r>
              <w:rPr>
                <w:rFonts w:ascii="Arial" w:cs="Arial" w:eastAsia="Arial" w:hAnsi="Arial"/>
                <w:sz w:val="16"/>
                <w:szCs w:val="16"/>
                <w:b w:val="1"/>
                <w:bCs w:val="1"/>
                <w:color w:val="auto"/>
              </w:rPr>
              <w:t>Cash Flow Information:</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3"/>
        </w:trPr>
        <w:tc>
          <w:tcPr>
            <w:tcW w:w="9420" w:type="dxa"/>
            <w:vAlign w:val="bottom"/>
          </w:tcPr>
          <w:p>
            <w:pPr>
              <w:ind w:left="280"/>
              <w:spacing w:after="0"/>
              <w:rPr>
                <w:sz w:val="20"/>
                <w:szCs w:val="20"/>
                <w:color w:val="auto"/>
              </w:rPr>
            </w:pPr>
            <w:r>
              <w:rPr>
                <w:rFonts w:ascii="Arial" w:cs="Arial" w:eastAsia="Arial" w:hAnsi="Arial"/>
                <w:sz w:val="16"/>
                <w:szCs w:val="16"/>
                <w:color w:val="auto"/>
              </w:rPr>
              <w:t>Operating cash flows from operating leases (payments)</w:t>
            </w:r>
          </w:p>
        </w:tc>
        <w:tc>
          <w:tcPr>
            <w:tcW w:w="520" w:type="dxa"/>
            <w:vAlign w:val="bottom"/>
          </w:tcPr>
          <w:p>
            <w:pPr>
              <w:jc w:val="right"/>
              <w:ind w:right="3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25,840</w:t>
            </w:r>
          </w:p>
        </w:tc>
      </w:tr>
      <w:tr>
        <w:trPr>
          <w:trHeight w:val="243"/>
        </w:trPr>
        <w:tc>
          <w:tcPr>
            <w:tcW w:w="9420" w:type="dxa"/>
            <w:vAlign w:val="bottom"/>
          </w:tcPr>
          <w:p>
            <w:pPr>
              <w:ind w:left="280"/>
              <w:spacing w:after="0"/>
              <w:rPr>
                <w:sz w:val="20"/>
                <w:szCs w:val="20"/>
                <w:color w:val="auto"/>
              </w:rPr>
            </w:pPr>
            <w:r>
              <w:rPr>
                <w:rFonts w:ascii="Arial" w:cs="Arial" w:eastAsia="Arial" w:hAnsi="Arial"/>
                <w:sz w:val="16"/>
                <w:szCs w:val="16"/>
                <w:color w:val="auto"/>
              </w:rPr>
              <w:t>Right-of-use assets obtained in exchange for new operating lease liabilities (noncash)</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30,410</w:t>
            </w:r>
          </w:p>
        </w:tc>
      </w:tr>
      <w:tr>
        <w:trPr>
          <w:trHeight w:val="526"/>
        </w:trPr>
        <w:tc>
          <w:tcPr>
            <w:tcW w:w="9420" w:type="dxa"/>
            <w:vAlign w:val="bottom"/>
          </w:tcPr>
          <w:p>
            <w:pPr>
              <w:spacing w:after="0"/>
              <w:rPr>
                <w:sz w:val="24"/>
                <w:szCs w:val="24"/>
                <w:color w:val="auto"/>
              </w:rPr>
            </w:pPr>
          </w:p>
        </w:tc>
        <w:tc>
          <w:tcPr>
            <w:tcW w:w="20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As of March 31, 2019</w:t>
            </w:r>
          </w:p>
        </w:tc>
      </w:tr>
      <w:tr>
        <w:trPr>
          <w:trHeight w:val="251"/>
        </w:trPr>
        <w:tc>
          <w:tcPr>
            <w:tcW w:w="9420" w:type="dxa"/>
            <w:vAlign w:val="bottom"/>
          </w:tcPr>
          <w:p>
            <w:pPr>
              <w:ind w:left="40"/>
              <w:spacing w:after="0"/>
              <w:rPr>
                <w:sz w:val="20"/>
                <w:szCs w:val="20"/>
                <w:color w:val="auto"/>
              </w:rPr>
            </w:pPr>
            <w:r>
              <w:rPr>
                <w:rFonts w:ascii="Arial" w:cs="Arial" w:eastAsia="Arial" w:hAnsi="Arial"/>
                <w:sz w:val="16"/>
                <w:szCs w:val="16"/>
                <w:b w:val="1"/>
                <w:bCs w:val="1"/>
                <w:color w:val="auto"/>
              </w:rPr>
              <w:t>Balance Sheet Information:</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9420" w:type="dxa"/>
            <w:vAlign w:val="bottom"/>
          </w:tcPr>
          <w:p>
            <w:pPr>
              <w:ind w:left="280"/>
              <w:spacing w:after="0"/>
              <w:rPr>
                <w:sz w:val="20"/>
                <w:szCs w:val="20"/>
                <w:color w:val="auto"/>
              </w:rPr>
            </w:pPr>
            <w:r>
              <w:rPr>
                <w:rFonts w:ascii="Arial" w:cs="Arial" w:eastAsia="Arial" w:hAnsi="Arial"/>
                <w:sz w:val="16"/>
                <w:szCs w:val="16"/>
                <w:color w:val="auto"/>
              </w:rPr>
              <w:t>Lease right-of-use assets</w:t>
            </w:r>
          </w:p>
        </w:tc>
        <w:tc>
          <w:tcPr>
            <w:tcW w:w="520" w:type="dxa"/>
            <w:vAlign w:val="bottom"/>
          </w:tcPr>
          <w:p>
            <w:pPr>
              <w:jc w:val="right"/>
              <w:ind w:right="3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382,050</w:t>
            </w:r>
          </w:p>
        </w:tc>
      </w:tr>
      <w:tr>
        <w:trPr>
          <w:trHeight w:val="486"/>
        </w:trPr>
        <w:tc>
          <w:tcPr>
            <w:tcW w:w="9420" w:type="dxa"/>
            <w:vAlign w:val="bottom"/>
          </w:tcPr>
          <w:p>
            <w:pPr>
              <w:ind w:left="280"/>
              <w:spacing w:after="0"/>
              <w:rPr>
                <w:sz w:val="20"/>
                <w:szCs w:val="20"/>
                <w:color w:val="auto"/>
              </w:rPr>
            </w:pPr>
            <w:r>
              <w:rPr>
                <w:rFonts w:ascii="Arial" w:cs="Arial" w:eastAsia="Arial" w:hAnsi="Arial"/>
                <w:sz w:val="16"/>
                <w:szCs w:val="16"/>
                <w:color w:val="auto"/>
              </w:rPr>
              <w:t>Current lease liabilities</w:t>
            </w:r>
          </w:p>
        </w:tc>
        <w:tc>
          <w:tcPr>
            <w:tcW w:w="520" w:type="dxa"/>
            <w:vAlign w:val="bottom"/>
          </w:tcPr>
          <w:p>
            <w:pPr>
              <w:jc w:val="right"/>
              <w:ind w:right="3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4"/>
                <w:szCs w:val="24"/>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82,429</w:t>
            </w:r>
          </w:p>
        </w:tc>
      </w:tr>
      <w:tr>
        <w:trPr>
          <w:trHeight w:val="256"/>
        </w:trPr>
        <w:tc>
          <w:tcPr>
            <w:tcW w:w="9420" w:type="dxa"/>
            <w:vAlign w:val="bottom"/>
          </w:tcPr>
          <w:p>
            <w:pPr>
              <w:ind w:left="280"/>
              <w:spacing w:after="0"/>
              <w:rPr>
                <w:sz w:val="20"/>
                <w:szCs w:val="20"/>
                <w:color w:val="auto"/>
              </w:rPr>
            </w:pPr>
            <w:r>
              <w:rPr>
                <w:rFonts w:ascii="Arial" w:cs="Arial" w:eastAsia="Arial" w:hAnsi="Arial"/>
                <w:sz w:val="16"/>
                <w:szCs w:val="16"/>
                <w:color w:val="auto"/>
              </w:rPr>
              <w:t>Noncurrent lease liabilities</w:t>
            </w:r>
          </w:p>
        </w:tc>
        <w:tc>
          <w:tcPr>
            <w:tcW w:w="5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337,648</w:t>
            </w:r>
          </w:p>
        </w:tc>
      </w:tr>
      <w:tr>
        <w:trPr>
          <w:trHeight w:val="224"/>
        </w:trPr>
        <w:tc>
          <w:tcPr>
            <w:tcW w:w="9420" w:type="dxa"/>
            <w:vAlign w:val="bottom"/>
          </w:tcPr>
          <w:p>
            <w:pPr>
              <w:ind w:left="500"/>
              <w:spacing w:after="0"/>
              <w:rPr>
                <w:sz w:val="20"/>
                <w:szCs w:val="20"/>
                <w:color w:val="auto"/>
              </w:rPr>
            </w:pPr>
            <w:r>
              <w:rPr>
                <w:rFonts w:ascii="Arial" w:cs="Arial" w:eastAsia="Arial" w:hAnsi="Arial"/>
                <w:sz w:val="16"/>
                <w:szCs w:val="16"/>
                <w:b w:val="1"/>
                <w:bCs w:val="1"/>
                <w:color w:val="auto"/>
              </w:rPr>
              <w:t>Total lease liabilities</w:t>
            </w:r>
          </w:p>
        </w:tc>
        <w:tc>
          <w:tcPr>
            <w:tcW w:w="520" w:type="dxa"/>
            <w:vAlign w:val="bottom"/>
          </w:tcPr>
          <w:p>
            <w:pPr>
              <w:jc w:val="right"/>
              <w:ind w:right="3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420,077</w:t>
            </w:r>
          </w:p>
        </w:tc>
      </w:tr>
      <w:tr>
        <w:trPr>
          <w:trHeight w:val="486"/>
        </w:trPr>
        <w:tc>
          <w:tcPr>
            <w:tcW w:w="9420" w:type="dxa"/>
            <w:vAlign w:val="bottom"/>
          </w:tcPr>
          <w:p>
            <w:pPr>
              <w:ind w:left="40"/>
              <w:spacing w:after="0"/>
              <w:rPr>
                <w:sz w:val="20"/>
                <w:szCs w:val="20"/>
                <w:color w:val="auto"/>
              </w:rPr>
            </w:pPr>
            <w:r>
              <w:rPr>
                <w:rFonts w:ascii="Arial" w:cs="Arial" w:eastAsia="Arial" w:hAnsi="Arial"/>
                <w:sz w:val="16"/>
                <w:szCs w:val="16"/>
                <w:color w:val="auto"/>
              </w:rPr>
              <w:t>Weighted average remaining lease term (years)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6.8</w:t>
            </w:r>
          </w:p>
        </w:tc>
      </w:tr>
      <w:tr>
        <w:trPr>
          <w:trHeight w:val="243"/>
        </w:trPr>
        <w:tc>
          <w:tcPr>
            <w:tcW w:w="9420" w:type="dxa"/>
            <w:vAlign w:val="bottom"/>
          </w:tcPr>
          <w:p>
            <w:pPr>
              <w:ind w:left="40"/>
              <w:spacing w:after="0"/>
              <w:rPr>
                <w:sz w:val="20"/>
                <w:szCs w:val="20"/>
                <w:color w:val="auto"/>
              </w:rPr>
            </w:pPr>
            <w:r>
              <w:rPr>
                <w:rFonts w:ascii="Arial" w:cs="Arial" w:eastAsia="Arial" w:hAnsi="Arial"/>
                <w:sz w:val="16"/>
                <w:szCs w:val="16"/>
                <w:color w:val="auto"/>
              </w:rPr>
              <w:t>Weighted average discount rate</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3.9%</w:t>
            </w:r>
          </w:p>
        </w:tc>
      </w:tr>
      <w:tr>
        <w:trPr>
          <w:trHeight w:val="384"/>
        </w:trPr>
        <w:tc>
          <w:tcPr>
            <w:tcW w:w="9420" w:type="dxa"/>
            <w:vAlign w:val="bottom"/>
          </w:tcPr>
          <w:p>
            <w:pPr>
              <w:spacing w:after="0"/>
              <w:rPr>
                <w:sz w:val="20"/>
                <w:szCs w:val="20"/>
                <w:color w:val="auto"/>
              </w:rPr>
            </w:pPr>
            <w:r>
              <w:rPr>
                <w:rFonts w:ascii="Arial" w:cs="Arial" w:eastAsia="Arial" w:hAnsi="Arial"/>
                <w:sz w:val="18"/>
                <w:szCs w:val="18"/>
                <w:color w:val="auto"/>
              </w:rPr>
              <w:t>Maturities of lease liabilities were as follows: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2"/>
        </w:trPr>
        <w:tc>
          <w:tcPr>
            <w:tcW w:w="9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March 31, 2019</w:t>
            </w:r>
          </w:p>
        </w:tc>
      </w:tr>
      <w:tr>
        <w:trPr>
          <w:trHeight w:val="223"/>
        </w:trPr>
        <w:tc>
          <w:tcPr>
            <w:tcW w:w="9420" w:type="dxa"/>
            <w:vAlign w:val="bottom"/>
          </w:tcPr>
          <w:p>
            <w:pPr>
              <w:ind w:left="40"/>
              <w:spacing w:after="0"/>
              <w:rPr>
                <w:sz w:val="20"/>
                <w:szCs w:val="20"/>
                <w:color w:val="auto"/>
              </w:rPr>
            </w:pPr>
            <w:r>
              <w:rPr>
                <w:rFonts w:ascii="Arial" w:cs="Arial" w:eastAsia="Arial" w:hAnsi="Arial"/>
                <w:sz w:val="16"/>
                <w:szCs w:val="16"/>
                <w:color w:val="auto"/>
              </w:rPr>
              <w:t>2019</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73,800</w:t>
            </w:r>
          </w:p>
        </w:tc>
      </w:tr>
      <w:tr>
        <w:trPr>
          <w:trHeight w:val="243"/>
        </w:trPr>
        <w:tc>
          <w:tcPr>
            <w:tcW w:w="9420" w:type="dxa"/>
            <w:vAlign w:val="bottom"/>
          </w:tcPr>
          <w:p>
            <w:pPr>
              <w:ind w:left="40"/>
              <w:spacing w:after="0"/>
              <w:rPr>
                <w:sz w:val="20"/>
                <w:szCs w:val="20"/>
                <w:color w:val="auto"/>
              </w:rPr>
            </w:pPr>
            <w:r>
              <w:rPr>
                <w:rFonts w:ascii="Arial" w:cs="Arial" w:eastAsia="Arial" w:hAnsi="Arial"/>
                <w:sz w:val="16"/>
                <w:szCs w:val="16"/>
                <w:color w:val="auto"/>
              </w:rPr>
              <w:t>2020</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89,643</w:t>
            </w:r>
          </w:p>
        </w:tc>
      </w:tr>
      <w:tr>
        <w:trPr>
          <w:trHeight w:val="243"/>
        </w:trPr>
        <w:tc>
          <w:tcPr>
            <w:tcW w:w="9420" w:type="dxa"/>
            <w:vAlign w:val="bottom"/>
          </w:tcPr>
          <w:p>
            <w:pPr>
              <w:ind w:left="40"/>
              <w:spacing w:after="0"/>
              <w:rPr>
                <w:sz w:val="20"/>
                <w:szCs w:val="20"/>
                <w:color w:val="auto"/>
              </w:rPr>
            </w:pPr>
            <w:r>
              <w:rPr>
                <w:rFonts w:ascii="Arial" w:cs="Arial" w:eastAsia="Arial" w:hAnsi="Arial"/>
                <w:sz w:val="16"/>
                <w:szCs w:val="16"/>
                <w:color w:val="auto"/>
              </w:rPr>
              <w:t>2021</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72,055</w:t>
            </w:r>
          </w:p>
        </w:tc>
      </w:tr>
      <w:tr>
        <w:trPr>
          <w:trHeight w:val="243"/>
        </w:trPr>
        <w:tc>
          <w:tcPr>
            <w:tcW w:w="9420" w:type="dxa"/>
            <w:vAlign w:val="bottom"/>
          </w:tcPr>
          <w:p>
            <w:pPr>
              <w:ind w:left="40"/>
              <w:spacing w:after="0"/>
              <w:rPr>
                <w:sz w:val="20"/>
                <w:szCs w:val="20"/>
                <w:color w:val="auto"/>
              </w:rPr>
            </w:pPr>
            <w:r>
              <w:rPr>
                <w:rFonts w:ascii="Arial" w:cs="Arial" w:eastAsia="Arial" w:hAnsi="Arial"/>
                <w:sz w:val="16"/>
                <w:szCs w:val="16"/>
                <w:color w:val="auto"/>
              </w:rPr>
              <w:t>2022</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57,865</w:t>
            </w:r>
          </w:p>
        </w:tc>
      </w:tr>
      <w:tr>
        <w:trPr>
          <w:trHeight w:val="243"/>
        </w:trPr>
        <w:tc>
          <w:tcPr>
            <w:tcW w:w="9420" w:type="dxa"/>
            <w:vAlign w:val="bottom"/>
          </w:tcPr>
          <w:p>
            <w:pPr>
              <w:ind w:left="40"/>
              <w:spacing w:after="0"/>
              <w:rPr>
                <w:sz w:val="20"/>
                <w:szCs w:val="20"/>
                <w:color w:val="auto"/>
              </w:rPr>
            </w:pPr>
            <w:r>
              <w:rPr>
                <w:rFonts w:ascii="Arial" w:cs="Arial" w:eastAsia="Arial" w:hAnsi="Arial"/>
                <w:sz w:val="16"/>
                <w:szCs w:val="16"/>
                <w:color w:val="auto"/>
              </w:rPr>
              <w:t>2023</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49,787</w:t>
            </w:r>
          </w:p>
        </w:tc>
      </w:tr>
      <w:tr>
        <w:trPr>
          <w:trHeight w:val="256"/>
        </w:trPr>
        <w:tc>
          <w:tcPr>
            <w:tcW w:w="94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5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137,671</w:t>
            </w:r>
          </w:p>
        </w:tc>
      </w:tr>
      <w:tr>
        <w:trPr>
          <w:trHeight w:val="224"/>
        </w:trPr>
        <w:tc>
          <w:tcPr>
            <w:tcW w:w="9420" w:type="dxa"/>
            <w:vAlign w:val="bottom"/>
          </w:tcPr>
          <w:p>
            <w:pPr>
              <w:ind w:left="40"/>
              <w:spacing w:after="0"/>
              <w:rPr>
                <w:sz w:val="20"/>
                <w:szCs w:val="20"/>
                <w:color w:val="auto"/>
              </w:rPr>
            </w:pPr>
            <w:r>
              <w:rPr>
                <w:rFonts w:ascii="Arial" w:cs="Arial" w:eastAsia="Arial" w:hAnsi="Arial"/>
                <w:sz w:val="16"/>
                <w:szCs w:val="16"/>
                <w:color w:val="auto"/>
              </w:rPr>
              <w:t>Total payments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480,821</w:t>
            </w:r>
          </w:p>
        </w:tc>
      </w:tr>
      <w:tr>
        <w:trPr>
          <w:trHeight w:val="256"/>
        </w:trPr>
        <w:tc>
          <w:tcPr>
            <w:tcW w:w="9420" w:type="dxa"/>
            <w:vAlign w:val="bottom"/>
          </w:tcPr>
          <w:p>
            <w:pPr>
              <w:ind w:left="40"/>
              <w:spacing w:after="0"/>
              <w:rPr>
                <w:sz w:val="20"/>
                <w:szCs w:val="20"/>
                <w:color w:val="auto"/>
              </w:rPr>
            </w:pPr>
            <w:r>
              <w:rPr>
                <w:rFonts w:ascii="Arial" w:cs="Arial" w:eastAsia="Arial" w:hAnsi="Arial"/>
                <w:sz w:val="16"/>
                <w:szCs w:val="16"/>
                <w:color w:val="auto"/>
              </w:rPr>
              <w:t>Less: Imputed interest</w:t>
            </w:r>
          </w:p>
        </w:tc>
        <w:tc>
          <w:tcPr>
            <w:tcW w:w="5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(60,744)</w:t>
            </w:r>
          </w:p>
        </w:tc>
      </w:tr>
      <w:tr>
        <w:trPr>
          <w:trHeight w:val="240"/>
        </w:trPr>
        <w:tc>
          <w:tcPr>
            <w:tcW w:w="9420" w:type="dxa"/>
            <w:vAlign w:val="bottom"/>
          </w:tcPr>
          <w:p>
            <w:pPr>
              <w:ind w:left="40"/>
              <w:spacing w:after="0"/>
              <w:rPr>
                <w:sz w:val="20"/>
                <w:szCs w:val="20"/>
                <w:color w:val="auto"/>
              </w:rPr>
            </w:pPr>
            <w:r>
              <w:rPr>
                <w:rFonts w:ascii="Arial" w:cs="Arial" w:eastAsia="Arial" w:hAnsi="Arial"/>
                <w:sz w:val="16"/>
                <w:szCs w:val="16"/>
                <w:color w:val="auto"/>
              </w:rPr>
              <w:t>Total</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420,077</w:t>
            </w:r>
          </w:p>
        </w:tc>
      </w:tr>
      <w:tr>
        <w:trPr>
          <w:trHeight w:val="20"/>
        </w:trPr>
        <w:tc>
          <w:tcPr>
            <w:tcW w:w="9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As of March 31, 2019, the Company has entered into operating leases, including educational and other facilities, that have not yet commenced that have minimum lease payments of $27.4 million. These operating leases will commence in fiscal years 2019 and 2020 with lease terms of 2 to 20 years.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19"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Disclosure related to periods prior to the adoption of new lease accounting guidance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future minimum rental payments under noncancelable operating leases approximate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9480" w:type="dxa"/>
            <w:vAlign w:val="bottom"/>
          </w:tcPr>
          <w:p>
            <w:pPr>
              <w:ind w:left="40"/>
              <w:spacing w:after="0"/>
              <w:rPr>
                <w:sz w:val="20"/>
                <w:szCs w:val="20"/>
                <w:color w:val="auto"/>
              </w:rPr>
            </w:pPr>
            <w:r>
              <w:rPr>
                <w:rFonts w:ascii="Arial" w:cs="Arial" w:eastAsia="Arial" w:hAnsi="Arial"/>
                <w:sz w:val="16"/>
                <w:szCs w:val="16"/>
                <w:color w:val="auto"/>
              </w:rPr>
              <w:t>2019</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Pr>
          <w:p>
            <w:pPr>
              <w:jc w:val="right"/>
              <w:ind w:right="20"/>
              <w:spacing w:after="0"/>
              <w:rPr>
                <w:sz w:val="20"/>
                <w:szCs w:val="20"/>
                <w:color w:val="auto"/>
              </w:rPr>
            </w:pPr>
            <w:r>
              <w:rPr>
                <w:rFonts w:ascii="Arial" w:cs="Arial" w:eastAsia="Arial" w:hAnsi="Arial"/>
                <w:sz w:val="16"/>
                <w:szCs w:val="16"/>
                <w:b w:val="1"/>
                <w:bCs w:val="1"/>
                <w:color w:val="auto"/>
              </w:rPr>
              <w:t>101,009</w:t>
            </w:r>
          </w:p>
        </w:tc>
      </w:tr>
      <w:tr>
        <w:trPr>
          <w:trHeight w:val="243"/>
        </w:trPr>
        <w:tc>
          <w:tcPr>
            <w:tcW w:w="9480" w:type="dxa"/>
            <w:vAlign w:val="bottom"/>
          </w:tcPr>
          <w:p>
            <w:pPr>
              <w:ind w:left="40"/>
              <w:spacing w:after="0"/>
              <w:rPr>
                <w:sz w:val="20"/>
                <w:szCs w:val="20"/>
                <w:color w:val="auto"/>
              </w:rPr>
            </w:pPr>
            <w:r>
              <w:rPr>
                <w:rFonts w:ascii="Arial" w:cs="Arial" w:eastAsia="Arial" w:hAnsi="Arial"/>
                <w:sz w:val="16"/>
                <w:szCs w:val="16"/>
                <w:color w:val="auto"/>
              </w:rPr>
              <w:t>2020</w:t>
            </w:r>
          </w:p>
        </w:tc>
        <w:tc>
          <w:tcPr>
            <w:tcW w:w="220" w:type="dxa"/>
            <w:vAlign w:val="bottom"/>
          </w:tcPr>
          <w:p>
            <w:pPr>
              <w:spacing w:after="0"/>
              <w:rPr>
                <w:sz w:val="21"/>
                <w:szCs w:val="21"/>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b w:val="1"/>
                <w:bCs w:val="1"/>
                <w:color w:val="auto"/>
              </w:rPr>
              <w:t>84,945</w:t>
            </w:r>
          </w:p>
        </w:tc>
      </w:tr>
      <w:tr>
        <w:trPr>
          <w:trHeight w:val="243"/>
        </w:trPr>
        <w:tc>
          <w:tcPr>
            <w:tcW w:w="9480" w:type="dxa"/>
            <w:vAlign w:val="bottom"/>
          </w:tcPr>
          <w:p>
            <w:pPr>
              <w:ind w:left="40"/>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21"/>
                <w:szCs w:val="21"/>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b w:val="1"/>
                <w:bCs w:val="1"/>
                <w:color w:val="auto"/>
              </w:rPr>
              <w:t>72,031</w:t>
            </w:r>
          </w:p>
        </w:tc>
      </w:tr>
      <w:tr>
        <w:trPr>
          <w:trHeight w:val="243"/>
        </w:trPr>
        <w:tc>
          <w:tcPr>
            <w:tcW w:w="9480" w:type="dxa"/>
            <w:vAlign w:val="bottom"/>
          </w:tcPr>
          <w:p>
            <w:pPr>
              <w:ind w:left="40"/>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21"/>
                <w:szCs w:val="21"/>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b w:val="1"/>
                <w:bCs w:val="1"/>
                <w:color w:val="auto"/>
              </w:rPr>
              <w:t>53,709</w:t>
            </w:r>
          </w:p>
        </w:tc>
      </w:tr>
      <w:tr>
        <w:trPr>
          <w:trHeight w:val="243"/>
        </w:trPr>
        <w:tc>
          <w:tcPr>
            <w:tcW w:w="9480" w:type="dxa"/>
            <w:vAlign w:val="bottom"/>
          </w:tcPr>
          <w:p>
            <w:pPr>
              <w:ind w:left="40"/>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21"/>
                <w:szCs w:val="21"/>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b w:val="1"/>
                <w:bCs w:val="1"/>
                <w:color w:val="auto"/>
              </w:rPr>
              <w:t>47,091</w:t>
            </w:r>
          </w:p>
        </w:tc>
      </w:tr>
      <w:tr>
        <w:trPr>
          <w:trHeight w:val="256"/>
        </w:trPr>
        <w:tc>
          <w:tcPr>
            <w:tcW w:w="948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115,948</w:t>
            </w:r>
          </w:p>
        </w:tc>
      </w:tr>
      <w:tr>
        <w:trPr>
          <w:trHeight w:val="237"/>
        </w:trPr>
        <w:tc>
          <w:tcPr>
            <w:tcW w:w="948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474,733</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Minimum payments have not been reduced by minimum sublease rentals of $66.0 million due in the future under noncancelable subleases.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66" w:lineRule="exact"/>
        <w:rPr>
          <w:sz w:val="20"/>
          <w:szCs w:val="20"/>
          <w:color w:val="auto"/>
        </w:rPr>
      </w:pPr>
    </w:p>
    <w:p>
      <w:pPr>
        <w:ind w:right="460"/>
        <w:spacing w:after="0" w:line="229" w:lineRule="auto"/>
        <w:rPr>
          <w:sz w:val="20"/>
          <w:szCs w:val="20"/>
          <w:color w:val="auto"/>
        </w:rPr>
      </w:pPr>
      <w:r>
        <w:rPr>
          <w:rFonts w:ascii="Arial" w:cs="Arial" w:eastAsia="Arial" w:hAnsi="Arial"/>
          <w:sz w:val="18"/>
          <w:szCs w:val="18"/>
          <w:color w:val="auto"/>
        </w:rPr>
        <w:t>Amortization of intangible assets for the three months ended March 31, 2019 and 2018 was $13.1 million and $10.4 million, respectively. Amortization of intangible assets is estimated to be approximately $38 million for the remainder of 2019, $48 million in 2020, $43 million in 2021, $37 million in 2022, $30 million in 2023 and $54 million thereafter.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281"/>
              <w:spacing w:after="0"/>
              <w:rPr>
                <w:sz w:val="20"/>
                <w:szCs w:val="20"/>
                <w:color w:val="auto"/>
              </w:rPr>
            </w:pPr>
            <w:r>
              <w:rPr>
                <w:rFonts w:ascii="Arial" w:cs="Arial" w:eastAsia="Arial" w:hAnsi="Arial"/>
                <w:sz w:val="14"/>
                <w:szCs w:val="14"/>
                <w:b w:val="1"/>
                <w:bCs w:val="1"/>
                <w:color w:val="auto"/>
              </w:rPr>
              <w:t>Television</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441"/>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Education</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Broadcasting</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Healthcare</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Businesses</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Pr>
          <w:p>
            <w:pPr>
              <w:ind w:left="40"/>
              <w:spacing w:after="0"/>
              <w:rPr>
                <w:sz w:val="20"/>
                <w:szCs w:val="20"/>
                <w:color w:val="auto"/>
              </w:rPr>
            </w:pPr>
            <w:r>
              <w:rPr>
                <w:rFonts w:ascii="Arial" w:cs="Arial" w:eastAsia="Arial" w:hAnsi="Arial"/>
                <w:sz w:val="16"/>
                <w:szCs w:val="16"/>
                <w:color w:val="auto"/>
              </w:rPr>
              <w:t>Balance as of December 31, 2018</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1,128,699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190,815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69,626</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255,024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1,644,164</w:t>
            </w:r>
          </w:p>
        </w:tc>
      </w:tr>
      <w:tr>
        <w:trPr>
          <w:trHeight w:val="283"/>
        </w:trPr>
        <w:tc>
          <w:tcPr>
            <w:tcW w:w="41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(331,151)</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(15,301)</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(346,452)</w:t>
            </w:r>
          </w:p>
        </w:tc>
      </w:tr>
      <w:tr>
        <w:trPr>
          <w:trHeight w:val="251"/>
        </w:trPr>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797,548</w:t>
            </w:r>
          </w:p>
        </w:tc>
        <w:tc>
          <w:tcPr>
            <w:tcW w:w="240" w:type="dxa"/>
            <w:vAlign w:val="bottom"/>
          </w:tcPr>
          <w:p>
            <w:pPr>
              <w:spacing w:after="0"/>
              <w:rPr>
                <w:sz w:val="21"/>
                <w:szCs w:val="21"/>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190,815</w:t>
            </w:r>
          </w:p>
        </w:tc>
        <w:tc>
          <w:tcPr>
            <w:tcW w:w="300" w:type="dxa"/>
            <w:vAlign w:val="bottom"/>
          </w:tcPr>
          <w:p>
            <w:pPr>
              <w:spacing w:after="0"/>
              <w:rPr>
                <w:sz w:val="21"/>
                <w:szCs w:val="21"/>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69,626</w:t>
            </w:r>
          </w:p>
        </w:tc>
        <w:tc>
          <w:tcPr>
            <w:tcW w:w="300" w:type="dxa"/>
            <w:vAlign w:val="bottom"/>
          </w:tcPr>
          <w:p>
            <w:pPr>
              <w:spacing w:after="0"/>
              <w:rPr>
                <w:sz w:val="21"/>
                <w:szCs w:val="21"/>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239,723</w:t>
            </w:r>
          </w:p>
        </w:tc>
        <w:tc>
          <w:tcPr>
            <w:tcW w:w="4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1,297,712</w:t>
            </w: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4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33,062</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33,062</w:t>
            </w:r>
          </w:p>
        </w:tc>
      </w:tr>
      <w:tr>
        <w:trPr>
          <w:trHeight w:val="283"/>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9,048</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9,048</w:t>
            </w:r>
          </w:p>
        </w:tc>
      </w:tr>
      <w:tr>
        <w:trPr>
          <w:trHeight w:val="251"/>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Balance as of March 31, 2019</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24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1,137,747</w:t>
            </w:r>
          </w:p>
        </w:tc>
        <w:tc>
          <w:tcPr>
            <w:tcW w:w="24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190,815</w:t>
            </w:r>
          </w:p>
        </w:tc>
        <w:tc>
          <w:tcPr>
            <w:tcW w:w="30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b w:val="1"/>
                <w:bCs w:val="1"/>
                <w:color w:val="auto"/>
              </w:rPr>
              <w:t>69,626</w:t>
            </w:r>
          </w:p>
        </w:tc>
        <w:tc>
          <w:tcPr>
            <w:tcW w:w="30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288,086</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1,686,274</w:t>
            </w:r>
          </w:p>
        </w:tc>
      </w:tr>
      <w:tr>
        <w:trPr>
          <w:trHeight w:val="283"/>
        </w:trPr>
        <w:tc>
          <w:tcPr>
            <w:tcW w:w="41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(331,151)</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(15,301)</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(346,452)</w:t>
            </w:r>
          </w:p>
        </w:tc>
      </w:tr>
      <w:tr>
        <w:trPr>
          <w:trHeight w:val="264"/>
        </w:trPr>
        <w:tc>
          <w:tcPr>
            <w:tcW w:w="4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806,596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190,815</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69,626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272,785</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1,339,822</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401"/>
              <w:spacing w:after="0"/>
              <w:rPr>
                <w:sz w:val="20"/>
                <w:szCs w:val="20"/>
                <w:color w:val="auto"/>
              </w:rPr>
            </w:pPr>
            <w:r>
              <w:rPr>
                <w:rFonts w:ascii="Arial" w:cs="Arial" w:eastAsia="Arial" w:hAnsi="Arial"/>
                <w:sz w:val="14"/>
                <w:szCs w:val="14"/>
                <w:b w:val="1"/>
                <w:bCs w:val="1"/>
                <w:color w:val="auto"/>
              </w:rPr>
              <w:t>Kaplan</w:t>
            </w:r>
          </w:p>
        </w:tc>
        <w:tc>
          <w:tcPr>
            <w:tcW w:w="320" w:type="dxa"/>
            <w:vAlign w:val="bottom"/>
          </w:tcPr>
          <w:p>
            <w:pPr>
              <w:spacing w:after="0"/>
              <w:rPr>
                <w:sz w:val="14"/>
                <w:szCs w:val="14"/>
                <w:color w:val="auto"/>
              </w:rPr>
            </w:pPr>
          </w:p>
        </w:tc>
        <w:tc>
          <w:tcPr>
            <w:tcW w:w="1180" w:type="dxa"/>
            <w:vAlign w:val="bottom"/>
          </w:tcPr>
          <w:p>
            <w:pPr>
              <w:jc w:val="right"/>
              <w:ind w:right="421"/>
              <w:spacing w:after="0"/>
              <w:rPr>
                <w:sz w:val="20"/>
                <w:szCs w:val="20"/>
                <w:color w:val="auto"/>
              </w:rPr>
            </w:pPr>
            <w:r>
              <w:rPr>
                <w:rFonts w:ascii="Arial" w:cs="Arial" w:eastAsia="Arial" w:hAnsi="Arial"/>
                <w:sz w:val="14"/>
                <w:szCs w:val="14"/>
                <w:b w:val="1"/>
                <w:bCs w:val="1"/>
                <w:color w:val="auto"/>
              </w:rPr>
              <w:t>Higher</w:t>
            </w:r>
          </w:p>
        </w:tc>
        <w:tc>
          <w:tcPr>
            <w:tcW w:w="260" w:type="dxa"/>
            <w:vAlign w:val="bottom"/>
          </w:tcPr>
          <w:p>
            <w:pPr>
              <w:spacing w:after="0"/>
              <w:rPr>
                <w:sz w:val="14"/>
                <w:szCs w:val="14"/>
                <w:color w:val="auto"/>
              </w:rPr>
            </w:pPr>
          </w:p>
        </w:tc>
        <w:tc>
          <w:tcPr>
            <w:tcW w:w="1200" w:type="dxa"/>
            <w:vAlign w:val="bottom"/>
          </w:tcPr>
          <w:p>
            <w:pPr>
              <w:jc w:val="right"/>
              <w:ind w:right="501"/>
              <w:spacing w:after="0"/>
              <w:rPr>
                <w:sz w:val="20"/>
                <w:szCs w:val="20"/>
                <w:color w:val="auto"/>
              </w:rPr>
            </w:pPr>
            <w:r>
              <w:rPr>
                <w:rFonts w:ascii="Arial" w:cs="Arial" w:eastAsia="Arial" w:hAnsi="Arial"/>
                <w:sz w:val="14"/>
                <w:szCs w:val="14"/>
                <w:b w:val="1"/>
                <w:bCs w:val="1"/>
                <w:color w:val="auto"/>
              </w:rPr>
              <w:t>Test</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International</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Education</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Preparation</w:t>
            </w: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Professional (U.S.)</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Total</w:t>
            </w:r>
          </w:p>
        </w:tc>
      </w:tr>
      <w:tr>
        <w:trPr>
          <w:trHeight w:val="250"/>
        </w:trPr>
        <w:tc>
          <w:tcPr>
            <w:tcW w:w="4100" w:type="dxa"/>
            <w:vAlign w:val="bottom"/>
          </w:tcPr>
          <w:p>
            <w:pPr>
              <w:ind w:left="40"/>
              <w:spacing w:after="0"/>
              <w:rPr>
                <w:sz w:val="20"/>
                <w:szCs w:val="20"/>
                <w:color w:val="auto"/>
              </w:rPr>
            </w:pPr>
            <w:r>
              <w:rPr>
                <w:rFonts w:ascii="Arial" w:cs="Arial" w:eastAsia="Arial" w:hAnsi="Arial"/>
                <w:sz w:val="16"/>
                <w:szCs w:val="16"/>
                <w:color w:val="auto"/>
              </w:rPr>
              <w:t>Balance as of December 31, 2018</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583,424</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174,564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166,920</w:t>
            </w:r>
          </w:p>
        </w:tc>
        <w:tc>
          <w:tcPr>
            <w:tcW w:w="440" w:type="dxa"/>
            <w:vAlign w:val="bottom"/>
          </w:tcPr>
          <w:p>
            <w:pPr>
              <w:ind w:lef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203,791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1,128,699</w:t>
            </w:r>
          </w:p>
        </w:tc>
      </w:tr>
      <w:tr>
        <w:trPr>
          <w:trHeight w:val="283"/>
        </w:trPr>
        <w:tc>
          <w:tcPr>
            <w:tcW w:w="410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(111,324)</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(102,259)</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(117,568)</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r>
      <w:tr>
        <w:trPr>
          <w:trHeight w:val="251"/>
        </w:trPr>
        <w:tc>
          <w:tcPr>
            <w:tcW w:w="4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583,424</w:t>
            </w:r>
          </w:p>
        </w:tc>
        <w:tc>
          <w:tcPr>
            <w:tcW w:w="320" w:type="dxa"/>
            <w:vAlign w:val="bottom"/>
          </w:tcPr>
          <w:p>
            <w:pPr>
              <w:spacing w:after="0"/>
              <w:rPr>
                <w:sz w:val="21"/>
                <w:szCs w:val="21"/>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63,240</w:t>
            </w:r>
          </w:p>
        </w:tc>
        <w:tc>
          <w:tcPr>
            <w:tcW w:w="260" w:type="dxa"/>
            <w:vAlign w:val="bottom"/>
          </w:tcPr>
          <w:p>
            <w:pPr>
              <w:spacing w:after="0"/>
              <w:rPr>
                <w:sz w:val="21"/>
                <w:szCs w:val="21"/>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64,661</w:t>
            </w:r>
          </w:p>
        </w:tc>
        <w:tc>
          <w:tcPr>
            <w:tcW w:w="44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86,223</w:t>
            </w:r>
          </w:p>
        </w:tc>
        <w:tc>
          <w:tcPr>
            <w:tcW w:w="38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797,548</w:t>
            </w:r>
          </w:p>
        </w:tc>
      </w:tr>
      <w:tr>
        <w:trPr>
          <w:trHeight w:val="283"/>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9,019</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29</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9,048</w:t>
            </w:r>
          </w:p>
        </w:tc>
      </w:tr>
      <w:tr>
        <w:trPr>
          <w:trHeight w:val="251"/>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Balance as of March 31, 2019</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23"/>
                <w:szCs w:val="23"/>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b w:val="1"/>
                <w:bCs w:val="1"/>
                <w:color w:val="auto"/>
              </w:rPr>
              <w:t>592,443</w:t>
            </w:r>
          </w:p>
        </w:tc>
        <w:tc>
          <w:tcPr>
            <w:tcW w:w="32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b w:val="1"/>
                <w:bCs w:val="1"/>
                <w:color w:val="auto"/>
              </w:rPr>
              <w:t>174,564</w:t>
            </w:r>
          </w:p>
        </w:tc>
        <w:tc>
          <w:tcPr>
            <w:tcW w:w="26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166,920</w:t>
            </w:r>
          </w:p>
        </w:tc>
        <w:tc>
          <w:tcPr>
            <w:tcW w:w="4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203,820</w:t>
            </w:r>
          </w:p>
        </w:tc>
        <w:tc>
          <w:tcPr>
            <w:tcW w:w="38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1,137,747</w:t>
            </w:r>
          </w:p>
        </w:tc>
      </w:tr>
      <w:tr>
        <w:trPr>
          <w:trHeight w:val="283"/>
        </w:trPr>
        <w:tc>
          <w:tcPr>
            <w:tcW w:w="410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(111,324)</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(102,259)</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(117,568)</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r>
      <w:tr>
        <w:trPr>
          <w:trHeight w:val="264"/>
        </w:trPr>
        <w:tc>
          <w:tcPr>
            <w:tcW w:w="4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592,443</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63,240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64,661</w:t>
            </w: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86,252</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806,596</w:t>
            </w:r>
          </w:p>
        </w:tc>
      </w:tr>
      <w:tr>
        <w:trPr>
          <w:trHeight w:val="20"/>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0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Other intangible assets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March 31, 2019</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2018</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center"/>
              <w:ind w:right="14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400" w:type="dxa"/>
            <w:vAlign w:val="bottom"/>
          </w:tcPr>
          <w:p>
            <w:pPr>
              <w:jc w:val="center"/>
              <w:ind w:right="21"/>
              <w:spacing w:after="0"/>
              <w:rPr>
                <w:sz w:val="20"/>
                <w:szCs w:val="20"/>
                <w:color w:val="auto"/>
              </w:rPr>
            </w:pPr>
            <w:r>
              <w:rPr>
                <w:rFonts w:ascii="Arial" w:cs="Arial" w:eastAsia="Arial" w:hAnsi="Arial"/>
                <w:sz w:val="14"/>
                <w:szCs w:val="14"/>
                <w:b w:val="1"/>
                <w:bCs w:val="1"/>
                <w:color w:val="auto"/>
              </w:rPr>
              <w:t>Useful Life</w:t>
            </w:r>
          </w:p>
        </w:tc>
        <w:tc>
          <w:tcPr>
            <w:tcW w:w="180" w:type="dxa"/>
            <w:vAlign w:val="bottom"/>
          </w:tcPr>
          <w:p>
            <w:pPr>
              <w:spacing w:after="0"/>
              <w:rPr>
                <w:sz w:val="14"/>
                <w:szCs w:val="14"/>
                <w:color w:val="auto"/>
              </w:rPr>
            </w:pPr>
          </w:p>
        </w:tc>
        <w:tc>
          <w:tcPr>
            <w:tcW w:w="880" w:type="dxa"/>
            <w:vAlign w:val="bottom"/>
          </w:tcPr>
          <w:p>
            <w:pPr>
              <w:jc w:val="center"/>
              <w:ind w:right="12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220" w:type="dxa"/>
            <w:vAlign w:val="bottom"/>
          </w:tcPr>
          <w:p>
            <w:pPr>
              <w:jc w:val="center"/>
              <w:ind w:right="161"/>
              <w:spacing w:after="0"/>
              <w:rPr>
                <w:sz w:val="20"/>
                <w:szCs w:val="20"/>
                <w:color w:val="auto"/>
              </w:rPr>
            </w:pPr>
            <w:r>
              <w:rPr>
                <w:rFonts w:ascii="Arial" w:cs="Arial" w:eastAsia="Arial" w:hAnsi="Arial"/>
                <w:sz w:val="14"/>
                <w:szCs w:val="14"/>
                <w:b w:val="1"/>
                <w:bCs w:val="1"/>
                <w:color w:val="auto"/>
              </w:rPr>
              <w:t>Accumulated</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4"/>
                <w:szCs w:val="14"/>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color w:val="auto"/>
              </w:rPr>
              <w:t>Accumulated</w:t>
            </w:r>
          </w:p>
        </w:tc>
        <w:tc>
          <w:tcPr>
            <w:tcW w:w="280" w:type="dxa"/>
            <w:vAlign w:val="bottom"/>
          </w:tcPr>
          <w:p>
            <w:pPr>
              <w:spacing w:after="0"/>
              <w:rPr>
                <w:sz w:val="14"/>
                <w:szCs w:val="14"/>
                <w:color w:val="auto"/>
              </w:rPr>
            </w:pPr>
          </w:p>
        </w:tc>
        <w:tc>
          <w:tcPr>
            <w:tcW w:w="840" w:type="dxa"/>
            <w:vAlign w:val="bottom"/>
          </w:tcPr>
          <w:p>
            <w:pPr>
              <w:jc w:val="center"/>
              <w:ind w:right="14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Range</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Amortization</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50"/>
        </w:trPr>
        <w:tc>
          <w:tcPr>
            <w:tcW w:w="2960" w:type="dxa"/>
            <w:vAlign w:val="bottom"/>
          </w:tcPr>
          <w:p>
            <w:pPr>
              <w:ind w:left="40"/>
              <w:spacing w:after="0"/>
              <w:rPr>
                <w:sz w:val="20"/>
                <w:szCs w:val="20"/>
                <w:color w:val="auto"/>
              </w:rPr>
            </w:pPr>
            <w:r>
              <w:rPr>
                <w:rFonts w:ascii="Arial" w:cs="Arial" w:eastAsia="Arial" w:hAnsi="Arial"/>
                <w:sz w:val="16"/>
                <w:szCs w:val="16"/>
                <w:b w:val="1"/>
                <w:bCs w:val="1"/>
                <w:color w:val="auto"/>
              </w:rPr>
              <w:t>Amortized Intangible Assets</w:t>
            </w: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1400" w:type="dxa"/>
            <w:vAlign w:val="bottom"/>
          </w:tcPr>
          <w:p>
            <w:pPr>
              <w:jc w:val="center"/>
              <w:ind w:right="21"/>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283,114</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141"/>
              <w:spacing w:after="0"/>
              <w:rPr>
                <w:sz w:val="20"/>
                <w:szCs w:val="20"/>
                <w:color w:val="auto"/>
              </w:rPr>
            </w:pPr>
            <w:r>
              <w:rPr>
                <w:rFonts w:ascii="Arial" w:cs="Arial" w:eastAsia="Arial" w:hAnsi="Arial"/>
                <w:sz w:val="16"/>
                <w:szCs w:val="16"/>
                <w:b w:val="1"/>
                <w:bCs w:val="1"/>
                <w:color w:val="auto"/>
              </w:rPr>
              <w:t>123,154</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159,960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282,761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114,429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168,332</w:t>
            </w: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400" w:type="dxa"/>
            <w:vAlign w:val="bottom"/>
          </w:tcPr>
          <w:p>
            <w:pPr>
              <w:jc w:val="center"/>
              <w:ind w:right="21"/>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87,464</w:t>
            </w:r>
          </w:p>
        </w:tc>
        <w:tc>
          <w:tcPr>
            <w:tcW w:w="240" w:type="dxa"/>
            <w:vAlign w:val="bottom"/>
          </w:tcPr>
          <w:p>
            <w:pPr>
              <w:spacing w:after="0"/>
              <w:rPr>
                <w:sz w:val="23"/>
                <w:szCs w:val="23"/>
                <w:color w:val="auto"/>
              </w:rPr>
            </w:pPr>
          </w:p>
        </w:tc>
        <w:tc>
          <w:tcPr>
            <w:tcW w:w="1220" w:type="dxa"/>
            <w:vAlign w:val="bottom"/>
          </w:tcPr>
          <w:p>
            <w:pPr>
              <w:jc w:val="right"/>
              <w:ind w:right="141"/>
              <w:spacing w:after="0"/>
              <w:rPr>
                <w:sz w:val="20"/>
                <w:szCs w:val="20"/>
                <w:color w:val="auto"/>
              </w:rPr>
            </w:pPr>
            <w:r>
              <w:rPr>
                <w:rFonts w:ascii="Arial" w:cs="Arial" w:eastAsia="Arial" w:hAnsi="Arial"/>
                <w:sz w:val="16"/>
                <w:szCs w:val="16"/>
                <w:b w:val="1"/>
                <w:bCs w:val="1"/>
                <w:color w:val="auto"/>
              </w:rPr>
              <w:t>42,136</w:t>
            </w:r>
          </w:p>
        </w:tc>
        <w:tc>
          <w:tcPr>
            <w:tcW w:w="18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45,328</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87,285</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39,825</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47,460</w:t>
            </w: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Network affiliation agreements</w:t>
            </w:r>
          </w:p>
        </w:tc>
        <w:tc>
          <w:tcPr>
            <w:tcW w:w="1400" w:type="dxa"/>
            <w:vAlign w:val="bottom"/>
          </w:tcPr>
          <w:p>
            <w:pPr>
              <w:jc w:val="center"/>
              <w:ind w:right="21"/>
              <w:spacing w:after="0"/>
              <w:rPr>
                <w:sz w:val="20"/>
                <w:szCs w:val="20"/>
                <w:color w:val="auto"/>
              </w:rPr>
            </w:pPr>
            <w:r>
              <w:rPr>
                <w:rFonts w:ascii="Arial" w:cs="Arial" w:eastAsia="Arial" w:hAnsi="Arial"/>
                <w:sz w:val="16"/>
                <w:szCs w:val="16"/>
                <w:b w:val="1"/>
                <w:bCs w:val="1"/>
                <w:color w:val="auto"/>
              </w:rPr>
              <w:t>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23"/>
                <w:szCs w:val="23"/>
                <w:color w:val="auto"/>
              </w:rPr>
            </w:pPr>
          </w:p>
        </w:tc>
        <w:tc>
          <w:tcPr>
            <w:tcW w:w="1220" w:type="dxa"/>
            <w:vAlign w:val="bottom"/>
          </w:tcPr>
          <w:p>
            <w:pPr>
              <w:jc w:val="right"/>
              <w:ind w:right="141"/>
              <w:spacing w:after="0"/>
              <w:rPr>
                <w:sz w:val="20"/>
                <w:szCs w:val="20"/>
                <w:color w:val="auto"/>
              </w:rPr>
            </w:pPr>
            <w:r>
              <w:rPr>
                <w:rFonts w:ascii="Arial" w:cs="Arial" w:eastAsia="Arial" w:hAnsi="Arial"/>
                <w:sz w:val="16"/>
                <w:szCs w:val="16"/>
                <w:b w:val="1"/>
                <w:bCs w:val="1"/>
                <w:color w:val="auto"/>
              </w:rPr>
              <w:t>3,843</w:t>
            </w:r>
          </w:p>
        </w:tc>
        <w:tc>
          <w:tcPr>
            <w:tcW w:w="18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13,557</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17,400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3,408</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13,992</w:t>
            </w: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Databases and technology</w:t>
            </w:r>
          </w:p>
        </w:tc>
        <w:tc>
          <w:tcPr>
            <w:tcW w:w="1400" w:type="dxa"/>
            <w:vAlign w:val="bottom"/>
          </w:tcPr>
          <w:p>
            <w:pPr>
              <w:jc w:val="center"/>
              <w:ind w:right="21"/>
              <w:spacing w:after="0"/>
              <w:rPr>
                <w:sz w:val="20"/>
                <w:szCs w:val="20"/>
                <w:color w:val="auto"/>
              </w:rPr>
            </w:pPr>
            <w:r>
              <w:rPr>
                <w:rFonts w:ascii="Arial" w:cs="Arial" w:eastAsia="Arial" w:hAnsi="Arial"/>
                <w:sz w:val="16"/>
                <w:szCs w:val="16"/>
                <w:b w:val="1"/>
                <w:bCs w:val="1"/>
                <w:color w:val="auto"/>
              </w:rPr>
              <w:t>3–6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27,059</w:t>
            </w:r>
          </w:p>
        </w:tc>
        <w:tc>
          <w:tcPr>
            <w:tcW w:w="240" w:type="dxa"/>
            <w:vAlign w:val="bottom"/>
          </w:tcPr>
          <w:p>
            <w:pPr>
              <w:spacing w:after="0"/>
              <w:rPr>
                <w:sz w:val="23"/>
                <w:szCs w:val="23"/>
                <w:color w:val="auto"/>
              </w:rPr>
            </w:pPr>
          </w:p>
        </w:tc>
        <w:tc>
          <w:tcPr>
            <w:tcW w:w="1220" w:type="dxa"/>
            <w:vAlign w:val="bottom"/>
          </w:tcPr>
          <w:p>
            <w:pPr>
              <w:jc w:val="right"/>
              <w:ind w:right="141"/>
              <w:spacing w:after="0"/>
              <w:rPr>
                <w:sz w:val="20"/>
                <w:szCs w:val="20"/>
                <w:color w:val="auto"/>
              </w:rPr>
            </w:pPr>
            <w:r>
              <w:rPr>
                <w:rFonts w:ascii="Arial" w:cs="Arial" w:eastAsia="Arial" w:hAnsi="Arial"/>
                <w:sz w:val="16"/>
                <w:szCs w:val="16"/>
                <w:b w:val="1"/>
                <w:bCs w:val="1"/>
                <w:color w:val="auto"/>
              </w:rPr>
              <w:t>9,702</w:t>
            </w:r>
          </w:p>
        </w:tc>
        <w:tc>
          <w:tcPr>
            <w:tcW w:w="18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17,357</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27,041</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8,471</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18,570</w:t>
            </w: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Noncompete agreements</w:t>
            </w:r>
          </w:p>
        </w:tc>
        <w:tc>
          <w:tcPr>
            <w:tcW w:w="1400" w:type="dxa"/>
            <w:vAlign w:val="bottom"/>
          </w:tcPr>
          <w:p>
            <w:pPr>
              <w:jc w:val="center"/>
              <w:ind w:right="21"/>
              <w:spacing w:after="0"/>
              <w:rPr>
                <w:sz w:val="20"/>
                <w:szCs w:val="20"/>
                <w:color w:val="auto"/>
              </w:rPr>
            </w:pPr>
            <w:r>
              <w:rPr>
                <w:rFonts w:ascii="Arial" w:cs="Arial" w:eastAsia="Arial" w:hAnsi="Arial"/>
                <w:sz w:val="16"/>
                <w:szCs w:val="16"/>
                <w:b w:val="1"/>
                <w:bCs w:val="1"/>
                <w:color w:val="auto"/>
              </w:rPr>
              <w:t>2–5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1,094</w:t>
            </w:r>
          </w:p>
        </w:tc>
        <w:tc>
          <w:tcPr>
            <w:tcW w:w="240" w:type="dxa"/>
            <w:vAlign w:val="bottom"/>
          </w:tcPr>
          <w:p>
            <w:pPr>
              <w:spacing w:after="0"/>
              <w:rPr>
                <w:sz w:val="23"/>
                <w:szCs w:val="23"/>
                <w:color w:val="auto"/>
              </w:rPr>
            </w:pPr>
          </w:p>
        </w:tc>
        <w:tc>
          <w:tcPr>
            <w:tcW w:w="1220" w:type="dxa"/>
            <w:vAlign w:val="bottom"/>
          </w:tcPr>
          <w:p>
            <w:pPr>
              <w:jc w:val="right"/>
              <w:ind w:right="141"/>
              <w:spacing w:after="0"/>
              <w:rPr>
                <w:sz w:val="20"/>
                <w:szCs w:val="20"/>
                <w:color w:val="auto"/>
              </w:rPr>
            </w:pPr>
            <w:r>
              <w:rPr>
                <w:rFonts w:ascii="Arial" w:cs="Arial" w:eastAsia="Arial" w:hAnsi="Arial"/>
                <w:sz w:val="16"/>
                <w:szCs w:val="16"/>
                <w:b w:val="1"/>
                <w:bCs w:val="1"/>
                <w:color w:val="auto"/>
              </w:rPr>
              <w:t>869</w:t>
            </w:r>
          </w:p>
        </w:tc>
        <w:tc>
          <w:tcPr>
            <w:tcW w:w="18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225</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1,088</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838</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83"/>
        </w:trPr>
        <w:tc>
          <w:tcPr>
            <w:tcW w:w="2960" w:type="dxa"/>
            <w:vAlign w:val="bottom"/>
          </w:tcPr>
          <w:p>
            <w:pPr>
              <w:ind w:left="180"/>
              <w:spacing w:after="0"/>
              <w:rPr>
                <w:sz w:val="20"/>
                <w:szCs w:val="20"/>
                <w:color w:val="auto"/>
              </w:rPr>
            </w:pPr>
            <w:r>
              <w:rPr>
                <w:rFonts w:ascii="Arial" w:cs="Arial" w:eastAsia="Arial" w:hAnsi="Arial"/>
                <w:sz w:val="16"/>
                <w:szCs w:val="16"/>
                <w:color w:val="auto"/>
              </w:rPr>
              <w:t>Other</w:t>
            </w:r>
          </w:p>
        </w:tc>
        <w:tc>
          <w:tcPr>
            <w:tcW w:w="1400" w:type="dxa"/>
            <w:vAlign w:val="bottom"/>
          </w:tcPr>
          <w:p>
            <w:pPr>
              <w:jc w:val="center"/>
              <w:ind w:right="21"/>
              <w:spacing w:after="0"/>
              <w:rPr>
                <w:sz w:val="20"/>
                <w:szCs w:val="20"/>
                <w:color w:val="auto"/>
              </w:rPr>
            </w:pPr>
            <w:r>
              <w:rPr>
                <w:rFonts w:ascii="Arial" w:cs="Arial" w:eastAsia="Arial" w:hAnsi="Arial"/>
                <w:sz w:val="16"/>
                <w:szCs w:val="16"/>
                <w:b w:val="1"/>
                <w:bCs w:val="1"/>
                <w:color w:val="auto"/>
              </w:rPr>
              <w:t>1–8 years</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24,530</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10,701</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13,829</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24,530</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9,873</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14,657</w:t>
            </w:r>
          </w:p>
        </w:tc>
        <w:tc>
          <w:tcPr>
            <w:tcW w:w="0" w:type="dxa"/>
            <w:vAlign w:val="bottom"/>
          </w:tcPr>
          <w:p>
            <w:pPr>
              <w:spacing w:after="0"/>
              <w:rPr>
                <w:sz w:val="1"/>
                <w:szCs w:val="1"/>
                <w:color w:val="auto"/>
              </w:rPr>
            </w:pPr>
          </w:p>
        </w:tc>
      </w:tr>
      <w:tr>
        <w:trPr>
          <w:trHeight w:val="264"/>
        </w:trPr>
        <w:tc>
          <w:tcPr>
            <w:tcW w:w="29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440,661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190,405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250,256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440,105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176,844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263,261</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960" w:type="dxa"/>
            <w:vAlign w:val="bottom"/>
            <w:vMerge w:val="continue"/>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4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81,607</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80,102</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Franchise agreements</w:t>
            </w:r>
          </w:p>
        </w:tc>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28,000</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Arial" w:cs="Arial" w:eastAsia="Arial" w:hAnsi="Arial"/>
                <w:sz w:val="16"/>
                <w:szCs w:val="16"/>
                <w:color w:val="auto"/>
              </w:rPr>
              <w:t>FCC licenses</w:t>
            </w:r>
          </w:p>
        </w:tc>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18,800</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18,800</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960" w:type="dxa"/>
            <w:vAlign w:val="bottom"/>
          </w:tcPr>
          <w:p>
            <w:pPr>
              <w:ind w:left="180"/>
              <w:spacing w:after="0"/>
              <w:rPr>
                <w:sz w:val="20"/>
                <w:szCs w:val="20"/>
                <w:color w:val="auto"/>
              </w:rPr>
            </w:pPr>
            <w:r>
              <w:rPr>
                <w:rFonts w:ascii="Arial" w:cs="Arial" w:eastAsia="Arial" w:hAnsi="Arial"/>
                <w:sz w:val="16"/>
                <w:szCs w:val="16"/>
                <w:color w:val="auto"/>
              </w:rPr>
              <w:t>Licensure and accreditation</w:t>
            </w:r>
          </w:p>
        </w:tc>
        <w:tc>
          <w:tcPr>
            <w:tcW w:w="1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150</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128,557</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99,052</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322"/>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306"/>
        </w:trPr>
        <w:tc>
          <w:tcPr>
            <w:tcW w:w="8580" w:type="dxa"/>
            <w:vAlign w:val="bottom"/>
          </w:tcPr>
          <w:p>
            <w:pPr>
              <w:ind w:left="40"/>
              <w:spacing w:after="0"/>
              <w:rPr>
                <w:sz w:val="20"/>
                <w:szCs w:val="20"/>
                <w:color w:val="auto"/>
              </w:rPr>
            </w:pPr>
            <w:r>
              <w:rPr>
                <w:rFonts w:ascii="Arial" w:cs="Arial" w:eastAsia="Arial" w:hAnsi="Arial"/>
                <w:sz w:val="16"/>
                <w:szCs w:val="16"/>
                <w:color w:val="auto"/>
              </w:rPr>
              <w:t xml:space="preserve">5.75% unsecured notes due June 1, 2026 </w:t>
            </w:r>
            <w:r>
              <w:rPr>
                <w:rFonts w:ascii="Arial" w:cs="Arial" w:eastAsia="Arial" w:hAnsi="Arial"/>
                <w:sz w:val="21"/>
                <w:szCs w:val="21"/>
                <w:color w:val="auto"/>
                <w:vertAlign w:val="superscript"/>
              </w:rPr>
              <w:t>(1)</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62"/>
              <w:spacing w:after="0"/>
              <w:rPr>
                <w:sz w:val="20"/>
                <w:szCs w:val="20"/>
                <w:color w:val="auto"/>
              </w:rPr>
            </w:pPr>
            <w:r>
              <w:rPr>
                <w:rFonts w:ascii="Arial" w:cs="Arial" w:eastAsia="Arial" w:hAnsi="Arial"/>
                <w:sz w:val="16"/>
                <w:szCs w:val="16"/>
                <w:b w:val="1"/>
                <w:bCs w:val="1"/>
                <w:color w:val="auto"/>
              </w:rPr>
              <w:t>394,852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394,675</w:t>
            </w:r>
          </w:p>
        </w:tc>
        <w:tc>
          <w:tcPr>
            <w:tcW w:w="0" w:type="dxa"/>
            <w:vAlign w:val="bottom"/>
          </w:tcPr>
          <w:p>
            <w:pPr>
              <w:spacing w:after="0"/>
              <w:rPr>
                <w:sz w:val="1"/>
                <w:szCs w:val="1"/>
                <w:color w:val="auto"/>
              </w:rPr>
            </w:pP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 xml:space="preserve">U.K. Credit facility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b w:val="1"/>
                <w:bCs w:val="1"/>
                <w:color w:val="auto"/>
              </w:rPr>
              <w:t>85,111</w:t>
            </w:r>
          </w:p>
        </w:tc>
        <w:tc>
          <w:tcPr>
            <w:tcW w:w="2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82,366</w:t>
            </w:r>
          </w:p>
        </w:tc>
        <w:tc>
          <w:tcPr>
            <w:tcW w:w="0" w:type="dxa"/>
            <w:vAlign w:val="bottom"/>
          </w:tcPr>
          <w:p>
            <w:pPr>
              <w:spacing w:after="0"/>
              <w:rPr>
                <w:sz w:val="1"/>
                <w:szCs w:val="1"/>
                <w:color w:val="auto"/>
              </w:rPr>
            </w:pPr>
          </w:p>
        </w:tc>
      </w:tr>
      <w:tr>
        <w:trPr>
          <w:trHeight w:val="221"/>
        </w:trPr>
        <w:tc>
          <w:tcPr>
            <w:tcW w:w="8580" w:type="dxa"/>
            <w:vAlign w:val="bottom"/>
          </w:tcPr>
          <w:p>
            <w:pPr>
              <w:ind w:left="40"/>
              <w:spacing w:after="0"/>
              <w:rPr>
                <w:sz w:val="20"/>
                <w:szCs w:val="20"/>
                <w:color w:val="auto"/>
              </w:rPr>
            </w:pPr>
            <w:r>
              <w:rPr>
                <w:rFonts w:ascii="Arial" w:cs="Arial" w:eastAsia="Arial" w:hAnsi="Arial"/>
                <w:sz w:val="16"/>
                <w:szCs w:val="16"/>
                <w:color w:val="auto"/>
              </w:rPr>
              <w:t>Commerical note</w:t>
            </w:r>
          </w:p>
        </w:tc>
        <w:tc>
          <w:tcPr>
            <w:tcW w:w="220" w:type="dxa"/>
            <w:vAlign w:val="bottom"/>
          </w:tcPr>
          <w:p>
            <w:pPr>
              <w:spacing w:after="0"/>
              <w:rPr>
                <w:sz w:val="19"/>
                <w:szCs w:val="19"/>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b w:val="1"/>
                <w:bCs w:val="1"/>
                <w:color w:val="auto"/>
              </w:rPr>
              <w:t>29,750</w:t>
            </w:r>
          </w:p>
        </w:tc>
        <w:tc>
          <w:tcPr>
            <w:tcW w:w="24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8580" w:type="dxa"/>
            <w:vAlign w:val="bottom"/>
          </w:tcPr>
          <w:p>
            <w:pPr>
              <w:ind w:left="40"/>
              <w:spacing w:after="0"/>
              <w:rPr>
                <w:sz w:val="20"/>
                <w:szCs w:val="20"/>
                <w:color w:val="auto"/>
              </w:rPr>
            </w:pPr>
            <w:r>
              <w:rPr>
                <w:rFonts w:ascii="Arial" w:cs="Arial" w:eastAsia="Arial" w:hAnsi="Arial"/>
                <w:sz w:val="16"/>
                <w:szCs w:val="16"/>
                <w:color w:val="auto"/>
              </w:rPr>
              <w:t>Other indebtedness</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93</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Debt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62"/>
              <w:spacing w:after="0"/>
              <w:rPr>
                <w:sz w:val="20"/>
                <w:szCs w:val="20"/>
                <w:color w:val="auto"/>
              </w:rPr>
            </w:pPr>
            <w:r>
              <w:rPr>
                <w:rFonts w:ascii="Arial" w:cs="Arial" w:eastAsia="Arial" w:hAnsi="Arial"/>
                <w:sz w:val="16"/>
                <w:szCs w:val="16"/>
                <w:b w:val="1"/>
                <w:bCs w:val="1"/>
                <w:color w:val="auto"/>
              </w:rPr>
              <w:t>509,806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477,137</w:t>
            </w:r>
          </w:p>
        </w:tc>
        <w:tc>
          <w:tcPr>
            <w:tcW w:w="0" w:type="dxa"/>
            <w:vAlign w:val="bottom"/>
          </w:tcPr>
          <w:p>
            <w:pPr>
              <w:spacing w:after="0"/>
              <w:rPr>
                <w:sz w:val="1"/>
                <w:szCs w:val="1"/>
                <w:color w:val="auto"/>
              </w:rPr>
            </w:pP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(9,568)</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(6,360)</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Long-Term Debt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500,238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470,777</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5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carrying value is net of $5.1 million and $5.3 million of unamortized debt issuance costs as of March 31, 2019 and December 31, 2018, respectively.</w:t>
      </w:r>
    </w:p>
    <w:p>
      <w:pPr>
        <w:spacing w:after="0" w:line="41" w:lineRule="exact"/>
        <w:rPr>
          <w:rFonts w:ascii="Arial" w:cs="Arial" w:eastAsia="Arial" w:hAnsi="Arial"/>
          <w:sz w:val="14"/>
          <w:szCs w:val="14"/>
          <w:color w:val="auto"/>
        </w:rPr>
      </w:pPr>
    </w:p>
    <w:p>
      <w:pPr>
        <w:ind w:left="420" w:hanging="4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carrying value is net of $0.2 million of unamortized debt issuance costs as of March 31, 2019 and December 31, 2018,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March 31, 2019 and December 31, 2018 is at an interest rate of 2% and matures in 2026.</w:t>
      </w:r>
    </w:p>
    <w:p>
      <w:pPr>
        <w:spacing w:after="0" w:line="144"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On January 31, 2019, the Company’s automotive subsidiary entered into a Commercial Note with SunTrust Bank in an aggregate principal amount of $30 million. The Commercial Note is payable over a 10-year period in monthly installments of $0.25 million, plus accrued and unpaid interest, due on the first of each month, with a final payment on January 31, 2029. The Commercial Note bears interest at LIBOR plus an applicable interest rate of 1.75% or 2% per annum, in each case determined on a quarterly basis based upon the automotive subsidiary’s Adjusted Leverage Ratio. The Commercial Note contains terms and conditions, including remedies in the event of a default by the automotive subsidiary. On the same date, the Company’s automotive subsidiary entered into an interest rate swap agreement with a total notional value of $30 million and a maturity date of January 31, 2029. The interest rate swap agreement will pay the automotive subsidiary variable interest on the $30 million notional amount at the one-month LIBOR, and the automotive subsidiary will pay counterparties a fixed rate of 2.7%, effectively resulting in a total fixed interest rate of 4.7% on the outstanding borrowings at the current applicable margin of 2.0%. The interest rate swap agreement was entered into to convert the variable rate borrowing under the Commercial Note into a fixed rate borrowing. Based on the terms of the interest rate swap agreement and the underlying borrowing, the interest rate swap was determined to be effective and thus qualifies as a cash flow hedge. As such, changes in the fair value of the interest rate swap are recorded in other comprehensive income on the accompanying Condensed Consolidated Balance Sheets until earnings are affected by the variability of cash flows.</w:t>
      </w:r>
    </w:p>
    <w:p>
      <w:pPr>
        <w:spacing w:after="0" w:line="142" w:lineRule="exact"/>
        <w:rPr>
          <w:sz w:val="20"/>
          <w:szCs w:val="20"/>
          <w:color w:val="auto"/>
        </w:rPr>
      </w:pPr>
    </w:p>
    <w:p>
      <w:pPr>
        <w:ind w:right="580"/>
        <w:spacing w:after="0" w:line="229" w:lineRule="auto"/>
        <w:rPr>
          <w:sz w:val="20"/>
          <w:szCs w:val="20"/>
          <w:color w:val="auto"/>
        </w:rPr>
      </w:pPr>
      <w:r>
        <w:rPr>
          <w:rFonts w:ascii="Arial" w:cs="Arial" w:eastAsia="Arial" w:hAnsi="Arial"/>
          <w:sz w:val="18"/>
          <w:szCs w:val="18"/>
          <w:color w:val="auto"/>
        </w:rPr>
        <w:t>On May 30, 2018, the Company issued $400 million senior unsecured fixed-rate notes due June 1, 2026 (the Notes). The Notes are guaranteed, jointly and severally, on a senior unsecured basis, by certain of the Company’s existing and future domestic subsidiaries, as described in the terms of the indenture, dated as of May 30, 2018 (the</w:t>
      </w:r>
    </w:p>
    <w:p>
      <w:pPr>
        <w:sectPr>
          <w:pgSz w:w="11900" w:h="16838" w:orient="portrait"/>
          <w:cols w:equalWidth="0" w:num="1">
            <w:col w:w="11420"/>
          </w:cols>
          <w:pgMar w:left="240" w:top="719" w:right="2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719" w:right="239" w:bottom="1440" w:gutter="0" w:footer="0" w:header="0"/>
          <w:type w:val="continuous"/>
        </w:sectPr>
      </w:pPr>
    </w:p>
    <w:bookmarkStart w:id="16" w:name="page17"/>
    <w:bookmarkEnd w:id="16"/>
    <w:p>
      <w:pPr>
        <w:spacing w:after="0" w:line="235" w:lineRule="auto"/>
        <w:rPr>
          <w:sz w:val="20"/>
          <w:szCs w:val="20"/>
          <w:color w:val="auto"/>
        </w:rPr>
      </w:pPr>
      <w:r>
        <w:rPr>
          <w:rFonts w:ascii="Arial" w:cs="Arial" w:eastAsia="Arial" w:hAnsi="Arial"/>
          <w:sz w:val="18"/>
          <w:szCs w:val="18"/>
          <w:color w:val="auto"/>
        </w:rPr>
        <w:t>Indenture). The Notes have a coupon rate of 5.75% per annum, payable semi-annually on June 1 and December 1. The Company may redeem the Notes in whole or in part at any time at the respective redemption prices described in the Indenture.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June 29, 2018, the Company used the net proceeds from the sale of the Notes, together with cash on hand, to redeem the $400 million of</w:t>
      </w:r>
    </w:p>
    <w:p>
      <w:pPr>
        <w:spacing w:after="0" w:line="219" w:lineRule="auto"/>
        <w:rPr>
          <w:sz w:val="20"/>
          <w:szCs w:val="20"/>
          <w:color w:val="auto"/>
        </w:rPr>
      </w:pPr>
      <w:r>
        <w:rPr>
          <w:rFonts w:ascii="Arial" w:cs="Arial" w:eastAsia="Arial" w:hAnsi="Arial"/>
          <w:sz w:val="18"/>
          <w:szCs w:val="18"/>
          <w:color w:val="auto"/>
        </w:rPr>
        <w:t>7.25% notes due February 1, 2019. The Company incurred $11.4 million in debt extinguishment costs in relation to the early termination of the</w:t>
      </w:r>
    </w:p>
    <w:p>
      <w:pPr>
        <w:spacing w:after="0"/>
        <w:rPr>
          <w:sz w:val="20"/>
          <w:szCs w:val="20"/>
          <w:color w:val="auto"/>
        </w:rPr>
      </w:pPr>
      <w:r>
        <w:rPr>
          <w:rFonts w:ascii="Arial" w:cs="Arial" w:eastAsia="Arial" w:hAnsi="Arial"/>
          <w:sz w:val="18"/>
          <w:szCs w:val="18"/>
          <w:color w:val="auto"/>
        </w:rPr>
        <w:t>7.25% notes.</w:t>
      </w:r>
    </w:p>
    <w:p>
      <w:pPr>
        <w:spacing w:after="0" w:line="144"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In combination with the issuance of the Notes, the Company and certain of the Company’s domestic subsidiaries named therein as guarantors entered into an amended and restated credit agreement providing for a U.S. $300 million five-year revolving credit facility (the Revolving Credit Facility) with each of the lenders party thereto, certain of the Company’s foreign subsidiaries from time to time party thereto as foreign borrowers, Wells Fargo Bank, N.A., as Administrative Agent (Wells Fargo), JPMorgan Chase Bank, N.A., as Syndication Agent, and HSBC Bank USA, N.A. and Bank of America, N.A. as Documentation Agents (the Amended and Restated Credit Agreement), which amends and restates the Company’s existing Five Year Credit Agreement, dated as of June 29, 2015, among the Company, certain of its domestic subsidiaries as guarantors, the several lenders from time to time party thereto, Wells Fargo Bank, N.A., as Administrative Agent and JPMorgan Chase Bank, N.A., as Syndication Agent (the Existing Credit Agreement). The Amended and Restated Credit Agreement amends the Existing Credit Agreement to (i) extend the maturity of the Revolving Credit Facility to May 30, 2023, unless the Company and the lenders agree to further extend the term, (ii) increase the aggregate principal amount of the Revolving Credit Facility to U.S. $300 million, consisting of a U.S. Dollar tranche of U.S. $200 million for borrowings in U.S. Dollars and a multicurrency tranche equivalent to U.S. $100 million for borrowings in U.S. Dollars and certain foreign currencies, (iii) provide for borrowings under the Revolving Credit Facility in U.S. Dollars and certain other foreign currencies specified in the Amended and Restated Credit Agreement, (iv) permit certain foreign subsidiaries of the Company to be added to the Amended and Restated Credit Agreement as foreign borrowers thereunder and (v) effect certain other modifications to the Existing Credit Agreement.</w:t>
      </w:r>
    </w:p>
    <w:p>
      <w:pPr>
        <w:spacing w:after="0" w:line="139"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Under the Amended and Restated Credit Agreement, the Company is required to pay a commitment fee on a quarterly basis, based on the Company’s leverage ratio, of between 0.15% and 0.25% of the amount of the average daily unused portion of the Revolving Credit Facility. Any borrowings under the Amended and Restated Credit Agreement are made on an unsecured basis and bear interest at the Company’s option, either at (a) a fluctuating interest rate equal to the highest of Wells Fargo’s prime rate, 0.5 percent above the Federal funds rate or the one-month Eurodollar rate plus 1%, or (b) the Eurodollar rate for the applicable currency and interest period as defined in the Amended and Restated Credit Agreement, which is generally a periodic rate equal to LIBOR, CDOR, BBSY or SOR, as applicable, in the case of each of clauses (a) and (b) plus an applicable margin that depends on the Company’s consolidated debt to consolidated adjusted EBITDA (as determined pursuant to the Amended and Restated Credit Agreement, Total Net Leverage Ratio). The Company and its foreign subsidiaries may draw on the Revolving Credit Facility for general corporate purposes. Any outstanding borrowings must be repaid on or prior to the final termination date. The Amended and Restated Credit Agreement contains terms and conditions, including remedies in the event of a default by the Company, typical of facilities of this type and requires the Company to maintain a Total Net Leverage Ratio of not greater than 3.5 to 1.0 and a consolidated interest coverage ratio of at least 3.5 to 1.0 based upon the ratio of consolidated adjusted EBITDA to consolidated interest expense as determined pursuant to the Amended and Restated Credit Agreement. The Company is in compliance with all financial covenants as of March 31, 2019.</w:t>
      </w:r>
    </w:p>
    <w:p>
      <w:pPr>
        <w:spacing w:after="0" w:line="141"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During the three months ended March 31, 2019 and 2018, the Company had average borrowings outstanding of approximately $ 494.4 million and $496.5 million, respectively, at average annual interest rates of approximately 5.1% and 6.2%, respectively. During the three months ended March 31, 2019 and 2018, the Company incurred net interest expense of $5.7 million and $6.7 million, respectively.</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At March 31, 2019, the fair value of the Company’s 5.75% unsecured notes, based on quoted market prices (Level 2 fair value assessment), totaled $421.0 million, compared with the carrying amount of $394.9 million. At December 31, 2018, the fair value of the Company’s 5.75% unsecured notes, based on quoted market prices (Level 2 fair value assessment), totaled $406.7 million, compared with the carrying amount of $394.7 million. The carrying value of the Company’s other unsecured debt at March 31, 2019 and December 31, 2018 approximates fair value.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1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9. FAIR VALUE MEASUREMENTS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4"/>
                <w:szCs w:val="14"/>
                <w:b w:val="1"/>
                <w:bCs w:val="1"/>
                <w:color w:val="auto"/>
              </w:rPr>
              <w:t>As of March 31, 2019</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6"/>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65,000</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65,000</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(2)</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510,307</w:t>
            </w:r>
          </w:p>
        </w:tc>
        <w:tc>
          <w:tcPr>
            <w:tcW w:w="40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510,307</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(3)</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10,608</w:t>
            </w:r>
          </w:p>
        </w:tc>
        <w:tc>
          <w:tcPr>
            <w:tcW w:w="40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7,027</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17,635</w:t>
            </w:r>
          </w:p>
        </w:tc>
        <w:tc>
          <w:tcPr>
            <w:tcW w:w="0" w:type="dxa"/>
            <w:vAlign w:val="bottom"/>
          </w:tcPr>
          <w:p>
            <w:pPr>
              <w:spacing w:after="0"/>
              <w:rPr>
                <w:sz w:val="1"/>
                <w:szCs w:val="1"/>
                <w:color w:val="auto"/>
              </w:rPr>
            </w:pPr>
          </w:p>
        </w:tc>
      </w:tr>
      <w:tr>
        <w:trPr>
          <w:trHeight w:val="234"/>
        </w:trPr>
        <w:tc>
          <w:tcPr>
            <w:tcW w:w="7780" w:type="dxa"/>
            <w:vAlign w:val="bottom"/>
          </w:tcPr>
          <w:p>
            <w:pPr>
              <w:ind w:left="40"/>
              <w:spacing w:after="0" w:line="234" w:lineRule="exact"/>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21"/>
                <w:szCs w:val="21"/>
                <w:b w:val="1"/>
                <w:bCs w:val="1"/>
                <w:color w:val="auto"/>
                <w:vertAlign w:val="superscript"/>
              </w:rPr>
              <w:t>(4)</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190</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190</w:t>
            </w:r>
          </w:p>
        </w:tc>
        <w:tc>
          <w:tcPr>
            <w:tcW w:w="0" w:type="dxa"/>
            <w:vAlign w:val="bottom"/>
          </w:tcPr>
          <w:p>
            <w:pPr>
              <w:spacing w:after="0"/>
              <w:rPr>
                <w:sz w:val="1"/>
                <w:szCs w:val="1"/>
                <w:color w:val="auto"/>
              </w:rPr>
            </w:pPr>
          </w:p>
        </w:tc>
      </w:tr>
      <w:tr>
        <w:trPr>
          <w:trHeight w:val="258"/>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520,915</w:t>
            </w:r>
          </w:p>
        </w:tc>
        <w:tc>
          <w:tcPr>
            <w:tcW w:w="4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72,217</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593,132</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 xml:space="preserve">Deferred compensation plan liabilities </w:t>
            </w:r>
            <w:r>
              <w:rPr>
                <w:rFonts w:ascii="Arial" w:cs="Arial" w:eastAsia="Arial" w:hAnsi="Arial"/>
                <w:sz w:val="21"/>
                <w:szCs w:val="21"/>
                <w:b w:val="1"/>
                <w:bCs w:val="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31,738</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31,738</w:t>
            </w:r>
          </w:p>
        </w:tc>
        <w:tc>
          <w:tcPr>
            <w:tcW w:w="0" w:type="dxa"/>
            <w:vAlign w:val="bottom"/>
          </w:tcPr>
          <w:p>
            <w:pPr>
              <w:spacing w:after="0"/>
              <w:rPr>
                <w:sz w:val="1"/>
                <w:szCs w:val="1"/>
                <w:color w:val="auto"/>
              </w:rPr>
            </w:pPr>
          </w:p>
        </w:tc>
      </w:tr>
      <w:tr>
        <w:trPr>
          <w:trHeight w:val="234"/>
        </w:trPr>
        <w:tc>
          <w:tcPr>
            <w:tcW w:w="7780" w:type="dxa"/>
            <w:vAlign w:val="bottom"/>
          </w:tcPr>
          <w:p>
            <w:pPr>
              <w:ind w:left="40"/>
              <w:spacing w:after="0" w:line="234" w:lineRule="exact"/>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21"/>
                <w:szCs w:val="21"/>
                <w:b w:val="1"/>
                <w:bCs w:val="1"/>
                <w:color w:val="auto"/>
                <w:vertAlign w:val="superscript"/>
              </w:rPr>
              <w:t>(6)</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275</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275</w:t>
            </w:r>
          </w:p>
        </w:tc>
        <w:tc>
          <w:tcPr>
            <w:tcW w:w="0" w:type="dxa"/>
            <w:vAlign w:val="bottom"/>
          </w:tcPr>
          <w:p>
            <w:pPr>
              <w:spacing w:after="0"/>
              <w:rPr>
                <w:sz w:val="1"/>
                <w:szCs w:val="1"/>
                <w:color w:val="auto"/>
              </w:rPr>
            </w:pPr>
          </w:p>
        </w:tc>
      </w:tr>
      <w:tr>
        <w:trPr>
          <w:trHeight w:val="261"/>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32,013</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32,013</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gridSpan w:val="4"/>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7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ind w:left="561"/>
              <w:spacing w:after="0"/>
              <w:rPr>
                <w:sz w:val="20"/>
                <w:szCs w:val="20"/>
                <w:color w:val="auto"/>
              </w:rPr>
            </w:pPr>
            <w:r>
              <w:rPr>
                <w:rFonts w:ascii="Arial" w:cs="Arial" w:eastAsia="Arial" w:hAnsi="Arial"/>
                <w:sz w:val="14"/>
                <w:szCs w:val="14"/>
                <w:b w:val="1"/>
                <w:bCs w:val="1"/>
                <w:color w:val="auto"/>
              </w:rPr>
              <w:t>As of December 31, 2018</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0"/>
        </w:trPr>
        <w:tc>
          <w:tcPr>
            <w:tcW w:w="7780" w:type="dxa"/>
            <w:vAlign w:val="bottom"/>
          </w:tcPr>
          <w:p>
            <w:pPr>
              <w:ind w:left="4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75,500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75,500</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496,390</w:t>
            </w:r>
          </w:p>
        </w:tc>
        <w:tc>
          <w:tcPr>
            <w:tcW w:w="40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496,390</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11,203</w:t>
            </w:r>
          </w:p>
        </w:tc>
        <w:tc>
          <w:tcPr>
            <w:tcW w:w="40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6,988</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18,191</w:t>
            </w:r>
          </w:p>
        </w:tc>
        <w:tc>
          <w:tcPr>
            <w:tcW w:w="0" w:type="dxa"/>
            <w:vAlign w:val="bottom"/>
          </w:tcPr>
          <w:p>
            <w:pPr>
              <w:spacing w:after="0"/>
              <w:rPr>
                <w:sz w:val="1"/>
                <w:szCs w:val="1"/>
                <w:color w:val="auto"/>
              </w:rPr>
            </w:pPr>
          </w:p>
        </w:tc>
      </w:tr>
      <w:tr>
        <w:trPr>
          <w:trHeight w:val="219"/>
        </w:trPr>
        <w:tc>
          <w:tcPr>
            <w:tcW w:w="778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(4)</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369</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58"/>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507,593</w:t>
            </w:r>
          </w:p>
        </w:tc>
        <w:tc>
          <w:tcPr>
            <w:tcW w:w="4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82,857</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590,450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7780" w:type="dxa"/>
            <w:vAlign w:val="bottom"/>
          </w:tcPr>
          <w:p>
            <w:pPr>
              <w:ind w:left="40"/>
              <w:spacing w:after="0"/>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21"/>
                <w:szCs w:val="2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36,080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36,080</w:t>
            </w:r>
          </w:p>
        </w:tc>
        <w:tc>
          <w:tcPr>
            <w:tcW w:w="0" w:type="dxa"/>
            <w:vAlign w:val="bottom"/>
          </w:tcPr>
          <w:p>
            <w:pPr>
              <w:spacing w:after="0"/>
              <w:rPr>
                <w:sz w:val="1"/>
                <w:szCs w:val="1"/>
                <w:color w:val="auto"/>
              </w:rPr>
            </w:pPr>
          </w:p>
        </w:tc>
      </w:tr>
      <w:tr>
        <w:trPr>
          <w:trHeight w:val="172"/>
        </w:trPr>
        <w:tc>
          <w:tcPr>
            <w:tcW w:w="7780" w:type="dxa"/>
            <w:vAlign w:val="bottom"/>
          </w:tcPr>
          <w:p>
            <w:pPr>
              <w:spacing w:after="0"/>
              <w:rPr>
                <w:sz w:val="20"/>
                <w:szCs w:val="20"/>
                <w:color w:val="auto"/>
              </w:rPr>
            </w:pPr>
            <w:r>
              <w:rPr>
                <w:rFonts w:ascii="Arial" w:cs="Arial" w:eastAsia="Arial" w:hAnsi="Arial"/>
                <w:sz w:val="14"/>
                <w:szCs w:val="14"/>
                <w:color w:val="auto"/>
              </w:rPr>
              <w:t>____________</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the value considers the liquidity of the counterparty.</w:t>
      </w:r>
    </w:p>
    <w:p>
      <w:pPr>
        <w:spacing w:after="0" w:line="41" w:lineRule="exact"/>
        <w:rPr>
          <w:rFonts w:ascii="Arial" w:cs="Arial" w:eastAsia="Arial" w:hAnsi="Arial"/>
          <w:sz w:val="14"/>
          <w:szCs w:val="14"/>
          <w:color w:val="auto"/>
        </w:rPr>
      </w:pPr>
    </w:p>
    <w:p>
      <w:pPr>
        <w:ind w:left="420" w:right="120" w:hanging="412"/>
        <w:spacing w:after="0" w:line="239"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corporations that are actively traded on U.S. stock exchanges. Price quotes for these shares are readily available.</w:t>
      </w:r>
    </w:p>
    <w:p>
      <w:pPr>
        <w:spacing w:after="0" w:line="30" w:lineRule="exact"/>
        <w:rPr>
          <w:rFonts w:ascii="Arial" w:cs="Arial" w:eastAsia="Arial" w:hAnsi="Arial"/>
          <w:sz w:val="14"/>
          <w:szCs w:val="14"/>
          <w:color w:val="auto"/>
        </w:rPr>
      </w:pPr>
    </w:p>
    <w:p>
      <w:pPr>
        <w:ind w:left="420" w:right="400" w:hanging="412"/>
        <w:spacing w:after="0" w:line="239"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spacing w:after="0" w:line="30" w:lineRule="exact"/>
        <w:rPr>
          <w:rFonts w:ascii="Arial" w:cs="Arial" w:eastAsia="Arial" w:hAnsi="Arial"/>
          <w:sz w:val="14"/>
          <w:szCs w:val="14"/>
          <w:color w:val="auto"/>
        </w:rPr>
      </w:pPr>
    </w:p>
    <w:p>
      <w:pPr>
        <w:ind w:left="420" w:right="480" w:hanging="412"/>
        <w:spacing w:after="0" w:line="239"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Deferred Charges and Other Assets. The Company utilized a market approach model using the notional amount of the interest rate swap multiplied by the observable inputs of time to maturity and market interest rates.</w:t>
      </w:r>
    </w:p>
    <w:p>
      <w:pPr>
        <w:spacing w:after="0" w:line="30" w:lineRule="exact"/>
        <w:rPr>
          <w:rFonts w:ascii="Arial" w:cs="Arial" w:eastAsia="Arial" w:hAnsi="Arial"/>
          <w:sz w:val="14"/>
          <w:szCs w:val="14"/>
          <w:color w:val="auto"/>
        </w:rPr>
      </w:pPr>
    </w:p>
    <w:p>
      <w:pPr>
        <w:ind w:left="420" w:right="40" w:hanging="412"/>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152" w:lineRule="exact"/>
        <w:rPr>
          <w:rFonts w:ascii="Arial" w:cs="Arial" w:eastAsia="Arial" w:hAnsi="Arial"/>
          <w:sz w:val="14"/>
          <w:szCs w:val="14"/>
          <w:color w:val="auto"/>
        </w:rPr>
      </w:pPr>
    </w:p>
    <w:p>
      <w:pPr>
        <w:ind w:left="420" w:right="160" w:hanging="412"/>
        <w:spacing w:after="0" w:line="239"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10. REVENUE FROM CONTRACTS WITH CUSTOMERS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Company’s revenue disaggregated by revenue source was as follows:</w:t>
      </w:r>
    </w:p>
    <w:p>
      <w:pPr>
        <w:spacing w:after="0" w:line="167"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r>
      <w:tr>
        <w:trPr>
          <w:trHeight w:val="258"/>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2018</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Education Revenue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858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185,756</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183,582</w:t>
            </w:r>
          </w:p>
        </w:tc>
      </w:tr>
      <w:tr>
        <w:trPr>
          <w:trHeight w:val="270"/>
        </w:trPr>
        <w:tc>
          <w:tcPr>
            <w:tcW w:w="858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3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82,780</w:t>
            </w:r>
          </w:p>
        </w:tc>
        <w:tc>
          <w:tcPr>
            <w:tcW w:w="4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99,830</w:t>
            </w:r>
          </w:p>
        </w:tc>
      </w:tr>
      <w:tr>
        <w:trPr>
          <w:trHeight w:val="270"/>
        </w:trPr>
        <w:tc>
          <w:tcPr>
            <w:tcW w:w="858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3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61,150</w:t>
            </w:r>
          </w:p>
        </w:tc>
        <w:tc>
          <w:tcPr>
            <w:tcW w:w="4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59,151</w:t>
            </w:r>
          </w:p>
        </w:tc>
      </w:tr>
      <w:tr>
        <w:trPr>
          <w:trHeight w:val="270"/>
        </w:trPr>
        <w:tc>
          <w:tcPr>
            <w:tcW w:w="858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3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41,214</w:t>
            </w:r>
          </w:p>
        </w:tc>
        <w:tc>
          <w:tcPr>
            <w:tcW w:w="4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33,356</w:t>
            </w:r>
          </w:p>
        </w:tc>
      </w:tr>
      <w:tr>
        <w:trPr>
          <w:trHeight w:val="270"/>
        </w:trPr>
        <w:tc>
          <w:tcPr>
            <w:tcW w:w="858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3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2,302</w:t>
            </w:r>
          </w:p>
        </w:tc>
        <w:tc>
          <w:tcPr>
            <w:tcW w:w="4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285</w:t>
            </w:r>
          </w:p>
        </w:tc>
      </w:tr>
      <w:tr>
        <w:trPr>
          <w:trHeight w:val="283"/>
        </w:trPr>
        <w:tc>
          <w:tcPr>
            <w:tcW w:w="858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(748)</w:t>
            </w: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w:t>
            </w:r>
          </w:p>
        </w:tc>
      </w:tr>
      <w:tr>
        <w:trPr>
          <w:trHeight w:val="251"/>
        </w:trPr>
        <w:tc>
          <w:tcPr>
            <w:tcW w:w="8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372,454</w:t>
            </w:r>
          </w:p>
        </w:tc>
        <w:tc>
          <w:tcPr>
            <w:tcW w:w="48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375,499</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Television broadcasting</w:t>
            </w:r>
          </w:p>
        </w:tc>
        <w:tc>
          <w:tcPr>
            <w:tcW w:w="3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108,223</w:t>
            </w:r>
          </w:p>
        </w:tc>
        <w:tc>
          <w:tcPr>
            <w:tcW w:w="4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108,802</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Manufacturing</w:t>
            </w:r>
          </w:p>
        </w:tc>
        <w:tc>
          <w:tcPr>
            <w:tcW w:w="3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115,157</w:t>
            </w:r>
          </w:p>
        </w:tc>
        <w:tc>
          <w:tcPr>
            <w:tcW w:w="4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117,406</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Healthcare</w:t>
            </w:r>
          </w:p>
        </w:tc>
        <w:tc>
          <w:tcPr>
            <w:tcW w:w="3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37,728</w:t>
            </w:r>
          </w:p>
        </w:tc>
        <w:tc>
          <w:tcPr>
            <w:tcW w:w="4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37,621</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SocialCode</w:t>
            </w:r>
          </w:p>
        </w:tc>
        <w:tc>
          <w:tcPr>
            <w:tcW w:w="3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13,447</w:t>
            </w:r>
          </w:p>
        </w:tc>
        <w:tc>
          <w:tcPr>
            <w:tcW w:w="4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13,299</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45,230</w:t>
            </w:r>
          </w:p>
        </w:tc>
        <w:tc>
          <w:tcPr>
            <w:tcW w:w="4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6,833</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w:t>
            </w: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692,199</w:t>
            </w:r>
          </w:p>
        </w:tc>
        <w:tc>
          <w:tcPr>
            <w:tcW w:w="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659,436</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Company generated 75% and 74% of its revenue from U.S. domestic sales for the three months ended March 31, 2019 and March 31, 2018, respectively. The remaining 25% and 26% of revenue for the three months ended March 31, 2019 and March 31, 2018, respectively, was generated from non-U.S. sales.</w:t>
      </w:r>
    </w:p>
    <w:p>
      <w:pPr>
        <w:spacing w:after="0" w:line="137"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For the three months ended March 31, 2019 and March 31, 2018, the Company recognized 76% and 81%, respectively, of its revenue over time as control of the services and goods transferred to the customer. The remaining 24% and 19%, respectively, of revenue was recognized at a point in time, when the customer obtained control of the promised goods.</w:t>
      </w:r>
    </w:p>
    <w:p>
      <w:pPr>
        <w:spacing w:after="0" w:line="11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including amounts which are refundable. The following table presents the change in the Company’s deferred revenue balance: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7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vMerge w:val="restart"/>
          </w:tcPr>
          <w:p>
            <w:pPr>
              <w:jc w:val="center"/>
              <w:ind w:right="226"/>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22"/>
                <w:szCs w:val="22"/>
                <w:color w:val="auto"/>
              </w:rPr>
            </w:pPr>
          </w:p>
        </w:tc>
        <w:tc>
          <w:tcPr>
            <w:tcW w:w="1200" w:type="dxa"/>
            <w:vAlign w:val="bottom"/>
            <w:vMerge w:val="restart"/>
          </w:tcPr>
          <w:p>
            <w:pPr>
              <w:jc w:val="center"/>
              <w:ind w:right="145"/>
              <w:spacing w:after="0"/>
              <w:rPr>
                <w:sz w:val="20"/>
                <w:szCs w:val="20"/>
                <w:color w:val="auto"/>
              </w:rPr>
            </w:pPr>
            <w:r>
              <w:rPr>
                <w:rFonts w:ascii="Arial" w:cs="Arial" w:eastAsia="Arial" w:hAnsi="Arial"/>
                <w:sz w:val="14"/>
                <w:szCs w:val="14"/>
                <w:color w:val="auto"/>
              </w:rPr>
              <w:t>December 31,</w:t>
            </w:r>
          </w:p>
        </w:tc>
        <w:tc>
          <w:tcPr>
            <w:tcW w:w="1360" w:type="dxa"/>
            <w:vAlign w:val="bottom"/>
          </w:tcPr>
          <w:p>
            <w:pPr>
              <w:jc w:val="right"/>
              <w:ind w:right="54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2018</w:t>
            </w:r>
          </w:p>
        </w:tc>
        <w:tc>
          <w:tcPr>
            <w:tcW w:w="13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720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46"/>
              <w:spacing w:after="0"/>
              <w:rPr>
                <w:sz w:val="20"/>
                <w:szCs w:val="20"/>
                <w:color w:val="auto"/>
              </w:rPr>
            </w:pPr>
            <w:r>
              <w:rPr>
                <w:rFonts w:ascii="Arial" w:cs="Arial" w:eastAsia="Arial" w:hAnsi="Arial"/>
                <w:sz w:val="16"/>
                <w:szCs w:val="16"/>
                <w:b w:val="1"/>
                <w:bCs w:val="1"/>
                <w:color w:val="auto"/>
              </w:rPr>
              <w:t>299,068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5"/>
              <w:spacing w:after="0"/>
              <w:rPr>
                <w:sz w:val="20"/>
                <w:szCs w:val="20"/>
                <w:color w:val="auto"/>
              </w:rPr>
            </w:pPr>
            <w:r>
              <w:rPr>
                <w:rFonts w:ascii="Arial" w:cs="Arial" w:eastAsia="Arial" w:hAnsi="Arial"/>
                <w:sz w:val="16"/>
                <w:szCs w:val="16"/>
                <w:color w:val="auto"/>
              </w:rPr>
              <w:t>311,214</w:t>
            </w:r>
          </w:p>
        </w:tc>
        <w:tc>
          <w:tcPr>
            <w:tcW w:w="1360" w:type="dxa"/>
            <w:vAlign w:val="bottom"/>
          </w:tcPr>
          <w:p>
            <w:pPr>
              <w:jc w:val="right"/>
              <w:ind w:right="505"/>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During the three months ended March 31, 2019, the Company recognized $163.7 million related to the Company’s deferred revenue balance as of December 31, 2018.</w:t>
      </w:r>
    </w:p>
    <w:p>
      <w:pPr>
        <w:spacing w:after="0" w:line="135"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March 31, 2019, KTP’s deferred revenue balance related to certain medical and nursing qualifications with an original contract length greater than twelve months was $5.7 million. KTP expects to recognize 78% of this revenue over the next twelve months and the remainder thereafter.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w:t>
            </w:r>
          </w:p>
        </w:tc>
      </w:tr>
      <w:tr>
        <w:trPr>
          <w:trHeight w:val="162"/>
        </w:trPr>
        <w:tc>
          <w:tcPr>
            <w:tcW w:w="3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 at</w:t>
            </w:r>
          </w:p>
        </w:tc>
        <w:tc>
          <w:tcPr>
            <w:tcW w:w="340" w:type="dxa"/>
            <w:vAlign w:val="bottom"/>
          </w:tcPr>
          <w:p>
            <w:pPr>
              <w:spacing w:after="0"/>
              <w:rPr>
                <w:sz w:val="14"/>
                <w:szCs w:val="14"/>
                <w:color w:val="auto"/>
              </w:rPr>
            </w:pPr>
          </w:p>
        </w:tc>
        <w:tc>
          <w:tcPr>
            <w:tcW w:w="960" w:type="dxa"/>
            <w:vAlign w:val="bottom"/>
          </w:tcPr>
          <w:p>
            <w:pPr>
              <w:jc w:val="center"/>
              <w:ind w:right="203"/>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4"/>
                <w:szCs w:val="14"/>
                <w:color w:val="auto"/>
              </w:rPr>
            </w:pPr>
          </w:p>
        </w:tc>
        <w:tc>
          <w:tcPr>
            <w:tcW w:w="1120" w:type="dxa"/>
            <w:vAlign w:val="bottom"/>
          </w:tcPr>
          <w:p>
            <w:pPr>
              <w:jc w:val="center"/>
              <w:ind w:right="145"/>
              <w:spacing w:after="0"/>
              <w:rPr>
                <w:sz w:val="20"/>
                <w:szCs w:val="20"/>
                <w:color w:val="auto"/>
              </w:rPr>
            </w:pPr>
            <w:r>
              <w:rPr>
                <w:rFonts w:ascii="Arial" w:cs="Arial" w:eastAsia="Arial" w:hAnsi="Arial"/>
                <w:sz w:val="14"/>
                <w:szCs w:val="14"/>
                <w:b w:val="1"/>
                <w:bCs w:val="1"/>
                <w:color w:val="auto"/>
              </w:rPr>
              <w:t>Less: Costs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center"/>
              <w:ind w:right="126"/>
              <w:spacing w:after="0"/>
              <w:rPr>
                <w:sz w:val="20"/>
                <w:szCs w:val="20"/>
                <w:color w:val="auto"/>
              </w:rPr>
            </w:pPr>
            <w:r>
              <w:rPr>
                <w:rFonts w:ascii="Arial" w:cs="Arial" w:eastAsia="Arial" w:hAnsi="Arial"/>
                <w:sz w:val="14"/>
                <w:szCs w:val="14"/>
                <w:b w:val="1"/>
                <w:bCs w:val="1"/>
                <w:color w:val="auto"/>
              </w:rPr>
              <w:t>at</w:t>
            </w:r>
          </w:p>
        </w:tc>
      </w:tr>
      <w:tr>
        <w:trPr>
          <w:trHeight w:val="162"/>
        </w:trPr>
        <w:tc>
          <w:tcPr>
            <w:tcW w:w="3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jc w:val="center"/>
              <w:ind w:right="106"/>
              <w:spacing w:after="0"/>
              <w:rPr>
                <w:sz w:val="20"/>
                <w:szCs w:val="20"/>
                <w:color w:val="auto"/>
              </w:rPr>
            </w:pPr>
            <w:r>
              <w:rPr>
                <w:rFonts w:ascii="Arial" w:cs="Arial" w:eastAsia="Arial" w:hAnsi="Arial"/>
                <w:sz w:val="14"/>
                <w:szCs w:val="14"/>
                <w:b w:val="1"/>
                <w:bCs w:val="1"/>
                <w:color w:val="auto"/>
              </w:rPr>
              <w:t>Beginning</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associated with</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amortized during</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center"/>
              <w:ind w:right="126"/>
              <w:spacing w:after="0"/>
              <w:rPr>
                <w:sz w:val="20"/>
                <w:szCs w:val="20"/>
                <w:color w:val="auto"/>
              </w:rPr>
            </w:pPr>
            <w:r>
              <w:rPr>
                <w:rFonts w:ascii="Arial" w:cs="Arial" w:eastAsia="Arial" w:hAnsi="Arial"/>
                <w:sz w:val="14"/>
                <w:szCs w:val="14"/>
                <w:b w:val="1"/>
                <w:bCs w:val="1"/>
                <w:color w:val="auto"/>
              </w:rPr>
              <w:t>End of</w:t>
            </w:r>
          </w:p>
        </w:tc>
      </w:tr>
      <w:tr>
        <w:trPr>
          <w:trHeight w:val="196"/>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rPr>
              <w:t>of Period</w:t>
            </w: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new contracts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rPr>
              <w:t>the period</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Other</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rPr>
              <w:t>Period</w:t>
            </w:r>
          </w:p>
        </w:tc>
      </w:tr>
      <w:tr>
        <w:trPr>
          <w:trHeight w:val="250"/>
        </w:trPr>
        <w:tc>
          <w:tcPr>
            <w:tcW w:w="3120" w:type="dxa"/>
            <w:vAlign w:val="bottom"/>
          </w:tcPr>
          <w:p>
            <w:pPr>
              <w:ind w:left="40"/>
              <w:spacing w:after="0"/>
              <w:rPr>
                <w:sz w:val="20"/>
                <w:szCs w:val="20"/>
                <w:color w:val="auto"/>
              </w:rPr>
            </w:pPr>
            <w:r>
              <w:rPr>
                <w:rFonts w:ascii="Arial" w:cs="Arial" w:eastAsia="Arial" w:hAnsi="Arial"/>
                <w:sz w:val="16"/>
                <w:szCs w:val="16"/>
                <w:b w:val="1"/>
                <w:bCs w:val="1"/>
                <w:color w:val="auto"/>
              </w:rPr>
              <w:t>2019</w:t>
            </w:r>
          </w:p>
        </w:tc>
        <w:tc>
          <w:tcPr>
            <w:tcW w:w="2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6"/>
              <w:spacing w:after="0"/>
              <w:rPr>
                <w:sz w:val="20"/>
                <w:szCs w:val="20"/>
                <w:color w:val="auto"/>
              </w:rPr>
            </w:pPr>
            <w:r>
              <w:rPr>
                <w:rFonts w:ascii="Arial" w:cs="Arial" w:eastAsia="Arial" w:hAnsi="Arial"/>
                <w:sz w:val="16"/>
                <w:szCs w:val="16"/>
                <w:b w:val="1"/>
                <w:bCs w:val="1"/>
                <w:color w:val="auto"/>
              </w:rPr>
              <w:t>21,311</w:t>
            </w:r>
          </w:p>
        </w:tc>
        <w:tc>
          <w:tcPr>
            <w:tcW w:w="340" w:type="dxa"/>
            <w:vAlign w:val="bottom"/>
          </w:tcPr>
          <w:p>
            <w:pPr>
              <w:jc w:val="right"/>
              <w:ind w:right="45"/>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3"/>
              <w:spacing w:after="0"/>
              <w:rPr>
                <w:sz w:val="20"/>
                <w:szCs w:val="20"/>
                <w:color w:val="auto"/>
              </w:rPr>
            </w:pPr>
            <w:r>
              <w:rPr>
                <w:rFonts w:ascii="Arial" w:cs="Arial" w:eastAsia="Arial" w:hAnsi="Arial"/>
                <w:sz w:val="16"/>
                <w:szCs w:val="16"/>
                <w:b w:val="1"/>
                <w:bCs w:val="1"/>
                <w:color w:val="auto"/>
              </w:rPr>
              <w:t>11,071</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5"/>
              <w:spacing w:after="0"/>
              <w:rPr>
                <w:sz w:val="20"/>
                <w:szCs w:val="20"/>
                <w:color w:val="auto"/>
              </w:rPr>
            </w:pPr>
            <w:r>
              <w:rPr>
                <w:rFonts w:ascii="Arial" w:cs="Arial" w:eastAsia="Arial" w:hAnsi="Arial"/>
                <w:sz w:val="16"/>
                <w:szCs w:val="16"/>
                <w:b w:val="1"/>
                <w:bCs w:val="1"/>
                <w:color w:val="auto"/>
              </w:rPr>
              <w:t>(11,936)</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3"/>
              <w:spacing w:after="0"/>
              <w:rPr>
                <w:sz w:val="20"/>
                <w:szCs w:val="20"/>
                <w:color w:val="auto"/>
              </w:rPr>
            </w:pPr>
            <w:r>
              <w:rPr>
                <w:rFonts w:ascii="Arial" w:cs="Arial" w:eastAsia="Arial" w:hAnsi="Arial"/>
                <w:sz w:val="16"/>
                <w:szCs w:val="16"/>
                <w:b w:val="1"/>
                <w:bCs w:val="1"/>
                <w:color w:val="auto"/>
              </w:rPr>
              <w:t>466</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6"/>
              <w:spacing w:after="0"/>
              <w:rPr>
                <w:sz w:val="20"/>
                <w:szCs w:val="20"/>
                <w:color w:val="auto"/>
              </w:rPr>
            </w:pPr>
            <w:r>
              <w:rPr>
                <w:rFonts w:ascii="Arial" w:cs="Arial" w:eastAsia="Arial" w:hAnsi="Arial"/>
                <w:sz w:val="16"/>
                <w:szCs w:val="16"/>
                <w:b w:val="1"/>
                <w:bCs w:val="1"/>
                <w:color w:val="auto"/>
              </w:rPr>
              <w:t>20,912</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other activity is related to currency translation adjustments during the three months ended March 31,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11. EARNINGS PER SHARE</w:t>
      </w:r>
    </w:p>
    <w:p>
      <w:pPr>
        <w:spacing w:after="0" w:line="166"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spacing w:after="0" w:line="137"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The following reflects the Company’s net income and share data used in the basic and diluted earnings per share computations using the two-class method:</w:t>
      </w:r>
    </w:p>
    <w:p>
      <w:pPr>
        <w:spacing w:after="0" w:line="136"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50"/>
        </w:trPr>
        <w:tc>
          <w:tcPr>
            <w:tcW w:w="8660" w:type="dxa"/>
            <w:vAlign w:val="bottom"/>
          </w:tcPr>
          <w:p>
            <w:pPr>
              <w:ind w:left="40"/>
              <w:spacing w:after="0"/>
              <w:rPr>
                <w:sz w:val="20"/>
                <w:szCs w:val="20"/>
                <w:color w:val="auto"/>
              </w:rPr>
            </w:pPr>
            <w:r>
              <w:rPr>
                <w:rFonts w:ascii="Arial" w:cs="Arial" w:eastAsia="Arial" w:hAnsi="Arial"/>
                <w:sz w:val="16"/>
                <w:szCs w:val="16"/>
                <w:color w:val="auto"/>
              </w:rPr>
              <w:t>Numerator:</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660" w:type="dxa"/>
            <w:vAlign w:val="bottom"/>
          </w:tcPr>
          <w:p>
            <w:pPr>
              <w:ind w:left="180"/>
              <w:spacing w:after="0"/>
              <w:rPr>
                <w:sz w:val="20"/>
                <w:szCs w:val="20"/>
                <w:color w:val="auto"/>
              </w:rPr>
            </w:pPr>
            <w:r>
              <w:rPr>
                <w:rFonts w:ascii="Arial" w:cs="Arial" w:eastAsia="Arial" w:hAnsi="Arial"/>
                <w:sz w:val="16"/>
                <w:szCs w:val="16"/>
                <w:color w:val="auto"/>
              </w:rPr>
              <w:t>Numerator for basic earnings per share:</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40"/>
              <w:spacing w:after="0"/>
              <w:rPr>
                <w:sz w:val="20"/>
                <w:szCs w:val="20"/>
                <w:color w:val="auto"/>
              </w:rPr>
            </w:pPr>
            <w:r>
              <w:rPr>
                <w:rFonts w:ascii="Arial" w:cs="Arial" w:eastAsia="Arial" w:hAnsi="Arial"/>
                <w:sz w:val="16"/>
                <w:szCs w:val="16"/>
                <w:b w:val="1"/>
                <w:bCs w:val="1"/>
                <w:color w:val="auto"/>
              </w:rPr>
              <w:t>81,748</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42,891</w:t>
            </w:r>
          </w:p>
        </w:tc>
        <w:tc>
          <w:tcPr>
            <w:tcW w:w="0" w:type="dxa"/>
            <w:vAlign w:val="bottom"/>
          </w:tcPr>
          <w:p>
            <w:pPr>
              <w:spacing w:after="0"/>
              <w:rPr>
                <w:sz w:val="1"/>
                <w:szCs w:val="1"/>
                <w:color w:val="auto"/>
              </w:rPr>
            </w:pPr>
          </w:p>
        </w:tc>
      </w:tr>
      <w:tr>
        <w:trPr>
          <w:trHeight w:val="283"/>
        </w:trPr>
        <w:tc>
          <w:tcPr>
            <w:tcW w:w="8660" w:type="dxa"/>
            <w:vAlign w:val="bottom"/>
          </w:tcPr>
          <w:p>
            <w:pPr>
              <w:ind w:left="28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(14,779)</w:t>
            </w: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(14,638)</w:t>
            </w:r>
          </w:p>
        </w:tc>
        <w:tc>
          <w:tcPr>
            <w:tcW w:w="0" w:type="dxa"/>
            <w:vAlign w:val="bottom"/>
          </w:tcPr>
          <w:p>
            <w:pPr>
              <w:spacing w:after="0"/>
              <w:rPr>
                <w:sz w:val="1"/>
                <w:szCs w:val="1"/>
                <w:color w:val="auto"/>
              </w:rPr>
            </w:pPr>
          </w:p>
        </w:tc>
      </w:tr>
      <w:tr>
        <w:trPr>
          <w:trHeight w:val="251"/>
        </w:trPr>
        <w:tc>
          <w:tcPr>
            <w:tcW w:w="8660" w:type="dxa"/>
            <w:vAlign w:val="bottom"/>
          </w:tcPr>
          <w:p>
            <w:pPr>
              <w:ind w:left="280"/>
              <w:spacing w:after="0"/>
              <w:rPr>
                <w:sz w:val="20"/>
                <w:szCs w:val="20"/>
                <w:color w:val="auto"/>
              </w:rPr>
            </w:pPr>
            <w:r>
              <w:rPr>
                <w:rFonts w:ascii="Arial" w:cs="Arial" w:eastAsia="Arial" w:hAnsi="Arial"/>
                <w:sz w:val="16"/>
                <w:szCs w:val="16"/>
                <w:color w:val="auto"/>
              </w:rPr>
              <w:t>Undistributed earnings</w:t>
            </w:r>
          </w:p>
        </w:tc>
        <w:tc>
          <w:tcPr>
            <w:tcW w:w="320" w:type="dxa"/>
            <w:vAlign w:val="bottom"/>
          </w:tcPr>
          <w:p>
            <w:pPr>
              <w:spacing w:after="0"/>
              <w:rPr>
                <w:sz w:val="21"/>
                <w:szCs w:val="21"/>
                <w:color w:val="auto"/>
              </w:rPr>
            </w:pPr>
          </w:p>
        </w:tc>
        <w:tc>
          <w:tcPr>
            <w:tcW w:w="1060" w:type="dxa"/>
            <w:vAlign w:val="bottom"/>
          </w:tcPr>
          <w:p>
            <w:pPr>
              <w:jc w:val="right"/>
              <w:ind w:right="140"/>
              <w:spacing w:after="0"/>
              <w:rPr>
                <w:sz w:val="20"/>
                <w:szCs w:val="20"/>
                <w:color w:val="auto"/>
              </w:rPr>
            </w:pPr>
            <w:r>
              <w:rPr>
                <w:rFonts w:ascii="Arial" w:cs="Arial" w:eastAsia="Arial" w:hAnsi="Arial"/>
                <w:sz w:val="16"/>
                <w:szCs w:val="16"/>
                <w:b w:val="1"/>
                <w:bCs w:val="1"/>
                <w:color w:val="auto"/>
              </w:rPr>
              <w:t>66,969</w:t>
            </w:r>
          </w:p>
        </w:tc>
        <w:tc>
          <w:tcPr>
            <w:tcW w:w="460" w:type="dxa"/>
            <w:vAlign w:val="bottom"/>
          </w:tcPr>
          <w:p>
            <w:pPr>
              <w:spacing w:after="0"/>
              <w:rPr>
                <w:sz w:val="21"/>
                <w:szCs w:val="21"/>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28,253</w:t>
            </w:r>
          </w:p>
        </w:tc>
        <w:tc>
          <w:tcPr>
            <w:tcW w:w="0" w:type="dxa"/>
            <w:vAlign w:val="bottom"/>
          </w:tcPr>
          <w:p>
            <w:pPr>
              <w:spacing w:after="0"/>
              <w:rPr>
                <w:sz w:val="1"/>
                <w:szCs w:val="1"/>
                <w:color w:val="auto"/>
              </w:rPr>
            </w:pPr>
          </w:p>
        </w:tc>
      </w:tr>
      <w:tr>
        <w:trPr>
          <w:trHeight w:val="283"/>
        </w:trPr>
        <w:tc>
          <w:tcPr>
            <w:tcW w:w="8660" w:type="dxa"/>
            <w:vAlign w:val="bottom"/>
          </w:tcPr>
          <w:p>
            <w:pPr>
              <w:ind w:left="280"/>
              <w:spacing w:after="0"/>
              <w:rPr>
                <w:sz w:val="20"/>
                <w:szCs w:val="20"/>
                <w:color w:val="auto"/>
              </w:rPr>
            </w:pPr>
            <w:r>
              <w:rPr>
                <w:rFonts w:ascii="Arial" w:cs="Arial" w:eastAsia="Arial" w:hAnsi="Arial"/>
                <w:sz w:val="16"/>
                <w:szCs w:val="16"/>
                <w:color w:val="auto"/>
              </w:rPr>
              <w:t>Percent allocated to common stockholders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99.43%</w:t>
            </w: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99.30%</w:t>
            </w:r>
          </w:p>
        </w:tc>
        <w:tc>
          <w:tcPr>
            <w:tcW w:w="0" w:type="dxa"/>
            <w:vAlign w:val="bottom"/>
          </w:tcPr>
          <w:p>
            <w:pPr>
              <w:spacing w:after="0"/>
              <w:rPr>
                <w:sz w:val="1"/>
                <w:szCs w:val="1"/>
                <w:color w:val="auto"/>
              </w:rPr>
            </w:pPr>
          </w:p>
        </w:tc>
      </w:tr>
      <w:tr>
        <w:trPr>
          <w:trHeight w:val="251"/>
        </w:trPr>
        <w:tc>
          <w:tcPr>
            <w:tcW w:w="8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40"/>
              <w:spacing w:after="0"/>
              <w:rPr>
                <w:sz w:val="20"/>
                <w:szCs w:val="20"/>
                <w:color w:val="auto"/>
              </w:rPr>
            </w:pPr>
            <w:r>
              <w:rPr>
                <w:rFonts w:ascii="Arial" w:cs="Arial" w:eastAsia="Arial" w:hAnsi="Arial"/>
                <w:sz w:val="16"/>
                <w:szCs w:val="16"/>
                <w:b w:val="1"/>
                <w:bCs w:val="1"/>
                <w:color w:val="auto"/>
              </w:rPr>
              <w:t>66,588</w:t>
            </w:r>
          </w:p>
        </w:tc>
        <w:tc>
          <w:tcPr>
            <w:tcW w:w="460" w:type="dxa"/>
            <w:vAlign w:val="bottom"/>
          </w:tcPr>
          <w:p>
            <w:pPr>
              <w:spacing w:after="0"/>
              <w:rPr>
                <w:sz w:val="21"/>
                <w:szCs w:val="21"/>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28,057</w:t>
            </w:r>
          </w:p>
        </w:tc>
        <w:tc>
          <w:tcPr>
            <w:tcW w:w="0" w:type="dxa"/>
            <w:vAlign w:val="bottom"/>
          </w:tcPr>
          <w:p>
            <w:pPr>
              <w:spacing w:after="0"/>
              <w:rPr>
                <w:sz w:val="1"/>
                <w:szCs w:val="1"/>
                <w:color w:val="auto"/>
              </w:rPr>
            </w:pPr>
          </w:p>
        </w:tc>
      </w:tr>
      <w:tr>
        <w:trPr>
          <w:trHeight w:val="283"/>
        </w:trPr>
        <w:tc>
          <w:tcPr>
            <w:tcW w:w="8660" w:type="dxa"/>
            <w:vAlign w:val="bottom"/>
          </w:tcPr>
          <w:p>
            <w:pPr>
              <w:ind w:left="280"/>
              <w:spacing w:after="0"/>
              <w:rPr>
                <w:sz w:val="20"/>
                <w:szCs w:val="20"/>
                <w:color w:val="auto"/>
              </w:rPr>
            </w:pPr>
            <w:r>
              <w:rPr>
                <w:rFonts w:ascii="Arial" w:cs="Arial" w:eastAsia="Arial" w:hAnsi="Arial"/>
                <w:sz w:val="16"/>
                <w:szCs w:val="16"/>
                <w:color w:val="auto"/>
              </w:rPr>
              <w:t>Add: Dividends paid-common stock outstanding</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14,695</w:t>
            </w: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14,539</w:t>
            </w:r>
          </w:p>
        </w:tc>
        <w:tc>
          <w:tcPr>
            <w:tcW w:w="0" w:type="dxa"/>
            <w:vAlign w:val="bottom"/>
          </w:tcPr>
          <w:p>
            <w:pPr>
              <w:spacing w:after="0"/>
              <w:rPr>
                <w:sz w:val="1"/>
                <w:szCs w:val="1"/>
                <w:color w:val="auto"/>
              </w:rPr>
            </w:pPr>
          </w:p>
        </w:tc>
      </w:tr>
      <w:tr>
        <w:trPr>
          <w:trHeight w:val="267"/>
        </w:trPr>
        <w:tc>
          <w:tcPr>
            <w:tcW w:w="8660" w:type="dxa"/>
            <w:vAlign w:val="bottom"/>
          </w:tcPr>
          <w:p>
            <w:pPr>
              <w:ind w:left="280"/>
              <w:spacing w:after="0"/>
              <w:rPr>
                <w:sz w:val="20"/>
                <w:szCs w:val="20"/>
                <w:color w:val="auto"/>
              </w:rPr>
            </w:pPr>
            <w:r>
              <w:rPr>
                <w:rFonts w:ascii="Arial" w:cs="Arial" w:eastAsia="Arial" w:hAnsi="Arial"/>
                <w:sz w:val="16"/>
                <w:szCs w:val="16"/>
                <w:color w:val="auto"/>
              </w:rPr>
              <w:t>Numerator for basic earnings per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81,283</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42,596</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660" w:type="dxa"/>
            <w:vAlign w:val="bottom"/>
          </w:tcPr>
          <w:p>
            <w:pPr>
              <w:ind w:left="28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3</w:t>
            </w: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4"/>
        </w:trPr>
        <w:tc>
          <w:tcPr>
            <w:tcW w:w="8660" w:type="dxa"/>
            <w:vAlign w:val="bottom"/>
          </w:tcPr>
          <w:p>
            <w:pPr>
              <w:ind w:left="180"/>
              <w:spacing w:after="0"/>
              <w:rPr>
                <w:sz w:val="20"/>
                <w:szCs w:val="20"/>
                <w:color w:val="auto"/>
              </w:rPr>
            </w:pPr>
            <w:r>
              <w:rPr>
                <w:rFonts w:ascii="Arial" w:cs="Arial" w:eastAsia="Arial" w:hAnsi="Arial"/>
                <w:sz w:val="16"/>
                <w:szCs w:val="16"/>
                <w:color w:val="auto"/>
              </w:rPr>
              <w:t>Numerator for diluted earnings per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81,286</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42,597</w:t>
            </w:r>
          </w:p>
        </w:tc>
        <w:tc>
          <w:tcPr>
            <w:tcW w:w="0" w:type="dxa"/>
            <w:vAlign w:val="bottom"/>
          </w:tcPr>
          <w:p>
            <w:pPr>
              <w:spacing w:after="0"/>
              <w:rPr>
                <w:sz w:val="1"/>
                <w:szCs w:val="1"/>
                <w:color w:val="auto"/>
              </w:rPr>
            </w:pPr>
          </w:p>
        </w:tc>
      </w:tr>
      <w:tr>
        <w:trPr>
          <w:trHeight w:val="20"/>
        </w:trPr>
        <w:tc>
          <w:tcPr>
            <w:tcW w:w="8660" w:type="dxa"/>
            <w:vAlign w:val="bottom"/>
            <w:vMerge w:val="restart"/>
          </w:tcPr>
          <w:p>
            <w:pPr>
              <w:ind w:left="40"/>
              <w:spacing w:after="0"/>
              <w:rPr>
                <w:sz w:val="20"/>
                <w:szCs w:val="20"/>
                <w:color w:val="auto"/>
              </w:rPr>
            </w:pPr>
            <w:r>
              <w:rPr>
                <w:rFonts w:ascii="Arial" w:cs="Arial" w:eastAsia="Arial" w:hAnsi="Arial"/>
                <w:sz w:val="16"/>
                <w:szCs w:val="16"/>
                <w:color w:val="auto"/>
              </w:rPr>
              <w:t>Denominator:</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660" w:type="dxa"/>
            <w:vAlign w:val="bottom"/>
          </w:tcPr>
          <w:p>
            <w:pPr>
              <w:ind w:left="180"/>
              <w:spacing w:after="0"/>
              <w:rPr>
                <w:sz w:val="20"/>
                <w:szCs w:val="20"/>
                <w:color w:val="auto"/>
              </w:rPr>
            </w:pPr>
            <w:r>
              <w:rPr>
                <w:rFonts w:ascii="Arial" w:cs="Arial" w:eastAsia="Arial" w:hAnsi="Arial"/>
                <w:sz w:val="16"/>
                <w:szCs w:val="16"/>
                <w:color w:val="auto"/>
              </w:rPr>
              <w:t>Denominator for basic earnings per share:</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60" w:type="dxa"/>
            <w:vAlign w:val="bottom"/>
          </w:tcPr>
          <w:p>
            <w:pPr>
              <w:ind w:left="280"/>
              <w:spacing w:after="0"/>
              <w:rPr>
                <w:sz w:val="20"/>
                <w:szCs w:val="20"/>
                <w:color w:val="auto"/>
              </w:rPr>
            </w:pPr>
            <w:r>
              <w:rPr>
                <w:rFonts w:ascii="Arial" w:cs="Arial" w:eastAsia="Arial" w:hAnsi="Arial"/>
                <w:sz w:val="16"/>
                <w:szCs w:val="16"/>
                <w:color w:val="auto"/>
              </w:rPr>
              <w:t>Weighted average shares outstanding</w:t>
            </w:r>
          </w:p>
        </w:tc>
        <w:tc>
          <w:tcPr>
            <w:tcW w:w="320" w:type="dxa"/>
            <w:vAlign w:val="bottom"/>
          </w:tcPr>
          <w:p>
            <w:pPr>
              <w:spacing w:after="0"/>
              <w:rPr>
                <w:sz w:val="23"/>
                <w:szCs w:val="23"/>
                <w:color w:val="auto"/>
              </w:rPr>
            </w:pPr>
          </w:p>
        </w:tc>
        <w:tc>
          <w:tcPr>
            <w:tcW w:w="1060" w:type="dxa"/>
            <w:vAlign w:val="bottom"/>
          </w:tcPr>
          <w:p>
            <w:pPr>
              <w:jc w:val="right"/>
              <w:ind w:right="140"/>
              <w:spacing w:after="0"/>
              <w:rPr>
                <w:sz w:val="20"/>
                <w:szCs w:val="20"/>
                <w:color w:val="auto"/>
              </w:rPr>
            </w:pPr>
            <w:r>
              <w:rPr>
                <w:rFonts w:ascii="Arial" w:cs="Arial" w:eastAsia="Arial" w:hAnsi="Arial"/>
                <w:sz w:val="16"/>
                <w:szCs w:val="16"/>
                <w:b w:val="1"/>
                <w:bCs w:val="1"/>
                <w:color w:val="auto"/>
              </w:rPr>
              <w:t>5,284</w:t>
            </w:r>
          </w:p>
        </w:tc>
        <w:tc>
          <w:tcPr>
            <w:tcW w:w="460" w:type="dxa"/>
            <w:vAlign w:val="bottom"/>
          </w:tcPr>
          <w:p>
            <w:pPr>
              <w:spacing w:after="0"/>
              <w:rPr>
                <w:sz w:val="23"/>
                <w:szCs w:val="23"/>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5,436</w:t>
            </w:r>
          </w:p>
        </w:tc>
        <w:tc>
          <w:tcPr>
            <w:tcW w:w="0" w:type="dxa"/>
            <w:vAlign w:val="bottom"/>
          </w:tcPr>
          <w:p>
            <w:pPr>
              <w:spacing w:after="0"/>
              <w:rPr>
                <w:sz w:val="1"/>
                <w:szCs w:val="1"/>
                <w:color w:val="auto"/>
              </w:rPr>
            </w:pPr>
          </w:p>
        </w:tc>
      </w:tr>
      <w:tr>
        <w:trPr>
          <w:trHeight w:val="283"/>
        </w:trPr>
        <w:tc>
          <w:tcPr>
            <w:tcW w:w="8660" w:type="dxa"/>
            <w:vAlign w:val="bottom"/>
          </w:tcPr>
          <w:p>
            <w:pPr>
              <w:ind w:left="280"/>
              <w:spacing w:after="0"/>
              <w:rPr>
                <w:sz w:val="20"/>
                <w:szCs w:val="20"/>
                <w:color w:val="auto"/>
              </w:rPr>
            </w:pPr>
            <w:r>
              <w:rPr>
                <w:rFonts w:ascii="Arial" w:cs="Arial" w:eastAsia="Arial" w:hAnsi="Arial"/>
                <w:sz w:val="16"/>
                <w:szCs w:val="16"/>
                <w:color w:val="auto"/>
              </w:rPr>
              <w:t>Add: Effect of dilutive stock options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42</w:t>
            </w: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64"/>
        </w:trPr>
        <w:tc>
          <w:tcPr>
            <w:tcW w:w="8660" w:type="dxa"/>
            <w:vAlign w:val="bottom"/>
          </w:tcPr>
          <w:p>
            <w:pPr>
              <w:ind w:left="180"/>
              <w:spacing w:after="0"/>
              <w:rPr>
                <w:sz w:val="20"/>
                <w:szCs w:val="20"/>
                <w:color w:val="auto"/>
              </w:rPr>
            </w:pPr>
            <w:r>
              <w:rPr>
                <w:rFonts w:ascii="Arial" w:cs="Arial" w:eastAsia="Arial" w:hAnsi="Arial"/>
                <w:sz w:val="16"/>
                <w:szCs w:val="16"/>
                <w:color w:val="auto"/>
              </w:rPr>
              <w:t>Denominator for diluted earnings per share</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5,326</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5,473</w:t>
            </w:r>
          </w:p>
        </w:tc>
        <w:tc>
          <w:tcPr>
            <w:tcW w:w="0" w:type="dxa"/>
            <w:vAlign w:val="bottom"/>
          </w:tcPr>
          <w:p>
            <w:pPr>
              <w:spacing w:after="0"/>
              <w:rPr>
                <w:sz w:val="1"/>
                <w:szCs w:val="1"/>
                <w:color w:val="auto"/>
              </w:rPr>
            </w:pPr>
          </w:p>
        </w:tc>
      </w:tr>
      <w:tr>
        <w:trPr>
          <w:trHeight w:val="20"/>
        </w:trPr>
        <w:tc>
          <w:tcPr>
            <w:tcW w:w="86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Graham Holdings Company Common Stockholders: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8660" w:type="dxa"/>
            <w:vAlign w:val="bottom"/>
          </w:tcPr>
          <w:p>
            <w:pPr>
              <w:ind w:left="180"/>
              <w:spacing w:after="0"/>
              <w:rPr>
                <w:sz w:val="20"/>
                <w:szCs w:val="20"/>
                <w:color w:val="auto"/>
              </w:rPr>
            </w:pPr>
            <w:r>
              <w:rPr>
                <w:rFonts w:ascii="Arial" w:cs="Arial" w:eastAsia="Arial" w:hAnsi="Arial"/>
                <w:sz w:val="16"/>
                <w:szCs w:val="16"/>
                <w:b w:val="1"/>
                <w:bCs w:val="1"/>
                <w:color w:val="auto"/>
              </w:rPr>
              <w:t>Basic earnings per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15.38</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660" w:type="dxa"/>
            <w:vAlign w:val="bottom"/>
          </w:tcPr>
          <w:p>
            <w:pPr>
              <w:ind w:left="180"/>
              <w:spacing w:after="0"/>
              <w:rPr>
                <w:sz w:val="20"/>
                <w:szCs w:val="20"/>
                <w:color w:val="auto"/>
              </w:rPr>
            </w:pPr>
            <w:r>
              <w:rPr>
                <w:rFonts w:ascii="Arial" w:cs="Arial" w:eastAsia="Arial" w:hAnsi="Arial"/>
                <w:sz w:val="16"/>
                <w:szCs w:val="16"/>
                <w:b w:val="1"/>
                <w:bCs w:val="1"/>
                <w:color w:val="auto"/>
              </w:rPr>
              <w:t>Diluted earnings per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15.26</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36"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9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14605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3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2018</w:t>
            </w:r>
          </w:p>
        </w:tc>
      </w:tr>
      <w:tr>
        <w:trPr>
          <w:trHeight w:val="250"/>
        </w:trPr>
        <w:tc>
          <w:tcPr>
            <w:tcW w:w="6040" w:type="dxa"/>
            <w:vAlign w:val="bottom"/>
          </w:tcPr>
          <w:p>
            <w:pPr>
              <w:ind w:left="180"/>
              <w:spacing w:after="0"/>
              <w:rPr>
                <w:sz w:val="20"/>
                <w:szCs w:val="20"/>
                <w:color w:val="auto"/>
              </w:rPr>
            </w:pPr>
            <w:r>
              <w:rPr>
                <w:rFonts w:ascii="Arial" w:cs="Arial" w:eastAsia="Arial" w:hAnsi="Arial"/>
                <w:sz w:val="16"/>
                <w:szCs w:val="16"/>
                <w:color w:val="auto"/>
              </w:rPr>
              <w:t>Weighted average restricted stock</w:t>
            </w:r>
          </w:p>
        </w:tc>
        <w:tc>
          <w:tcPr>
            <w:tcW w:w="4340" w:type="dxa"/>
            <w:vAlign w:val="bottom"/>
          </w:tcPr>
          <w:p>
            <w:pPr>
              <w:jc w:val="right"/>
              <w:ind w:right="243"/>
              <w:spacing w:after="0"/>
              <w:rPr>
                <w:sz w:val="20"/>
                <w:szCs w:val="20"/>
                <w:color w:val="auto"/>
              </w:rPr>
            </w:pPr>
            <w:r>
              <w:rPr>
                <w:rFonts w:ascii="Arial" w:cs="Arial" w:eastAsia="Arial" w:hAnsi="Arial"/>
                <w:sz w:val="16"/>
                <w:szCs w:val="16"/>
                <w:b w:val="1"/>
                <w:bCs w:val="1"/>
                <w:color w:val="auto"/>
              </w:rPr>
              <w:t>10</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28</w:t>
            </w:r>
          </w:p>
        </w:tc>
      </w:tr>
    </w:tbl>
    <w:p>
      <w:pPr>
        <w:spacing w:after="0" w:line="167" w:lineRule="exact"/>
        <w:rPr>
          <w:sz w:val="20"/>
          <w:szCs w:val="20"/>
          <w:color w:val="auto"/>
        </w:rPr>
      </w:pPr>
    </w:p>
    <w:p>
      <w:pPr>
        <w:jc w:val="both"/>
        <w:ind w:right="120"/>
        <w:spacing w:after="0" w:line="227" w:lineRule="auto"/>
        <w:rPr>
          <w:sz w:val="20"/>
          <w:szCs w:val="20"/>
          <w:color w:val="auto"/>
        </w:rPr>
      </w:pPr>
      <w:r>
        <w:rPr>
          <w:rFonts w:ascii="Arial" w:cs="Arial" w:eastAsia="Arial" w:hAnsi="Arial"/>
          <w:sz w:val="18"/>
          <w:szCs w:val="18"/>
          <w:color w:val="auto"/>
        </w:rPr>
        <w:t>The diluted earnings per share amounts for the three months ended March 31, 2019 and March 31, 2018 exclude the effects of 104,000 stock options outstanding, as their inclusion would have been antidilutive due to a market condition. The diluted earnings per share amounts for the three months ended March 31, 2018 exclude the effects of 5,250 restricted stock awards as their inclusion would have been antidilutive due to a performance condition.</w:t>
      </w:r>
    </w:p>
    <w:p>
      <w:pPr>
        <w:spacing w:after="0" w:line="135" w:lineRule="exact"/>
        <w:rPr>
          <w:sz w:val="20"/>
          <w:szCs w:val="20"/>
          <w:color w:val="auto"/>
        </w:rPr>
      </w:pPr>
    </w:p>
    <w:p>
      <w:pPr>
        <w:ind w:right="740"/>
        <w:spacing w:after="0" w:line="235" w:lineRule="auto"/>
        <w:rPr>
          <w:sz w:val="20"/>
          <w:szCs w:val="20"/>
          <w:color w:val="auto"/>
        </w:rPr>
      </w:pPr>
      <w:r>
        <w:rPr>
          <w:rFonts w:ascii="Arial" w:cs="Arial" w:eastAsia="Arial" w:hAnsi="Arial"/>
          <w:sz w:val="18"/>
          <w:szCs w:val="18"/>
          <w:color w:val="auto"/>
        </w:rPr>
        <w:t>In the three months ended March 31, 2019 and March 31, 2018, the Company declared regular dividends totaling $2.78 and $2.66 per common share,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PENSION AND POSTRETIREMENT PLANS</w:t>
      </w:r>
    </w:p>
    <w:p>
      <w:pPr>
        <w:spacing w:after="0" w:line="166"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On March 22, 2018, the Company eliminated the accrual of pension benefits for certain Kaplan University employees related to their future service. As a result, the Company remeasured the accumulated and projected benefit obligation of the pension plan as of March 22, 2018, and the Company recorded a curtailment gain in the first quarter of 2018. The new measurement basis was used for the recognition of the Company’s pension benefit following the remeasurement. The curtailment gain on the Kaplan University transaction is included in the gain on the Kaplan University transaction and reported in Other income, net on the Condensed Consolidated Statement of Operations.</w:t>
      </w:r>
    </w:p>
    <w:p>
      <w:pPr>
        <w:sectPr>
          <w:pgSz w:w="11900" w:h="16838" w:orient="portrait"/>
          <w:cols w:equalWidth="0" w:num="1">
            <w:col w:w="11420"/>
          </w:cols>
          <w:pgMar w:left="240" w:top="697" w:right="2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697"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2018</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61"/>
              <w:spacing w:after="0"/>
              <w:rPr>
                <w:sz w:val="20"/>
                <w:szCs w:val="20"/>
                <w:color w:val="auto"/>
              </w:rPr>
            </w:pPr>
            <w:r>
              <w:rPr>
                <w:rFonts w:ascii="Arial" w:cs="Arial" w:eastAsia="Arial" w:hAnsi="Arial"/>
                <w:sz w:val="16"/>
                <w:szCs w:val="16"/>
                <w:b w:val="1"/>
                <w:bCs w:val="1"/>
                <w:color w:val="auto"/>
              </w:rPr>
              <w:t>5,221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4,940</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3"/>
                <w:szCs w:val="23"/>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b w:val="1"/>
                <w:bCs w:val="1"/>
                <w:color w:val="auto"/>
              </w:rPr>
              <w:t>11,592</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11,255</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Expected return on assets</w:t>
            </w:r>
          </w:p>
        </w:tc>
        <w:tc>
          <w:tcPr>
            <w:tcW w:w="24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b w:val="1"/>
                <w:bCs w:val="1"/>
                <w:color w:val="auto"/>
              </w:rPr>
              <w:t>(30,838)</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(32,486)</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40" w:type="dxa"/>
            <w:vAlign w:val="bottom"/>
          </w:tcPr>
          <w:p>
            <w:pPr>
              <w:spacing w:after="0"/>
              <w:rPr>
                <w:sz w:val="23"/>
                <w:szCs w:val="23"/>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b w:val="1"/>
                <w:bCs w:val="1"/>
                <w:color w:val="auto"/>
              </w:rPr>
              <w:t>409</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42</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(37)</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w:t>
            </w: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w:t>
            </w:r>
          </w:p>
        </w:tc>
        <w:tc>
          <w:tcPr>
            <w:tcW w:w="240" w:type="dxa"/>
            <w:vAlign w:val="bottom"/>
          </w:tcPr>
          <w:p>
            <w:pPr>
              <w:spacing w:after="0"/>
              <w:rPr>
                <w:sz w:val="21"/>
                <w:szCs w:val="21"/>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b w:val="1"/>
                <w:bCs w:val="1"/>
                <w:color w:val="auto"/>
              </w:rPr>
              <w:t>(13,653)</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(17,295)</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Curtailment gain</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Benefit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(13,653)</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(18,101)</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2018</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214</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205</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3"/>
                <w:szCs w:val="23"/>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1,078</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966</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40" w:type="dxa"/>
            <w:vAlign w:val="bottom"/>
          </w:tcPr>
          <w:p>
            <w:pPr>
              <w:spacing w:after="0"/>
              <w:rPr>
                <w:sz w:val="23"/>
                <w:szCs w:val="23"/>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85</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78</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Recognized actuarial loss</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579</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601</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Periodic Cost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1,956</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1,850</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U.S. stock index</w:t>
      </w:r>
      <w:r>
        <w:rPr>
          <w:rFonts w:ascii="Arial" w:cs="Arial" w:eastAsia="Arial" w:hAnsi="Arial"/>
          <w:sz w:val="18"/>
          <w:szCs w:val="18"/>
          <w:b w:val="1"/>
          <w:bCs w:val="1"/>
          <w:color w:val="auto"/>
        </w:rPr>
        <w:t xml:space="preserve"> </w:t>
      </w:r>
      <w:r>
        <w:rPr>
          <w:rFonts w:ascii="Arial" w:cs="Arial" w:eastAsia="Arial" w:hAnsi="Arial"/>
          <w:sz w:val="18"/>
          <w:szCs w:val="18"/>
          <w:color w:val="auto"/>
        </w:rPr>
        <w:t>fund, a relatively small number of stocks and high-quality fixed-income securities that are held by a third-party trustee. The assets of the Company’s pension plan were allocated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7"/>
                <w:szCs w:val="17"/>
                <w:color w:val="auto"/>
              </w:rPr>
            </w:pPr>
          </w:p>
        </w:tc>
      </w:tr>
      <w:tr>
        <w:trPr>
          <w:trHeight w:val="337"/>
        </w:trPr>
        <w:tc>
          <w:tcPr>
            <w:tcW w:w="8480" w:type="dxa"/>
            <w:vAlign w:val="bottom"/>
          </w:tcPr>
          <w:p>
            <w:pPr>
              <w:spacing w:after="0"/>
              <w:rPr>
                <w:sz w:val="24"/>
                <w:szCs w:val="24"/>
                <w:color w:val="auto"/>
              </w:rPr>
            </w:pPr>
          </w:p>
        </w:tc>
        <w:tc>
          <w:tcPr>
            <w:tcW w:w="1720" w:type="dxa"/>
            <w:vAlign w:val="bottom"/>
          </w:tcPr>
          <w:p>
            <w:pPr>
              <w:jc w:val="right"/>
              <w:ind w:right="622"/>
              <w:spacing w:after="0"/>
              <w:rPr>
                <w:sz w:val="20"/>
                <w:szCs w:val="20"/>
                <w:color w:val="auto"/>
              </w:rPr>
            </w:pPr>
            <w:r>
              <w:rPr>
                <w:rFonts w:ascii="Arial" w:cs="Arial" w:eastAsia="Arial" w:hAnsi="Arial"/>
                <w:sz w:val="14"/>
                <w:szCs w:val="14"/>
                <w:b w:val="1"/>
                <w:bCs w:val="1"/>
                <w:color w:val="auto"/>
              </w:rPr>
              <w:t>March 31,</w:t>
            </w:r>
          </w:p>
        </w:tc>
        <w:tc>
          <w:tcPr>
            <w:tcW w:w="1220" w:type="dxa"/>
            <w:vAlign w:val="bottom"/>
          </w:tcPr>
          <w:p>
            <w:pPr>
              <w:jc w:val="right"/>
              <w:ind w:right="202"/>
              <w:spacing w:after="0"/>
              <w:rPr>
                <w:sz w:val="20"/>
                <w:szCs w:val="20"/>
                <w:color w:val="auto"/>
              </w:rPr>
            </w:pPr>
            <w:r>
              <w:rPr>
                <w:rFonts w:ascii="Arial" w:cs="Arial" w:eastAsia="Arial" w:hAnsi="Arial"/>
                <w:sz w:val="14"/>
                <w:szCs w:val="14"/>
                <w:color w:val="auto"/>
              </w:rPr>
              <w:t>December 31,</w:t>
            </w:r>
          </w:p>
        </w:tc>
      </w:tr>
      <w:tr>
        <w:trPr>
          <w:trHeight w:val="196"/>
        </w:trPr>
        <w:tc>
          <w:tcPr>
            <w:tcW w:w="84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2019</w:t>
            </w:r>
          </w:p>
        </w:tc>
        <w:tc>
          <w:tcPr>
            <w:tcW w:w="12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2018</w:t>
            </w:r>
          </w:p>
        </w:tc>
      </w:tr>
      <w:tr>
        <w:trPr>
          <w:trHeight w:val="250"/>
        </w:trPr>
        <w:tc>
          <w:tcPr>
            <w:tcW w:w="848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720" w:type="dxa"/>
            <w:vAlign w:val="bottom"/>
          </w:tcPr>
          <w:p>
            <w:pPr>
              <w:jc w:val="right"/>
              <w:ind w:right="262"/>
              <w:spacing w:after="0"/>
              <w:rPr>
                <w:sz w:val="20"/>
                <w:szCs w:val="20"/>
                <w:color w:val="auto"/>
              </w:rPr>
            </w:pPr>
            <w:r>
              <w:rPr>
                <w:rFonts w:ascii="Arial" w:cs="Arial" w:eastAsia="Arial" w:hAnsi="Arial"/>
                <w:sz w:val="16"/>
                <w:szCs w:val="16"/>
                <w:b w:val="1"/>
                <w:bCs w:val="1"/>
                <w:color w:val="auto"/>
              </w:rPr>
              <w:t>53%</w:t>
            </w: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70"/>
        </w:trPr>
        <w:tc>
          <w:tcPr>
            <w:tcW w:w="8480" w:type="dxa"/>
            <w:vAlign w:val="bottom"/>
          </w:tcPr>
          <w:p>
            <w:pPr>
              <w:ind w:left="40"/>
              <w:spacing w:after="0"/>
              <w:rPr>
                <w:sz w:val="20"/>
                <w:szCs w:val="20"/>
                <w:color w:val="auto"/>
              </w:rPr>
            </w:pPr>
            <w:r>
              <w:rPr>
                <w:rFonts w:ascii="Arial" w:cs="Arial" w:eastAsia="Arial" w:hAnsi="Arial"/>
                <w:sz w:val="16"/>
                <w:szCs w:val="16"/>
                <w:color w:val="auto"/>
              </w:rPr>
              <w:t>U.S. stock index fund</w:t>
            </w:r>
          </w:p>
        </w:tc>
        <w:tc>
          <w:tcPr>
            <w:tcW w:w="1720" w:type="dxa"/>
            <w:vAlign w:val="bottom"/>
          </w:tcPr>
          <w:p>
            <w:pPr>
              <w:jc w:val="right"/>
              <w:ind w:right="262"/>
              <w:spacing w:after="0"/>
              <w:rPr>
                <w:sz w:val="20"/>
                <w:szCs w:val="20"/>
                <w:color w:val="auto"/>
              </w:rPr>
            </w:pPr>
            <w:r>
              <w:rPr>
                <w:rFonts w:ascii="Arial" w:cs="Arial" w:eastAsia="Arial" w:hAnsi="Arial"/>
                <w:sz w:val="16"/>
                <w:szCs w:val="16"/>
                <w:b w:val="1"/>
                <w:bCs w:val="1"/>
                <w:color w:val="auto"/>
              </w:rPr>
              <w:t>28%</w:t>
            </w: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70"/>
        </w:trPr>
        <w:tc>
          <w:tcPr>
            <w:tcW w:w="848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720" w:type="dxa"/>
            <w:vAlign w:val="bottom"/>
          </w:tcPr>
          <w:p>
            <w:pPr>
              <w:jc w:val="right"/>
              <w:ind w:right="262"/>
              <w:spacing w:after="0"/>
              <w:rPr>
                <w:sz w:val="20"/>
                <w:szCs w:val="20"/>
                <w:color w:val="auto"/>
              </w:rPr>
            </w:pPr>
            <w:r>
              <w:rPr>
                <w:rFonts w:ascii="Arial" w:cs="Arial" w:eastAsia="Arial" w:hAnsi="Arial"/>
                <w:sz w:val="16"/>
                <w:szCs w:val="16"/>
                <w:b w:val="1"/>
                <w:bCs w:val="1"/>
                <w:color w:val="auto"/>
              </w:rPr>
              <w:t>13%</w:t>
            </w: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83"/>
        </w:trPr>
        <w:tc>
          <w:tcPr>
            <w:tcW w:w="848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7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64"/>
        </w:trPr>
        <w:tc>
          <w:tcPr>
            <w:tcW w:w="8480" w:type="dxa"/>
            <w:vAlign w:val="bottom"/>
          </w:tcPr>
          <w:p>
            <w:pPr>
              <w:spacing w:after="0"/>
              <w:rPr>
                <w:sz w:val="22"/>
                <w:szCs w:val="22"/>
                <w:color w:val="auto"/>
              </w:rPr>
            </w:pPr>
          </w:p>
        </w:tc>
        <w:tc>
          <w:tcPr>
            <w:tcW w:w="17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100%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84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The Company manages approximately 45% of the pension assets internally, of which the majority is invested in a U.S. stock index fund with the remaining investments in Berkshire Hathaway stock and short-term fixed income securities. The remaining 55% of plan assets are managed by two investment companies. The goal for the investments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One investment manager cannot invest more than 15% of the assets at the time of purchase in the stock of Alphabet and Berkshire Hathaway, no more than 25% of the assets it manages in specified international exchanges at the time the investment is made, and no less than 5% of the assets could be invested in fixed-income securities. The other investment manager cannot invest more than 20% of the assets at the time of purchase in the stock of Berkshire Hathaway, no more than 15% of the assets it manages in specified international exchanges, at the time the investment is made, and no less than 10% of the assets could be invested in fixed-income securities. Excluding the exceptions noted above, the investment managers cannot invest more than 10% of the assets in the securities of any other single issuer, except for obligations of the U.S. Government, without receiving prior approval from the Plan administrator.</w:t>
      </w:r>
    </w:p>
    <w:p>
      <w:pPr>
        <w:spacing w:after="0" w:line="144" w:lineRule="exact"/>
        <w:rPr>
          <w:sz w:val="20"/>
          <w:szCs w:val="20"/>
          <w:color w:val="auto"/>
        </w:rPr>
      </w:pPr>
    </w:p>
    <w:p>
      <w:pPr>
        <w:ind w:right="720"/>
        <w:spacing w:after="0" w:line="22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37" w:lineRule="exact"/>
        <w:rPr>
          <w:sz w:val="20"/>
          <w:szCs w:val="20"/>
          <w:color w:val="auto"/>
        </w:rPr>
      </w:pPr>
    </w:p>
    <w:p>
      <w:pPr>
        <w:jc w:val="both"/>
        <w:ind w:right="120"/>
        <w:spacing w:after="0" w:line="227"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March 31, 2019. Types of concentrations that were evaluated include, but are not limited to, investment concentrations in a single entity, type of industry, foreign country and individual fund. At March 31, 2019 and December 31, 2018, the pension plan held investments in one common stock and one U.S. stock index fund that exceeded 10% of total plan assets. These</w:t>
      </w:r>
    </w:p>
    <w:p>
      <w:pPr>
        <w:sectPr>
          <w:pgSz w:w="11900" w:h="16838" w:orient="portrait"/>
          <w:cols w:equalWidth="0" w:num="1">
            <w:col w:w="11420"/>
          </w:cols>
          <w:pgMar w:left="240" w:top="697" w:right="2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697" w:right="239" w:bottom="1440" w:gutter="0" w:footer="0" w:header="0"/>
          <w:type w:val="continuous"/>
        </w:sectPr>
      </w:pPr>
    </w:p>
    <w:bookmarkStart w:id="21" w:name="page22"/>
    <w:bookmarkEnd w:id="21"/>
    <w:p>
      <w:pPr>
        <w:ind w:right="40"/>
        <w:spacing w:after="0" w:line="235" w:lineRule="auto"/>
        <w:rPr>
          <w:sz w:val="20"/>
          <w:szCs w:val="20"/>
          <w:color w:val="auto"/>
        </w:rPr>
      </w:pPr>
      <w:r>
        <w:rPr>
          <w:rFonts w:ascii="Arial" w:cs="Arial" w:eastAsia="Arial" w:hAnsi="Arial"/>
          <w:sz w:val="18"/>
          <w:szCs w:val="18"/>
          <w:color w:val="auto"/>
        </w:rPr>
        <w:t>investments were valued at $1,001.3 million and $945.6 million at March 31, 2019 and December 31, 2018, respectively, or approximately 43% and 45%, respectively, of total plan assets.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cost arising from the Company’s other postretirement plans consists of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2018</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268</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3"/>
                <w:szCs w:val="23"/>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b w:val="1"/>
                <w:bCs w:val="1"/>
                <w:color w:val="auto"/>
              </w:rPr>
              <w:t>72</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170</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Pr>
          <w:p>
            <w:pPr>
              <w:spacing w:after="0"/>
              <w:rPr>
                <w:sz w:val="23"/>
                <w:szCs w:val="23"/>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b w:val="1"/>
                <w:bCs w:val="1"/>
                <w:color w:val="auto"/>
              </w:rPr>
              <w:t>(1,841)</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(1,090)</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(2,859)</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ectPr>
          <w:pgSz w:w="11900" w:h="16838" w:orient="portrait"/>
          <w:cols w:equalWidth="0" w:num="1">
            <w:col w:w="11420"/>
          </w:cols>
          <w:pgMar w:left="240" w:top="719" w:right="239" w:bottom="1440" w:gutter="0" w:footer="0" w:header="0"/>
        </w:sectPr>
      </w:pPr>
    </w:p>
    <w:p>
      <w:pPr>
        <w:spacing w:after="0"/>
        <w:rPr>
          <w:sz w:val="20"/>
          <w:szCs w:val="20"/>
          <w:color w:val="auto"/>
        </w:rPr>
      </w:pPr>
      <w:r>
        <w:rPr>
          <w:rFonts w:ascii="Arial" w:cs="Arial" w:eastAsia="Arial" w:hAnsi="Arial"/>
          <w:sz w:val="18"/>
          <w:szCs w:val="18"/>
          <w:b w:val="1"/>
          <w:bCs w:val="1"/>
          <w:color w:val="auto"/>
        </w:rPr>
        <w:t>13. OTHER NON-OPERATING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on sale of an equity affiliate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currency gain,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on sales of businesses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on sale of a cost method investment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net</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Other Non-Operating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14605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3"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color w:val="auto"/>
        </w:rPr>
        <w:t>2018</w:t>
      </w:r>
    </w:p>
    <w:p>
      <w:pPr>
        <w:spacing w:after="0" w:line="100" w:lineRule="exact"/>
        <w:rPr>
          <w:sz w:val="20"/>
          <w:szCs w:val="20"/>
          <w:color w:val="auto"/>
        </w:rPr>
      </w:pPr>
    </w:p>
    <w:p>
      <w:pPr>
        <w:spacing w:after="0"/>
        <w:tabs>
          <w:tab w:leader="none" w:pos="500" w:val="left"/>
          <w:tab w:leader="none" w:pos="1240" w:val="left"/>
          <w:tab w:leader="none" w:pos="206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28,994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106" w:lineRule="exact"/>
        <w:rPr>
          <w:sz w:val="20"/>
          <w:szCs w:val="20"/>
          <w:color w:val="auto"/>
        </w:rPr>
      </w:pPr>
    </w:p>
    <w:p>
      <w:pPr>
        <w:ind w:left="1980" w:hanging="1241"/>
        <w:spacing w:after="0"/>
        <w:tabs>
          <w:tab w:leader="none" w:pos="198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177</w:t>
      </w:r>
    </w:p>
    <w:p>
      <w:pPr>
        <w:spacing w:after="0" w:line="86" w:lineRule="exact"/>
        <w:rPr>
          <w:sz w:val="20"/>
          <w:szCs w:val="20"/>
          <w:color w:val="auto"/>
        </w:rPr>
      </w:pPr>
    </w:p>
    <w:p>
      <w:pPr>
        <w:ind w:left="1840" w:hanging="1101"/>
        <w:spacing w:after="0"/>
        <w:tabs>
          <w:tab w:leader="none" w:pos="184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5,907</w:t>
      </w:r>
    </w:p>
    <w:p>
      <w:pPr>
        <w:spacing w:after="0" w:line="66" w:lineRule="exact"/>
        <w:rPr>
          <w:rFonts w:ascii="Arial" w:cs="Arial" w:eastAsia="Arial" w:hAnsi="Arial"/>
          <w:sz w:val="16"/>
          <w:szCs w:val="16"/>
          <w:b w:val="1"/>
          <w:bCs w:val="1"/>
          <w:color w:val="auto"/>
        </w:rPr>
      </w:pPr>
    </w:p>
    <w:p>
      <w:pPr>
        <w:ind w:left="8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color w:val="auto"/>
        </w:rPr>
        <w:t>2,845</w:t>
      </w:r>
    </w:p>
    <w:p>
      <w:pPr>
        <w:spacing w:after="0" w:line="106" w:lineRule="exact"/>
        <w:rPr>
          <w:sz w:val="20"/>
          <w:szCs w:val="20"/>
          <w:color w:val="auto"/>
        </w:rPr>
      </w:pPr>
    </w:p>
    <w:p>
      <w:pPr>
        <w:ind w:left="1980" w:hanging="1295"/>
        <w:spacing w:after="0"/>
        <w:tabs>
          <w:tab w:leader="none" w:pos="198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19050</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60" w:lineRule="exact"/>
        <w:rPr>
          <w:sz w:val="20"/>
          <w:szCs w:val="20"/>
          <w:color w:val="auto"/>
        </w:rPr>
      </w:pPr>
    </w:p>
    <w:p>
      <w:pPr>
        <w:spacing w:after="0"/>
        <w:tabs>
          <w:tab w:leader="none" w:pos="500" w:val="left"/>
          <w:tab w:leader="none" w:pos="1240" w:val="left"/>
          <w:tab w:leader="none" w:pos="18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29,351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48895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340" w:space="720"/>
            <w:col w:w="2360"/>
          </w:cols>
          <w:pgMar w:left="240" w:top="719"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2019, the Company recorded a $29.0 million gain on the sale of the Company’s interest in Gimlet Media.</w:t>
      </w:r>
    </w:p>
    <w:p>
      <w:pPr>
        <w:spacing w:after="0" w:line="144"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In the first quarter of 2018, the Company recorded a $5.9 million gain on the sale of two businesses in the education division, including a gain of $4.3 million on the Kaplan University transaction (see Note 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consists of the following components: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2018</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121"/>
              <w:spacing w:after="0"/>
              <w:rPr>
                <w:sz w:val="20"/>
                <w:szCs w:val="20"/>
                <w:color w:val="auto"/>
              </w:rPr>
            </w:pPr>
            <w:r>
              <w:rPr>
                <w:rFonts w:ascii="Arial" w:cs="Arial" w:eastAsia="Arial" w:hAnsi="Arial"/>
                <w:sz w:val="14"/>
                <w:szCs w:val="14"/>
                <w:b w:val="1"/>
                <w:bCs w:val="1"/>
                <w:color w:val="auto"/>
              </w:rPr>
              <w:t>Before-Tax</w:t>
            </w:r>
          </w:p>
        </w:tc>
        <w:tc>
          <w:tcPr>
            <w:tcW w:w="240" w:type="dxa"/>
            <w:vAlign w:val="bottom"/>
          </w:tcPr>
          <w:p>
            <w:pPr>
              <w:spacing w:after="0"/>
              <w:rPr>
                <w:sz w:val="22"/>
                <w:szCs w:val="22"/>
                <w:color w:val="auto"/>
              </w:rPr>
            </w:pPr>
          </w:p>
        </w:tc>
        <w:tc>
          <w:tcPr>
            <w:tcW w:w="720" w:type="dxa"/>
            <w:vAlign w:val="bottom"/>
          </w:tcPr>
          <w:p>
            <w:pPr>
              <w:jc w:val="right"/>
              <w:ind w:right="102"/>
              <w:spacing w:after="0"/>
              <w:rPr>
                <w:sz w:val="20"/>
                <w:szCs w:val="20"/>
                <w:color w:val="auto"/>
              </w:rPr>
            </w:pPr>
            <w:r>
              <w:rPr>
                <w:rFonts w:ascii="Arial" w:cs="Arial" w:eastAsia="Arial" w:hAnsi="Arial"/>
                <w:sz w:val="14"/>
                <w:szCs w:val="14"/>
                <w:b w:val="1"/>
                <w:bCs w:val="1"/>
                <w:color w:val="auto"/>
              </w:rPr>
              <w:t>Income</w:t>
            </w:r>
          </w:p>
        </w:tc>
        <w:tc>
          <w:tcPr>
            <w:tcW w:w="260" w:type="dxa"/>
            <w:vAlign w:val="bottom"/>
          </w:tcPr>
          <w:p>
            <w:pPr>
              <w:spacing w:after="0"/>
              <w:rPr>
                <w:sz w:val="22"/>
                <w:szCs w:val="22"/>
                <w:color w:val="auto"/>
              </w:rPr>
            </w:pPr>
          </w:p>
        </w:tc>
        <w:tc>
          <w:tcPr>
            <w:tcW w:w="820" w:type="dxa"/>
            <w:vAlign w:val="bottom"/>
          </w:tcPr>
          <w:p>
            <w:pPr>
              <w:jc w:val="right"/>
              <w:ind w:right="101"/>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22"/>
                <w:szCs w:val="22"/>
                <w:color w:val="auto"/>
              </w:rPr>
            </w:pPr>
          </w:p>
        </w:tc>
        <w:tc>
          <w:tcPr>
            <w:tcW w:w="960" w:type="dxa"/>
            <w:vAlign w:val="bottom"/>
          </w:tcPr>
          <w:p>
            <w:pPr>
              <w:jc w:val="right"/>
              <w:ind w:right="161"/>
              <w:spacing w:after="0"/>
              <w:rPr>
                <w:sz w:val="20"/>
                <w:szCs w:val="20"/>
                <w:color w:val="auto"/>
              </w:rPr>
            </w:pPr>
            <w:r>
              <w:rPr>
                <w:rFonts w:ascii="Arial" w:cs="Arial" w:eastAsia="Arial" w:hAnsi="Arial"/>
                <w:sz w:val="14"/>
                <w:szCs w:val="14"/>
                <w:color w:val="auto"/>
              </w:rPr>
              <w:t>Before-Tax</w:t>
            </w:r>
          </w:p>
        </w:tc>
        <w:tc>
          <w:tcPr>
            <w:tcW w:w="200" w:type="dxa"/>
            <w:vAlign w:val="bottom"/>
          </w:tcPr>
          <w:p>
            <w:pPr>
              <w:spacing w:after="0"/>
              <w:rPr>
                <w:sz w:val="22"/>
                <w:szCs w:val="22"/>
                <w:color w:val="auto"/>
              </w:rPr>
            </w:pPr>
          </w:p>
        </w:tc>
        <w:tc>
          <w:tcPr>
            <w:tcW w:w="780" w:type="dxa"/>
            <w:vAlign w:val="bottom"/>
          </w:tcPr>
          <w:p>
            <w:pPr>
              <w:jc w:val="center"/>
              <w:ind w:right="122"/>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22"/>
                <w:szCs w:val="22"/>
                <w:color w:val="auto"/>
              </w:rPr>
            </w:pPr>
          </w:p>
        </w:tc>
        <w:tc>
          <w:tcPr>
            <w:tcW w:w="860" w:type="dxa"/>
            <w:vAlign w:val="bottom"/>
          </w:tcPr>
          <w:p>
            <w:pPr>
              <w:jc w:val="right"/>
              <w:ind w:right="141"/>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504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8"/>
                <w:szCs w:val="18"/>
                <w:color w:val="auto"/>
              </w:rPr>
            </w:pPr>
          </w:p>
        </w:tc>
        <w:tc>
          <w:tcPr>
            <w:tcW w:w="960" w:type="dxa"/>
            <w:vAlign w:val="bottom"/>
          </w:tcPr>
          <w:p>
            <w:pPr>
              <w:jc w:val="right"/>
              <w:ind w:right="221"/>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8"/>
                <w:szCs w:val="18"/>
                <w:color w:val="auto"/>
              </w:rPr>
            </w:pPr>
          </w:p>
        </w:tc>
        <w:tc>
          <w:tcPr>
            <w:tcW w:w="720" w:type="dxa"/>
            <w:vAlign w:val="bottom"/>
          </w:tcPr>
          <w:p>
            <w:pPr>
              <w:jc w:val="right"/>
              <w:ind w:right="222"/>
              <w:spacing w:after="0"/>
              <w:rPr>
                <w:sz w:val="20"/>
                <w:szCs w:val="20"/>
                <w:color w:val="auto"/>
              </w:rPr>
            </w:pPr>
            <w:r>
              <w:rPr>
                <w:rFonts w:ascii="Arial" w:cs="Arial" w:eastAsia="Arial" w:hAnsi="Arial"/>
                <w:sz w:val="14"/>
                <w:szCs w:val="14"/>
                <w:b w:val="1"/>
                <w:bCs w:val="1"/>
                <w:color w:val="auto"/>
              </w:rPr>
              <w:t>Tax</w:t>
            </w:r>
          </w:p>
        </w:tc>
        <w:tc>
          <w:tcPr>
            <w:tcW w:w="260" w:type="dxa"/>
            <w:vAlign w:val="bottom"/>
          </w:tcPr>
          <w:p>
            <w:pPr>
              <w:spacing w:after="0"/>
              <w:rPr>
                <w:sz w:val="18"/>
                <w:szCs w:val="18"/>
                <w:color w:val="auto"/>
              </w:rPr>
            </w:pPr>
          </w:p>
        </w:tc>
        <w:tc>
          <w:tcPr>
            <w:tcW w:w="820" w:type="dxa"/>
            <w:vAlign w:val="bottom"/>
          </w:tcPr>
          <w:p>
            <w:pPr>
              <w:jc w:val="right"/>
              <w:ind w:right="141"/>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8"/>
                <w:szCs w:val="18"/>
                <w:color w:val="auto"/>
              </w:rPr>
            </w:pPr>
          </w:p>
        </w:tc>
        <w:tc>
          <w:tcPr>
            <w:tcW w:w="960" w:type="dxa"/>
            <w:vAlign w:val="bottom"/>
          </w:tcPr>
          <w:p>
            <w:pPr>
              <w:jc w:val="right"/>
              <w:ind w:right="261"/>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8"/>
                <w:szCs w:val="18"/>
                <w:color w:val="auto"/>
              </w:rPr>
            </w:pPr>
          </w:p>
        </w:tc>
        <w:tc>
          <w:tcPr>
            <w:tcW w:w="780" w:type="dxa"/>
            <w:vAlign w:val="bottom"/>
          </w:tcPr>
          <w:p>
            <w:pPr>
              <w:jc w:val="center"/>
              <w:ind w:right="122"/>
              <w:spacing w:after="0"/>
              <w:rPr>
                <w:sz w:val="20"/>
                <w:szCs w:val="20"/>
                <w:color w:val="auto"/>
              </w:rPr>
            </w:pPr>
            <w:r>
              <w:rPr>
                <w:rFonts w:ascii="Arial" w:cs="Arial" w:eastAsia="Arial" w:hAnsi="Arial"/>
                <w:sz w:val="14"/>
                <w:szCs w:val="14"/>
                <w:color w:val="auto"/>
                <w:w w:val="94"/>
              </w:rPr>
              <w:t>Tax</w:t>
            </w:r>
          </w:p>
        </w:tc>
        <w:tc>
          <w:tcPr>
            <w:tcW w:w="240" w:type="dxa"/>
            <w:vAlign w:val="bottom"/>
          </w:tcPr>
          <w:p>
            <w:pPr>
              <w:spacing w:after="0"/>
              <w:rPr>
                <w:sz w:val="18"/>
                <w:szCs w:val="18"/>
                <w:color w:val="auto"/>
              </w:rPr>
            </w:pPr>
          </w:p>
        </w:tc>
        <w:tc>
          <w:tcPr>
            <w:tcW w:w="860" w:type="dxa"/>
            <w:vAlign w:val="bottom"/>
          </w:tcPr>
          <w:p>
            <w:pPr>
              <w:jc w:val="right"/>
              <w:ind w:right="181"/>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504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rPr>
                <w:sz w:val="20"/>
                <w:szCs w:val="20"/>
                <w:color w:val="auto"/>
              </w:rPr>
            </w:pPr>
            <w:r>
              <w:rPr>
                <w:rFonts w:ascii="Arial" w:cs="Arial" w:eastAsia="Arial" w:hAnsi="Arial"/>
                <w:sz w:val="16"/>
                <w:szCs w:val="16"/>
                <w:color w:val="auto"/>
              </w:rPr>
              <w:t>Translation adjustments arising during the period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10,033</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10,033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11,564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11,564</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6"/>
                <w:szCs w:val="16"/>
                <w:color w:val="auto"/>
              </w:rPr>
              <w:t>Pension and other postretirement plans:</w:t>
            </w: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rPr>
                <w:sz w:val="20"/>
                <w:szCs w:val="20"/>
                <w:color w:val="auto"/>
              </w:rPr>
            </w:pPr>
            <w:r>
              <w:rPr>
                <w:rFonts w:ascii="Arial" w:cs="Arial" w:eastAsia="Arial" w:hAnsi="Arial"/>
                <w:sz w:val="16"/>
                <w:szCs w:val="16"/>
                <w:color w:val="auto"/>
              </w:rPr>
              <w:t>Amortization of net prior service (credit) cost included in net income</w:t>
            </w:r>
          </w:p>
        </w:tc>
        <w:tc>
          <w:tcPr>
            <w:tcW w:w="14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(1,347)</w:t>
            </w:r>
          </w:p>
        </w:tc>
        <w:tc>
          <w:tcPr>
            <w:tcW w:w="240" w:type="dxa"/>
            <w:vAlign w:val="bottom"/>
          </w:tcPr>
          <w:p>
            <w:pPr>
              <w:spacing w:after="0"/>
              <w:rPr>
                <w:sz w:val="23"/>
                <w:szCs w:val="23"/>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b w:val="1"/>
                <w:bCs w:val="1"/>
                <w:color w:val="auto"/>
              </w:rPr>
              <w:t>364</w:t>
            </w:r>
          </w:p>
        </w:tc>
        <w:tc>
          <w:tcPr>
            <w:tcW w:w="260" w:type="dxa"/>
            <w:vAlign w:val="bottom"/>
          </w:tcPr>
          <w:p>
            <w:pPr>
              <w:spacing w:after="0"/>
              <w:rPr>
                <w:sz w:val="23"/>
                <w:szCs w:val="23"/>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b w:val="1"/>
                <w:bCs w:val="1"/>
                <w:color w:val="auto"/>
              </w:rPr>
              <w:t>(983)</w:t>
            </w:r>
          </w:p>
        </w:tc>
        <w:tc>
          <w:tcPr>
            <w:tcW w:w="200" w:type="dxa"/>
            <w:vAlign w:val="bottom"/>
          </w:tcPr>
          <w:p>
            <w:pPr>
              <w:spacing w:after="0"/>
              <w:rPr>
                <w:sz w:val="23"/>
                <w:szCs w:val="23"/>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76</w:t>
            </w:r>
          </w:p>
        </w:tc>
        <w:tc>
          <w:tcPr>
            <w:tcW w:w="200" w:type="dxa"/>
            <w:vAlign w:val="bottom"/>
          </w:tcPr>
          <w:p>
            <w:pPr>
              <w:spacing w:after="0"/>
              <w:rPr>
                <w:sz w:val="23"/>
                <w:szCs w:val="23"/>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(21)</w:t>
            </w:r>
          </w:p>
        </w:tc>
        <w:tc>
          <w:tcPr>
            <w:tcW w:w="24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83"/>
        </w:trPr>
        <w:tc>
          <w:tcPr>
            <w:tcW w:w="5040" w:type="dxa"/>
            <w:vAlign w:val="bottom"/>
          </w:tcPr>
          <w:p>
            <w:pPr>
              <w:ind w:left="180"/>
              <w:spacing w:after="0"/>
              <w:rPr>
                <w:sz w:val="20"/>
                <w:szCs w:val="20"/>
                <w:color w:val="auto"/>
              </w:rPr>
            </w:pPr>
            <w:r>
              <w:rPr>
                <w:rFonts w:ascii="Arial" w:cs="Arial" w:eastAsia="Arial" w:hAnsi="Arial"/>
                <w:sz w:val="16"/>
                <w:szCs w:val="16"/>
                <w:color w:val="auto"/>
              </w:rPr>
              <w:t>Amortization of net actuarial gain included in net income</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(548)</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147</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(401)</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(1,367)</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369</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(1,895)</w:t>
            </w: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511</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(1,384)</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(1,291)</w:t>
            </w: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348</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51"/>
        </w:trPr>
        <w:tc>
          <w:tcPr>
            <w:tcW w:w="5040" w:type="dxa"/>
            <w:vAlign w:val="bottom"/>
          </w:tcPr>
          <w:p>
            <w:pPr>
              <w:ind w:left="40"/>
              <w:spacing w:after="0"/>
              <w:rPr>
                <w:sz w:val="20"/>
                <w:szCs w:val="20"/>
                <w:color w:val="auto"/>
              </w:rPr>
            </w:pPr>
            <w:r>
              <w:rPr>
                <w:rFonts w:ascii="Arial" w:cs="Arial" w:eastAsia="Arial" w:hAnsi="Arial"/>
                <w:sz w:val="16"/>
                <w:szCs w:val="16"/>
                <w:color w:val="auto"/>
              </w:rPr>
              <w:t>Cash flow hedges: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040" w:type="dxa"/>
            <w:vAlign w:val="bottom"/>
          </w:tcPr>
          <w:p>
            <w:pPr>
              <w:ind w:left="180"/>
              <w:spacing w:after="0"/>
              <w:rPr>
                <w:sz w:val="20"/>
                <w:szCs w:val="20"/>
                <w:color w:val="auto"/>
              </w:rPr>
            </w:pPr>
            <w:r>
              <w:rPr>
                <w:rFonts w:ascii="Arial" w:cs="Arial" w:eastAsia="Arial" w:hAnsi="Arial"/>
                <w:sz w:val="16"/>
                <w:szCs w:val="16"/>
                <w:color w:val="auto"/>
              </w:rPr>
              <w:t>(Loss) gain for the period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(467)</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108</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(359)</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236</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67"/>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7,671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619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8,290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10,509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303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10,812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19"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63"/>
              <w:spacing w:after="0"/>
              <w:rPr>
                <w:sz w:val="20"/>
                <w:szCs w:val="20"/>
                <w:color w:val="auto"/>
              </w:rPr>
            </w:pPr>
            <w:r>
              <w:rPr>
                <w:rFonts w:ascii="Arial" w:cs="Arial" w:eastAsia="Arial" w:hAnsi="Arial"/>
                <w:sz w:val="14"/>
                <w:szCs w:val="14"/>
                <w:b w:val="1"/>
                <w:bCs w:val="1"/>
                <w:color w:val="auto"/>
              </w:rPr>
              <w:t>Cumulative</w:t>
            </w:r>
          </w:p>
        </w:tc>
        <w:tc>
          <w:tcPr>
            <w:tcW w:w="260" w:type="dxa"/>
            <w:vAlign w:val="bottom"/>
          </w:tcPr>
          <w:p>
            <w:pPr>
              <w:spacing w:after="0"/>
              <w:rPr>
                <w:sz w:val="14"/>
                <w:szCs w:val="14"/>
                <w:color w:val="auto"/>
              </w:rPr>
            </w:pPr>
          </w:p>
        </w:tc>
        <w:tc>
          <w:tcPr>
            <w:tcW w:w="1440" w:type="dxa"/>
            <w:vAlign w:val="bottom"/>
          </w:tcPr>
          <w:p>
            <w:pPr>
              <w:jc w:val="center"/>
              <w:ind w:right="143"/>
              <w:spacing w:after="0"/>
              <w:rPr>
                <w:sz w:val="20"/>
                <w:szCs w:val="20"/>
                <w:color w:val="auto"/>
              </w:rPr>
            </w:pPr>
            <w:r>
              <w:rPr>
                <w:rFonts w:ascii="Arial" w:cs="Arial" w:eastAsia="Arial" w:hAnsi="Arial"/>
                <w:sz w:val="14"/>
                <w:szCs w:val="14"/>
                <w:b w:val="1"/>
                <w:bCs w:val="1"/>
                <w:color w:val="auto"/>
              </w:rPr>
              <w:t>Unrealized Gain</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2"/>
        </w:trPr>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63"/>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14"/>
                <w:szCs w:val="14"/>
                <w:color w:val="auto"/>
              </w:rPr>
            </w:pPr>
          </w:p>
        </w:tc>
        <w:tc>
          <w:tcPr>
            <w:tcW w:w="1440" w:type="dxa"/>
            <w:vAlign w:val="bottom"/>
          </w:tcPr>
          <w:p>
            <w:pPr>
              <w:jc w:val="center"/>
              <w:ind w:right="143"/>
              <w:spacing w:after="0"/>
              <w:rPr>
                <w:sz w:val="20"/>
                <w:szCs w:val="20"/>
                <w:color w:val="auto"/>
              </w:rPr>
            </w:pPr>
            <w:r>
              <w:rPr>
                <w:rFonts w:ascii="Arial" w:cs="Arial" w:eastAsia="Arial" w:hAnsi="Arial"/>
                <w:sz w:val="14"/>
                <w:szCs w:val="14"/>
                <w:b w:val="1"/>
                <w:bCs w:val="1"/>
                <w:color w:val="auto"/>
              </w:rPr>
              <w:t>on Pensions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center"/>
              <w:ind w:right="103"/>
              <w:spacing w:after="0"/>
              <w:rPr>
                <w:sz w:val="20"/>
                <w:szCs w:val="20"/>
                <w:color w:val="auto"/>
              </w:rPr>
            </w:pPr>
            <w:r>
              <w:rPr>
                <w:rFonts w:ascii="Arial" w:cs="Arial" w:eastAsia="Arial" w:hAnsi="Arial"/>
                <w:sz w:val="14"/>
                <w:szCs w:val="14"/>
                <w:b w:val="1"/>
                <w:bCs w:val="1"/>
                <w:color w:val="auto"/>
              </w:rPr>
              <w:t>Accumulated</w:t>
            </w:r>
          </w:p>
        </w:tc>
      </w:tr>
      <w:tr>
        <w:trPr>
          <w:trHeight w:val="162"/>
        </w:trPr>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63"/>
              <w:spacing w:after="0"/>
              <w:rPr>
                <w:sz w:val="20"/>
                <w:szCs w:val="20"/>
                <w:color w:val="auto"/>
              </w:rPr>
            </w:pPr>
            <w:r>
              <w:rPr>
                <w:rFonts w:ascii="Arial" w:cs="Arial" w:eastAsia="Arial" w:hAnsi="Arial"/>
                <w:sz w:val="14"/>
                <w:szCs w:val="14"/>
                <w:b w:val="1"/>
                <w:bCs w:val="1"/>
                <w:color w:val="auto"/>
              </w:rPr>
              <w:t>Currency</w:t>
            </w:r>
          </w:p>
        </w:tc>
        <w:tc>
          <w:tcPr>
            <w:tcW w:w="260" w:type="dxa"/>
            <w:vAlign w:val="bottom"/>
          </w:tcPr>
          <w:p>
            <w:pPr>
              <w:spacing w:after="0"/>
              <w:rPr>
                <w:sz w:val="14"/>
                <w:szCs w:val="14"/>
                <w:color w:val="auto"/>
              </w:rPr>
            </w:pPr>
          </w:p>
        </w:tc>
        <w:tc>
          <w:tcPr>
            <w:tcW w:w="1440" w:type="dxa"/>
            <w:vAlign w:val="bottom"/>
          </w:tcPr>
          <w:p>
            <w:pPr>
              <w:jc w:val="center"/>
              <w:ind w:right="163"/>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center"/>
              <w:ind w:right="103"/>
              <w:spacing w:after="0"/>
              <w:rPr>
                <w:sz w:val="20"/>
                <w:szCs w:val="20"/>
                <w:color w:val="auto"/>
              </w:rPr>
            </w:pPr>
            <w:r>
              <w:rPr>
                <w:rFonts w:ascii="Arial" w:cs="Arial" w:eastAsia="Arial" w:hAnsi="Arial"/>
                <w:sz w:val="14"/>
                <w:szCs w:val="14"/>
                <w:b w:val="1"/>
                <w:bCs w:val="1"/>
                <w:color w:val="auto"/>
              </w:rPr>
              <w:t>Other</w:t>
            </w:r>
          </w:p>
        </w:tc>
      </w:tr>
      <w:tr>
        <w:trPr>
          <w:trHeight w:val="162"/>
        </w:trPr>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63"/>
              <w:spacing w:after="0"/>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4"/>
                <w:szCs w:val="14"/>
                <w:color w:val="auto"/>
              </w:rPr>
            </w:pPr>
          </w:p>
        </w:tc>
        <w:tc>
          <w:tcPr>
            <w:tcW w:w="1440" w:type="dxa"/>
            <w:vAlign w:val="bottom"/>
          </w:tcPr>
          <w:p>
            <w:pPr>
              <w:jc w:val="center"/>
              <w:ind w:right="143"/>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940" w:type="dxa"/>
            <w:vAlign w:val="bottom"/>
          </w:tcPr>
          <w:p>
            <w:pPr>
              <w:jc w:val="right"/>
              <w:ind w:right="122"/>
              <w:spacing w:after="0"/>
              <w:rPr>
                <w:sz w:val="20"/>
                <w:szCs w:val="20"/>
                <w:color w:val="auto"/>
              </w:rPr>
            </w:pPr>
            <w:r>
              <w:rPr>
                <w:rFonts w:ascii="Arial" w:cs="Arial" w:eastAsia="Arial" w:hAnsi="Arial"/>
                <w:sz w:val="14"/>
                <w:szCs w:val="14"/>
                <w:b w:val="1"/>
                <w:bCs w:val="1"/>
                <w:color w:val="auto"/>
              </w:rPr>
              <w:t>Cash Flow</w:t>
            </w:r>
          </w:p>
        </w:tc>
        <w:tc>
          <w:tcPr>
            <w:tcW w:w="260" w:type="dxa"/>
            <w:vAlign w:val="bottom"/>
          </w:tcPr>
          <w:p>
            <w:pPr>
              <w:spacing w:after="0"/>
              <w:rPr>
                <w:sz w:val="14"/>
                <w:szCs w:val="14"/>
                <w:color w:val="auto"/>
              </w:rPr>
            </w:pPr>
          </w:p>
        </w:tc>
        <w:tc>
          <w:tcPr>
            <w:tcW w:w="1400" w:type="dxa"/>
            <w:vAlign w:val="bottom"/>
          </w:tcPr>
          <w:p>
            <w:pPr>
              <w:jc w:val="center"/>
              <w:ind w:right="123"/>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Plans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Hedges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Income</w:t>
            </w:r>
          </w:p>
        </w:tc>
      </w:tr>
      <w:tr>
        <w:trPr>
          <w:trHeight w:val="250"/>
        </w:trPr>
        <w:tc>
          <w:tcPr>
            <w:tcW w:w="5500" w:type="dxa"/>
            <w:vAlign w:val="bottom"/>
          </w:tcPr>
          <w:p>
            <w:pPr>
              <w:ind w:left="40"/>
              <w:spacing w:after="0"/>
              <w:rPr>
                <w:sz w:val="20"/>
                <w:szCs w:val="20"/>
                <w:color w:val="auto"/>
              </w:rPr>
            </w:pPr>
            <w:r>
              <w:rPr>
                <w:rFonts w:ascii="Arial" w:cs="Arial" w:eastAsia="Arial" w:hAnsi="Arial"/>
                <w:sz w:val="16"/>
                <w:szCs w:val="16"/>
                <w:color w:val="auto"/>
              </w:rPr>
              <w:t>Balance as of December 31, 2018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(29,270)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63"/>
              <w:spacing w:after="0"/>
              <w:rPr>
                <w:sz w:val="20"/>
                <w:szCs w:val="20"/>
                <w:color w:val="auto"/>
              </w:rPr>
            </w:pPr>
            <w:r>
              <w:rPr>
                <w:rFonts w:ascii="Arial" w:cs="Arial" w:eastAsia="Arial" w:hAnsi="Arial"/>
                <w:sz w:val="16"/>
                <w:szCs w:val="16"/>
                <w:color w:val="auto"/>
              </w:rPr>
              <w:t>232,836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263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3"/>
              <w:spacing w:after="0"/>
              <w:rPr>
                <w:sz w:val="20"/>
                <w:szCs w:val="20"/>
                <w:color w:val="auto"/>
              </w:rPr>
            </w:pPr>
            <w:r>
              <w:rPr>
                <w:rFonts w:ascii="Arial" w:cs="Arial" w:eastAsia="Arial" w:hAnsi="Arial"/>
                <w:sz w:val="16"/>
                <w:szCs w:val="16"/>
                <w:color w:val="auto"/>
              </w:rPr>
              <w:t>203,829</w:t>
            </w:r>
          </w:p>
        </w:tc>
      </w:tr>
      <w:tr>
        <w:trPr>
          <w:trHeight w:val="270"/>
        </w:trPr>
        <w:tc>
          <w:tcPr>
            <w:tcW w:w="550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income (loss) before reclassifications</w:t>
            </w:r>
          </w:p>
        </w:tc>
        <w:tc>
          <w:tcPr>
            <w:tcW w:w="200" w:type="dxa"/>
            <w:vAlign w:val="bottom"/>
          </w:tcPr>
          <w:p>
            <w:pPr>
              <w:spacing w:after="0"/>
              <w:rPr>
                <w:sz w:val="23"/>
                <w:szCs w:val="23"/>
                <w:color w:val="auto"/>
              </w:rPr>
            </w:pPr>
          </w:p>
        </w:tc>
        <w:tc>
          <w:tcPr>
            <w:tcW w:w="1220" w:type="dxa"/>
            <w:vAlign w:val="bottom"/>
          </w:tcPr>
          <w:p>
            <w:pPr>
              <w:jc w:val="right"/>
              <w:ind w:right="63"/>
              <w:spacing w:after="0"/>
              <w:rPr>
                <w:sz w:val="20"/>
                <w:szCs w:val="20"/>
                <w:color w:val="auto"/>
              </w:rPr>
            </w:pPr>
            <w:r>
              <w:rPr>
                <w:rFonts w:ascii="Arial" w:cs="Arial" w:eastAsia="Arial" w:hAnsi="Arial"/>
                <w:sz w:val="16"/>
                <w:szCs w:val="16"/>
                <w:b w:val="1"/>
                <w:bCs w:val="1"/>
                <w:color w:val="auto"/>
              </w:rPr>
              <w:t>10,033</w:t>
            </w:r>
          </w:p>
        </w:tc>
        <w:tc>
          <w:tcPr>
            <w:tcW w:w="260" w:type="dxa"/>
            <w:vAlign w:val="bottom"/>
          </w:tcPr>
          <w:p>
            <w:pPr>
              <w:spacing w:after="0"/>
              <w:rPr>
                <w:sz w:val="23"/>
                <w:szCs w:val="23"/>
                <w:color w:val="auto"/>
              </w:rPr>
            </w:pPr>
          </w:p>
        </w:tc>
        <w:tc>
          <w:tcPr>
            <w:tcW w:w="1440" w:type="dxa"/>
            <w:vAlign w:val="bottom"/>
          </w:tcPr>
          <w:p>
            <w:pPr>
              <w:jc w:val="right"/>
              <w:ind w:right="63"/>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(305)</w:t>
            </w:r>
          </w:p>
        </w:tc>
        <w:tc>
          <w:tcPr>
            <w:tcW w:w="260" w:type="dxa"/>
            <w:vAlign w:val="bottom"/>
          </w:tcPr>
          <w:p>
            <w:pPr>
              <w:spacing w:after="0"/>
              <w:rPr>
                <w:sz w:val="23"/>
                <w:szCs w:val="23"/>
                <w:color w:val="auto"/>
              </w:rPr>
            </w:pPr>
          </w:p>
        </w:tc>
        <w:tc>
          <w:tcPr>
            <w:tcW w:w="1400" w:type="dxa"/>
            <w:vAlign w:val="bottom"/>
          </w:tcPr>
          <w:p>
            <w:pPr>
              <w:jc w:val="right"/>
              <w:ind w:right="23"/>
              <w:spacing w:after="0"/>
              <w:rPr>
                <w:sz w:val="20"/>
                <w:szCs w:val="20"/>
                <w:color w:val="auto"/>
              </w:rPr>
            </w:pPr>
            <w:r>
              <w:rPr>
                <w:rFonts w:ascii="Arial" w:cs="Arial" w:eastAsia="Arial" w:hAnsi="Arial"/>
                <w:sz w:val="16"/>
                <w:szCs w:val="16"/>
                <w:b w:val="1"/>
                <w:bCs w:val="1"/>
                <w:color w:val="auto"/>
              </w:rPr>
              <w:t>9,728</w:t>
            </w:r>
          </w:p>
        </w:tc>
      </w:tr>
      <w:tr>
        <w:trPr>
          <w:trHeight w:val="218"/>
        </w:trPr>
        <w:tc>
          <w:tcPr>
            <w:tcW w:w="5500" w:type="dxa"/>
            <w:vAlign w:val="bottom"/>
          </w:tcPr>
          <w:p>
            <w:pPr>
              <w:ind w:left="180"/>
              <w:spacing w:after="0"/>
              <w:rPr>
                <w:sz w:val="20"/>
                <w:szCs w:val="20"/>
                <w:color w:val="auto"/>
              </w:rPr>
            </w:pPr>
            <w:r>
              <w:rPr>
                <w:rFonts w:ascii="Arial" w:cs="Arial" w:eastAsia="Arial" w:hAnsi="Arial"/>
                <w:sz w:val="16"/>
                <w:szCs w:val="16"/>
                <w:b w:val="1"/>
                <w:bCs w:val="1"/>
                <w:color w:val="auto"/>
              </w:rPr>
              <w:t>Net amount reclassified from accumulated other comprehensive</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8"/>
        </w:trPr>
        <w:tc>
          <w:tcPr>
            <w:tcW w:w="5500" w:type="dxa"/>
            <w:vAlign w:val="bottom"/>
          </w:tcPr>
          <w:p>
            <w:pPr>
              <w:ind w:left="260"/>
              <w:spacing w:after="0"/>
              <w:rPr>
                <w:sz w:val="20"/>
                <w:szCs w:val="20"/>
                <w:color w:val="auto"/>
              </w:rPr>
            </w:pPr>
            <w:r>
              <w:rPr>
                <w:rFonts w:ascii="Arial" w:cs="Arial" w:eastAsia="Arial" w:hAnsi="Arial"/>
                <w:sz w:val="16"/>
                <w:szCs w:val="16"/>
                <w:b w:val="1"/>
                <w:bCs w:val="1"/>
                <w:color w:val="auto"/>
              </w:rPr>
              <w:t>income (loss)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(1,384)</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(54)</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(1,438)</w:t>
            </w:r>
          </w:p>
        </w:tc>
      </w:tr>
      <w:tr>
        <w:trPr>
          <w:trHeight w:val="264"/>
        </w:trPr>
        <w:tc>
          <w:tcPr>
            <w:tcW w:w="550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income (loss), net of tax</w:t>
            </w: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10,033</w:t>
            </w: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(1,384)</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(359)</w:t>
            </w: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8,290</w:t>
            </w:r>
          </w:p>
        </w:tc>
      </w:tr>
      <w:tr>
        <w:trPr>
          <w:trHeight w:val="267"/>
        </w:trPr>
        <w:tc>
          <w:tcPr>
            <w:tcW w:w="5500" w:type="dxa"/>
            <w:vAlign w:val="bottom"/>
          </w:tcPr>
          <w:p>
            <w:pPr>
              <w:ind w:left="40"/>
              <w:spacing w:after="0"/>
              <w:rPr>
                <w:sz w:val="20"/>
                <w:szCs w:val="20"/>
                <w:color w:val="auto"/>
              </w:rPr>
            </w:pPr>
            <w:r>
              <w:rPr>
                <w:rFonts w:ascii="Arial" w:cs="Arial" w:eastAsia="Arial" w:hAnsi="Arial"/>
                <w:sz w:val="16"/>
                <w:szCs w:val="16"/>
                <w:b w:val="1"/>
                <w:bCs w:val="1"/>
                <w:color w:val="auto"/>
              </w:rPr>
              <w:t>Balance as of March 31, 2019</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(19,237)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231,452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(96)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212,119</w:t>
            </w:r>
          </w:p>
        </w:tc>
      </w:tr>
      <w:tr>
        <w:trPr>
          <w:trHeight w:val="20"/>
        </w:trPr>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180" w:type="dxa"/>
            <w:vAlign w:val="bottom"/>
            <w:gridSpan w:val="2"/>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March 31</w:t>
            </w:r>
          </w:p>
        </w:tc>
        <w:tc>
          <w:tcPr>
            <w:tcW w:w="342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67"/>
        </w:trPr>
        <w:tc>
          <w:tcPr>
            <w:tcW w:w="5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7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2019</w:t>
            </w:r>
          </w:p>
        </w:tc>
        <w:tc>
          <w:tcPr>
            <w:tcW w:w="1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2018</w:t>
            </w:r>
          </w:p>
        </w:tc>
        <w:tc>
          <w:tcPr>
            <w:tcW w:w="34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Consolidated Statements of Operations</w:t>
            </w:r>
          </w:p>
        </w:tc>
        <w:tc>
          <w:tcPr>
            <w:tcW w:w="0" w:type="dxa"/>
            <w:vAlign w:val="bottom"/>
          </w:tcPr>
          <w:p>
            <w:pPr>
              <w:spacing w:after="0"/>
              <w:rPr>
                <w:sz w:val="1"/>
                <w:szCs w:val="1"/>
                <w:color w:val="auto"/>
              </w:rPr>
            </w:pPr>
          </w:p>
        </w:tc>
      </w:tr>
    </w:tbl>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Pension and Other Postretirement Plans:</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6"/>
                <w:szCs w:val="16"/>
                <w:color w:val="auto"/>
              </w:rPr>
              <w:t>Amortization of net prior service (credit)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(1,347)</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186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83"/>
        </w:trPr>
        <w:tc>
          <w:tcPr>
            <w:tcW w:w="5820" w:type="dxa"/>
            <w:vAlign w:val="bottom"/>
          </w:tcPr>
          <w:p>
            <w:pPr>
              <w:ind w:left="180"/>
              <w:spacing w:after="0"/>
              <w:rPr>
                <w:sz w:val="20"/>
                <w:szCs w:val="20"/>
                <w:color w:val="auto"/>
              </w:rPr>
            </w:pPr>
            <w:r>
              <w:rPr>
                <w:rFonts w:ascii="Arial" w:cs="Arial" w:eastAsia="Arial" w:hAnsi="Arial"/>
                <w:sz w:val="16"/>
                <w:szCs w:val="16"/>
                <w:color w:val="auto"/>
              </w:rPr>
              <w:t>Amortization of net actuarial gain</w:t>
            </w: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(548)</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w:t>
            </w:r>
          </w:p>
        </w:tc>
        <w:tc>
          <w:tcPr>
            <w:tcW w:w="186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8"/>
        </w:trPr>
        <w:tc>
          <w:tcPr>
            <w:tcW w:w="5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(1,895)</w:t>
            </w: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(1,291)</w:t>
            </w:r>
          </w:p>
        </w:tc>
        <w:tc>
          <w:tcPr>
            <w:tcW w:w="1860" w:type="dxa"/>
            <w:vAlign w:val="bottom"/>
          </w:tcPr>
          <w:p>
            <w:pPr>
              <w:ind w:left="14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76"/>
        </w:trPr>
        <w:tc>
          <w:tcPr>
            <w:tcW w:w="5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511</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348</w:t>
            </w:r>
          </w:p>
        </w:tc>
        <w:tc>
          <w:tcPr>
            <w:tcW w:w="186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63"/>
        </w:trPr>
        <w:tc>
          <w:tcPr>
            <w:tcW w:w="5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(1,384)</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w:t>
            </w:r>
          </w:p>
        </w:tc>
        <w:tc>
          <w:tcPr>
            <w:tcW w:w="186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51"/>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Cash Flow Hedges</w:t>
            </w: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5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36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86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76"/>
        </w:trPr>
        <w:tc>
          <w:tcPr>
            <w:tcW w:w="5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15</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6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86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Total reclassification for the period</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(1,438)</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w:t>
            </w:r>
          </w:p>
        </w:tc>
        <w:tc>
          <w:tcPr>
            <w:tcW w:w="186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20" w:right="120" w:hanging="412"/>
        <w:spacing w:after="0" w:line="239" w:lineRule="auto"/>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components of net periodic pension and postretirement plan cost (see Note 12) and are included in non-operating pension and postretirement benefit income in the Company’s Condensed Consolidated Statements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w:t>
      </w:r>
    </w:p>
    <w:p>
      <w:pPr>
        <w:spacing w:after="0" w:line="144" w:lineRule="exact"/>
        <w:rPr>
          <w:sz w:val="20"/>
          <w:szCs w:val="20"/>
          <w:color w:val="auto"/>
        </w:rPr>
      </w:pPr>
    </w:p>
    <w:p>
      <w:pPr>
        <w:ind w:right="240"/>
        <w:spacing w:after="0" w:line="225"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 negligence, libel, defamation, invasion of privacy; trademark, copyright and patent infringement; U.S. False Claims Act (False Claims Act) violations; violations of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However, based on currently available information, management believes it is reasonably possible that future losses from existing and threatened legal, regulatory and other proceedings in excess of the amounts recorded could reach approximately $45 million.</w:t>
      </w:r>
    </w:p>
    <w:p>
      <w:pPr>
        <w:spacing w:after="0" w:line="139"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 xml:space="preserve">During 2014, certain Kaplan subsidiaries were subject to unsealed cases filed by former employees that include, among other allegations, claims under the False Claims Act relating to eligibility for Title IV funding. The U.S. government declined to intervene in all cases, and, as previously reported, court decisions either dismissed the cases in their entirety or narrowed the scope of their allegations. The remaining case is captioned </w:t>
      </w:r>
      <w:r>
        <w:rPr>
          <w:rFonts w:ascii="Arial" w:cs="Arial" w:eastAsia="Arial" w:hAnsi="Arial"/>
          <w:sz w:val="18"/>
          <w:szCs w:val="18"/>
          <w:i w:val="1"/>
          <w:iCs w:val="1"/>
          <w:color w:val="auto"/>
        </w:rPr>
        <w:t>United States of America</w:t>
      </w:r>
      <w:r>
        <w:rPr>
          <w:rFonts w:ascii="Arial" w:cs="Arial" w:eastAsia="Arial" w:hAnsi="Arial"/>
          <w:sz w:val="18"/>
          <w:szCs w:val="18"/>
          <w:color w:val="auto"/>
        </w:rPr>
        <w:t xml:space="preserve"> ex rel. </w:t>
      </w:r>
      <w:r>
        <w:rPr>
          <w:rFonts w:ascii="Arial" w:cs="Arial" w:eastAsia="Arial" w:hAnsi="Arial"/>
          <w:sz w:val="18"/>
          <w:szCs w:val="18"/>
          <w:i w:val="1"/>
          <w:iCs w:val="1"/>
          <w:color w:val="auto"/>
        </w:rPr>
        <w:t>Carlos Urquilla-Diaz</w:t>
      </w:r>
      <w:r>
        <w:rPr>
          <w:rFonts w:ascii="Arial" w:cs="Arial" w:eastAsia="Arial" w:hAnsi="Arial"/>
          <w:sz w:val="18"/>
          <w:szCs w:val="18"/>
          <w:color w:val="auto"/>
        </w:rPr>
        <w:t xml:space="preserve"> et al. v. </w:t>
      </w:r>
      <w:r>
        <w:rPr>
          <w:rFonts w:ascii="Arial" w:cs="Arial" w:eastAsia="Arial" w:hAnsi="Arial"/>
          <w:sz w:val="18"/>
          <w:szCs w:val="18"/>
          <w:i w:val="1"/>
          <w:iCs w:val="1"/>
          <w:color w:val="auto"/>
        </w:rPr>
        <w:t>Kaplan University</w:t>
      </w:r>
      <w:r>
        <w:rPr>
          <w:rFonts w:ascii="Arial" w:cs="Arial" w:eastAsia="Arial" w:hAnsi="Arial"/>
          <w:sz w:val="18"/>
          <w:szCs w:val="18"/>
          <w:color w:val="auto"/>
        </w:rPr>
        <w:t xml:space="preserve"> et al. (unsealed March 25, 2008). On August 17, 2011, the U.S. District Court for the Southern District of Florida issued a series of rulings in the Diaz case, which included three separate complaints: Diaz, Wilcox and Gillespie. The court dismissed the Wilcox complaint in its entirety; dismissed all False Claims Act allegations in the Diaz complaint, leaving only an individual employment claim; and dismissed in part the Gillespie complaint, thereby limiting the scope and time frame of its False Claims Act allegations regarding compliance with the U.S. Federal Rehabilitation Act. On October 31, 2012, the court entered summary judgment in favor of the Company as to the sole remaining employment claim in the Diaz complaint. On July 16, 2013, the court likewise entered summary judgment in favor of the Company on all remaining claims in the Gillespie complaint. Diaz and Gillespie each appealed to the U.S. Court of Appeals for the Eleventh Judicial Circuit. Arguments on both appeals were heard on February 3, 2015. On March 11, 2015, the appellate court issued a decision affirming the lower court’s dismissal of all of Gillespie’s claims. The appellate court</w:t>
      </w:r>
    </w:p>
    <w:p>
      <w:pPr>
        <w:sectPr>
          <w:pgSz w:w="11900" w:h="16838" w:orient="portrait"/>
          <w:cols w:equalWidth="0" w:num="1">
            <w:col w:w="11420"/>
          </w:cols>
          <w:pgMar w:left="240" w:top="719" w:right="2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719" w:right="239" w:bottom="1440" w:gutter="0" w:footer="0" w:header="0"/>
          <w:type w:val="continuous"/>
        </w:sectPr>
      </w:pPr>
    </w:p>
    <w:bookmarkStart w:id="23" w:name="page24"/>
    <w:bookmarkEnd w:id="23"/>
    <w:p>
      <w:pPr>
        <w:ind w:right="40"/>
        <w:spacing w:after="0" w:line="223" w:lineRule="auto"/>
        <w:rPr>
          <w:sz w:val="20"/>
          <w:szCs w:val="20"/>
          <w:color w:val="auto"/>
        </w:rPr>
      </w:pPr>
      <w:r>
        <w:rPr>
          <w:rFonts w:ascii="Arial" w:cs="Arial" w:eastAsia="Arial" w:hAnsi="Arial"/>
          <w:sz w:val="18"/>
          <w:szCs w:val="18"/>
          <w:color w:val="auto"/>
        </w:rPr>
        <w:t>also dismissed three of the four Diaz claims, but reversed and remanded on Diaz’s claim that incentive compensation for admissions representatives was improperly based solely on enrollment counts. Kaplan filed an answer to Diaz’s amended complaint on September 11, 2015. Kaplan filed a motion to dismiss Diaz’s claims, and a hearing was held on December 17, 2015. On March 24, 2016, the Court denied the motion to dismiss. Discovery in the case closed in January 2017. Kaplan filed a motion for summary judgment on February 21, 2017. Summary judgment was granted in full and entered on July 13, 2017. Diaz filed a notice of appeal in September 2017 and filed his initial brief. Kaplan filed a response brief in the third quarter of 2018. In April 2019, the Circuit Court of Appeals affirmed the District Court’s summary judgment in full.</w:t>
      </w:r>
    </w:p>
    <w:p>
      <w:pPr>
        <w:spacing w:after="0" w:line="13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222222"/>
        </w:rPr>
        <w:t xml:space="preserve">On September 3, 2015, Kaplan sold to ECA substantially all of the assets of KHE nationally accredited on-ground Title IV eligible schools (KHE Campuses). The transaction included the transfer of certain real estate leases that were guaranteed by Kaplan. As part of the transaction, Kaplan retained liability for, among other things, obligations arising under certain lease guarantees. </w:t>
      </w:r>
      <w:r>
        <w:rPr>
          <w:rFonts w:ascii="Arial" w:cs="Arial" w:eastAsia="Arial" w:hAnsi="Arial"/>
          <w:sz w:val="17"/>
          <w:szCs w:val="17"/>
          <w:color w:val="000000"/>
        </w:rPr>
        <w:t>ECA is currently in receivership and has</w:t>
      </w:r>
      <w:r>
        <w:rPr>
          <w:rFonts w:ascii="Arial" w:cs="Arial" w:eastAsia="Arial" w:hAnsi="Arial"/>
          <w:sz w:val="17"/>
          <w:szCs w:val="17"/>
          <w:color w:val="222222"/>
        </w:rPr>
        <w:t xml:space="preserve"> </w:t>
      </w:r>
      <w:r>
        <w:rPr>
          <w:rFonts w:ascii="Arial" w:cs="Arial" w:eastAsia="Arial" w:hAnsi="Arial"/>
          <w:sz w:val="17"/>
          <w:szCs w:val="17"/>
          <w:color w:val="000000"/>
        </w:rPr>
        <w:t>terminated all of its higher education operations other than the New England College of Business (NECB). The receiver has repudiated all of ECA’s real estate leases not connected to NECB. Although ECA is required to indemnify Kaplan for any amounts Kaplan must pay due to ECA’s failure to fulfill its obligations under real estate leases guaranteed by Kaplan, ECA’s financial situation and the existence of secured and unsecured creditors make it unlikely that Kaplan will recover from ECA. In the second half of 2018, the Company recorded an estimated $17.5 million in losses on guarantor lease obligations in connection with this transaction in other non-operating expense. The Company continues to monitor the status of these obligations and there was no significant change to estimated losses in the first quarter of 2019.</w:t>
      </w:r>
    </w:p>
    <w:p>
      <w:pPr>
        <w:spacing w:after="0" w:line="141"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 xml:space="preserve">Her Majesty’s Revenue and Customs (HMRC), a department of the U.K. government responsible for the collection of taxes, has raised assessments against the Kaplan U.K. Pathways business for Value Added Tax (VAT) relating to 2017 and earlier years, which have been paid by Kaplan. In September 2017, in a case captioned </w:t>
      </w:r>
      <w:r>
        <w:rPr>
          <w:rFonts w:ascii="Arial" w:cs="Arial" w:eastAsia="Arial" w:hAnsi="Arial"/>
          <w:sz w:val="18"/>
          <w:szCs w:val="18"/>
          <w:i w:val="1"/>
          <w:iCs w:val="1"/>
          <w:color w:val="auto"/>
        </w:rPr>
        <w:t>Kaplan International Colleges UK Limited</w:t>
      </w:r>
      <w:r>
        <w:rPr>
          <w:rFonts w:ascii="Arial" w:cs="Arial" w:eastAsia="Arial" w:hAnsi="Arial"/>
          <w:sz w:val="18"/>
          <w:szCs w:val="18"/>
          <w:color w:val="auto"/>
        </w:rPr>
        <w:t xml:space="preserve"> v. </w:t>
      </w:r>
      <w:r>
        <w:rPr>
          <w:rFonts w:ascii="Arial" w:cs="Arial" w:eastAsia="Arial" w:hAnsi="Arial"/>
          <w:sz w:val="18"/>
          <w:szCs w:val="18"/>
          <w:i w:val="1"/>
          <w:iCs w:val="1"/>
          <w:color w:val="auto"/>
        </w:rPr>
        <w:t>The Commissioners for Her Majesty’s Revenue</w:t>
      </w:r>
      <w:r>
        <w:rPr>
          <w:rFonts w:ascii="Arial" w:cs="Arial" w:eastAsia="Arial" w:hAnsi="Arial"/>
          <w:sz w:val="18"/>
          <w:szCs w:val="18"/>
          <w:color w:val="auto"/>
        </w:rPr>
        <w:t xml:space="preserve"> </w:t>
      </w:r>
      <w:r>
        <w:rPr>
          <w:rFonts w:ascii="Arial" w:cs="Arial" w:eastAsia="Arial" w:hAnsi="Arial"/>
          <w:sz w:val="18"/>
          <w:szCs w:val="18"/>
          <w:i w:val="1"/>
          <w:iCs w:val="1"/>
          <w:color w:val="auto"/>
        </w:rPr>
        <w:t>and Customs</w:t>
      </w:r>
      <w:r>
        <w:rPr>
          <w:rFonts w:ascii="Arial" w:cs="Arial" w:eastAsia="Arial" w:hAnsi="Arial"/>
          <w:sz w:val="18"/>
          <w:szCs w:val="18"/>
          <w:color w:val="auto"/>
        </w:rPr>
        <w:t>, Kaplan challenged these assessments. The Company believes it has met all requirements under U.K. VAT law and expects to</w:t>
      </w:r>
      <w:r>
        <w:rPr>
          <w:rFonts w:ascii="Arial" w:cs="Arial" w:eastAsia="Arial" w:hAnsi="Arial"/>
          <w:sz w:val="18"/>
          <w:szCs w:val="18"/>
          <w:i w:val="1"/>
          <w:iCs w:val="1"/>
          <w:color w:val="auto"/>
        </w:rPr>
        <w:t xml:space="preserve"> </w:t>
      </w:r>
      <w:r>
        <w:rPr>
          <w:rFonts w:ascii="Arial" w:cs="Arial" w:eastAsia="Arial" w:hAnsi="Arial"/>
          <w:sz w:val="18"/>
          <w:szCs w:val="18"/>
          <w:color w:val="auto"/>
        </w:rPr>
        <w:t>recover the £16.1 million receivable related to the assessments and subsequent payments that have been paid. Following a hearing held in January 2019, before the First Tier Tax Tribunal, all issues related to EU law in the case were referred to the Court of Justice of the European Union. If the Company does not prevail in this case, a pre-tax charge of £16.1 million will be recorded to operating expense in the Company’s condensed consolidated statement of operations.</w:t>
      </w:r>
    </w:p>
    <w:p>
      <w:pPr>
        <w:spacing w:after="0" w:line="136"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In March 2018, HMRC issued new VAT guidance indicating a change of policy in relation to certain aspects of a cost sharing exemption that could impact the U.K. Pathways business adversely if this guidance were to become law. As of March 31, 2019, this guidance had not been incorporated into U.K. law. If Kaplan is not successful in preserving a valid exemption under U.K. VAT law, the U.K. Pathways business would incur additional VAT expense in the future.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Department of Education (ED) Program Reviews. </w:t>
      </w:r>
      <w:r>
        <w:rPr>
          <w:rFonts w:ascii="Arial" w:cs="Arial" w:eastAsia="Arial" w:hAnsi="Arial"/>
          <w:sz w:val="18"/>
          <w:szCs w:val="18"/>
          <w:color w:val="auto"/>
        </w:rPr>
        <w:t>The ED has undertaken program reviews at various KHE locations.</w:t>
      </w:r>
    </w:p>
    <w:p>
      <w:pPr>
        <w:spacing w:after="0" w:line="16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On February 23, 2015, the ED began a program review assessing KU’s administration of its Title IV and Higher Education Act programs during the 2013-2014 and 2014-2015 award years. In 2018, Kaplan contributed the institutional assets and operations of KU to Purdue Global, and the university became Purdue Global, under the ownership and control of Purdue University. However, Kaplan retains liability for any financial obligations the ED might impose under this program review and that are the result of actions taken during the time that Kaplan owned the institution. On September 28, 2018, the ED issued a Preliminary Program Report (Preliminary Report). This Preliminary Report is not final, and the ED may change the findings in the final report. None of the initial findings in the Preliminary Report carries material financial liability. Although the program review technically covers only the 2013–2015 award years, the ED included a review of the treatment of student financial aid refunds for students who withdrew from a program prior to completion in 2017–2018. KHE cannot predict the outcome of this review, when it will be completed, whether any final findings of non-compliance with financial aid program or other requirements will impact KHE’s operations, or what liability or other limitations the ED might place on KHE or Purdue Global as a result of this review.</w:t>
      </w:r>
    </w:p>
    <w:p>
      <w:pPr>
        <w:spacing w:after="0" w:line="138"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There are also two open program reviews at campuses that were part of the KHE Campuses business prior to its sale in 2015 to ECA. The ED’s final reports on the program reviews at former KHE Broomall, PA, and Pittsburgh, PA, locations are pending. KHE retains responsibility for any financial obligations resulting from these program reviews.</w:t>
      </w:r>
    </w:p>
    <w:p>
      <w:pPr>
        <w:spacing w:after="0" w:line="13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Company does not expect the open program reviews to have a material impact on KHE; however, the results of open program reviews and their impact on Kaplan’s operations are uncertain.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19"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16. BUSINESS SEGMENTS</w:t>
      </w:r>
    </w:p>
    <w:p>
      <w:pPr>
        <w:spacing w:after="0" w:line="166"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The Company has six reportable segments: Kaplan International, Kaplan Higher Education, Kaplan Test Preparation, Kaplan Professional (U.S.), Television Broadcasting and Healthcare.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financial information related to each of the Company’s business segments: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2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6"/>
        </w:trPr>
        <w:tc>
          <w:tcPr>
            <w:tcW w:w="89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50"/>
        </w:trPr>
        <w:tc>
          <w:tcPr>
            <w:tcW w:w="89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9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372,454</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375,499</w:t>
            </w:r>
          </w:p>
        </w:tc>
        <w:tc>
          <w:tcPr>
            <w:tcW w:w="0" w:type="dxa"/>
            <w:vAlign w:val="bottom"/>
          </w:tcPr>
          <w:p>
            <w:pPr>
              <w:spacing w:after="0"/>
              <w:rPr>
                <w:sz w:val="1"/>
                <w:szCs w:val="1"/>
                <w:color w:val="auto"/>
              </w:rPr>
            </w:pPr>
          </w:p>
        </w:tc>
      </w:tr>
      <w:tr>
        <w:trPr>
          <w:trHeight w:val="270"/>
        </w:trPr>
        <w:tc>
          <w:tcPr>
            <w:tcW w:w="89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108,223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108,802</w:t>
            </w:r>
          </w:p>
        </w:tc>
        <w:tc>
          <w:tcPr>
            <w:tcW w:w="0" w:type="dxa"/>
            <w:vAlign w:val="bottom"/>
          </w:tcPr>
          <w:p>
            <w:pPr>
              <w:spacing w:after="0"/>
              <w:rPr>
                <w:sz w:val="1"/>
                <w:szCs w:val="1"/>
                <w:color w:val="auto"/>
              </w:rPr>
            </w:pPr>
          </w:p>
        </w:tc>
      </w:tr>
      <w:tr>
        <w:trPr>
          <w:trHeight w:val="270"/>
        </w:trPr>
        <w:tc>
          <w:tcPr>
            <w:tcW w:w="892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37,728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37,621</w:t>
            </w:r>
          </w:p>
        </w:tc>
        <w:tc>
          <w:tcPr>
            <w:tcW w:w="0" w:type="dxa"/>
            <w:vAlign w:val="bottom"/>
          </w:tcPr>
          <w:p>
            <w:pPr>
              <w:spacing w:after="0"/>
              <w:rPr>
                <w:sz w:val="1"/>
                <w:szCs w:val="1"/>
                <w:color w:val="auto"/>
              </w:rPr>
            </w:pPr>
          </w:p>
        </w:tc>
      </w:tr>
      <w:tr>
        <w:trPr>
          <w:trHeight w:val="270"/>
        </w:trPr>
        <w:tc>
          <w:tcPr>
            <w:tcW w:w="89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173,834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137,538</w:t>
            </w:r>
          </w:p>
        </w:tc>
        <w:tc>
          <w:tcPr>
            <w:tcW w:w="0" w:type="dxa"/>
            <w:vAlign w:val="bottom"/>
          </w:tcPr>
          <w:p>
            <w:pPr>
              <w:spacing w:after="0"/>
              <w:rPr>
                <w:sz w:val="1"/>
                <w:szCs w:val="1"/>
                <w:color w:val="auto"/>
              </w:rPr>
            </w:pPr>
          </w:p>
        </w:tc>
      </w:tr>
      <w:tr>
        <w:trPr>
          <w:trHeight w:val="270"/>
        </w:trPr>
        <w:tc>
          <w:tcPr>
            <w:tcW w:w="89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(40)</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64"/>
        </w:trPr>
        <w:tc>
          <w:tcPr>
            <w:tcW w:w="8920" w:type="dxa"/>
            <w:vAlign w:val="bottom"/>
          </w:tcPr>
          <w:p>
            <w:pPr>
              <w:spacing w:after="0"/>
              <w:rPr>
                <w:sz w:val="22"/>
                <w:szCs w:val="22"/>
                <w:color w:val="auto"/>
              </w:rPr>
            </w:pP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692,199</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659,436</w:t>
            </w:r>
          </w:p>
        </w:tc>
        <w:tc>
          <w:tcPr>
            <w:tcW w:w="0" w:type="dxa"/>
            <w:vAlign w:val="bottom"/>
          </w:tcPr>
          <w:p>
            <w:pPr>
              <w:spacing w:after="0"/>
              <w:rPr>
                <w:sz w:val="1"/>
                <w:szCs w:val="1"/>
                <w:color w:val="auto"/>
              </w:rPr>
            </w:pPr>
          </w:p>
        </w:tc>
      </w:tr>
      <w:tr>
        <w:trPr>
          <w:trHeight w:val="251"/>
        </w:trPr>
        <w:tc>
          <w:tcPr>
            <w:tcW w:w="892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9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25,595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22,700</w:t>
            </w:r>
          </w:p>
        </w:tc>
        <w:tc>
          <w:tcPr>
            <w:tcW w:w="0" w:type="dxa"/>
            <w:vAlign w:val="bottom"/>
          </w:tcPr>
          <w:p>
            <w:pPr>
              <w:spacing w:after="0"/>
              <w:rPr>
                <w:sz w:val="1"/>
                <w:szCs w:val="1"/>
                <w:color w:val="auto"/>
              </w:rPr>
            </w:pPr>
          </w:p>
        </w:tc>
      </w:tr>
      <w:tr>
        <w:trPr>
          <w:trHeight w:val="270"/>
        </w:trPr>
        <w:tc>
          <w:tcPr>
            <w:tcW w:w="89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35,540</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40,542</w:t>
            </w:r>
          </w:p>
        </w:tc>
        <w:tc>
          <w:tcPr>
            <w:tcW w:w="0" w:type="dxa"/>
            <w:vAlign w:val="bottom"/>
          </w:tcPr>
          <w:p>
            <w:pPr>
              <w:spacing w:after="0"/>
              <w:rPr>
                <w:sz w:val="1"/>
                <w:szCs w:val="1"/>
                <w:color w:val="auto"/>
              </w:rPr>
            </w:pPr>
          </w:p>
        </w:tc>
      </w:tr>
      <w:tr>
        <w:trPr>
          <w:trHeight w:val="270"/>
        </w:trPr>
        <w:tc>
          <w:tcPr>
            <w:tcW w:w="892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2,329</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70"/>
        </w:trPr>
        <w:tc>
          <w:tcPr>
            <w:tcW w:w="89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(9,237)</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(3,695)</w:t>
            </w:r>
          </w:p>
        </w:tc>
        <w:tc>
          <w:tcPr>
            <w:tcW w:w="0" w:type="dxa"/>
            <w:vAlign w:val="bottom"/>
          </w:tcPr>
          <w:p>
            <w:pPr>
              <w:spacing w:after="0"/>
              <w:rPr>
                <w:sz w:val="1"/>
                <w:szCs w:val="1"/>
                <w:color w:val="auto"/>
              </w:rPr>
            </w:pPr>
          </w:p>
        </w:tc>
      </w:tr>
      <w:tr>
        <w:trPr>
          <w:trHeight w:val="283"/>
        </w:trPr>
        <w:tc>
          <w:tcPr>
            <w:tcW w:w="89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(14,224)</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(13,942)</w:t>
            </w:r>
          </w:p>
        </w:tc>
        <w:tc>
          <w:tcPr>
            <w:tcW w:w="0" w:type="dxa"/>
            <w:vAlign w:val="bottom"/>
          </w:tcPr>
          <w:p>
            <w:pPr>
              <w:spacing w:after="0"/>
              <w:rPr>
                <w:sz w:val="1"/>
                <w:szCs w:val="1"/>
                <w:color w:val="auto"/>
              </w:rPr>
            </w:pPr>
          </w:p>
        </w:tc>
      </w:tr>
      <w:tr>
        <w:trPr>
          <w:trHeight w:val="264"/>
        </w:trPr>
        <w:tc>
          <w:tcPr>
            <w:tcW w:w="8920" w:type="dxa"/>
            <w:vAlign w:val="bottom"/>
          </w:tcPr>
          <w:p>
            <w:pPr>
              <w:spacing w:after="0"/>
              <w:rPr>
                <w:sz w:val="22"/>
                <w:szCs w:val="22"/>
                <w:color w:val="auto"/>
              </w:rPr>
            </w:pP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40,003</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44,214</w:t>
            </w:r>
          </w:p>
        </w:tc>
        <w:tc>
          <w:tcPr>
            <w:tcW w:w="0" w:type="dxa"/>
            <w:vAlign w:val="bottom"/>
          </w:tcPr>
          <w:p>
            <w:pPr>
              <w:spacing w:after="0"/>
              <w:rPr>
                <w:sz w:val="1"/>
                <w:szCs w:val="1"/>
                <w:color w:val="auto"/>
              </w:rPr>
            </w:pPr>
          </w:p>
        </w:tc>
      </w:tr>
      <w:tr>
        <w:trPr>
          <w:trHeight w:val="251"/>
        </w:trPr>
        <w:tc>
          <w:tcPr>
            <w:tcW w:w="8920" w:type="dxa"/>
            <w:vAlign w:val="bottom"/>
          </w:tcPr>
          <w:p>
            <w:pPr>
              <w:ind w:left="40"/>
              <w:spacing w:after="0"/>
              <w:rPr>
                <w:sz w:val="20"/>
                <w:szCs w:val="20"/>
                <w:color w:val="auto"/>
              </w:rPr>
            </w:pPr>
            <w:r>
              <w:rPr>
                <w:rFonts w:ascii="Arial" w:cs="Arial" w:eastAsia="Arial" w:hAnsi="Arial"/>
                <w:sz w:val="16"/>
                <w:szCs w:val="16"/>
                <w:b w:val="1"/>
                <w:bCs w:val="1"/>
                <w:color w:val="auto"/>
              </w:rPr>
              <w:t>Equity in Earnings of Affiliates, Net</w:t>
            </w:r>
          </w:p>
        </w:tc>
        <w:tc>
          <w:tcPr>
            <w:tcW w:w="38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1,679</w:t>
            </w:r>
          </w:p>
        </w:tc>
        <w:tc>
          <w:tcPr>
            <w:tcW w:w="40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2,579</w:t>
            </w:r>
          </w:p>
        </w:tc>
        <w:tc>
          <w:tcPr>
            <w:tcW w:w="0" w:type="dxa"/>
            <w:vAlign w:val="bottom"/>
          </w:tcPr>
          <w:p>
            <w:pPr>
              <w:spacing w:after="0"/>
              <w:rPr>
                <w:sz w:val="1"/>
                <w:szCs w:val="1"/>
                <w:color w:val="auto"/>
              </w:rPr>
            </w:pPr>
          </w:p>
        </w:tc>
      </w:tr>
      <w:tr>
        <w:trPr>
          <w:trHeight w:val="270"/>
        </w:trPr>
        <w:tc>
          <w:tcPr>
            <w:tcW w:w="892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3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(5,725)</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(6,699)</w:t>
            </w:r>
          </w:p>
        </w:tc>
        <w:tc>
          <w:tcPr>
            <w:tcW w:w="0" w:type="dxa"/>
            <w:vAlign w:val="bottom"/>
          </w:tcPr>
          <w:p>
            <w:pPr>
              <w:spacing w:after="0"/>
              <w:rPr>
                <w:sz w:val="1"/>
                <w:szCs w:val="1"/>
                <w:color w:val="auto"/>
              </w:rPr>
            </w:pPr>
          </w:p>
        </w:tc>
      </w:tr>
      <w:tr>
        <w:trPr>
          <w:trHeight w:val="270"/>
        </w:trPr>
        <w:tc>
          <w:tcPr>
            <w:tcW w:w="8920" w:type="dxa"/>
            <w:vAlign w:val="bottom"/>
          </w:tcPr>
          <w:p>
            <w:pPr>
              <w:ind w:left="4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3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19,928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21,386</w:t>
            </w:r>
          </w:p>
        </w:tc>
        <w:tc>
          <w:tcPr>
            <w:tcW w:w="0" w:type="dxa"/>
            <w:vAlign w:val="bottom"/>
          </w:tcPr>
          <w:p>
            <w:pPr>
              <w:spacing w:after="0"/>
              <w:rPr>
                <w:sz w:val="1"/>
                <w:szCs w:val="1"/>
                <w:color w:val="auto"/>
              </w:rPr>
            </w:pPr>
          </w:p>
        </w:tc>
      </w:tr>
      <w:tr>
        <w:trPr>
          <w:trHeight w:val="270"/>
        </w:trPr>
        <w:tc>
          <w:tcPr>
            <w:tcW w:w="8920" w:type="dxa"/>
            <w:vAlign w:val="bottom"/>
          </w:tcPr>
          <w:p>
            <w:pPr>
              <w:ind w:left="40"/>
              <w:spacing w:after="0"/>
              <w:rPr>
                <w:sz w:val="20"/>
                <w:szCs w:val="20"/>
                <w:color w:val="auto"/>
              </w:rPr>
            </w:pPr>
            <w:r>
              <w:rPr>
                <w:rFonts w:ascii="Arial" w:cs="Arial" w:eastAsia="Arial" w:hAnsi="Arial"/>
                <w:sz w:val="16"/>
                <w:szCs w:val="16"/>
                <w:b w:val="1"/>
                <w:bCs w:val="1"/>
                <w:color w:val="auto"/>
              </w:rPr>
              <w:t>Gain (Loss) on Marketable Equity Securities, Net</w:t>
            </w:r>
          </w:p>
        </w:tc>
        <w:tc>
          <w:tcPr>
            <w:tcW w:w="3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24,066</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(14,102)</w:t>
            </w:r>
          </w:p>
        </w:tc>
        <w:tc>
          <w:tcPr>
            <w:tcW w:w="0" w:type="dxa"/>
            <w:vAlign w:val="bottom"/>
          </w:tcPr>
          <w:p>
            <w:pPr>
              <w:spacing w:after="0"/>
              <w:rPr>
                <w:sz w:val="1"/>
                <w:szCs w:val="1"/>
                <w:color w:val="auto"/>
              </w:rPr>
            </w:pPr>
          </w:p>
        </w:tc>
      </w:tr>
      <w:tr>
        <w:trPr>
          <w:trHeight w:val="283"/>
        </w:trPr>
        <w:tc>
          <w:tcPr>
            <w:tcW w:w="8920" w:type="dxa"/>
            <w:vAlign w:val="bottom"/>
          </w:tcPr>
          <w:p>
            <w:pPr>
              <w:ind w:left="40"/>
              <w:spacing w:after="0"/>
              <w:rPr>
                <w:sz w:val="20"/>
                <w:szCs w:val="20"/>
                <w:color w:val="auto"/>
              </w:rPr>
            </w:pPr>
            <w:r>
              <w:rPr>
                <w:rFonts w:ascii="Arial" w:cs="Arial" w:eastAsia="Arial" w:hAnsi="Arial"/>
                <w:sz w:val="16"/>
                <w:szCs w:val="16"/>
                <w:b w:val="1"/>
                <w:bCs w:val="1"/>
                <w:color w:val="auto"/>
              </w:rPr>
              <w:t>Other Income, Net</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29,351</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9,187</w:t>
            </w:r>
          </w:p>
        </w:tc>
        <w:tc>
          <w:tcPr>
            <w:tcW w:w="0" w:type="dxa"/>
            <w:vAlign w:val="bottom"/>
          </w:tcPr>
          <w:p>
            <w:pPr>
              <w:spacing w:after="0"/>
              <w:rPr>
                <w:sz w:val="1"/>
                <w:szCs w:val="1"/>
                <w:color w:val="auto"/>
              </w:rPr>
            </w:pPr>
          </w:p>
        </w:tc>
      </w:tr>
      <w:tr>
        <w:trPr>
          <w:trHeight w:val="264"/>
        </w:trPr>
        <w:tc>
          <w:tcPr>
            <w:tcW w:w="892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109,302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56,565</w:t>
            </w:r>
          </w:p>
        </w:tc>
        <w:tc>
          <w:tcPr>
            <w:tcW w:w="0" w:type="dxa"/>
            <w:vAlign w:val="bottom"/>
          </w:tcPr>
          <w:p>
            <w:pPr>
              <w:spacing w:after="0"/>
              <w:rPr>
                <w:sz w:val="1"/>
                <w:szCs w:val="1"/>
                <w:color w:val="auto"/>
              </w:rPr>
            </w:pPr>
          </w:p>
        </w:tc>
      </w:tr>
      <w:tr>
        <w:trPr>
          <w:trHeight w:val="20"/>
        </w:trPr>
        <w:tc>
          <w:tcPr>
            <w:tcW w:w="89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9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9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6,201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7,606</w:t>
            </w:r>
          </w:p>
        </w:tc>
        <w:tc>
          <w:tcPr>
            <w:tcW w:w="0" w:type="dxa"/>
            <w:vAlign w:val="bottom"/>
          </w:tcPr>
          <w:p>
            <w:pPr>
              <w:spacing w:after="0"/>
              <w:rPr>
                <w:sz w:val="1"/>
                <w:szCs w:val="1"/>
                <w:color w:val="auto"/>
              </w:rPr>
            </w:pPr>
          </w:p>
        </w:tc>
      </w:tr>
      <w:tr>
        <w:trPr>
          <w:trHeight w:val="270"/>
        </w:trPr>
        <w:tc>
          <w:tcPr>
            <w:tcW w:w="89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3,239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3,071</w:t>
            </w:r>
          </w:p>
        </w:tc>
        <w:tc>
          <w:tcPr>
            <w:tcW w:w="0" w:type="dxa"/>
            <w:vAlign w:val="bottom"/>
          </w:tcPr>
          <w:p>
            <w:pPr>
              <w:spacing w:after="0"/>
              <w:rPr>
                <w:sz w:val="1"/>
                <w:szCs w:val="1"/>
                <w:color w:val="auto"/>
              </w:rPr>
            </w:pPr>
          </w:p>
        </w:tc>
      </w:tr>
      <w:tr>
        <w:trPr>
          <w:trHeight w:val="270"/>
        </w:trPr>
        <w:tc>
          <w:tcPr>
            <w:tcW w:w="892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610</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70"/>
        </w:trPr>
        <w:tc>
          <w:tcPr>
            <w:tcW w:w="89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3,233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3,059</w:t>
            </w:r>
          </w:p>
        </w:tc>
        <w:tc>
          <w:tcPr>
            <w:tcW w:w="0" w:type="dxa"/>
            <w:vAlign w:val="bottom"/>
          </w:tcPr>
          <w:p>
            <w:pPr>
              <w:spacing w:after="0"/>
              <w:rPr>
                <w:sz w:val="1"/>
                <w:szCs w:val="1"/>
                <w:color w:val="auto"/>
              </w:rPr>
            </w:pPr>
          </w:p>
        </w:tc>
      </w:tr>
      <w:tr>
        <w:trPr>
          <w:trHeight w:val="283"/>
        </w:trPr>
        <w:tc>
          <w:tcPr>
            <w:tcW w:w="89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240</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64"/>
        </w:trPr>
        <w:tc>
          <w:tcPr>
            <w:tcW w:w="8920" w:type="dxa"/>
            <w:vAlign w:val="bottom"/>
          </w:tcPr>
          <w:p>
            <w:pPr>
              <w:spacing w:after="0"/>
              <w:rPr>
                <w:sz w:val="22"/>
                <w:szCs w:val="22"/>
                <w:color w:val="auto"/>
              </w:rPr>
            </w:pP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13,523</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14,642</w:t>
            </w:r>
          </w:p>
        </w:tc>
        <w:tc>
          <w:tcPr>
            <w:tcW w:w="0" w:type="dxa"/>
            <w:vAlign w:val="bottom"/>
          </w:tcPr>
          <w:p>
            <w:pPr>
              <w:spacing w:after="0"/>
              <w:rPr>
                <w:sz w:val="1"/>
                <w:szCs w:val="1"/>
                <w:color w:val="auto"/>
              </w:rPr>
            </w:pPr>
          </w:p>
        </w:tc>
      </w:tr>
      <w:tr>
        <w:trPr>
          <w:trHeight w:val="251"/>
        </w:trPr>
        <w:tc>
          <w:tcPr>
            <w:tcW w:w="89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9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3,567</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r>
        <w:trPr>
          <w:trHeight w:val="270"/>
        </w:trPr>
        <w:tc>
          <w:tcPr>
            <w:tcW w:w="89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1,408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1,408</w:t>
            </w:r>
          </w:p>
        </w:tc>
        <w:tc>
          <w:tcPr>
            <w:tcW w:w="0" w:type="dxa"/>
            <w:vAlign w:val="bottom"/>
          </w:tcPr>
          <w:p>
            <w:pPr>
              <w:spacing w:after="0"/>
              <w:rPr>
                <w:sz w:val="1"/>
                <w:szCs w:val="1"/>
                <w:color w:val="auto"/>
              </w:rPr>
            </w:pPr>
          </w:p>
        </w:tc>
      </w:tr>
      <w:tr>
        <w:trPr>
          <w:trHeight w:val="270"/>
        </w:trPr>
        <w:tc>
          <w:tcPr>
            <w:tcW w:w="892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1,398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1,808</w:t>
            </w:r>
          </w:p>
        </w:tc>
        <w:tc>
          <w:tcPr>
            <w:tcW w:w="0" w:type="dxa"/>
            <w:vAlign w:val="bottom"/>
          </w:tcPr>
          <w:p>
            <w:pPr>
              <w:spacing w:after="0"/>
              <w:rPr>
                <w:sz w:val="1"/>
                <w:szCs w:val="1"/>
                <w:color w:val="auto"/>
              </w:rPr>
            </w:pPr>
          </w:p>
        </w:tc>
      </w:tr>
      <w:tr>
        <w:trPr>
          <w:trHeight w:val="270"/>
        </w:trPr>
        <w:tc>
          <w:tcPr>
            <w:tcW w:w="89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6,687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6,019</w:t>
            </w:r>
          </w:p>
        </w:tc>
        <w:tc>
          <w:tcPr>
            <w:tcW w:w="0" w:type="dxa"/>
            <w:vAlign w:val="bottom"/>
          </w:tcPr>
          <w:p>
            <w:pPr>
              <w:spacing w:after="0"/>
              <w:rPr>
                <w:sz w:val="1"/>
                <w:szCs w:val="1"/>
                <w:color w:val="auto"/>
              </w:rPr>
            </w:pPr>
          </w:p>
        </w:tc>
      </w:tr>
      <w:tr>
        <w:trPr>
          <w:trHeight w:val="283"/>
        </w:trPr>
        <w:tc>
          <w:tcPr>
            <w:tcW w:w="89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920" w:type="dxa"/>
            <w:vAlign w:val="bottom"/>
          </w:tcPr>
          <w:p>
            <w:pPr>
              <w:spacing w:after="0"/>
              <w:rPr>
                <w:sz w:val="22"/>
                <w:szCs w:val="22"/>
                <w:color w:val="auto"/>
              </w:rPr>
            </w:pP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13,060</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10,384</w:t>
            </w:r>
          </w:p>
        </w:tc>
        <w:tc>
          <w:tcPr>
            <w:tcW w:w="0" w:type="dxa"/>
            <w:vAlign w:val="bottom"/>
          </w:tcPr>
          <w:p>
            <w:pPr>
              <w:spacing w:after="0"/>
              <w:rPr>
                <w:sz w:val="1"/>
                <w:szCs w:val="1"/>
                <w:color w:val="auto"/>
              </w:rPr>
            </w:pPr>
          </w:p>
        </w:tc>
      </w:tr>
      <w:tr>
        <w:trPr>
          <w:trHeight w:val="251"/>
        </w:trPr>
        <w:tc>
          <w:tcPr>
            <w:tcW w:w="8920" w:type="dxa"/>
            <w:vAlign w:val="bottom"/>
          </w:tcPr>
          <w:p>
            <w:pPr>
              <w:ind w:left="40"/>
              <w:spacing w:after="0"/>
              <w:rPr>
                <w:sz w:val="20"/>
                <w:szCs w:val="20"/>
                <w:color w:val="auto"/>
              </w:rPr>
            </w:pPr>
            <w:r>
              <w:rPr>
                <w:rFonts w:ascii="Arial" w:cs="Arial" w:eastAsia="Arial" w:hAnsi="Arial"/>
                <w:sz w:val="16"/>
                <w:szCs w:val="16"/>
                <w:b w:val="1"/>
                <w:bCs w:val="1"/>
                <w:color w:val="auto"/>
              </w:rPr>
              <w:t>Pension Service Cost</w:t>
            </w: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9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2,664</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2,664</w:t>
            </w:r>
          </w:p>
        </w:tc>
        <w:tc>
          <w:tcPr>
            <w:tcW w:w="0" w:type="dxa"/>
            <w:vAlign w:val="bottom"/>
          </w:tcPr>
          <w:p>
            <w:pPr>
              <w:spacing w:after="0"/>
              <w:rPr>
                <w:sz w:val="1"/>
                <w:szCs w:val="1"/>
                <w:color w:val="auto"/>
              </w:rPr>
            </w:pPr>
          </w:p>
        </w:tc>
      </w:tr>
      <w:tr>
        <w:trPr>
          <w:trHeight w:val="270"/>
        </w:trPr>
        <w:tc>
          <w:tcPr>
            <w:tcW w:w="89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731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70"/>
        </w:trPr>
        <w:tc>
          <w:tcPr>
            <w:tcW w:w="892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183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70"/>
        </w:trPr>
        <w:tc>
          <w:tcPr>
            <w:tcW w:w="89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474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83"/>
        </w:trPr>
        <w:tc>
          <w:tcPr>
            <w:tcW w:w="89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1,169</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1,372</w:t>
            </w:r>
          </w:p>
        </w:tc>
        <w:tc>
          <w:tcPr>
            <w:tcW w:w="0" w:type="dxa"/>
            <w:vAlign w:val="bottom"/>
          </w:tcPr>
          <w:p>
            <w:pPr>
              <w:spacing w:after="0"/>
              <w:rPr>
                <w:sz w:val="1"/>
                <w:szCs w:val="1"/>
                <w:color w:val="auto"/>
              </w:rPr>
            </w:pPr>
          </w:p>
        </w:tc>
      </w:tr>
      <w:tr>
        <w:trPr>
          <w:trHeight w:val="264"/>
        </w:trPr>
        <w:tc>
          <w:tcPr>
            <w:tcW w:w="8920" w:type="dxa"/>
            <w:vAlign w:val="bottom"/>
          </w:tcPr>
          <w:p>
            <w:pPr>
              <w:spacing w:after="0"/>
              <w:rPr>
                <w:sz w:val="22"/>
                <w:szCs w:val="22"/>
                <w:color w:val="auto"/>
              </w:rPr>
            </w:pP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5,221</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4,940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7" w:right="2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697"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color w:val="auto"/>
        </w:rPr>
        <w:t>Asset information for the Company’s business segments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Pr>
          <w:p>
            <w:pPr>
              <w:spacing w:after="0"/>
              <w:rPr>
                <w:sz w:val="16"/>
                <w:szCs w:val="16"/>
                <w:color w:val="auto"/>
              </w:rPr>
            </w:pPr>
          </w:p>
        </w:tc>
        <w:tc>
          <w:tcPr>
            <w:tcW w:w="1100" w:type="dxa"/>
            <w:vAlign w:val="bottom"/>
          </w:tcPr>
          <w:p>
            <w:pPr>
              <w:jc w:val="right"/>
              <w:ind w:right="1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8"/>
        </w:trPr>
        <w:tc>
          <w:tcPr>
            <w:tcW w:w="8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23"/>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8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1,853,208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1,568,747</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2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467,270</w:t>
            </w:r>
          </w:p>
        </w:tc>
        <w:tc>
          <w:tcPr>
            <w:tcW w:w="26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452,853</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12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115,622</w:t>
            </w:r>
          </w:p>
        </w:tc>
        <w:tc>
          <w:tcPr>
            <w:tcW w:w="26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108,596</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2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951,773</w:t>
            </w:r>
          </w:p>
        </w:tc>
        <w:tc>
          <w:tcPr>
            <w:tcW w:w="26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827,113</w:t>
            </w:r>
          </w:p>
        </w:tc>
        <w:tc>
          <w:tcPr>
            <w:tcW w:w="0" w:type="dxa"/>
            <w:vAlign w:val="bottom"/>
          </w:tcPr>
          <w:p>
            <w:pPr>
              <w:spacing w:after="0"/>
              <w:rPr>
                <w:sz w:val="1"/>
                <w:szCs w:val="1"/>
                <w:color w:val="auto"/>
              </w:rPr>
            </w:pPr>
          </w:p>
        </w:tc>
      </w:tr>
      <w:tr>
        <w:trPr>
          <w:trHeight w:val="283"/>
        </w:trPr>
        <w:tc>
          <w:tcPr>
            <w:tcW w:w="88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141,343</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162,971</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3,529,216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3,120,280</w:t>
            </w:r>
          </w:p>
        </w:tc>
        <w:tc>
          <w:tcPr>
            <w:tcW w:w="0" w:type="dxa"/>
            <w:vAlign w:val="bottom"/>
          </w:tcPr>
          <w:p>
            <w:pPr>
              <w:spacing w:after="0"/>
              <w:rPr>
                <w:sz w:val="1"/>
                <w:szCs w:val="1"/>
                <w:color w:val="auto"/>
              </w:rPr>
            </w:pPr>
          </w:p>
        </w:tc>
      </w:tr>
      <w:tr>
        <w:trPr>
          <w:trHeight w:val="251"/>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Investments in Marketable Equity Securities</w:t>
            </w:r>
          </w:p>
        </w:tc>
        <w:tc>
          <w:tcPr>
            <w:tcW w:w="120" w:type="dxa"/>
            <w:vAlign w:val="bottom"/>
          </w:tcPr>
          <w:p>
            <w:pPr>
              <w:spacing w:after="0"/>
              <w:rPr>
                <w:sz w:val="21"/>
                <w:szCs w:val="21"/>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510,307</w:t>
            </w:r>
          </w:p>
        </w:tc>
        <w:tc>
          <w:tcPr>
            <w:tcW w:w="2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496,390</w:t>
            </w:r>
          </w:p>
        </w:tc>
        <w:tc>
          <w:tcPr>
            <w:tcW w:w="0" w:type="dxa"/>
            <w:vAlign w:val="bottom"/>
          </w:tcPr>
          <w:p>
            <w:pPr>
              <w:spacing w:after="0"/>
              <w:rPr>
                <w:sz w:val="1"/>
                <w:szCs w:val="1"/>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Investments in Affiliates</w:t>
            </w:r>
          </w:p>
        </w:tc>
        <w:tc>
          <w:tcPr>
            <w:tcW w:w="12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140,127</w:t>
            </w:r>
          </w:p>
        </w:tc>
        <w:tc>
          <w:tcPr>
            <w:tcW w:w="26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143,813</w:t>
            </w:r>
          </w:p>
        </w:tc>
        <w:tc>
          <w:tcPr>
            <w:tcW w:w="0" w:type="dxa"/>
            <w:vAlign w:val="bottom"/>
          </w:tcPr>
          <w:p>
            <w:pPr>
              <w:spacing w:after="0"/>
              <w:rPr>
                <w:sz w:val="1"/>
                <w:szCs w:val="1"/>
                <w:color w:val="auto"/>
              </w:rPr>
            </w:pPr>
          </w:p>
        </w:tc>
      </w:tr>
      <w:tr>
        <w:trPr>
          <w:trHeight w:val="283"/>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Prepaid Pension Cost</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1,017,584</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1,003,558</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5,197,234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4,764,041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3"/>
          </w:tcPr>
          <w:p>
            <w:pPr>
              <w:jc w:val="right"/>
              <w:ind w:right="619"/>
              <w:spacing w:after="0"/>
              <w:rPr>
                <w:sz w:val="20"/>
                <w:szCs w:val="20"/>
                <w:color w:val="auto"/>
              </w:rPr>
            </w:pPr>
            <w:r>
              <w:rPr>
                <w:rFonts w:ascii="Arial" w:cs="Arial" w:eastAsia="Arial" w:hAnsi="Arial"/>
                <w:sz w:val="14"/>
                <w:szCs w:val="14"/>
                <w:b w:val="1"/>
                <w:bCs w:val="1"/>
                <w:color w:val="auto"/>
              </w:rPr>
              <w:t>Three months ended</w:t>
            </w:r>
          </w:p>
        </w:tc>
      </w:tr>
      <w:tr>
        <w:trPr>
          <w:trHeight w:val="222"/>
        </w:trPr>
        <w:tc>
          <w:tcPr>
            <w:tcW w:w="8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9"/>
                <w:szCs w:val="19"/>
                <w:color w:val="auto"/>
              </w:rPr>
            </w:pPr>
          </w:p>
        </w:tc>
      </w:tr>
      <w:tr>
        <w:trPr>
          <w:trHeight w:val="264"/>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2018</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185,756</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183,582</w:t>
            </w: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82,780</w:t>
            </w: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99,830</w:t>
            </w: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61,150</w:t>
            </w: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59,151</w:t>
            </w: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3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41,214</w:t>
            </w: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33,356</w:t>
            </w: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2,302</w:t>
            </w: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285</w:t>
            </w:r>
          </w:p>
        </w:tc>
      </w:tr>
      <w:tr>
        <w:trPr>
          <w:trHeight w:val="283"/>
        </w:trPr>
        <w:tc>
          <w:tcPr>
            <w:tcW w:w="85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(748)</w:t>
            </w: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372,454</w:t>
            </w:r>
          </w:p>
        </w:tc>
        <w:tc>
          <w:tcPr>
            <w:tcW w:w="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375,499</w:t>
            </w: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24,285</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20,404</w:t>
            </w: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1,915</w:t>
            </w: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1,355</w:t>
            </w: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(454)</w:t>
            </w: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521</w:t>
            </w: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3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11,259</w:t>
            </w: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9,315</w:t>
            </w: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(11,404)</w:t>
            </w: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(8,895)</w:t>
            </w:r>
          </w:p>
        </w:tc>
      </w:tr>
      <w:tr>
        <w:trPr>
          <w:trHeight w:val="283"/>
        </w:trPr>
        <w:tc>
          <w:tcPr>
            <w:tcW w:w="85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25,595</w:t>
            </w:r>
          </w:p>
        </w:tc>
        <w:tc>
          <w:tcPr>
            <w:tcW w:w="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22,700</w:t>
            </w: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3,882</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3,974</w:t>
            </w: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597</w:t>
            </w: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1,858</w:t>
            </w: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805</w:t>
            </w: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978</w:t>
            </w: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3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865</w:t>
            </w: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642</w:t>
            </w:r>
          </w:p>
        </w:tc>
      </w:tr>
      <w:tr>
        <w:trPr>
          <w:trHeight w:val="283"/>
        </w:trPr>
        <w:tc>
          <w:tcPr>
            <w:tcW w:w="85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52</w:t>
            </w: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6,201</w:t>
            </w:r>
          </w:p>
        </w:tc>
        <w:tc>
          <w:tcPr>
            <w:tcW w:w="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7,606</w:t>
            </w: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3,567</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1,149</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Pension Service Cost</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117</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83</w:t>
            </w: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1,163</w:t>
            </w: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1,406</w:t>
            </w: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866</w:t>
            </w: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729</w:t>
            </w: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3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348</w:t>
            </w: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290</w:t>
            </w:r>
          </w:p>
        </w:tc>
      </w:tr>
      <w:tr>
        <w:trPr>
          <w:trHeight w:val="283"/>
        </w:trPr>
        <w:tc>
          <w:tcPr>
            <w:tcW w:w="85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170</w:t>
            </w: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2,664</w:t>
            </w:r>
          </w:p>
        </w:tc>
        <w:tc>
          <w:tcPr>
            <w:tcW w:w="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2,664</w:t>
            </w:r>
          </w:p>
        </w:tc>
      </w:tr>
    </w:tbl>
    <w:p>
      <w:pPr>
        <w:spacing w:after="0" w:line="200" w:lineRule="exact"/>
        <w:rPr>
          <w:sz w:val="20"/>
          <w:szCs w:val="20"/>
          <w:color w:val="auto"/>
        </w:rPr>
      </w:pPr>
    </w:p>
    <w:p>
      <w:pPr>
        <w:sectPr>
          <w:pgSz w:w="11900" w:h="16838" w:orient="portrait"/>
          <w:cols w:equalWidth="0" w:num="1">
            <w:col w:w="11420"/>
          </w:cols>
          <w:pgMar w:left="240" w:top="719" w:right="239" w:bottom="908"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719" w:right="239" w:bottom="908"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8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Pr>
          <w:p>
            <w:pPr>
              <w:spacing w:after="0"/>
              <w:rPr>
                <w:sz w:val="16"/>
                <w:szCs w:val="16"/>
                <w:color w:val="auto"/>
              </w:rPr>
            </w:pPr>
          </w:p>
        </w:tc>
        <w:tc>
          <w:tcPr>
            <w:tcW w:w="1100" w:type="dxa"/>
            <w:vAlign w:val="bottom"/>
          </w:tcPr>
          <w:p>
            <w:pPr>
              <w:jc w:val="right"/>
              <w:ind w:right="10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8"/>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50"/>
        </w:trPr>
        <w:tc>
          <w:tcPr>
            <w:tcW w:w="3980" w:type="dxa"/>
            <w:vAlign w:val="bottom"/>
          </w:tcPr>
          <w:p>
            <w:pPr>
              <w:ind w:left="40"/>
              <w:spacing w:after="0"/>
              <w:rPr>
                <w:sz w:val="20"/>
                <w:szCs w:val="20"/>
                <w:color w:val="auto"/>
              </w:rPr>
            </w:pPr>
            <w:r>
              <w:rPr>
                <w:rFonts w:ascii="Arial" w:cs="Arial" w:eastAsia="Arial" w:hAnsi="Arial"/>
                <w:sz w:val="16"/>
                <w:szCs w:val="16"/>
                <w:color w:val="auto"/>
              </w:rPr>
              <w:t>Identifiable assets</w:t>
            </w:r>
          </w:p>
        </w:tc>
        <w:tc>
          <w:tcPr>
            <w:tcW w:w="4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380"/>
              <w:spacing w:after="0"/>
              <w:rPr>
                <w:sz w:val="20"/>
                <w:szCs w:val="20"/>
                <w:color w:val="auto"/>
              </w:rPr>
            </w:pPr>
            <w:r>
              <w:rPr>
                <w:rFonts w:ascii="Arial" w:cs="Arial" w:eastAsia="Arial" w:hAnsi="Arial"/>
                <w:sz w:val="16"/>
                <w:szCs w:val="16"/>
                <w:color w:val="auto"/>
              </w:rPr>
              <w:t>Kaplan international</w:t>
            </w:r>
          </w:p>
        </w:tc>
        <w:tc>
          <w:tcPr>
            <w:tcW w:w="49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1,273,080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1,101,040</w:t>
            </w:r>
          </w:p>
        </w:tc>
        <w:tc>
          <w:tcPr>
            <w:tcW w:w="0" w:type="dxa"/>
            <w:vAlign w:val="bottom"/>
          </w:tcPr>
          <w:p>
            <w:pPr>
              <w:spacing w:after="0"/>
              <w:rPr>
                <w:sz w:val="1"/>
                <w:szCs w:val="1"/>
                <w:color w:val="auto"/>
              </w:rPr>
            </w:pPr>
          </w:p>
        </w:tc>
      </w:tr>
      <w:tr>
        <w:trPr>
          <w:trHeight w:val="270"/>
        </w:trPr>
        <w:tc>
          <w:tcPr>
            <w:tcW w:w="3980" w:type="dxa"/>
            <w:vAlign w:val="bottom"/>
          </w:tcPr>
          <w:p>
            <w:pPr>
              <w:ind w:left="380"/>
              <w:spacing w:after="0"/>
              <w:rPr>
                <w:sz w:val="20"/>
                <w:szCs w:val="20"/>
                <w:color w:val="auto"/>
              </w:rPr>
            </w:pPr>
            <w:r>
              <w:rPr>
                <w:rFonts w:ascii="Arial" w:cs="Arial" w:eastAsia="Arial" w:hAnsi="Arial"/>
                <w:sz w:val="16"/>
                <w:szCs w:val="16"/>
                <w:color w:val="auto"/>
              </w:rPr>
              <w:t>Higher education</w:t>
            </w:r>
          </w:p>
        </w:tc>
        <w:tc>
          <w:tcPr>
            <w:tcW w:w="4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182,909</w:t>
            </w:r>
          </w:p>
        </w:tc>
        <w:tc>
          <w:tcPr>
            <w:tcW w:w="26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126,752</w:t>
            </w:r>
          </w:p>
        </w:tc>
        <w:tc>
          <w:tcPr>
            <w:tcW w:w="0" w:type="dxa"/>
            <w:vAlign w:val="bottom"/>
          </w:tcPr>
          <w:p>
            <w:pPr>
              <w:spacing w:after="0"/>
              <w:rPr>
                <w:sz w:val="1"/>
                <w:szCs w:val="1"/>
                <w:color w:val="auto"/>
              </w:rPr>
            </w:pPr>
          </w:p>
        </w:tc>
      </w:tr>
      <w:tr>
        <w:trPr>
          <w:trHeight w:val="270"/>
        </w:trPr>
        <w:tc>
          <w:tcPr>
            <w:tcW w:w="3980" w:type="dxa"/>
            <w:vAlign w:val="bottom"/>
          </w:tcPr>
          <w:p>
            <w:pPr>
              <w:ind w:left="380"/>
              <w:spacing w:after="0"/>
              <w:rPr>
                <w:sz w:val="20"/>
                <w:szCs w:val="20"/>
                <w:color w:val="auto"/>
              </w:rPr>
            </w:pPr>
            <w:r>
              <w:rPr>
                <w:rFonts w:ascii="Arial" w:cs="Arial" w:eastAsia="Arial" w:hAnsi="Arial"/>
                <w:sz w:val="16"/>
                <w:szCs w:val="16"/>
                <w:color w:val="auto"/>
              </w:rPr>
              <w:t>Test preparation</w:t>
            </w:r>
          </w:p>
        </w:tc>
        <w:tc>
          <w:tcPr>
            <w:tcW w:w="4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159,620</w:t>
            </w:r>
          </w:p>
        </w:tc>
        <w:tc>
          <w:tcPr>
            <w:tcW w:w="26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145,308</w:t>
            </w:r>
          </w:p>
        </w:tc>
        <w:tc>
          <w:tcPr>
            <w:tcW w:w="0" w:type="dxa"/>
            <w:vAlign w:val="bottom"/>
          </w:tcPr>
          <w:p>
            <w:pPr>
              <w:spacing w:after="0"/>
              <w:rPr>
                <w:sz w:val="1"/>
                <w:szCs w:val="1"/>
                <w:color w:val="auto"/>
              </w:rPr>
            </w:pPr>
          </w:p>
        </w:tc>
      </w:tr>
      <w:tr>
        <w:trPr>
          <w:trHeight w:val="270"/>
        </w:trPr>
        <w:tc>
          <w:tcPr>
            <w:tcW w:w="3980" w:type="dxa"/>
            <w:vAlign w:val="bottom"/>
          </w:tcPr>
          <w:p>
            <w:pPr>
              <w:ind w:left="380"/>
              <w:spacing w:after="0"/>
              <w:rPr>
                <w:sz w:val="20"/>
                <w:szCs w:val="20"/>
                <w:color w:val="auto"/>
              </w:rPr>
            </w:pPr>
            <w:r>
              <w:rPr>
                <w:rFonts w:ascii="Arial" w:cs="Arial" w:eastAsia="Arial" w:hAnsi="Arial"/>
                <w:sz w:val="16"/>
                <w:szCs w:val="16"/>
                <w:color w:val="auto"/>
              </w:rPr>
              <w:t>Professional (U.S.)</w:t>
            </w:r>
          </w:p>
        </w:tc>
        <w:tc>
          <w:tcPr>
            <w:tcW w:w="4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170,395</w:t>
            </w:r>
          </w:p>
        </w:tc>
        <w:tc>
          <w:tcPr>
            <w:tcW w:w="26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166,916</w:t>
            </w:r>
          </w:p>
        </w:tc>
        <w:tc>
          <w:tcPr>
            <w:tcW w:w="0" w:type="dxa"/>
            <w:vAlign w:val="bottom"/>
          </w:tcPr>
          <w:p>
            <w:pPr>
              <w:spacing w:after="0"/>
              <w:rPr>
                <w:sz w:val="1"/>
                <w:szCs w:val="1"/>
                <w:color w:val="auto"/>
              </w:rPr>
            </w:pPr>
          </w:p>
        </w:tc>
      </w:tr>
      <w:tr>
        <w:trPr>
          <w:trHeight w:val="283"/>
        </w:trPr>
        <w:tc>
          <w:tcPr>
            <w:tcW w:w="3980" w:type="dxa"/>
            <w:vAlign w:val="bottom"/>
          </w:tcPr>
          <w:p>
            <w:pPr>
              <w:ind w:left="380"/>
              <w:spacing w:after="0"/>
              <w:rPr>
                <w:sz w:val="20"/>
                <w:szCs w:val="20"/>
                <w:color w:val="auto"/>
              </w:rPr>
            </w:pPr>
            <w:r>
              <w:rPr>
                <w:rFonts w:ascii="Arial" w:cs="Arial" w:eastAsia="Arial" w:hAnsi="Arial"/>
                <w:sz w:val="16"/>
                <w:szCs w:val="16"/>
                <w:color w:val="auto"/>
              </w:rPr>
              <w:t>Kaplan corporate and other</w:t>
            </w:r>
          </w:p>
        </w:tc>
        <w:tc>
          <w:tcPr>
            <w:tcW w:w="4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67,204</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28,731</w:t>
            </w:r>
          </w:p>
        </w:tc>
        <w:tc>
          <w:tcPr>
            <w:tcW w:w="0" w:type="dxa"/>
            <w:vAlign w:val="bottom"/>
          </w:tcPr>
          <w:p>
            <w:pPr>
              <w:spacing w:after="0"/>
              <w:rPr>
                <w:sz w:val="1"/>
                <w:szCs w:val="1"/>
                <w:color w:val="auto"/>
              </w:rPr>
            </w:pPr>
          </w:p>
        </w:tc>
      </w:tr>
      <w:tr>
        <w:trPr>
          <w:trHeight w:val="264"/>
        </w:trPr>
        <w:tc>
          <w:tcPr>
            <w:tcW w:w="3980" w:type="dxa"/>
            <w:vAlign w:val="bottom"/>
          </w:tcPr>
          <w:p>
            <w:pPr>
              <w:spacing w:after="0"/>
              <w:rPr>
                <w:sz w:val="22"/>
                <w:szCs w:val="22"/>
                <w:color w:val="auto"/>
              </w:rPr>
            </w:pPr>
          </w:p>
        </w:tc>
        <w:tc>
          <w:tcPr>
            <w:tcW w:w="49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1,853,208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1,568,747</w:t>
            </w:r>
          </w:p>
        </w:tc>
        <w:tc>
          <w:tcPr>
            <w:tcW w:w="0" w:type="dxa"/>
            <w:vAlign w:val="bottom"/>
          </w:tcPr>
          <w:p>
            <w:pPr>
              <w:spacing w:after="0"/>
              <w:rPr>
                <w:sz w:val="1"/>
                <w:szCs w:val="1"/>
                <w:color w:val="auto"/>
              </w:rPr>
            </w:pPr>
          </w:p>
        </w:tc>
      </w:tr>
      <w:tr>
        <w:trPr>
          <w:trHeight w:val="608"/>
        </w:trPr>
        <w:tc>
          <w:tcPr>
            <w:tcW w:w="3980" w:type="dxa"/>
            <w:vAlign w:val="bottom"/>
          </w:tcPr>
          <w:p>
            <w:pPr>
              <w:spacing w:after="0"/>
              <w:rPr>
                <w:sz w:val="24"/>
                <w:szCs w:val="24"/>
                <w:color w:val="auto"/>
              </w:rPr>
            </w:pPr>
          </w:p>
        </w:tc>
        <w:tc>
          <w:tcPr>
            <w:tcW w:w="4820" w:type="dxa"/>
            <w:vAlign w:val="bottom"/>
          </w:tcPr>
          <w:p>
            <w:pPr>
              <w:jc w:val="right"/>
              <w:ind w:right="2896"/>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9"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3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Company reported net income attributable to common shares of $81.7 million ($15.26 per share) for the first quarter of 2019, compared to $42.9 million ($7.78 per share) for the first quarter of 2018.</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quarter of 2019:</w:t>
      </w:r>
    </w:p>
    <w:p>
      <w:pPr>
        <w:spacing w:after="0" w:line="144" w:lineRule="exact"/>
        <w:rPr>
          <w:sz w:val="20"/>
          <w:szCs w:val="20"/>
          <w:color w:val="auto"/>
        </w:rPr>
      </w:pPr>
    </w:p>
    <w:p>
      <w:pPr>
        <w:ind w:left="180" w:right="100" w:hanging="172"/>
        <w:spacing w:after="0" w:line="235"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$1.8 million reduction to operating expenses from property, plant and equipment gains in connection with the spectrum repacking mandate of the FCC (after-tax impact of $1.4 million, or $0.26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$24.1 million in net gains on marketable equity securities (after-tax impact of $18.0 million, or $3.37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$29.0 million gain from the sale of Gimlet Media (after-tax impact of $21.7 million, or $4.06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$0.5 million in non-operating foreign currency gains (after-tax impact of $0.4 million, or $0.07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$1.7 million in income tax benefits related to stock compensation ($0.32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quarter of 2018:</w:t>
      </w:r>
    </w:p>
    <w:p>
      <w:pPr>
        <w:spacing w:after="0" w:line="144" w:lineRule="exact"/>
        <w:rPr>
          <w:sz w:val="20"/>
          <w:szCs w:val="20"/>
          <w:color w:val="auto"/>
        </w:rPr>
      </w:pPr>
    </w:p>
    <w:p>
      <w:pPr>
        <w:ind w:left="180" w:right="100" w:hanging="172"/>
        <w:spacing w:after="0" w:line="235"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$0.3 million reduction to operating expenses from property, plant and equipment gains in connection with the spectrum repacking mandate of the FCC (after-tax impact of $0.2 million, or $0.04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$14.1 million in net losses on marketable equity securities (after-tax impact of $10.7 million, or $1.94 per share);</w:t>
      </w:r>
    </w:p>
    <w:p>
      <w:pPr>
        <w:spacing w:after="0" w:line="144" w:lineRule="exact"/>
        <w:rPr>
          <w:rFonts w:ascii="Arial" w:cs="Arial" w:eastAsia="Arial" w:hAnsi="Arial"/>
          <w:sz w:val="18"/>
          <w:szCs w:val="18"/>
          <w:color w:val="auto"/>
        </w:rPr>
      </w:pPr>
    </w:p>
    <w:p>
      <w:pPr>
        <w:ind w:left="180" w:right="160" w:hanging="172"/>
        <w:spacing w:after="0" w:line="235"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non-operating gain, net, of $4.4 million from sales of a cost method investment and a business (after-tax impact of $3.6 million, or $0.65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$4.3 million gain on the Kaplan University Transaction (after-tax impact of $1.8 million, or $0.33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$0.2 million in non-operating foreign currency gains (after-tax impact of $0.1 million, or $0.02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$1.8 million in income tax benefits related to stock compensation ($0.33 per share).</w:t>
      </w:r>
    </w:p>
    <w:p>
      <w:pPr>
        <w:spacing w:after="0" w:line="144"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Revenue for the first quarter of 2019 was $692.2 million, up 5% from $659.4 million in the first quarter of 2018. Revenues grew at other businesses, partially offset by declines at the education, television broadcasting, and manufacturing divisions. The Company reported operating income of $40.0 million for the first quarter of 2019, compared to $44.2 million for the first quarter of 2018. The operating income decline is driven by lower earnings in the television broadcasting and manufacturing divisions, partially offset by improvements in education and healthcare division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Education division revenue totaled $372.5 million for the first quarter of 2019, down 1% from $375.5 million for the same period of 2018. Kaplan reported operating income of $25.6 million for the first quarter of 2019, up 13% from $22.7 million for the first quarter of 2018.</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9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7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2018</w:t>
            </w:r>
          </w:p>
        </w:tc>
        <w:tc>
          <w:tcPr>
            <w:tcW w:w="14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740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185,756</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183,582</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740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82,780</w:t>
            </w:r>
          </w:p>
        </w:tc>
        <w:tc>
          <w:tcPr>
            <w:tcW w:w="4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99,830</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0"/>
        </w:trPr>
        <w:tc>
          <w:tcPr>
            <w:tcW w:w="740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61,150</w:t>
            </w:r>
          </w:p>
        </w:tc>
        <w:tc>
          <w:tcPr>
            <w:tcW w:w="4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59,151</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740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8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41,214</w:t>
            </w:r>
          </w:p>
        </w:tc>
        <w:tc>
          <w:tcPr>
            <w:tcW w:w="4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33,356</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70"/>
        </w:trPr>
        <w:tc>
          <w:tcPr>
            <w:tcW w:w="740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2,302</w:t>
            </w:r>
          </w:p>
        </w:tc>
        <w:tc>
          <w:tcPr>
            <w:tcW w:w="4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285</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40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(748)</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40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372,454</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375,499</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24,285</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20,404</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0"/>
        </w:trPr>
        <w:tc>
          <w:tcPr>
            <w:tcW w:w="740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1,915</w:t>
            </w:r>
          </w:p>
        </w:tc>
        <w:tc>
          <w:tcPr>
            <w:tcW w:w="4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1,355</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70"/>
        </w:trPr>
        <w:tc>
          <w:tcPr>
            <w:tcW w:w="740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(454)</w:t>
            </w:r>
          </w:p>
        </w:tc>
        <w:tc>
          <w:tcPr>
            <w:tcW w:w="4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521</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40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8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11,259</w:t>
            </w:r>
          </w:p>
        </w:tc>
        <w:tc>
          <w:tcPr>
            <w:tcW w:w="4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9,315</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0"/>
        </w:trPr>
        <w:tc>
          <w:tcPr>
            <w:tcW w:w="740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(7,837)</w:t>
            </w: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(7,746)</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740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(3,567)</w:t>
            </w: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(1,149)</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40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7400" w:type="dxa"/>
            <w:vAlign w:val="bottom"/>
          </w:tcPr>
          <w:p>
            <w:pPr>
              <w:spacing w:after="0"/>
              <w:rPr>
                <w:sz w:val="23"/>
                <w:szCs w:val="23"/>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25,595</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22,700</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increased 1% for the first quarter of 2019. On a constant currency basis, revenue increased 7% for the first quarter of 2019. Operating income increased to $24.3 million in the first quarter of 2019, compared to $ 20.4 million in the first quarter of 2018. Revenue and operating income increased due to improved results at Pathways and UK Professional, offset by declines in Singapore.</w:t>
      </w:r>
    </w:p>
    <w:p>
      <w:pPr>
        <w:spacing w:after="0" w:line="137"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Prior to the KU Transaction closing on March 22, 2018, Higher Education included Kaplan’s domestic postsecondary education businesses, made up of fixed-facility colleges and online postsecondary and career programs. Following the KU Transaction closing, the Higher Education division includes the results as a service provider to higher education institutions. In the first quarter of 2019, Higher Education revenue was down 17% due to the KU Transaction. In the first quarter of 2019, the Company recorded a portion of the service fee with Purdue Global based on an assessment of its collectability under the TOSA. The Company will continue to assess the collectability of the service fee with Purdue Global on a quarterly basis to make a determination as to whether to record all or part of the service fee in the future and whether to make adjustments to service fee amounts recognized in earlier periods.</w:t>
      </w:r>
    </w:p>
    <w:p>
      <w:pPr>
        <w:spacing w:after="0" w:line="139"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Kaplan Test Preparation (KTP) includes Kaplan’s standardized test preparation programs. In September 2018, KTP acquired the test preparation and study guide assets of Barron’s Educational Series, a New York-based education publishing company. KTP revenue increased 3% for the first quarter of 2019 due to the Barron’s acquisition. Excluding revenue from the Barron’s acquisition, revenues were down 5% for the first quarter of 2019, due to declines in demand for classroom-based offerings, offset in part by growth in online-based programs. KTP operating results declined in the first quarter of 2019, due partly to increased losses from the new economy skills training programs. Operating losses for the new economy skills training programs were $1.1 million and $0.5 million for the first quarter of 2019 and 2018, respectively. Excluding losses from the new economy skills training programs, KTP operating results were down in the first quarter of 2019, due primarily to revenue declines for classroom-based offerings.</w:t>
      </w:r>
    </w:p>
    <w:p>
      <w:pPr>
        <w:spacing w:after="0" w:line="13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Kaplan Professional (U.S.) includes the domestic professional and other continuing education businesses. In the first quarter of 2019, Kaplan Professional (U.S.) revenue was up 24% due mostly to the May 2018 acquisition of Professional Publications, Inc. (PPI), an independent publisher of professional licensing exam review materials that provides engineering, surveying, architecture, and interior design licensure exam review products, and the July 2018 acquisition of College for Financial Planning (CFFP), a provider of financial education and training to individuals through programs of study for professionals pursuing a career in Financial Planning. Kaplan Professional (U.S) operating results increased 21% for the first quarter of 2019 due mostly to earnings from PPI and CFFP.</w:t>
      </w:r>
    </w:p>
    <w:p>
      <w:pPr>
        <w:spacing w:after="0" w:line="13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1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Revenue at the television broadcasting division decreased 1% to $108.2 million in the first quarter of 2019, from $108.8 million in the same period of 2018. The revenue decline is due to $8.6 million in first quarter 2018 incremental winter Olympics-related advertising revenue at the Company’s NBC affiliates and a $1.6 million decrease in political advertising revenue, offset by $9.7 million in higher retransmission revenues. Operating income for the first quarter of 2019 declined 12% to $35.5 million, from $40.5 million in the same period of 2018, due to lower revenues and increased network fees.</w:t>
      </w:r>
    </w:p>
    <w:p>
      <w:pPr>
        <w:spacing w:after="0" w:line="137"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In the first quarter of 2019 and 2018, the television broadcasting division recorded $ 1.8 million and $0.3 million, respectively, in reductions to operating expenses related to non-cash property, plant and equipment gains due to new equipment received at no cost in connection with the spectrum repacking mandate of the FCC.</w:t>
      </w:r>
    </w:p>
    <w:p>
      <w:pPr>
        <w:spacing w:after="0" w:line="13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 March 2019, the Company’s television station in Orlando (WKMG) entered into a new network affiliation agreement with CBS that covers the period April 7, 2019 through June 30,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66"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The Graham Healthcare Group (GHG) provides home health and hospice services in three states. Healthcare revenues were flat in the first quarter of 2019. The improvement in GHG operating results in 2019 is due to the absence of integration costs and other overall cost reduction in the first quarter of 2019.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Other Businesses’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r>
      <w:tr>
        <w:trPr>
          <w:trHeight w:val="276"/>
        </w:trPr>
        <w:tc>
          <w:tcPr>
            <w:tcW w:w="8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4"/>
                <w:szCs w:val="24"/>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2018</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115,157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117,406</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13,447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13,299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45,230</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6,833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173,834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137,538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111,883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108,778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17,465</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17,080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53,723</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15,375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183,071</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141,233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3,274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8,628</w:t>
            </w:r>
          </w:p>
        </w:tc>
        <w:tc>
          <w:tcPr>
            <w:tcW w:w="9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(4,018)</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(3,781)</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(8,493)</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(9,237)</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2,433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2,451</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152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648</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73</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3,233</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3,059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6,530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5,936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157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89</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6,687</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6,019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47</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248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59</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201</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73</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474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64</w:t>
            </w:r>
          </w:p>
        </w:tc>
      </w:tr>
    </w:tbl>
    <w:p>
      <w:pPr>
        <w:spacing w:after="0" w:line="148"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 assemblies; Joyce/Dayton, a manufacturer of screw jacks and other linear motion systems; and Forney, a global supplier of products and systems that control and monitor</w:t>
      </w:r>
    </w:p>
    <w:p>
      <w:pPr>
        <w:sectPr>
          <w:pgSz w:w="11900" w:h="16838" w:orient="portrait"/>
          <w:cols w:equalWidth="0" w:num="1">
            <w:col w:w="11420"/>
          </w:cols>
          <w:pgMar w:left="240" w:top="697" w:right="239" w:bottom="449"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697" w:right="239" w:bottom="449" w:gutter="0" w:footer="0" w:header="0"/>
          <w:type w:val="continuous"/>
        </w:sectPr>
      </w:pPr>
    </w:p>
    <w:bookmarkStart w:id="30" w:name="page31"/>
    <w:bookmarkEnd w:id="30"/>
    <w:p>
      <w:pPr>
        <w:ind w:right="960"/>
        <w:spacing w:after="0" w:line="235" w:lineRule="auto"/>
        <w:rPr>
          <w:sz w:val="20"/>
          <w:szCs w:val="20"/>
          <w:color w:val="auto"/>
        </w:rPr>
      </w:pPr>
      <w:r>
        <w:rPr>
          <w:rFonts w:ascii="Arial" w:cs="Arial" w:eastAsia="Arial" w:hAnsi="Arial"/>
          <w:sz w:val="18"/>
          <w:szCs w:val="18"/>
          <w:color w:val="auto"/>
        </w:rPr>
        <w:t>combustion processes in electric utility and industrial applications. In July 2018, Dekko acquired Furnlite, Inc., a Fallston, NC-based manufacturer of power and data solutions for the hospitality and residential furniture industry.</w:t>
      </w:r>
    </w:p>
    <w:p>
      <w:pPr>
        <w:spacing w:after="0" w:line="135"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Manufacturing revenues declined 2% in the first quarter of 2019 due to a decline at Hoover from lower wood prices. Manufacturing operating income declined in the first quarter of 2019 due largely to increased labor and other operating costs at Hoover and Dekko, along with gains on inventory sales at Hoover in the first quarter of 2018.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SocialCode is a provider of marketing solutions on social, mobile and video platforms. In the third quarter of 2018, SocialCode acquired</w:t>
      </w:r>
    </w:p>
    <w:p>
      <w:pPr>
        <w:spacing w:after="0" w:line="219" w:lineRule="auto"/>
        <w:rPr>
          <w:sz w:val="20"/>
          <w:szCs w:val="20"/>
          <w:color w:val="auto"/>
        </w:rPr>
      </w:pPr>
      <w:r>
        <w:rPr>
          <w:rFonts w:ascii="Arial" w:cs="Arial" w:eastAsia="Arial" w:hAnsi="Arial"/>
          <w:sz w:val="18"/>
          <w:szCs w:val="18"/>
          <w:color w:val="auto"/>
        </w:rPr>
        <w:t>Marketplace Strategy, a Cleveland-based Amazon sales acceleration agency. SocialCode’s revenue increased 1% in the first quarter of 2019.</w:t>
      </w:r>
    </w:p>
    <w:p>
      <w:pPr>
        <w:spacing w:after="0"/>
        <w:rPr>
          <w:sz w:val="20"/>
          <w:szCs w:val="20"/>
          <w:color w:val="auto"/>
        </w:rPr>
      </w:pPr>
      <w:r>
        <w:rPr>
          <w:rFonts w:ascii="Arial" w:cs="Arial" w:eastAsia="Arial" w:hAnsi="Arial"/>
          <w:sz w:val="18"/>
          <w:szCs w:val="18"/>
          <w:color w:val="auto"/>
        </w:rPr>
        <w:t>SocialCode reported operating losses of $4.0 million in the first quarter of 2019, compared to $3.8 million in the first quarter of 2018.</w:t>
      </w:r>
    </w:p>
    <w:p>
      <w:pPr>
        <w:spacing w:after="0" w:line="144" w:lineRule="exact"/>
        <w:rPr>
          <w:sz w:val="20"/>
          <w:szCs w:val="20"/>
          <w:color w:val="auto"/>
        </w:rPr>
      </w:pPr>
    </w:p>
    <w:p>
      <w:pPr>
        <w:ind w:right="680"/>
        <w:spacing w:after="0" w:line="225" w:lineRule="auto"/>
        <w:rPr>
          <w:sz w:val="20"/>
          <w:szCs w:val="20"/>
          <w:color w:val="auto"/>
        </w:rPr>
      </w:pPr>
      <w:r>
        <w:rPr>
          <w:rFonts w:ascii="Arial" w:cs="Arial" w:eastAsia="Arial" w:hAnsi="Arial"/>
          <w:sz w:val="18"/>
          <w:szCs w:val="18"/>
          <w:color w:val="auto"/>
        </w:rPr>
        <w:t>On January 31, 2019, the Company acquired two automotive dealerships, Lexus of Rockville and Honda of Tysons Corner, from Sonic Automotive. The Company also announced it had entered into an agreement with Christopher J. Ourisman, a member of the Ourisman Automotive Group family of dealerships. Mr. Ourisman and his team of industry professionals will operate and manage the dealerships. Graham Holdings Company holds a 90% stake. Revenues from other businesses increased due mostly to the automotive dealership acquisition.</w:t>
      </w:r>
    </w:p>
    <w:p>
      <w:pPr>
        <w:spacing w:after="0" w:line="137"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Other businesses also includes Slate and Foreign Policy, which publish online and print magazines and websites; and three investment stage businesses, Megaphone, Pinna and CyberVista. Megaphone, Slate and CyberVista reported revenue increases in the first quarter of 2019. Losses from each of these five businesses in the first three months of 2019 adversely affected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860"/>
        <w:spacing w:after="0" w:line="235"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6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At March 31, 2019, the Company held an 11% interest in Intersection Holdings, LLC, a company that provides digital marketing and advertising services and products for cities, transit systems, airports, and other public and private spaces. The Company also holds interests in a number of home health and hospice joint ventures, and several other affiliates. The Company recorded equity in earnings of affiliates of $1.7 million for the first quarter of 2019, compared to $2.6 million for the first quarter of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In connection with the auto dealership acquisition that closed on January 31, 2019, a subsidiary of the Company borrowed $30 million to finance a portion of the acquisition and entered into an interest rate swap to fix the interest rate on the debt at 4.7% per annum. The subsidiary is required to repay the loan over a 10-year period by making monthly installment payments.</w:t>
      </w:r>
    </w:p>
    <w:p>
      <w:pPr>
        <w:spacing w:after="0" w:line="137"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On May 30, 2018, the Company issued 5.75% unsecured eight-year fixed-rate notes due June 1, 2026. Interest is payable semi-annually on June 1 and December 1. On June 29, 2018, the Company used the net proceeds from the sale of the notes and other cash to repay $400 million of 7.25% notes that were due February 1, 2019.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net interest expense of $5.7 million for the first quarter of 2019, compared to $6.7 million for the first quarter of 2018.</w:t>
      </w:r>
    </w:p>
    <w:p>
      <w:pPr>
        <w:spacing w:after="0" w:line="14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At March 31, 2019, the Company had $509.8 million in borrowings outstanding at an average interest rate of 5.1% and cash, marketable equity securities and other investments of $719.1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66"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Company recorded net non-operating pension and postretirement benefit income of $19.9 million for the first quarter of 2019, compared to $21.4 million for the first quarter of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(Loss) on Marketable Equity Securities, net</w:t>
      </w:r>
    </w:p>
    <w:p>
      <w:pPr>
        <w:spacing w:after="0" w:line="16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Overall, the Company recognized $24.1 million in net gains on marketable equity securities in first quarter of 2019, compared to $14.1 million in net losses on marketable equity securities in the first quarter of 2018.</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719"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66"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 Company recorded total other non-operating income, net, of $29.4 million for the first quarter of 2019, compared to $9.2 million for the first quarter of 2018. The 2019 amounts included a $29.0 million gain on the sale of the Company’s interest in Gimlet Media and $0.5 million in foreign currency gains, offset by other items. The 2018 amounts included a $5.9 million gain on sales of businesses; a $2.8 million gain on the sale of a cost method investment; $0.2 million in foreign currency gains; and other items.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The Company’s effective tax rate for the first three months of 2019 and 2018 was 25.3% and 24.0%, respectively. In the first quarter of 2019 and 2018, the Company recorded income tax benefits related to stock compensation of $1.7 million and $1.8 million,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66"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The calculation of diluted earnings per share for the first quarter of 2019 was based on 5,326,448 weighted average shares outstanding, compared to 5,472,643 for the first quarter of 2018. At March 31, 2019, there were 5,314,930 shares outstanding. On November 9, 2017, the Board of Directors authorized the Company to acquire up to 500,000 shares of its Class B common stock; the Company has remaining authorization for 273,655 shares as of March 31,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Dispositions of Businesses and Other Transactions</w:t>
      </w:r>
    </w:p>
    <w:p>
      <w:pPr>
        <w:spacing w:after="0" w:line="144" w:lineRule="exact"/>
        <w:rPr>
          <w:sz w:val="20"/>
          <w:szCs w:val="20"/>
          <w:color w:val="auto"/>
        </w:rPr>
      </w:pPr>
    </w:p>
    <w:p>
      <w:pPr>
        <w:spacing w:after="0" w:line="227"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On January 31, 2019, the Company acquired an interest in two automotive dealerships for cash and the assumption of floor</w:t>
      </w:r>
      <w:r>
        <w:rPr>
          <w:rFonts w:ascii="Arial" w:cs="Arial" w:eastAsia="Arial" w:hAnsi="Arial"/>
          <w:sz w:val="18"/>
          <w:szCs w:val="18"/>
          <w:b w:val="1"/>
          <w:bCs w:val="1"/>
          <w:color w:val="auto"/>
        </w:rPr>
        <w:t xml:space="preserve"> </w:t>
      </w:r>
      <w:r>
        <w:rPr>
          <w:rFonts w:ascii="Arial" w:cs="Arial" w:eastAsia="Arial" w:hAnsi="Arial"/>
          <w:sz w:val="18"/>
          <w:szCs w:val="18"/>
          <w:color w:val="auto"/>
        </w:rPr>
        <w:t>plan payables. In connection with the acquisition, the automotive subsidiary of the Company borrowed $30 million to finance the acquisition and entered into an interest rate swap to fix the interest rate on the debt at 4.7% per annum. The Company has a 90% interest in the automotive subsidiary. The Company also entered into a management services agreement with an entity affiliated with Christopher J. Ourisman, a member of the Ourisman Automotive Group family of dealerships. Mr. Ourisman and his team will operate and manage the dealerships. In addition, the Company advanced $3.5 million to the minority shareholder, an entity controlled by Mr. Ourisman, at an interest rate of 6% per annum. The acquisition is expected to provide benefits in the future by diversifying the Company’s business operations and is included in other businesses.</w:t>
      </w:r>
    </w:p>
    <w:p>
      <w:pPr>
        <w:spacing w:after="0" w:line="137" w:lineRule="exact"/>
        <w:rPr>
          <w:sz w:val="20"/>
          <w:szCs w:val="20"/>
          <w:color w:val="auto"/>
        </w:rPr>
      </w:pPr>
    </w:p>
    <w:p>
      <w:pPr>
        <w:jc w:val="both"/>
        <w:ind w:right="200"/>
        <w:spacing w:after="0" w:line="229" w:lineRule="auto"/>
        <w:rPr>
          <w:sz w:val="20"/>
          <w:szCs w:val="20"/>
          <w:color w:val="auto"/>
        </w:rPr>
      </w:pPr>
      <w:r>
        <w:rPr>
          <w:rFonts w:ascii="Arial" w:cs="Arial" w:eastAsia="Arial" w:hAnsi="Arial"/>
          <w:sz w:val="18"/>
          <w:szCs w:val="18"/>
          <w:color w:val="auto"/>
        </w:rPr>
        <w:t>During 2018, the Company acquired eight businesses, five in its education division, one in its healthcare division and two in other businesses for $121.1 million in cash and contingent consideration. The assets and liabilities of the companies acquired were recorded at their estimated fair values at the date of acquisition.</w:t>
      </w:r>
    </w:p>
    <w:p>
      <w:pPr>
        <w:spacing w:after="0" w:line="1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In January and February 2018, Kaplan acquired the assets of i-Human Patients, Inc., a provider of cloud-based, interactive patient encounter simulations for medical and nursing professionals and educators, and another small business in test preparation and international, respectively. These acquisitions are expected to provide strategic benefits in the future.</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May 2018, Kaplan acquired a 100% interest in Professional Publications, Inc. (PPI), an independent publisher of professional licensing exam review materials and engineering, surveying, architecture, and interior design licensure exam review, by purchasing all of its issued and outstanding shares. This acquisition is expected to provide certain strategic benefits in the future. This acquisition is included in Professional (U.S.).</w:t>
      </w:r>
    </w:p>
    <w:p>
      <w:pPr>
        <w:spacing w:after="0" w:line="135"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On July 12, 2018, Kaplan acquired 100% of the issued and outstanding shares of the College for Financial Planning (CFFP), a provider of financial education and training to individuals pursuing the Certified Financial Planner certification, a Master of Science in Personal Financial Planning, or a Master of Science in Finance. The acquisition is expected to expand Kaplan’s financial education product offerings and is included in Professional (U.S.).</w:t>
      </w:r>
    </w:p>
    <w:p>
      <w:pPr>
        <w:spacing w:after="0" w:line="135"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On July 31, 2018, Dekko acquired 100% of the issued and outstanding shares of Furnlite, Inc., a Fallston, NC-based manufacturer of power and data solutions for the hospitality and residential furniture industries. Dekko’s primary reasons for the acquisition are to complement existing product offerings and to provide potential synergies across the businesses. The acquisition is included in other businesses.</w:t>
      </w:r>
    </w:p>
    <w:p>
      <w:pPr>
        <w:spacing w:after="0" w:line="137"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In August 2018, SocialCode acquired 100% of the membership interests of Marketplace Strategy (MPS), a Cleveland-based digital marketing agency that provides strategy consulting, optimization services, advertising management and creative solutions on online marketplaces including Amazon. SocialCode’s primary reason for the acquisition is to expand its platform offerings. The acquisition is included in other businesses.</w:t>
      </w:r>
    </w:p>
    <w:p>
      <w:pPr>
        <w:spacing w:after="0" w:line="135"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In September 2018, Graham Healthcare Group (GHG) acquired the assets of a small business and Kaplan acquired the test preparation and study guide assets of Barron’s Educational Series, a New York-based education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97" w:right="239" w:bottom="1440" w:gutter="0" w:footer="0" w:header="0"/>
        </w:sectPr>
      </w:pPr>
    </w:p>
    <w:bookmarkStart w:id="32" w:name="page33"/>
    <w:bookmarkEnd w:id="32"/>
    <w:p>
      <w:pPr>
        <w:ind w:right="140"/>
        <w:spacing w:after="0" w:line="258" w:lineRule="auto"/>
        <w:rPr>
          <w:sz w:val="20"/>
          <w:szCs w:val="20"/>
          <w:color w:val="auto"/>
        </w:rPr>
      </w:pPr>
      <w:r>
        <w:rPr>
          <w:rFonts w:ascii="Arial" w:cs="Arial" w:eastAsia="Arial" w:hAnsi="Arial"/>
          <w:sz w:val="17"/>
          <w:szCs w:val="17"/>
          <w:color w:val="auto"/>
        </w:rPr>
        <w:t>publishing company. The acquisitions are expected to complement the healthcare and test preparation services currently offered by GHG and Kaplan, respectively. GHG is included in the healthcare division. The Barron’s Educational Series acquisition is included in test preparation.</w:t>
      </w:r>
    </w:p>
    <w:p>
      <w:pPr>
        <w:spacing w:after="0" w:line="98" w:lineRule="exact"/>
        <w:rPr>
          <w:sz w:val="20"/>
          <w:szCs w:val="20"/>
          <w:color w:val="auto"/>
        </w:rPr>
      </w:pPr>
    </w:p>
    <w:p>
      <w:pPr>
        <w:spacing w:after="0" w:line="230" w:lineRule="auto"/>
        <w:rPr>
          <w:sz w:val="20"/>
          <w:szCs w:val="20"/>
          <w:color w:val="auto"/>
        </w:rPr>
      </w:pPr>
      <w:r>
        <w:rPr>
          <w:rFonts w:ascii="Arial" w:cs="Arial" w:eastAsia="Arial" w:hAnsi="Arial"/>
          <w:sz w:val="18"/>
          <w:szCs w:val="18"/>
          <w:b w:val="1"/>
          <w:bCs w:val="1"/>
          <w:color w:val="auto"/>
        </w:rPr>
        <w:t xml:space="preserve">Kaplan University Transaction. </w:t>
      </w:r>
      <w:r>
        <w:rPr>
          <w:rFonts w:ascii="Arial" w:cs="Arial" w:eastAsia="Arial" w:hAnsi="Arial"/>
          <w:sz w:val="18"/>
          <w:szCs w:val="18"/>
          <w:color w:val="auto"/>
        </w:rPr>
        <w:t>On March 22, 2018, the Company closed on the Kaplan University (KU) transaction and recorded a pre-tax</w:t>
      </w:r>
      <w:r>
        <w:rPr>
          <w:rFonts w:ascii="Arial" w:cs="Arial" w:eastAsia="Arial" w:hAnsi="Arial"/>
          <w:sz w:val="18"/>
          <w:szCs w:val="18"/>
          <w:b w:val="1"/>
          <w:bCs w:val="1"/>
          <w:color w:val="auto"/>
        </w:rPr>
        <w:t xml:space="preserve"> </w:t>
      </w:r>
      <w:r>
        <w:rPr>
          <w:rFonts w:ascii="Arial" w:cs="Arial" w:eastAsia="Arial" w:hAnsi="Arial"/>
          <w:sz w:val="18"/>
          <w:szCs w:val="18"/>
          <w:color w:val="auto"/>
        </w:rPr>
        <w:t>gain of $4.3 million in the first quarter of 2018. For financial reporting purposes, Kaplan may receive payment of additional consideration related to the sale of the institutional assets as part of its fee to the extent there are sufficient revenues available after paying all amounts required by the Transition and Operations Support Agreement (TOSA). The Company did not recognize any contingent consideration as part of the initial disposition. In the first quarter of 2019, the Company recorded a $0.2 million contingent consideration gain related to the disposition.</w:t>
      </w:r>
    </w:p>
    <w:p>
      <w:pPr>
        <w:spacing w:after="0" w:line="11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February 2018, Kaplan completed the sale of a small business which was included in Test Preparation. In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2018, Kaplan Australia completed the sale of a small business which was included in Kaplan International. As a result of these sales, the Company reported gains in other non-operating income.</w:t>
      </w:r>
    </w:p>
    <w:p>
      <w:pPr>
        <w:spacing w:after="0" w:line="114" w:lineRule="exact"/>
        <w:rPr>
          <w:sz w:val="20"/>
          <w:szCs w:val="20"/>
          <w:color w:val="auto"/>
        </w:rPr>
      </w:pPr>
    </w:p>
    <w:p>
      <w:pPr>
        <w:ind w:right="120"/>
        <w:spacing w:after="0" w:line="233"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March 2019, a Hoover minority shareholder put some of his shares to the Company, which had a redemption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$0.6 million. Following the redemption, the Company owns 98.01% of Hoover. In June 2018, the Company incurred $6.2 million of interest expense related to the mandatorily redeemable noncontrolling interest redemption settlement at GHG. The mandatorily redeemable noncontrolling interest was redeemed and paid in July 2018.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66"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During the first three months of 2019, the Company’s capital expenditures totaled $26.1 million. This amount includes assets acquired during the year, whereas the amounts reflected in the Company’s Condensed Consolidated Statements of Cash Flows are based on cash payments made during the relevant periods. The Company estimates that its capital expenditures will be in the range of $95 million to $105 million in 2019. This includes amounts for constructing an academic and student residential facility in connection with Kaplan’s Pathways program in Liverpool, U.K. This also includes capital expenditures in connection with spectrum repacking at the Company’s television stations in Detroit, MI, Jacksonville, FL, and Roanoke, VA, as mandated by the FCC; these expenditures are expected to be largely reimbursed to the Company by the FCC.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were $509.8 million and $477.1 million, at March 31, 2019 and December 31, 2018, respectively.</w:t>
      </w:r>
    </w:p>
    <w:p>
      <w:pPr>
        <w:spacing w:after="0" w:line="144"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At March 31, 2019, the Company had cash and cash equivalents, restricted cash and investments in marketable securities and other investments totaling $719.1 million, compared with $778.7 million at December 31, 2018. At March 31, 2019, the Company held approximately $92 million in cash and cash equivalents in businesses domiciled outside the U.S., of which approximately $8 million is not available for immediate use in operations or for distribution. Additionally, Kaplan’s business operations outside the U.S. retain cash balances to support ongoing working capital requirements, capital expenditures, and regulatory requirements. As a result, the Company considers a significant portion of the cash and cash equivalents balance held outside the U.S. as not readily available for use in U.S. operations.</w:t>
      </w:r>
    </w:p>
    <w:p>
      <w:pPr>
        <w:spacing w:after="0" w:line="137"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The Company’s net cash used by operating activities, as reported in the Company’s Condensed Consolidated Statements of Cash Flows, was $37.9 million for the first three months of 2019, compared to net cash provided by operating activities of $19.0 million for the first three months of 2018. The decrease is due to changes in working capital, payroll timing and an increase in incentive compensation payments.</w:t>
      </w:r>
    </w:p>
    <w:p>
      <w:pPr>
        <w:spacing w:after="0" w:line="137"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On January 31, 2019, the Company’s automotive subsidiary entered into a Commercial Note with SunTrust Bank in an aggregate principal amount of $30 million. The Commercial Note is payable over a 10-year period in monthly installments of $0.25 million, plus accrued and unpaid interest, due on the first of each month, with a final payment on January 31, 2029. The Commercial Note bears interest at LIBOR plus an applicable interest rate of 1.75% or 2.00% per annum, in each case determined on a quarterly basis based upon the automotive subsidiary’s Adjusted Leverage Ratio. The Commercial Note contains terms and conditions, including remedies in the event of a default by the automotive subsidiary. On the same date, the Company’s automotive subsidiary entered into an interest rate swap agreement with a total notional value of $30 million and a maturity date of January 31, 2029. The interest rate swap agreement will pay the automotive subsidiary variable interest on the $30 million notional amount at the one-month LIBOR, and the automotive subsidiary will pay counterparties a fixed rate of 2.7%, effectively resulting in a total fixed interest rate of 4.7% on the outstanding borrowings at the current applicable margin of 2.0%. The interest rate swap agreement was entered into to convert the variable rate borrowing under the Commercial Note into a fixed rate borrowing. Based on the terms of the interest rate swap agreement and the underlying borrowing, the interest rate swap was determined to be effective and thus qualifies as a cash flow hedge. As such, changes in the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719" w:right="259" w:bottom="1440" w:gutter="0" w:footer="0" w:header="0"/>
        </w:sectPr>
      </w:pPr>
    </w:p>
    <w:bookmarkStart w:id="33" w:name="page34"/>
    <w:bookmarkEnd w:id="33"/>
    <w:p>
      <w:pPr>
        <w:ind w:right="560"/>
        <w:spacing w:after="0" w:line="235" w:lineRule="auto"/>
        <w:rPr>
          <w:sz w:val="20"/>
          <w:szCs w:val="20"/>
          <w:color w:val="auto"/>
        </w:rPr>
      </w:pPr>
      <w:r>
        <w:rPr>
          <w:rFonts w:ascii="Arial" w:cs="Arial" w:eastAsia="Arial" w:hAnsi="Arial"/>
          <w:sz w:val="18"/>
          <w:szCs w:val="18"/>
          <w:color w:val="auto"/>
        </w:rPr>
        <w:t>fair value of the interest rate swap are recorded in other comprehensive income on the accompanying Condensed Consolidated Balance Sheets until earnings are affected by the variability of cash flows.</w:t>
      </w:r>
    </w:p>
    <w:p>
      <w:pPr>
        <w:spacing w:after="0" w:line="13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Company finances all new vehicle inventory through a standardized floor plan facility (the “floor plan facility”) with SunTrust Bank. The new vehicle floor plan facility bears interest at variable rates that are based on LIBOR plus 1.15% per annum. The weighted average interest rate for the floor plan facility was 3.5% for the three months ended March 31, 2019. As of March 31, 2019, the aggregate capacity under the floor plan facility was $40 million, of which $35.3 million had been utilized, and is included in accounts payable and accrued liabilities in the Condensed Consolidated Balance Sheet.</w:t>
      </w:r>
    </w:p>
    <w:p>
      <w:pPr>
        <w:spacing w:after="0" w:line="137" w:lineRule="exact"/>
        <w:rPr>
          <w:sz w:val="20"/>
          <w:szCs w:val="20"/>
          <w:color w:val="auto"/>
        </w:rPr>
      </w:pPr>
    </w:p>
    <w:p>
      <w:pPr>
        <w:ind w:right="420"/>
        <w:spacing w:after="0" w:line="229" w:lineRule="auto"/>
        <w:rPr>
          <w:sz w:val="20"/>
          <w:szCs w:val="20"/>
          <w:color w:val="auto"/>
        </w:rPr>
      </w:pPr>
      <w:r>
        <w:rPr>
          <w:rFonts w:ascii="Arial" w:cs="Arial" w:eastAsia="Arial" w:hAnsi="Arial"/>
          <w:sz w:val="18"/>
          <w:szCs w:val="18"/>
          <w:color w:val="auto"/>
        </w:rPr>
        <w:t>The floor plan facility is collateralized by vehicle inventory and other assets of the relevant dealership subsidiary, and contains a number of covenants, including, among others, covenants restricting the dealership subsidiary with respect to the creation of liens and changes in ownership, officers and key management personnel.</w:t>
      </w:r>
    </w:p>
    <w:p>
      <w:pPr>
        <w:spacing w:after="0" w:line="13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On May 30, 2018, the Company issued $400 million senior unsecured fixed-rate notes due June 1, 2026 (the Notes). The Notes are guaranteed, jointly and severally, on a senior unsecured basis, by certain of the Company’s existing and future domestic subsidiaries, as described in the terms of the indenture, dated as of May 30, 2018 (the Indenture). The Notes have a coupon rate of 5.75% per annum, payable semi-annually on June 1 and December 1. The Company may redeem the Notes in whole or in part at any time at the respective redemption prices described in the Indenture.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On June 29, 2018, the Company used the net proceeds from the sale of the Notes, together with cash on hand, to redeem the $400 million of</w:t>
      </w:r>
    </w:p>
    <w:p>
      <w:pPr>
        <w:spacing w:after="0" w:line="219" w:lineRule="auto"/>
        <w:rPr>
          <w:sz w:val="20"/>
          <w:szCs w:val="20"/>
          <w:color w:val="auto"/>
        </w:rPr>
      </w:pPr>
      <w:r>
        <w:rPr>
          <w:rFonts w:ascii="Arial" w:cs="Arial" w:eastAsia="Arial" w:hAnsi="Arial"/>
          <w:sz w:val="18"/>
          <w:szCs w:val="18"/>
          <w:color w:val="auto"/>
        </w:rPr>
        <w:t>7.25% notes due February 1, 2019. The Company incurred $11.4 million in debt extinguishment costs in relation to the early termination of the</w:t>
      </w:r>
    </w:p>
    <w:p>
      <w:pPr>
        <w:spacing w:after="0"/>
        <w:rPr>
          <w:sz w:val="20"/>
          <w:szCs w:val="20"/>
          <w:color w:val="auto"/>
        </w:rPr>
      </w:pPr>
      <w:r>
        <w:rPr>
          <w:rFonts w:ascii="Arial" w:cs="Arial" w:eastAsia="Arial" w:hAnsi="Arial"/>
          <w:sz w:val="18"/>
          <w:szCs w:val="18"/>
          <w:color w:val="auto"/>
        </w:rPr>
        <w:t>7.25% notes.</w:t>
      </w:r>
    </w:p>
    <w:p>
      <w:pPr>
        <w:spacing w:after="0" w:line="144"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In combination with the issuance of the Notes, the Company and certain of the Company’s domestic subsidiaries named therein as guarantors entered into an amended and restated credit agreement providing for a U.S. $300 million five-year revolving credit facility (the Revolving Credit Facility) with each of the lenders party thereto, certain of the Company’s foreign subsidiaries from time to time party thereto as foreign borrowers, Wells Fargo Bank, N.A., as Administrative Agent (Wells Fargo), JPMorgan Chase Bank, N.A., as Syndication Agent, and HSBC Bank USA, N.A. and Bank of America, N.A. as Documentation Agents (the Amended and Restated Credit Agreement), which amends and restates the Company’s existing Five Year Credit Agreement, dated as of June 29, 2015, among the Company, certain of its domestic subsidiaries as guarantors, the several lenders from time to time party thereto, Wells Fargo Bank, N.A., as Administrative Agent and JPMorgan Chase Bank, N.A., as Syndication Agent (the Existing Credit Agreement). The Amended and Restated Credit Agreement amends the Existing Credit Agreement to (i) extend the maturity of the Revolving Credit Facility to May 30, 2023, unless the Company and the lenders agree to further extend the term, (ii) increase the aggregate principal amount of the Revolving Credit Facility to U.S. $300 million, consisting of a U.S. Dollar tranche of U.S. $200 million for borrowings in U.S. Dollars and a multicurrency tranche equivalent to U.S. $100 million for borrowings in U.S. Dollars and certain foreign currencies, (iii) provide for borrowings under the Revolving Credit Facility in U.S. Dollars and certain other foreign currencies specified in the Amended and Restated Credit Agreement, (iv) permit certain foreign subsidiaries of the Company to be added to the Amended and Restated Credit Agreement as foreign borrowers thereunder and (v) effect certain other modifications to the Existing Credit Agreement.</w:t>
      </w:r>
    </w:p>
    <w:p>
      <w:pPr>
        <w:spacing w:after="0" w:line="139"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Under the Amended and Restated Credit Agreement, the Company is required to pay a commitment fee on a quarterly basis, based on the Company’s leverage ratio, of between 0.15% and 0.25% of the amount of the average daily unused portion of the Revolving Credit Facility. Any borrowings under the Amended and Restated Credit Agreement are made on an unsecured basis and bear interest at the Company’s option, either at (a) a fluctuating interest rate equal to the highest of Wells Fargo’s prime rate, 0.5 percent above the Federal funds rate or the one-month Eurodollar rate plus 1%, or (b) the Eurodollar rate for the applicable currency and interest period as defined in the Amended and Restated Credit Agreement, which is generally a periodic rate equal to LIBOR, CDOR, BBSY or SOR, as applicable, in the case of each of clauses (a) and (b) plus an applicable margin that depends on the Company’s consolidated debt to consolidated adjusted EBITDA (as determined pursuant to the Amended and Restated Credit Agreement, Total Net Leverage Ratio). The Company and its foreign subsidiaries may draw on the Revolving Credit Facility for general corporate purposes. Any outstanding borrowings must be repaid on or prior to the final termination date. The Amended and Restated Credit Agreement contains terms and conditions, including remedies in the event of a default by the Company, typical of facilities of this type and requires the Company to maintain a Total Net Leverage Ratio of not greater than 3.5 to 1.0 and a consolidated interest coverage ratio of at least 3.5 to 1.0 based upon the ratio of consolidated adjusted EBITDA to consolidated interest expense as determined pursuant to the Amended and Restated Credit Agreement.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On May 21, 2018, Moody’s affirmed the Company’s credit ratings, but revised the outlook from Negative to Stable.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19"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540" w:type="dxa"/>
            <w:vAlign w:val="bottom"/>
          </w:tcPr>
          <w:p>
            <w:pPr>
              <w:jc w:val="center"/>
              <w:ind w:left="5"/>
              <w:spacing w:after="0"/>
              <w:rPr>
                <w:sz w:val="20"/>
                <w:szCs w:val="20"/>
                <w:color w:val="auto"/>
              </w:rPr>
            </w:pPr>
            <w:r>
              <w:rPr>
                <w:rFonts w:ascii="Arial" w:cs="Arial" w:eastAsia="Arial" w:hAnsi="Arial"/>
                <w:sz w:val="14"/>
                <w:szCs w:val="14"/>
                <w:b w:val="1"/>
                <w:bCs w:val="1"/>
                <w:color w:val="auto"/>
              </w:rPr>
              <w:t>Standard</w:t>
            </w:r>
          </w:p>
        </w:tc>
      </w:tr>
      <w:tr>
        <w:trPr>
          <w:trHeight w:val="196"/>
        </w:trPr>
        <w:tc>
          <w:tcPr>
            <w:tcW w:w="4780" w:type="dxa"/>
            <w:vAlign w:val="bottom"/>
            <w:tcBorders>
              <w:bottom w:val="single" w:sz="8" w:color="auto"/>
            </w:tcBorders>
          </w:tcPr>
          <w:p>
            <w:pPr>
              <w:spacing w:after="0"/>
              <w:rPr>
                <w:sz w:val="17"/>
                <w:szCs w:val="17"/>
                <w:color w:val="auto"/>
              </w:rPr>
            </w:pPr>
          </w:p>
        </w:tc>
        <w:tc>
          <w:tcPr>
            <w:tcW w:w="5100" w:type="dxa"/>
            <w:vAlign w:val="bottom"/>
            <w:tcBorders>
              <w:bottom w:val="single" w:sz="8" w:color="auto"/>
            </w:tcBorders>
          </w:tcPr>
          <w:p>
            <w:pPr>
              <w:jc w:val="center"/>
              <w:ind w:left="3443"/>
              <w:spacing w:after="0"/>
              <w:rPr>
                <w:sz w:val="20"/>
                <w:szCs w:val="20"/>
                <w:color w:val="auto"/>
              </w:rPr>
            </w:pPr>
            <w:r>
              <w:rPr>
                <w:rFonts w:ascii="Arial" w:cs="Arial" w:eastAsia="Arial" w:hAnsi="Arial"/>
                <w:sz w:val="14"/>
                <w:szCs w:val="14"/>
                <w:b w:val="1"/>
                <w:bCs w:val="1"/>
                <w:color w:val="auto"/>
              </w:rPr>
              <w:t>Moody’s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&amp; Poor’s</w:t>
            </w:r>
          </w:p>
        </w:tc>
      </w:tr>
      <w:tr>
        <w:trPr>
          <w:trHeight w:val="250"/>
        </w:trPr>
        <w:tc>
          <w:tcPr>
            <w:tcW w:w="4780" w:type="dxa"/>
            <w:vAlign w:val="bottom"/>
          </w:tcPr>
          <w:p>
            <w:pPr>
              <w:ind w:left="40"/>
              <w:spacing w:after="0"/>
              <w:rPr>
                <w:sz w:val="20"/>
                <w:szCs w:val="20"/>
                <w:color w:val="auto"/>
              </w:rPr>
            </w:pPr>
            <w:r>
              <w:rPr>
                <w:rFonts w:ascii="Arial" w:cs="Arial" w:eastAsia="Arial" w:hAnsi="Arial"/>
                <w:sz w:val="16"/>
                <w:szCs w:val="16"/>
                <w:color w:val="auto"/>
              </w:rPr>
              <w:t>Long-term</w:t>
            </w:r>
          </w:p>
        </w:tc>
        <w:tc>
          <w:tcPr>
            <w:tcW w:w="5100" w:type="dxa"/>
            <w:vAlign w:val="bottom"/>
          </w:tcPr>
          <w:p>
            <w:pPr>
              <w:jc w:val="center"/>
              <w:ind w:left="3423"/>
              <w:spacing w:after="0"/>
              <w:rPr>
                <w:sz w:val="20"/>
                <w:szCs w:val="20"/>
                <w:color w:val="auto"/>
              </w:rPr>
            </w:pPr>
            <w:r>
              <w:rPr>
                <w:rFonts w:ascii="Arial" w:cs="Arial" w:eastAsia="Arial" w:hAnsi="Arial"/>
                <w:sz w:val="16"/>
                <w:szCs w:val="16"/>
                <w:color w:val="auto"/>
                <w:w w:val="98"/>
              </w:rPr>
              <w:t>Ba1</w:t>
            </w:r>
          </w:p>
        </w:tc>
        <w:tc>
          <w:tcPr>
            <w:tcW w:w="1540" w:type="dxa"/>
            <w:vAlign w:val="bottom"/>
          </w:tcPr>
          <w:p>
            <w:pPr>
              <w:jc w:val="center"/>
              <w:spacing w:after="0"/>
              <w:rPr>
                <w:sz w:val="20"/>
                <w:szCs w:val="20"/>
                <w:color w:val="auto"/>
              </w:rPr>
            </w:pPr>
            <w:r>
              <w:rPr>
                <w:rFonts w:ascii="Arial" w:cs="Arial" w:eastAsia="Arial" w:hAnsi="Arial"/>
                <w:sz w:val="16"/>
                <w:szCs w:val="16"/>
                <w:color w:val="auto"/>
              </w:rPr>
              <w:t>BB+</w:t>
            </w:r>
          </w:p>
        </w:tc>
      </w:tr>
    </w:tbl>
    <w:p>
      <w:pPr>
        <w:spacing w:after="0" w:line="16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At March 31, 2019 and December 31, 2018, the Company had working capital of $647.8 million and $ 720.2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In management’s opinion, the Company will have sufficient liquidity to meet its various cash needs within the next 12 months.</w:t>
      </w:r>
    </w:p>
    <w:p>
      <w:pPr>
        <w:spacing w:after="0" w:line="137" w:lineRule="exact"/>
        <w:rPr>
          <w:sz w:val="20"/>
          <w:szCs w:val="20"/>
          <w:color w:val="auto"/>
        </w:rPr>
      </w:pPr>
    </w:p>
    <w:p>
      <w:pPr>
        <w:jc w:val="both"/>
        <w:ind w:right="120"/>
        <w:spacing w:after="0" w:line="229" w:lineRule="auto"/>
        <w:rPr>
          <w:sz w:val="20"/>
          <w:szCs w:val="20"/>
          <w:color w:val="auto"/>
        </w:rPr>
      </w:pPr>
      <w:r>
        <w:rPr>
          <w:rFonts w:ascii="Arial" w:cs="Arial" w:eastAsia="Arial" w:hAnsi="Arial"/>
          <w:sz w:val="18"/>
          <w:szCs w:val="18"/>
          <w:color w:val="auto"/>
        </w:rPr>
        <w:t>The Company adopted the new lease accounting guidance on January 1, 2019 and recognized right-of-use assets of $369.3 million and lease liabilities of $418.3 million. Please refer to Note 1 - Organization, Basis of Presentation and Recent Accounting Pronouncements and Note 6 - Leases for further discussion of the new lease accounting guidance.</w:t>
      </w:r>
    </w:p>
    <w:p>
      <w:pPr>
        <w:spacing w:after="0" w:line="137"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6"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2018 Annual Report filed on Form 10-K have not otherwise changed significantly.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80"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Chief Financial Officer (the Company’s principal financial officer), of the effectiveness of the Company’s disclosure controls and procedures (as defined in Exchange Act Rules 13a-15(e) and 15d-15(e)), as of March 31, 2019. Based on that evaluation, the Company’s Chief Executive Officer and Chief Financial Officer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Chief Financial Officer, in a manner that allows timely decisions regarding required disclosure.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80" w:lineRule="exact"/>
        <w:rPr>
          <w:sz w:val="20"/>
          <w:szCs w:val="20"/>
          <w:color w:val="auto"/>
        </w:rPr>
      </w:pPr>
    </w:p>
    <w:p>
      <w:pPr>
        <w:ind w:right="700"/>
        <w:spacing w:after="0" w:line="235" w:lineRule="auto"/>
        <w:rPr>
          <w:sz w:val="20"/>
          <w:szCs w:val="20"/>
          <w:color w:val="auto"/>
        </w:rPr>
      </w:pPr>
      <w:r>
        <w:rPr>
          <w:rFonts w:ascii="Arial" w:cs="Arial" w:eastAsia="Arial" w:hAnsi="Arial"/>
          <w:sz w:val="18"/>
          <w:szCs w:val="18"/>
          <w:color w:val="222222"/>
        </w:rPr>
        <w:t xml:space="preserve">There has been no change in the Company’s internal control over financial reporting during the quarter ended </w:t>
      </w:r>
      <w:r>
        <w:rPr>
          <w:rFonts w:ascii="Arial" w:cs="Arial" w:eastAsia="Arial" w:hAnsi="Arial"/>
          <w:sz w:val="18"/>
          <w:szCs w:val="18"/>
          <w:color w:val="000000"/>
        </w:rPr>
        <w:t>March 31, 2019</w:t>
      </w:r>
      <w:r>
        <w:rPr>
          <w:rFonts w:ascii="Arial" w:cs="Arial" w:eastAsia="Arial" w:hAnsi="Arial"/>
          <w:sz w:val="18"/>
          <w:szCs w:val="18"/>
          <w:color w:val="222222"/>
        </w:rPr>
        <w:t xml:space="preserve"> that has materially affected, or is reasonably likely to materially affect, the Company’s internal control over financial reporting.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19"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9"/>
        </w:trPr>
        <w:tc>
          <w:tcPr>
            <w:tcW w:w="1080" w:type="dxa"/>
            <w:vAlign w:val="bottom"/>
          </w:tcPr>
          <w:p>
            <w:pPr>
              <w:spacing w:after="0"/>
              <w:rPr>
                <w:sz w:val="20"/>
                <w:szCs w:val="20"/>
                <w:color w:val="auto"/>
              </w:rPr>
            </w:pPr>
          </w:p>
        </w:tc>
        <w:tc>
          <w:tcPr>
            <w:tcW w:w="10340" w:type="dxa"/>
            <w:vAlign w:val="bottom"/>
            <w:gridSpan w:val="15"/>
          </w:tcPr>
          <w:p>
            <w:pPr>
              <w:ind w:left="3300"/>
              <w:spacing w:after="0"/>
              <w:rPr>
                <w:sz w:val="20"/>
                <w:szCs w:val="20"/>
                <w:color w:val="auto"/>
              </w:rPr>
            </w:pPr>
            <w:r>
              <w:rPr>
                <w:rFonts w:ascii="Arial" w:cs="Arial" w:eastAsia="Arial" w:hAnsi="Arial"/>
                <w:sz w:val="18"/>
                <w:szCs w:val="18"/>
                <w:b w:val="1"/>
                <w:bCs w:val="1"/>
                <w:color w:val="auto"/>
              </w:rPr>
              <w:t>PART II. OTHER INFORMATION</w:t>
            </w:r>
          </w:p>
        </w:tc>
        <w:tc>
          <w:tcPr>
            <w:tcW w:w="0" w:type="dxa"/>
            <w:vAlign w:val="bottom"/>
          </w:tcPr>
          <w:p>
            <w:pPr>
              <w:spacing w:after="0"/>
              <w:rPr>
                <w:sz w:val="1"/>
                <w:szCs w:val="1"/>
                <w:color w:val="auto"/>
              </w:rPr>
            </w:pPr>
          </w:p>
        </w:tc>
      </w:tr>
      <w:tr>
        <w:trPr>
          <w:trHeight w:val="351"/>
        </w:trPr>
        <w:tc>
          <w:tcPr>
            <w:tcW w:w="11420" w:type="dxa"/>
            <w:vAlign w:val="bottom"/>
            <w:gridSpan w:val="16"/>
          </w:tcPr>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97"/>
        </w:trPr>
        <w:tc>
          <w:tcPr>
            <w:tcW w:w="108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4040" w:type="dxa"/>
            <w:vAlign w:val="bottom"/>
          </w:tcPr>
          <w:p>
            <w:pPr>
              <w:spacing w:after="0"/>
              <w:rPr>
                <w:sz w:val="24"/>
                <w:szCs w:val="24"/>
                <w:color w:val="auto"/>
              </w:rPr>
            </w:pPr>
          </w:p>
        </w:tc>
        <w:tc>
          <w:tcPr>
            <w:tcW w:w="6300" w:type="dxa"/>
            <w:vAlign w:val="bottom"/>
            <w:gridSpan w:val="14"/>
            <w:vMerge w:val="restart"/>
          </w:tcPr>
          <w:p>
            <w:pPr>
              <w:ind w:left="6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6"/>
        </w:trPr>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4040" w:type="dxa"/>
            <w:vAlign w:val="bottom"/>
            <w:tcBorders>
              <w:bottom w:val="single" w:sz="8" w:color="auto"/>
            </w:tcBorders>
          </w:tcPr>
          <w:p>
            <w:pPr>
              <w:spacing w:after="0"/>
              <w:rPr>
                <w:sz w:val="17"/>
                <w:szCs w:val="17"/>
                <w:color w:val="auto"/>
              </w:rPr>
            </w:pPr>
          </w:p>
        </w:tc>
        <w:tc>
          <w:tcPr>
            <w:tcW w:w="6300" w:type="dxa"/>
            <w:vAlign w:val="bottom"/>
            <w:tcBorders>
              <w:bottom w:val="single" w:sz="8" w:color="auto"/>
            </w:tcBorders>
            <w:gridSpan w:val="1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72"/>
        </w:trPr>
        <w:tc>
          <w:tcPr>
            <w:tcW w:w="1080" w:type="dxa"/>
            <w:vAlign w:val="bottom"/>
          </w:tcPr>
          <w:p>
            <w:pPr>
              <w:ind w:left="180"/>
              <w:spacing w:after="0"/>
              <w:rPr>
                <w:sz w:val="20"/>
                <w:szCs w:val="20"/>
                <w:color w:val="auto"/>
              </w:rPr>
            </w:pPr>
            <w:r>
              <w:rPr>
                <w:rFonts w:ascii="Arial" w:cs="Arial" w:eastAsia="Arial" w:hAnsi="Arial"/>
                <w:sz w:val="16"/>
                <w:szCs w:val="16"/>
                <w:color w:val="auto"/>
              </w:rPr>
              <w:t>3.1</w:t>
            </w:r>
          </w:p>
        </w:tc>
        <w:tc>
          <w:tcPr>
            <w:tcW w:w="10340" w:type="dxa"/>
            <w:vAlign w:val="bottom"/>
            <w:gridSpan w:val="15"/>
          </w:tcPr>
          <w:p>
            <w:pPr>
              <w:spacing w:after="0"/>
              <w:rPr>
                <w:rFonts w:ascii="Arial" w:cs="Arial" w:eastAsia="Arial" w:hAnsi="Arial"/>
                <w:sz w:val="16"/>
                <w:szCs w:val="16"/>
                <w:color w:val="0000FF"/>
              </w:rPr>
            </w:pPr>
            <w:hyperlink r:id="rId22">
              <w:r>
                <w:rPr>
                  <w:rFonts w:ascii="Arial" w:cs="Arial" w:eastAsia="Arial" w:hAnsi="Arial"/>
                  <w:sz w:val="16"/>
                  <w:szCs w:val="16"/>
                  <w:color w:val="0000FF"/>
                </w:rPr>
                <w:t>Restated Certificate of Incorporation of the Company dated November 13, 2003 (incorporated by reference to Exhibit 3.1 to the Company’s</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9920" w:type="dxa"/>
            <w:vAlign w:val="bottom"/>
            <w:tcBorders>
              <w:top w:val="single" w:sz="8" w:color="0000FF"/>
            </w:tcBorders>
            <w:gridSpan w:val="8"/>
          </w:tcPr>
          <w:p>
            <w:pPr>
              <w:spacing w:after="0" w:line="169" w:lineRule="exact"/>
              <w:rPr>
                <w:rFonts w:ascii="Arial" w:cs="Arial" w:eastAsia="Arial" w:hAnsi="Arial"/>
                <w:sz w:val="16"/>
                <w:szCs w:val="16"/>
                <w:color w:val="0000FF"/>
              </w:rPr>
            </w:pPr>
            <w:hyperlink r:id="rId22">
              <w:r>
                <w:rPr>
                  <w:rFonts w:ascii="Arial" w:cs="Arial" w:eastAsia="Arial" w:hAnsi="Arial"/>
                  <w:sz w:val="16"/>
                  <w:szCs w:val="16"/>
                  <w:color w:val="0000FF"/>
                </w:rPr>
                <w:t>Annual Report on Form 10-K for the fiscal year ended December 28, 2003).</w:t>
              </w:r>
            </w:hyperlink>
          </w:p>
        </w:tc>
        <w:tc>
          <w:tcPr>
            <w:tcW w:w="42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80" w:type="dxa"/>
            <w:vAlign w:val="bottom"/>
          </w:tcPr>
          <w:p>
            <w:pPr>
              <w:ind w:left="180"/>
              <w:spacing w:after="0"/>
              <w:rPr>
                <w:sz w:val="20"/>
                <w:szCs w:val="20"/>
                <w:color w:val="auto"/>
              </w:rPr>
            </w:pPr>
            <w:r>
              <w:rPr>
                <w:rFonts w:ascii="Arial" w:cs="Arial" w:eastAsia="Arial" w:hAnsi="Arial"/>
                <w:sz w:val="16"/>
                <w:szCs w:val="16"/>
                <w:color w:val="auto"/>
              </w:rPr>
              <w:t>3.2</w:t>
            </w:r>
          </w:p>
        </w:tc>
        <w:tc>
          <w:tcPr>
            <w:tcW w:w="10260" w:type="dxa"/>
            <w:vAlign w:val="bottom"/>
            <w:tcBorders>
              <w:bottom w:val="single" w:sz="8" w:color="0000FF"/>
            </w:tcBorders>
            <w:gridSpan w:val="14"/>
          </w:tcPr>
          <w:p>
            <w:pPr>
              <w:spacing w:after="0"/>
              <w:rPr>
                <w:rFonts w:ascii="Arial" w:cs="Arial" w:eastAsia="Arial" w:hAnsi="Arial"/>
                <w:sz w:val="16"/>
                <w:szCs w:val="16"/>
                <w:color w:val="0000FF"/>
              </w:rPr>
            </w:pPr>
            <w:hyperlink r:id="rId23">
              <w:r>
                <w:rPr>
                  <w:rFonts w:ascii="Arial" w:cs="Arial" w:eastAsia="Arial" w:hAnsi="Arial"/>
                  <w:sz w:val="16"/>
                  <w:szCs w:val="16"/>
                  <w:color w:val="0000FF"/>
                </w:rPr>
                <w:t>Certificate of Amendment, effective November 29, 2013, to the Restated Certificate of Incorporation of the Company (incorporated by reference</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6280" w:type="dxa"/>
            <w:vAlign w:val="bottom"/>
            <w:tcBorders>
              <w:bottom w:val="single" w:sz="8" w:color="0000FF"/>
            </w:tcBorders>
            <w:gridSpan w:val="6"/>
          </w:tcPr>
          <w:p>
            <w:pPr>
              <w:spacing w:after="0" w:line="169" w:lineRule="exact"/>
              <w:rPr>
                <w:rFonts w:ascii="Arial" w:cs="Arial" w:eastAsia="Arial" w:hAnsi="Arial"/>
                <w:sz w:val="16"/>
                <w:szCs w:val="16"/>
                <w:color w:val="0000FF"/>
              </w:rPr>
            </w:pPr>
            <w:hyperlink r:id="rId23">
              <w:r>
                <w:rPr>
                  <w:rFonts w:ascii="Arial" w:cs="Arial" w:eastAsia="Arial" w:hAnsi="Arial"/>
                  <w:sz w:val="16"/>
                  <w:szCs w:val="16"/>
                  <w:color w:val="0000FF"/>
                </w:rPr>
                <w:t>to Exhibit 3.1 to the Company’s current Report on Form 8-K dated November 29, 2013).</w:t>
              </w:r>
            </w:hyperlink>
          </w:p>
        </w:tc>
        <w:tc>
          <w:tcPr>
            <w:tcW w:w="406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080" w:type="dxa"/>
            <w:vAlign w:val="bottom"/>
          </w:tcPr>
          <w:p>
            <w:pPr>
              <w:ind w:left="180"/>
              <w:spacing w:after="0"/>
              <w:rPr>
                <w:sz w:val="20"/>
                <w:szCs w:val="20"/>
                <w:color w:val="auto"/>
              </w:rPr>
            </w:pPr>
            <w:r>
              <w:rPr>
                <w:rFonts w:ascii="Arial" w:cs="Arial" w:eastAsia="Arial" w:hAnsi="Arial"/>
                <w:sz w:val="16"/>
                <w:szCs w:val="16"/>
                <w:color w:val="auto"/>
              </w:rPr>
              <w:t>3.3</w:t>
            </w:r>
          </w:p>
        </w:tc>
        <w:tc>
          <w:tcPr>
            <w:tcW w:w="10340" w:type="dxa"/>
            <w:vAlign w:val="bottom"/>
            <w:gridSpan w:val="15"/>
          </w:tcPr>
          <w:p>
            <w:pPr>
              <w:spacing w:after="0"/>
              <w:rPr>
                <w:rFonts w:ascii="Arial" w:cs="Arial" w:eastAsia="Arial" w:hAnsi="Arial"/>
                <w:sz w:val="16"/>
                <w:szCs w:val="16"/>
                <w:color w:val="0000FF"/>
              </w:rPr>
            </w:pPr>
            <w:hyperlink r:id="rId24">
              <w:r>
                <w:rPr>
                  <w:rFonts w:ascii="Arial" w:cs="Arial" w:eastAsia="Arial" w:hAnsi="Arial"/>
                  <w:sz w:val="16"/>
                  <w:szCs w:val="16"/>
                  <w:color w:val="0000FF"/>
                </w:rPr>
                <w:t>By-Laws of the Company as amended and restated through November 29, 2013 (incorporated by reference to Exhibit 3.2 to the Company’s</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404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rPr>
            </w:pPr>
            <w:hyperlink r:id="rId24">
              <w:r>
                <w:rPr>
                  <w:rFonts w:ascii="Arial" w:cs="Arial" w:eastAsia="Arial" w:hAnsi="Arial"/>
                  <w:sz w:val="16"/>
                  <w:szCs w:val="16"/>
                  <w:color w:val="0000FF"/>
                </w:rPr>
                <w:t>Current Report on Form 8-K dated November 29, 2013).</w:t>
              </w:r>
            </w:hyperlink>
          </w:p>
        </w:tc>
        <w:tc>
          <w:tcPr>
            <w:tcW w:w="5940" w:type="dxa"/>
            <w:vAlign w:val="bottom"/>
            <w:tcBorders>
              <w:top w:val="single" w:sz="8" w:color="0000FF"/>
            </w:tcBorders>
            <w:gridSpan w:val="8"/>
          </w:tcPr>
          <w:p>
            <w:pPr>
              <w:spacing w:after="0"/>
              <w:rPr>
                <w:sz w:val="14"/>
                <w:szCs w:val="14"/>
                <w:color w:val="auto"/>
              </w:rPr>
            </w:pPr>
          </w:p>
        </w:tc>
        <w:tc>
          <w:tcPr>
            <w:tcW w:w="36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080" w:type="dxa"/>
            <w:vAlign w:val="bottom"/>
          </w:tcPr>
          <w:p>
            <w:pPr>
              <w:ind w:left="180"/>
              <w:spacing w:after="0"/>
              <w:rPr>
                <w:sz w:val="20"/>
                <w:szCs w:val="20"/>
                <w:color w:val="auto"/>
              </w:rPr>
            </w:pPr>
            <w:r>
              <w:rPr>
                <w:rFonts w:ascii="Arial" w:cs="Arial" w:eastAsia="Arial" w:hAnsi="Arial"/>
                <w:sz w:val="16"/>
                <w:szCs w:val="16"/>
                <w:color w:val="auto"/>
              </w:rPr>
              <w:t>4.1</w:t>
            </w:r>
          </w:p>
        </w:tc>
        <w:tc>
          <w:tcPr>
            <w:tcW w:w="10340" w:type="dxa"/>
            <w:vAlign w:val="bottom"/>
            <w:gridSpan w:val="15"/>
          </w:tcPr>
          <w:p>
            <w:pPr>
              <w:spacing w:after="0"/>
              <w:rPr>
                <w:rFonts w:ascii="Arial" w:cs="Arial" w:eastAsia="Arial" w:hAnsi="Arial"/>
                <w:sz w:val="16"/>
                <w:szCs w:val="16"/>
                <w:color w:val="0000FF"/>
              </w:rPr>
            </w:pPr>
            <w:hyperlink r:id="rId25">
              <w:r>
                <w:rPr>
                  <w:rFonts w:ascii="Arial" w:cs="Arial" w:eastAsia="Arial" w:hAnsi="Arial"/>
                  <w:sz w:val="16"/>
                  <w:szCs w:val="16"/>
                  <w:color w:val="0000FF"/>
                </w:rPr>
                <w:t>Senior Notes Indenture dated as of May 30, 2018, between the Company and The Bank of New York Mellon Trust Company, N.A., as Trustee</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7820" w:type="dxa"/>
            <w:vAlign w:val="bottom"/>
            <w:tcBorders>
              <w:top w:val="single" w:sz="8" w:color="0000FF"/>
              <w:bottom w:val="single" w:sz="8" w:color="0000FF"/>
            </w:tcBorders>
            <w:gridSpan w:val="7"/>
          </w:tcPr>
          <w:p>
            <w:pPr>
              <w:spacing w:after="0" w:line="169" w:lineRule="exact"/>
              <w:rPr>
                <w:rFonts w:ascii="Arial" w:cs="Arial" w:eastAsia="Arial" w:hAnsi="Arial"/>
                <w:sz w:val="16"/>
                <w:szCs w:val="16"/>
                <w:color w:val="0000FF"/>
              </w:rPr>
            </w:pPr>
            <w:hyperlink r:id="rId25">
              <w:r>
                <w:rPr>
                  <w:rFonts w:ascii="Arial" w:cs="Arial" w:eastAsia="Arial" w:hAnsi="Arial"/>
                  <w:sz w:val="16"/>
                  <w:szCs w:val="16"/>
                  <w:color w:val="0000FF"/>
                </w:rPr>
                <w:t>(incorporated by reference to Exhibit 4.1 to the Company’s Current Report on Form 8-K dated May 24, 2018).</w:t>
              </w:r>
            </w:hyperlink>
          </w:p>
        </w:tc>
        <w:tc>
          <w:tcPr>
            <w:tcW w:w="2300" w:type="dxa"/>
            <w:vAlign w:val="bottom"/>
            <w:tcBorders>
              <w:top w:val="single" w:sz="8" w:color="0000FF"/>
            </w:tcBorders>
            <w:gridSpan w:val="4"/>
          </w:tcPr>
          <w:p>
            <w:pPr>
              <w:spacing w:after="0"/>
              <w:rPr>
                <w:sz w:val="14"/>
                <w:szCs w:val="14"/>
                <w:color w:val="auto"/>
              </w:rPr>
            </w:pPr>
          </w:p>
        </w:tc>
        <w:tc>
          <w:tcPr>
            <w:tcW w:w="2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080" w:type="dxa"/>
            <w:vAlign w:val="bottom"/>
          </w:tcPr>
          <w:p>
            <w:pPr>
              <w:ind w:left="180"/>
              <w:spacing w:after="0"/>
              <w:rPr>
                <w:sz w:val="20"/>
                <w:szCs w:val="20"/>
                <w:color w:val="auto"/>
              </w:rPr>
            </w:pPr>
            <w:r>
              <w:rPr>
                <w:rFonts w:ascii="Arial" w:cs="Arial" w:eastAsia="Arial" w:hAnsi="Arial"/>
                <w:sz w:val="16"/>
                <w:szCs w:val="16"/>
                <w:color w:val="auto"/>
              </w:rPr>
              <w:t>4.2</w:t>
            </w:r>
          </w:p>
        </w:tc>
        <w:tc>
          <w:tcPr>
            <w:tcW w:w="10080" w:type="dxa"/>
            <w:vAlign w:val="bottom"/>
            <w:tcBorders>
              <w:bottom w:val="single" w:sz="8" w:color="0000FF"/>
            </w:tcBorders>
            <w:gridSpan w:val="10"/>
          </w:tcPr>
          <w:p>
            <w:pPr>
              <w:spacing w:after="0"/>
              <w:rPr>
                <w:rFonts w:ascii="Arial" w:cs="Arial" w:eastAsia="Arial" w:hAnsi="Arial"/>
                <w:sz w:val="16"/>
                <w:szCs w:val="16"/>
                <w:color w:val="0000FF"/>
              </w:rPr>
            </w:pPr>
            <w:hyperlink r:id="rId26">
              <w:r>
                <w:rPr>
                  <w:rFonts w:ascii="Arial" w:cs="Arial" w:eastAsia="Arial" w:hAnsi="Arial"/>
                  <w:sz w:val="16"/>
                  <w:szCs w:val="16"/>
                  <w:color w:val="0000FF"/>
                </w:rPr>
                <w:t>Amended and Restated Five Year Credit Agreement, dated as of May 30, 2018, among the Company, and the foreign borrowers from time to</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15"/>
          </w:tcPr>
          <w:p>
            <w:pPr>
              <w:spacing w:after="0" w:line="169" w:lineRule="exact"/>
              <w:rPr>
                <w:rFonts w:ascii="Arial" w:cs="Arial" w:eastAsia="Arial" w:hAnsi="Arial"/>
                <w:sz w:val="16"/>
                <w:szCs w:val="16"/>
                <w:color w:val="0000FF"/>
              </w:rPr>
            </w:pPr>
            <w:hyperlink r:id="rId26">
              <w:r>
                <w:rPr>
                  <w:rFonts w:ascii="Arial" w:cs="Arial" w:eastAsia="Arial" w:hAnsi="Arial"/>
                  <w:sz w:val="16"/>
                  <w:szCs w:val="16"/>
                  <w:color w:val="0000FF"/>
                </w:rPr>
                <w:t>time party thereto, and certain of its domestic subsidiaries as guarantors, the several lenders from time to time party thereto, Wells Fargo Bank,</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240" w:type="dxa"/>
            <w:vAlign w:val="bottom"/>
            <w:tcBorders>
              <w:top w:val="single" w:sz="8" w:color="0000FF"/>
            </w:tcBorders>
            <w:gridSpan w:val="13"/>
          </w:tcPr>
          <w:p>
            <w:pPr>
              <w:spacing w:after="0" w:line="169" w:lineRule="exact"/>
              <w:rPr>
                <w:rFonts w:ascii="Arial" w:cs="Arial" w:eastAsia="Arial" w:hAnsi="Arial"/>
                <w:sz w:val="16"/>
                <w:szCs w:val="16"/>
                <w:color w:val="0000FF"/>
              </w:rPr>
            </w:pPr>
            <w:hyperlink r:id="rId26">
              <w:r>
                <w:rPr>
                  <w:rFonts w:ascii="Arial" w:cs="Arial" w:eastAsia="Arial" w:hAnsi="Arial"/>
                  <w:sz w:val="16"/>
                  <w:szCs w:val="16"/>
                  <w:color w:val="0000FF"/>
                </w:rPr>
                <w:t>National Association, as Administrative Agent and JPMorgan Chase Bank, N.A., as Syndication Agent (incorporated by reference to Exhibit 4.2</w:t>
              </w:r>
            </w:hyperlink>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622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rPr>
            </w:pPr>
            <w:hyperlink r:id="rId26">
              <w:r>
                <w:rPr>
                  <w:rFonts w:ascii="Arial" w:cs="Arial" w:eastAsia="Arial" w:hAnsi="Arial"/>
                  <w:sz w:val="16"/>
                  <w:szCs w:val="16"/>
                  <w:color w:val="0000FF"/>
                </w:rPr>
                <w:t>to the Company’s Quarterly Report on Form 10-Q for the period ended June 30, 2018).</w:t>
              </w:r>
            </w:hyperlink>
          </w:p>
        </w:tc>
        <w:tc>
          <w:tcPr>
            <w:tcW w:w="4000" w:type="dxa"/>
            <w:vAlign w:val="bottom"/>
            <w:tcBorders>
              <w:top w:val="single" w:sz="8" w:color="0000FF"/>
            </w:tcBorders>
            <w:gridSpan w:val="7"/>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507"/>
        </w:trPr>
        <w:tc>
          <w:tcPr>
            <w:tcW w:w="1080" w:type="dxa"/>
            <w:vAlign w:val="bottom"/>
          </w:tcPr>
          <w:p>
            <w:pPr>
              <w:ind w:left="180"/>
              <w:spacing w:after="0"/>
              <w:rPr>
                <w:sz w:val="20"/>
                <w:szCs w:val="20"/>
                <w:color w:val="auto"/>
              </w:rPr>
            </w:pPr>
            <w:r>
              <w:rPr>
                <w:rFonts w:ascii="Arial" w:cs="Arial" w:eastAsia="Arial" w:hAnsi="Arial"/>
                <w:sz w:val="16"/>
                <w:szCs w:val="16"/>
                <w:color w:val="auto"/>
              </w:rPr>
              <w:t>31.1</w:t>
            </w:r>
          </w:p>
        </w:tc>
        <w:tc>
          <w:tcPr>
            <w:tcW w:w="10340" w:type="dxa"/>
            <w:vAlign w:val="bottom"/>
            <w:gridSpan w:val="15"/>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Rule 13a-14(a)/15d-14(a) Certification of the Chief Executive Officer.</w:t>
              </w:r>
            </w:hyperlink>
          </w:p>
        </w:tc>
        <w:tc>
          <w:tcPr>
            <w:tcW w:w="0" w:type="dxa"/>
            <w:vAlign w:val="bottom"/>
          </w:tcPr>
          <w:p>
            <w:pPr>
              <w:spacing w:after="0"/>
              <w:rPr>
                <w:sz w:val="1"/>
                <w:szCs w:val="1"/>
                <w:color w:val="auto"/>
              </w:rPr>
            </w:pPr>
          </w:p>
        </w:tc>
      </w:tr>
      <w:tr>
        <w:trPr>
          <w:trHeight w:val="466"/>
        </w:trPr>
        <w:tc>
          <w:tcPr>
            <w:tcW w:w="1080" w:type="dxa"/>
            <w:vAlign w:val="bottom"/>
          </w:tcPr>
          <w:p>
            <w:pPr>
              <w:ind w:left="180"/>
              <w:spacing w:after="0"/>
              <w:rPr>
                <w:sz w:val="20"/>
                <w:szCs w:val="20"/>
                <w:color w:val="auto"/>
              </w:rPr>
            </w:pPr>
            <w:r>
              <w:rPr>
                <w:rFonts w:ascii="Arial" w:cs="Arial" w:eastAsia="Arial" w:hAnsi="Arial"/>
                <w:sz w:val="16"/>
                <w:szCs w:val="16"/>
                <w:color w:val="auto"/>
              </w:rPr>
              <w:t>31.2</w:t>
            </w:r>
          </w:p>
        </w:tc>
        <w:tc>
          <w:tcPr>
            <w:tcW w:w="4900" w:type="dxa"/>
            <w:vAlign w:val="bottom"/>
            <w:tcBorders>
              <w:top w:val="single" w:sz="8" w:color="0000FF"/>
            </w:tcBorders>
            <w:gridSpan w:val="3"/>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Rule 13a-14(a)/15d-14(a) Certification of the Chief Financial Officer.</w:t>
              </w:r>
            </w:hyperlink>
          </w:p>
        </w:tc>
        <w:tc>
          <w:tcPr>
            <w:tcW w:w="54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left="1080" w:hanging="910"/>
        <w:spacing w:after="0"/>
        <w:tabs>
          <w:tab w:leader="none" w:pos="1080" w:val="left"/>
        </w:tabs>
        <w:numPr>
          <w:ilvl w:val="0"/>
          <w:numId w:val="13"/>
        </w:numPr>
        <w:rPr>
          <w:rFonts w:ascii="Arial" w:cs="Arial" w:eastAsia="Arial" w:hAnsi="Arial"/>
          <w:sz w:val="16"/>
          <w:szCs w:val="16"/>
          <w:color w:val="0000FF"/>
        </w:rPr>
      </w:pPr>
      <w:hyperlink w:anchor="page40">
        <w:r>
          <w:rPr>
            <w:rFonts w:ascii="Arial" w:cs="Arial" w:eastAsia="Arial" w:hAnsi="Arial"/>
            <w:sz w:val="16"/>
            <w:szCs w:val="16"/>
            <w:u w:val="single" w:color="auto"/>
            <w:color w:val="0000FF"/>
          </w:rPr>
          <w:t>Section 1350 Certification of the Chief Executive Officer and the Chief Financial Officer.</w:t>
        </w:r>
        <w:r>
          <w:rPr>
            <w:rFonts w:ascii="Arial" w:cs="Arial" w:eastAsia="Arial" w:hAnsi="Arial"/>
            <w:sz w:val="16"/>
            <w:szCs w:val="16"/>
            <w:color w:val="0000FF"/>
          </w:rPr>
          <w:t xml:space="preserve"> </w:t>
        </w:r>
      </w:hyperlink>
      <w:r>
        <w:rPr>
          <w:rFonts w:ascii="Arial" w:cs="Arial" w:eastAsia="Arial" w:hAnsi="Arial"/>
          <w:sz w:val="16"/>
          <w:szCs w:val="16"/>
          <w:color w:val="000000"/>
        </w:rPr>
        <w:t>*</w:t>
      </w:r>
    </w:p>
    <w:p>
      <w:pPr>
        <w:spacing w:after="0" w:line="329" w:lineRule="exact"/>
        <w:rPr>
          <w:sz w:val="20"/>
          <w:szCs w:val="20"/>
          <w:color w:val="auto"/>
        </w:rPr>
      </w:pPr>
    </w:p>
    <w:p>
      <w:pPr>
        <w:ind w:left="1080" w:right="100" w:hanging="910"/>
        <w:spacing w:after="0" w:line="248" w:lineRule="auto"/>
        <w:tabs>
          <w:tab w:leader="none" w:pos="10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following financial information from Graham Holdings Company Quarterly Report on Form 10-Q for the period ended March 31, 2019, formatted in Extensible Business Reporting Language (XBRL): (i) Condensed Consolidated Statements of Operations for the Three Months Ended March 31, 2019 and 2018, (ii) Condensed Consolidated Statements of Comprehensive Income for the Three Months Ended March 31, 2019 and 2018, (iii) Condensed Consolidated Balance Sheets as of March 31, 2019 and December 31, 2018, (iv) Condensed Consolidated Statements of Cash Flows for the Three Months Ended March 31, 2019 and 2018, (v) Condensed Consolidated Statements of Changes in Common Shareholders’ Equity for the Three Months Ended March 31, 2019 and 2018; and (vi) Notes to Condensed Consolidated Financial Statements. Pursuant to Rule 406T of Regulation S-T, these interactive data files are deemed "furnished" and not "filed" or part of a registration statement or prospectus for purposes of Sections 11 or 12 of the Securities Act of 1933, are deemed "furnished" and not "filed" for purposes of Section 18 of the Securities Exchange Act of 1934, and otherwise are not subject to liability under these sections.</w:t>
      </w:r>
    </w:p>
    <w:p>
      <w:pPr>
        <w:spacing w:after="0" w:line="17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4"/>
          <w:szCs w:val="14"/>
          <w:color w:val="auto"/>
        </w:rPr>
        <w:t>*   Furnished herewith.</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22"/>
          <w:szCs w:val="22"/>
          <w:b w:val="1"/>
          <w:bCs w:val="1"/>
          <w:color w:val="auto"/>
        </w:rPr>
        <w:t>SIGNATURES</w:t>
      </w:r>
    </w:p>
    <w:p>
      <w:pPr>
        <w:spacing w:after="0" w:line="319"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5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57"/>
        </w:trPr>
        <w:tc>
          <w:tcPr>
            <w:tcW w:w="35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61"/>
        </w:trPr>
        <w:tc>
          <w:tcPr>
            <w:tcW w:w="3520" w:type="dxa"/>
            <w:vAlign w:val="bottom"/>
          </w:tcPr>
          <w:p>
            <w:pPr>
              <w:spacing w:after="0"/>
              <w:rPr>
                <w:sz w:val="20"/>
                <w:szCs w:val="20"/>
                <w:color w:val="auto"/>
              </w:rPr>
            </w:pPr>
            <w:r>
              <w:rPr>
                <w:rFonts w:ascii="Arial" w:cs="Arial" w:eastAsia="Arial" w:hAnsi="Arial"/>
                <w:sz w:val="18"/>
                <w:szCs w:val="18"/>
                <w:color w:val="auto"/>
              </w:rPr>
              <w:t>Date: May 1, 2019</w:t>
            </w:r>
          </w:p>
        </w:tc>
        <w:tc>
          <w:tcPr>
            <w:tcW w:w="376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176"/>
        </w:trPr>
        <w:tc>
          <w:tcPr>
            <w:tcW w:w="35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Timothy J. O’Shaughnessy,</w:t>
            </w:r>
          </w:p>
        </w:tc>
      </w:tr>
      <w:tr>
        <w:trPr>
          <w:trHeight w:val="162"/>
        </w:trPr>
        <w:tc>
          <w:tcPr>
            <w:tcW w:w="35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President &amp; Chief Executive Officer</w:t>
            </w:r>
          </w:p>
        </w:tc>
      </w:tr>
      <w:tr>
        <w:trPr>
          <w:trHeight w:val="190"/>
        </w:trPr>
        <w:tc>
          <w:tcPr>
            <w:tcW w:w="35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59"/>
        </w:trPr>
        <w:tc>
          <w:tcPr>
            <w:tcW w:w="3520" w:type="dxa"/>
            <w:vAlign w:val="bottom"/>
          </w:tcPr>
          <w:p>
            <w:pPr>
              <w:spacing w:after="0"/>
              <w:rPr>
                <w:sz w:val="20"/>
                <w:szCs w:val="20"/>
                <w:color w:val="auto"/>
              </w:rPr>
            </w:pPr>
            <w:r>
              <w:rPr>
                <w:rFonts w:ascii="Arial" w:cs="Arial" w:eastAsia="Arial" w:hAnsi="Arial"/>
                <w:sz w:val="18"/>
                <w:szCs w:val="18"/>
                <w:color w:val="auto"/>
              </w:rPr>
              <w:t>Date: May 1, 2019</w:t>
            </w:r>
          </w:p>
        </w:tc>
        <w:tc>
          <w:tcPr>
            <w:tcW w:w="376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176"/>
        </w:trPr>
        <w:tc>
          <w:tcPr>
            <w:tcW w:w="35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Wallace R. Cooney,</w:t>
            </w:r>
          </w:p>
        </w:tc>
      </w:tr>
      <w:tr>
        <w:trPr>
          <w:trHeight w:val="162"/>
        </w:trPr>
        <w:tc>
          <w:tcPr>
            <w:tcW w:w="35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Chief Financial Officer</w:t>
            </w:r>
          </w:p>
        </w:tc>
      </w:tr>
      <w:tr>
        <w:trPr>
          <w:trHeight w:val="190"/>
        </w:trPr>
        <w:tc>
          <w:tcPr>
            <w:tcW w:w="35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620"/>
        </w:trPr>
        <w:tc>
          <w:tcPr>
            <w:tcW w:w="3520" w:type="dxa"/>
            <w:vAlign w:val="bottom"/>
          </w:tcPr>
          <w:p>
            <w:pPr>
              <w:spacing w:after="0"/>
              <w:rPr>
                <w:sz w:val="24"/>
                <w:szCs w:val="24"/>
                <w:color w:val="auto"/>
              </w:rPr>
            </w:pPr>
          </w:p>
        </w:tc>
        <w:tc>
          <w:tcPr>
            <w:tcW w:w="3760" w:type="dxa"/>
            <w:vAlign w:val="bottom"/>
          </w:tcPr>
          <w:p>
            <w:pPr>
              <w:jc w:val="right"/>
              <w:ind w:right="1410"/>
              <w:spacing w:after="0"/>
              <w:rPr>
                <w:sz w:val="20"/>
                <w:szCs w:val="20"/>
                <w:color w:val="auto"/>
              </w:rPr>
            </w:pPr>
            <w:r>
              <w:rPr>
                <w:rFonts w:ascii="Arial" w:cs="Arial" w:eastAsia="Arial" w:hAnsi="Arial"/>
                <w:sz w:val="18"/>
                <w:szCs w:val="18"/>
                <w:color w:val="auto"/>
              </w:rPr>
              <w:t>34</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863"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198" w:lineRule="exact"/>
        <w:rPr>
          <w:sz w:val="20"/>
          <w:szCs w:val="20"/>
          <w:color w:val="auto"/>
        </w:rPr>
      </w:pPr>
    </w:p>
    <w:p>
      <w:pPr>
        <w:ind w:left="800" w:hanging="468"/>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11" w:lineRule="exact"/>
        <w:rPr>
          <w:rFonts w:ascii="Arial" w:cs="Arial" w:eastAsia="Arial" w:hAnsi="Arial"/>
          <w:sz w:val="18"/>
          <w:szCs w:val="18"/>
          <w:color w:val="auto"/>
        </w:rPr>
      </w:pPr>
    </w:p>
    <w:p>
      <w:pPr>
        <w:ind w:left="340" w:right="580" w:hanging="8"/>
        <w:spacing w:after="0" w:line="303"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8"/>
        <w:spacing w:after="0" w:line="309"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5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300" w:right="40" w:hanging="320"/>
        <w:spacing w:after="0" w:line="25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340" w:right="300" w:hanging="8"/>
        <w:spacing w:after="0" w:line="303"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0"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960" w:hanging="320"/>
        <w:spacing w:after="0" w:line="262"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 2019</w:t>
      </w:r>
    </w:p>
    <w:p>
      <w:pPr>
        <w:sectPr>
          <w:pgSz w:w="11900" w:h="16838" w:orient="portrait"/>
          <w:cols w:equalWidth="0" w:num="1">
            <w:col w:w="11420"/>
          </w:cols>
          <w:pgMar w:left="240" w:top="382"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198" w:lineRule="exact"/>
        <w:rPr>
          <w:sz w:val="20"/>
          <w:szCs w:val="20"/>
          <w:color w:val="auto"/>
        </w:rPr>
      </w:pPr>
    </w:p>
    <w:p>
      <w:pPr>
        <w:ind w:left="800" w:hanging="468"/>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11" w:lineRule="exact"/>
        <w:rPr>
          <w:rFonts w:ascii="Arial" w:cs="Arial" w:eastAsia="Arial" w:hAnsi="Arial"/>
          <w:sz w:val="18"/>
          <w:szCs w:val="18"/>
          <w:color w:val="auto"/>
        </w:rPr>
      </w:pPr>
    </w:p>
    <w:p>
      <w:pPr>
        <w:ind w:left="340" w:right="580" w:hanging="8"/>
        <w:spacing w:after="0" w:line="303"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8"/>
        <w:spacing w:after="0" w:line="309"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56"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300" w:right="40" w:hanging="320"/>
        <w:spacing w:after="0" w:line="256"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340" w:right="300" w:hanging="8"/>
        <w:spacing w:after="0" w:line="303"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0"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960" w:hanging="320"/>
        <w:spacing w:after="0" w:line="262"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 2019</w:t>
      </w:r>
    </w:p>
    <w:p>
      <w:pPr>
        <w:sectPr>
          <w:pgSz w:w="11900" w:h="16838" w:orient="portrait"/>
          <w:cols w:equalWidth="0" w:num="1">
            <w:col w:w="11420"/>
          </w:cols>
          <w:pgMar w:left="240" w:top="382"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7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March 31, 2019 (the “Report”), Timothy J. O’Shaughnessy, Chief Executive Officer of the Company and Wallace R. Cooney, Chief Financial Officer of the Company, each hereby certifies, pursuant to 18 U.S.C. Section 1350, as adopted pursuant to Section 906 of the Sarbanes-Oxley Act of 2002, that:</w:t>
      </w:r>
    </w:p>
    <w:p>
      <w:pPr>
        <w:spacing w:after="0" w:line="150"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520" w:hanging="332"/>
        <w:spacing w:after="0" w:line="262"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 2019</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 2019</w:t>
      </w:r>
    </w:p>
    <w:sectPr>
      <w:pgSz w:w="11900" w:h="16838" w:orient="portrait"/>
      <w:cols w:equalWidth="0" w:num="1">
        <w:col w:w="11420"/>
      </w:cols>
      <w:pgMar w:left="240" w:top="3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Roman"/>
      <w:start w:val="1"/>
    </w:lvl>
  </w:abstractNum>
  <w:abstractNum w:abstractNumId="3">
    <w:nsid w:val="216231B"/>
    <w:multiLevelType w:val="hybridMultilevel"/>
    <w:lvl w:ilvl="0">
      <w:lvlJc w:val="left"/>
      <w:lvlText w:val="%1."/>
      <w:numFmt w:val="decimal"/>
      <w:start w:val="5"/>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514"/>
    </w:lvl>
  </w:abstractNum>
  <w:abstractNum w:abstractNumId="7">
    <w:nsid w:val="140E0F76"/>
    <w:multiLevelType w:val="hybridMultilevel"/>
    <w:lvl w:ilvl="0">
      <w:lvlJc w:val="left"/>
      <w:lvlText w:val="%1"/>
      <w:numFmt w:val="decimal"/>
      <w:start w:val="189"/>
    </w:lvl>
  </w:abstractNum>
  <w:abstractNum w:abstractNumId="8">
    <w:nsid w:val="3352255A"/>
    <w:multiLevelType w:val="hybridMultilevel"/>
    <w:lvl w:ilvl="0">
      <w:lvlJc w:val="left"/>
      <w:lvlText w:val="(%1)"/>
      <w:numFmt w:val="decimal"/>
      <w:start w:val="346"/>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32"/>
    </w:lvl>
  </w:abstractNum>
  <w:abstractNum w:abstractNumId="13">
    <w:nsid w:val="41A7C4C9"/>
    <w:multiLevelType w:val="hybridMultilevel"/>
    <w:lvl w:ilvl="0">
      <w:lvlJc w:val="left"/>
      <w:lvlText w:val="*"/>
      <w:numFmt w:val="bullet"/>
      <w:start w:val="1"/>
    </w:lvl>
    <w:lvl w:ilvl="1">
      <w:lvlJc w:val="left"/>
      <w:lvlText w:val="%2"/>
      <w:numFmt w:val="decimal"/>
      <w:start w:val="10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22" Type="http://schemas.openxmlformats.org/officeDocument/2006/relationships/hyperlink" Target="http://www.sec.gov/Archives/edgar/data/104889/000095013304000785/w94191exv3w1.htm" TargetMode="External"/><Relationship Id="rId23" Type="http://schemas.openxmlformats.org/officeDocument/2006/relationships/hyperlink" Target="http://www.sec.gov/Archives/edgar/data/104889/000095015713000428/ex3-1.htm" TargetMode="External"/><Relationship Id="rId24" Type="http://schemas.openxmlformats.org/officeDocument/2006/relationships/hyperlink" Target="http://www.sec.gov/Archives/edgar/data/104889/000095015713000428/ex3-2.htm" TargetMode="External"/><Relationship Id="rId25" Type="http://schemas.openxmlformats.org/officeDocument/2006/relationships/hyperlink" Target="http://www.sec.gov/Archives/edgar/data/104889/000095015718000572/ex4-1.htm" TargetMode="External"/><Relationship Id="rId26" Type="http://schemas.openxmlformats.org/officeDocument/2006/relationships/hyperlink" Target="http://www.sec.gov/Archives/edgar/data/104889/000010488918000036/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2019-12-28T13:10:19Z</dcterms:created>
  <dcterms:modified xsi:type="dcterms:W3CDTF">2019-12-28T13:10:19Z</dcterms:modified>
</cp:coreProperties>
</file>