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3420" w:type="dxa"/>
            <w:vAlign w:val="bottom"/>
            <w:gridSpan w:val="2"/>
          </w:tcPr>
          <w:p>
            <w:pPr>
              <w:ind w:left="1700"/>
              <w:spacing w:after="0"/>
              <w:rPr>
                <w:sz w:val="20"/>
                <w:szCs w:val="20"/>
                <w:color w:val="auto"/>
              </w:rPr>
            </w:pPr>
            <w:r>
              <w:rPr>
                <w:rFonts w:ascii="Courier New" w:cs="Courier New" w:eastAsia="Courier New" w:hAnsi="Courier New"/>
                <w:sz w:val="16"/>
                <w:szCs w:val="16"/>
                <w:color w:val="auto"/>
              </w:rPr>
              <w:t>FORM 10-Q</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720" w:type="dxa"/>
            <w:vAlign w:val="bottom"/>
            <w:gridSpan w:val="3"/>
          </w:tcPr>
          <w:p>
            <w:pPr>
              <w:ind w:left="460"/>
              <w:spacing w:after="0"/>
              <w:rPr>
                <w:sz w:val="20"/>
                <w:szCs w:val="20"/>
                <w:color w:val="auto"/>
              </w:rPr>
            </w:pPr>
            <w:r>
              <w:rPr>
                <w:rFonts w:ascii="Courier New" w:cs="Courier New" w:eastAsia="Courier New" w:hAnsi="Courier New"/>
                <w:sz w:val="16"/>
                <w:szCs w:val="16"/>
                <w:color w:val="auto"/>
                <w:w w:val="99"/>
              </w:rPr>
              <w:t>SECURITIES AND EXCHANGE COMMISSION</w:t>
            </w: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2480" w:type="dxa"/>
            <w:vAlign w:val="bottom"/>
          </w:tcPr>
          <w:p>
            <w:pPr>
              <w:ind w:left="1140"/>
              <w:spacing w:after="0"/>
              <w:rPr>
                <w:sz w:val="20"/>
                <w:szCs w:val="20"/>
                <w:color w:val="auto"/>
              </w:rPr>
            </w:pPr>
            <w:r>
              <w:rPr>
                <w:rFonts w:ascii="Courier New" w:cs="Courier New" w:eastAsia="Courier New" w:hAnsi="Courier New"/>
                <w:sz w:val="16"/>
                <w:szCs w:val="16"/>
                <w:color w:val="auto"/>
                <w:w w:val="98"/>
              </w:rPr>
              <w:t>WASHINGTON, DC</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20549</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720" w:type="dxa"/>
            <w:vAlign w:val="bottom"/>
            <w:gridSpan w:val="5"/>
          </w:tcPr>
          <w:p>
            <w:pPr>
              <w:jc w:val="right"/>
              <w:ind w:right="301"/>
              <w:spacing w:after="0"/>
              <w:rPr>
                <w:sz w:val="20"/>
                <w:szCs w:val="20"/>
                <w:color w:val="auto"/>
              </w:rPr>
            </w:pPr>
            <w:r>
              <w:rPr>
                <w:rFonts w:ascii="Courier New" w:cs="Courier New" w:eastAsia="Courier New" w:hAnsi="Courier New"/>
                <w:sz w:val="16"/>
                <w:szCs w:val="16"/>
                <w:color w:val="auto"/>
              </w:rPr>
              <w:t>Quarterly Report Pursuant to Section 13 or 15(d)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4760" w:type="dxa"/>
            <w:vAlign w:val="bottom"/>
            <w:gridSpan w:val="4"/>
          </w:tcPr>
          <w:p>
            <w:pPr>
              <w:ind w:left="280"/>
              <w:spacing w:after="0"/>
              <w:rPr>
                <w:sz w:val="20"/>
                <w:szCs w:val="20"/>
                <w:color w:val="auto"/>
              </w:rPr>
            </w:pPr>
            <w:r>
              <w:rPr>
                <w:rFonts w:ascii="Courier New" w:cs="Courier New" w:eastAsia="Courier New" w:hAnsi="Courier New"/>
                <w:sz w:val="16"/>
                <w:szCs w:val="16"/>
                <w:color w:val="auto"/>
              </w:rPr>
              <w:t>of the Securities Exchange Act of 1934</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440" w:type="dxa"/>
            <w:vAlign w:val="bottom"/>
            <w:gridSpan w:val="2"/>
          </w:tcPr>
          <w:p>
            <w:pPr>
              <w:spacing w:after="0"/>
              <w:rPr>
                <w:sz w:val="20"/>
                <w:szCs w:val="20"/>
                <w:color w:val="auto"/>
              </w:rPr>
            </w:pPr>
            <w:r>
              <w:rPr>
                <w:rFonts w:ascii="Courier New" w:cs="Courier New" w:eastAsia="Courier New" w:hAnsi="Courier New"/>
                <w:sz w:val="16"/>
                <w:szCs w:val="16"/>
                <w:color w:val="auto"/>
              </w:rPr>
              <w:t>For the Quarterly Period Ended</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July 4, 1999</w:t>
            </w: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440" w:type="dxa"/>
            <w:vAlign w:val="bottom"/>
            <w:gridSpan w:val="2"/>
          </w:tcPr>
          <w:p>
            <w:pPr>
              <w:spacing w:after="0"/>
              <w:rPr>
                <w:sz w:val="20"/>
                <w:szCs w:val="20"/>
                <w:color w:val="auto"/>
              </w:rPr>
            </w:pPr>
            <w:r>
              <w:rPr>
                <w:rFonts w:ascii="Courier New" w:cs="Courier New" w:eastAsia="Courier New" w:hAnsi="Courier New"/>
                <w:sz w:val="16"/>
                <w:szCs w:val="16"/>
                <w:color w:val="auto"/>
              </w:rPr>
              <w:t>Commission File Number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1-6714</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4"/>
                <w:szCs w:val="24"/>
                <w:color w:val="auto"/>
              </w:rPr>
            </w:pPr>
          </w:p>
        </w:tc>
        <w:tc>
          <w:tcPr>
            <w:tcW w:w="3720" w:type="dxa"/>
            <w:vAlign w:val="bottom"/>
            <w:gridSpan w:val="3"/>
          </w:tcPr>
          <w:p>
            <w:pPr>
              <w:ind w:left="1140"/>
              <w:spacing w:after="0"/>
              <w:rPr>
                <w:sz w:val="20"/>
                <w:szCs w:val="20"/>
                <w:color w:val="auto"/>
              </w:rPr>
            </w:pPr>
            <w:r>
              <w:rPr>
                <w:rFonts w:ascii="Courier New" w:cs="Courier New" w:eastAsia="Courier New" w:hAnsi="Courier New"/>
                <w:sz w:val="16"/>
                <w:szCs w:val="16"/>
                <w:color w:val="auto"/>
                <w:w w:val="98"/>
              </w:rPr>
              <w:t>THE WASHINGTON POST COMPANY</w:t>
            </w: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6480" w:type="dxa"/>
            <w:vAlign w:val="bottom"/>
            <w:gridSpan w:val="6"/>
          </w:tcPr>
          <w:p>
            <w:pPr>
              <w:jc w:val="right"/>
              <w:ind w:right="581"/>
              <w:spacing w:after="0"/>
              <w:rPr>
                <w:sz w:val="20"/>
                <w:szCs w:val="20"/>
                <w:color w:val="auto"/>
              </w:rPr>
            </w:pPr>
            <w:r>
              <w:rPr>
                <w:rFonts w:ascii="Courier New" w:cs="Courier New" w:eastAsia="Courier New" w:hAnsi="Courier New"/>
                <w:sz w:val="16"/>
                <w:szCs w:val="16"/>
                <w:color w:val="auto"/>
              </w:rPr>
              <w:t>(Exact name of registrant as specified in its charter)</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4"/>
                <w:szCs w:val="24"/>
                <w:color w:val="auto"/>
              </w:rPr>
            </w:pPr>
          </w:p>
        </w:tc>
        <w:tc>
          <w:tcPr>
            <w:tcW w:w="2480" w:type="dxa"/>
            <w:vAlign w:val="bottom"/>
          </w:tcPr>
          <w:p>
            <w:pPr>
              <w:ind w:left="460"/>
              <w:spacing w:after="0"/>
              <w:rPr>
                <w:sz w:val="20"/>
                <w:szCs w:val="20"/>
                <w:color w:val="auto"/>
              </w:rPr>
            </w:pPr>
            <w:r>
              <w:rPr>
                <w:rFonts w:ascii="Courier New" w:cs="Courier New" w:eastAsia="Courier New" w:hAnsi="Courier New"/>
                <w:sz w:val="16"/>
                <w:szCs w:val="16"/>
                <w:color w:val="auto"/>
              </w:rPr>
              <w:t>Delaware</w:t>
            </w:r>
          </w:p>
        </w:tc>
        <w:tc>
          <w:tcPr>
            <w:tcW w:w="940" w:type="dxa"/>
            <w:vAlign w:val="bottom"/>
          </w:tcPr>
          <w:p>
            <w:pPr>
              <w:spacing w:after="0"/>
              <w:rPr>
                <w:sz w:val="24"/>
                <w:szCs w:val="24"/>
                <w:color w:val="auto"/>
              </w:rPr>
            </w:pPr>
          </w:p>
        </w:tc>
        <w:tc>
          <w:tcPr>
            <w:tcW w:w="13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53-0182885</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380" w:type="dxa"/>
            <w:vAlign w:val="bottom"/>
            <w:gridSpan w:val="3"/>
            <w:vMerge w:val="restart"/>
          </w:tcPr>
          <w:p>
            <w:pPr>
              <w:ind w:left="480"/>
              <w:spacing w:after="0"/>
              <w:rPr>
                <w:sz w:val="20"/>
                <w:szCs w:val="20"/>
                <w:color w:val="auto"/>
              </w:rPr>
            </w:pPr>
            <w:r>
              <w:rPr>
                <w:rFonts w:ascii="Courier New" w:cs="Courier New" w:eastAsia="Courier New" w:hAnsi="Courier New"/>
                <w:sz w:val="27"/>
                <w:szCs w:val="27"/>
                <w:color w:val="auto"/>
                <w:w w:val="70"/>
                <w:vertAlign w:val="subscript"/>
              </w:rPr>
              <w:t>(State</w:t>
            </w: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orotherjurisdictionof</w:t>
            </w:r>
          </w:p>
        </w:tc>
        <w:tc>
          <w:tcPr>
            <w:tcW w:w="210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w w:val="98"/>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4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2100" w:type="dxa"/>
            <w:vAlign w:val="bottom"/>
            <w:gridSpan w:val="3"/>
          </w:tcPr>
          <w:p>
            <w:pPr>
              <w:spacing w:after="0"/>
              <w:rPr>
                <w:sz w:val="20"/>
                <w:szCs w:val="20"/>
                <w:color w:val="auto"/>
              </w:rPr>
            </w:pPr>
            <w:r>
              <w:rPr>
                <w:rFonts w:ascii="Courier New" w:cs="Courier New" w:eastAsia="Courier New" w:hAnsi="Courier New"/>
                <w:sz w:val="16"/>
                <w:szCs w:val="16"/>
                <w:color w:val="auto"/>
              </w:rPr>
              <w:t>(I.R.S. Employer</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incorporation or organization)</w:t>
            </w:r>
          </w:p>
        </w:tc>
        <w:tc>
          <w:tcPr>
            <w:tcW w:w="940" w:type="dxa"/>
            <w:vAlign w:val="bottom"/>
          </w:tcPr>
          <w:p>
            <w:pPr>
              <w:spacing w:after="0"/>
              <w:rPr>
                <w:sz w:val="23"/>
                <w:szCs w:val="23"/>
                <w:color w:val="auto"/>
              </w:rPr>
            </w:pPr>
          </w:p>
        </w:tc>
        <w:tc>
          <w:tcPr>
            <w:tcW w:w="2100" w:type="dxa"/>
            <w:vAlign w:val="bottom"/>
            <w:gridSpan w:val="3"/>
          </w:tcPr>
          <w:p>
            <w:pPr>
              <w:spacing w:after="0"/>
              <w:rPr>
                <w:sz w:val="20"/>
                <w:szCs w:val="20"/>
                <w:color w:val="auto"/>
              </w:rPr>
            </w:pPr>
            <w:r>
              <w:rPr>
                <w:rFonts w:ascii="Courier New" w:cs="Courier New" w:eastAsia="Courier New" w:hAnsi="Courier New"/>
                <w:sz w:val="16"/>
                <w:szCs w:val="16"/>
                <w:color w:val="auto"/>
              </w:rPr>
              <w:t>Identification No.)</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3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1150 15th Street, N.W., Washington, D.C.</w:t>
            </w:r>
          </w:p>
        </w:tc>
        <w:tc>
          <w:tcPr>
            <w:tcW w:w="3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6"/>
                <w:szCs w:val="16"/>
                <w:color w:val="auto"/>
              </w:rPr>
              <w:t>20071</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720" w:type="dxa"/>
            <w:vAlign w:val="bottom"/>
            <w:gridSpan w:val="5"/>
          </w:tcPr>
          <w:p>
            <w:pPr>
              <w:ind w:left="2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3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(Address of principal executive offices)</w:t>
            </w:r>
          </w:p>
        </w:tc>
        <w:tc>
          <w:tcPr>
            <w:tcW w:w="30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6"/>
                <w:szCs w:val="16"/>
                <w:color w:val="auto"/>
                <w:w w:val="97"/>
              </w:rPr>
              <w:t>(Zip Code)</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480" w:type="dxa"/>
            <w:vAlign w:val="bottom"/>
            <w:gridSpan w:val="6"/>
          </w:tcPr>
          <w:p>
            <w:pPr>
              <w:spacing w:after="0"/>
              <w:rPr>
                <w:sz w:val="20"/>
                <w:szCs w:val="20"/>
                <w:color w:val="auto"/>
              </w:rPr>
            </w:pPr>
            <w:r>
              <w:rPr>
                <w:rFonts w:ascii="Courier New" w:cs="Courier New" w:eastAsia="Courier New" w:hAnsi="Courier New"/>
                <w:sz w:val="16"/>
                <w:szCs w:val="16"/>
                <w:color w:val="auto"/>
              </w:rPr>
              <w:t>(Registrant's telephone number, including area code) 202-334-6000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720" w:type="dxa"/>
            <w:vAlign w:val="bottom"/>
            <w:gridSpan w:val="5"/>
          </w:tcPr>
          <w:p>
            <w:pPr>
              <w:spacing w:after="0"/>
              <w:rPr>
                <w:sz w:val="20"/>
                <w:szCs w:val="20"/>
                <w:color w:val="auto"/>
              </w:rPr>
            </w:pPr>
            <w:r>
              <w:rPr>
                <w:rFonts w:ascii="Courier New" w:cs="Courier New" w:eastAsia="Courier New" w:hAnsi="Courier New"/>
                <w:sz w:val="16"/>
                <w:szCs w:val="16"/>
                <w:color w:val="auto"/>
              </w:rPr>
              <w:t>Indicate by check mark whether the registrant (1) has filed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80" w:type="dxa"/>
            <w:vAlign w:val="bottom"/>
            <w:gridSpan w:val="6"/>
          </w:tcPr>
          <w:p>
            <w:pPr>
              <w:spacing w:after="0"/>
              <w:rPr>
                <w:sz w:val="20"/>
                <w:szCs w:val="20"/>
                <w:color w:val="auto"/>
              </w:rPr>
            </w:pPr>
            <w:r>
              <w:rPr>
                <w:rFonts w:ascii="Courier New" w:cs="Courier New" w:eastAsia="Courier New" w:hAnsi="Courier New"/>
                <w:sz w:val="16"/>
                <w:szCs w:val="16"/>
                <w:color w:val="auto"/>
              </w:rPr>
              <w:t>all reports required to be filed by Section 13 or 15(d) of the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gridSpan w:val="6"/>
          </w:tcPr>
          <w:p>
            <w:pPr>
              <w:spacing w:after="0"/>
              <w:rPr>
                <w:sz w:val="20"/>
                <w:szCs w:val="20"/>
                <w:color w:val="auto"/>
              </w:rPr>
            </w:pPr>
            <w:r>
              <w:rPr>
                <w:rFonts w:ascii="Courier New" w:cs="Courier New" w:eastAsia="Courier New" w:hAnsi="Courier New"/>
                <w:sz w:val="16"/>
                <w:szCs w:val="16"/>
                <w:color w:val="auto"/>
              </w:rPr>
              <w:t>Securities Exchange Act of 1934 during the preceding 12 months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gridSpan w:val="6"/>
          </w:tcPr>
          <w:p>
            <w:pPr>
              <w:spacing w:after="0"/>
              <w:rPr>
                <w:sz w:val="20"/>
                <w:szCs w:val="20"/>
                <w:color w:val="auto"/>
              </w:rPr>
            </w:pPr>
            <w:r>
              <w:rPr>
                <w:rFonts w:ascii="Courier New" w:cs="Courier New" w:eastAsia="Courier New" w:hAnsi="Courier New"/>
                <w:sz w:val="16"/>
                <w:szCs w:val="16"/>
                <w:color w:val="auto"/>
              </w:rPr>
              <w:t>(or for such shorter period that the registrant was required to</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20" w:type="dxa"/>
            <w:vAlign w:val="bottom"/>
            <w:gridSpan w:val="5"/>
          </w:tcPr>
          <w:p>
            <w:pPr>
              <w:spacing w:after="0"/>
              <w:rPr>
                <w:sz w:val="20"/>
                <w:szCs w:val="20"/>
                <w:color w:val="auto"/>
              </w:rPr>
            </w:pPr>
            <w:r>
              <w:rPr>
                <w:rFonts w:ascii="Courier New" w:cs="Courier New" w:eastAsia="Courier New" w:hAnsi="Courier New"/>
                <w:sz w:val="16"/>
                <w:szCs w:val="16"/>
                <w:color w:val="auto"/>
              </w:rPr>
              <w:t>file such reports), and (2) has been subject to such filing</w:t>
            </w:r>
          </w:p>
        </w:tc>
        <w:tc>
          <w:tcPr>
            <w:tcW w:w="76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w w:val="82"/>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440" w:type="dxa"/>
            <w:vAlign w:val="bottom"/>
            <w:gridSpan w:val="2"/>
          </w:tcPr>
          <w:p>
            <w:pPr>
              <w:spacing w:after="0"/>
              <w:rPr>
                <w:sz w:val="20"/>
                <w:szCs w:val="20"/>
                <w:color w:val="auto"/>
              </w:rPr>
            </w:pPr>
            <w:r>
              <w:rPr>
                <w:rFonts w:ascii="Courier New" w:cs="Courier New" w:eastAsia="Courier New" w:hAnsi="Courier New"/>
                <w:sz w:val="16"/>
                <w:szCs w:val="16"/>
                <w:color w:val="auto"/>
              </w:rPr>
              <w:t>requirements for the past 90 days.</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Yes   X</w:t>
            </w:r>
          </w:p>
        </w:tc>
        <w:tc>
          <w:tcPr>
            <w:tcW w:w="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w:t>
            </w:r>
          </w:p>
        </w:tc>
        <w:tc>
          <w:tcPr>
            <w:tcW w:w="76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7"/>
        </w:trPr>
        <w:tc>
          <w:tcPr>
            <w:tcW w:w="43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Shares outstanding at August 10, 1999:</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Class A Common Stock</w:t>
            </w:r>
          </w:p>
        </w:tc>
        <w:tc>
          <w:tcPr>
            <w:tcW w:w="228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1,739,250 Shares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Class B Common Stock</w:t>
            </w:r>
          </w:p>
        </w:tc>
        <w:tc>
          <w:tcPr>
            <w:tcW w:w="228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8,323,138 Shares</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6"/>
        </w:trPr>
        <w:tc>
          <w:tcPr>
            <w:tcW w:w="960" w:type="dxa"/>
            <w:vAlign w:val="bottom"/>
          </w:tcPr>
          <w:p>
            <w:pPr>
              <w:ind w:left="180"/>
              <w:spacing w:after="0"/>
              <w:rPr>
                <w:sz w:val="20"/>
                <w:szCs w:val="20"/>
                <w:color w:val="auto"/>
              </w:rPr>
            </w:pPr>
            <w:r>
              <w:rPr>
                <w:rFonts w:ascii="Courier New" w:cs="Courier New" w:eastAsia="Courier New" w:hAnsi="Courier New"/>
                <w:sz w:val="16"/>
                <w:szCs w:val="16"/>
                <w:color w:val="auto"/>
              </w:rPr>
              <w:t>2</w:t>
            </w:r>
          </w:p>
        </w:tc>
        <w:tc>
          <w:tcPr>
            <w:tcW w:w="3420" w:type="dxa"/>
            <w:vAlign w:val="bottom"/>
            <w:gridSpan w:val="2"/>
            <w:vMerge w:val="restart"/>
          </w:tcPr>
          <w:p>
            <w:pPr>
              <w:ind w:left="840"/>
              <w:spacing w:after="0"/>
              <w:rPr>
                <w:sz w:val="20"/>
                <w:szCs w:val="20"/>
                <w:color w:val="auto"/>
              </w:rPr>
            </w:pPr>
            <w:r>
              <w:rPr>
                <w:rFonts w:ascii="Courier New" w:cs="Courier New" w:eastAsia="Courier New" w:hAnsi="Courier New"/>
                <w:sz w:val="16"/>
                <w:szCs w:val="16"/>
                <w:color w:val="auto"/>
                <w:w w:val="98"/>
              </w:rPr>
              <w:t>THE WASHINGTON POST COMPANY</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60" w:type="dxa"/>
            <w:vAlign w:val="bottom"/>
          </w:tcPr>
          <w:p>
            <w:pPr>
              <w:spacing w:after="0"/>
              <w:rPr>
                <w:sz w:val="24"/>
                <w:szCs w:val="24"/>
                <w:color w:val="auto"/>
              </w:rPr>
            </w:pPr>
          </w:p>
        </w:tc>
        <w:tc>
          <w:tcPr>
            <w:tcW w:w="342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Index to Form 10-Q</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Page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9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4"/>
                <w:szCs w:val="24"/>
                <w:color w:val="auto"/>
              </w:rPr>
            </w:pPr>
          </w:p>
        </w:tc>
        <w:tc>
          <w:tcPr>
            <w:tcW w:w="4760" w:type="dxa"/>
            <w:vAlign w:val="bottom"/>
            <w:gridSpan w:val="4"/>
          </w:tcPr>
          <w:p>
            <w:pPr>
              <w:spacing w:after="0"/>
              <w:rPr>
                <w:sz w:val="20"/>
                <w:szCs w:val="20"/>
                <w:color w:val="auto"/>
              </w:rPr>
            </w:pPr>
            <w:r>
              <w:rPr>
                <w:rFonts w:ascii="Courier New" w:cs="Courier New" w:eastAsia="Courier New" w:hAnsi="Courier New"/>
                <w:sz w:val="16"/>
                <w:szCs w:val="16"/>
                <w:color w:val="auto"/>
              </w:rPr>
              <w:t>Condensed Consolidated Statements of Income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476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(Unaudited) for the Thirteen and Twenty-six</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720" w:type="dxa"/>
            <w:vAlign w:val="bottom"/>
            <w:gridSpan w:val="3"/>
          </w:tcPr>
          <w:p>
            <w:pPr>
              <w:ind w:left="460"/>
              <w:spacing w:after="0" w:line="183" w:lineRule="exact"/>
              <w:rPr>
                <w:sz w:val="20"/>
                <w:szCs w:val="20"/>
                <w:color w:val="auto"/>
              </w:rPr>
            </w:pPr>
            <w:r>
              <w:rPr>
                <w:rFonts w:ascii="Courier New" w:cs="Courier New" w:eastAsia="Courier New" w:hAnsi="Courier New"/>
                <w:sz w:val="19"/>
                <w:szCs w:val="19"/>
                <w:color w:val="auto"/>
                <w:w w:val="70"/>
                <w:vertAlign w:val="superscript"/>
              </w:rPr>
              <w:t>Weeks Ended July</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4,1999and</w:t>
            </w: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2480" w:type="dxa"/>
            <w:vAlign w:val="bottom"/>
          </w:tcPr>
          <w:p>
            <w:pPr>
              <w:ind w:left="460"/>
              <w:spacing w:after="0"/>
              <w:rPr>
                <w:sz w:val="20"/>
                <w:szCs w:val="20"/>
                <w:color w:val="auto"/>
              </w:rPr>
            </w:pPr>
            <w:r>
              <w:rPr>
                <w:rFonts w:ascii="Courier New" w:cs="Courier New" w:eastAsia="Courier New" w:hAnsi="Courier New"/>
                <w:sz w:val="16"/>
                <w:szCs w:val="16"/>
                <w:color w:val="auto"/>
              </w:rPr>
              <w:t>June 28, 1998</w:t>
            </w: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4"/>
                <w:szCs w:val="24"/>
                <w:color w:val="auto"/>
              </w:rPr>
            </w:pPr>
          </w:p>
        </w:tc>
        <w:tc>
          <w:tcPr>
            <w:tcW w:w="4760" w:type="dxa"/>
            <w:vAlign w:val="bottom"/>
            <w:gridSpan w:val="4"/>
          </w:tcPr>
          <w:p>
            <w:pPr>
              <w:spacing w:after="0"/>
              <w:rPr>
                <w:sz w:val="20"/>
                <w:szCs w:val="20"/>
                <w:color w:val="auto"/>
              </w:rPr>
            </w:pPr>
            <w:r>
              <w:rPr>
                <w:rFonts w:ascii="Courier New" w:cs="Courier New" w:eastAsia="Courier New" w:hAnsi="Courier New"/>
                <w:sz w:val="16"/>
                <w:szCs w:val="16"/>
                <w:color w:val="auto"/>
                <w:w w:val="98"/>
              </w:rPr>
              <w:t>Condensed Consolidated Statements of Comprehensive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476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Income (Unaudited) for the Thirteen and</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5520" w:type="dxa"/>
            <w:vAlign w:val="bottom"/>
            <w:gridSpan w:val="5"/>
          </w:tcPr>
          <w:p>
            <w:pPr>
              <w:ind w:left="460"/>
              <w:spacing w:after="0" w:line="184" w:lineRule="exact"/>
              <w:rPr>
                <w:sz w:val="20"/>
                <w:szCs w:val="20"/>
                <w:color w:val="auto"/>
              </w:rPr>
            </w:pPr>
            <w:r>
              <w:rPr>
                <w:rFonts w:ascii="Courier New" w:cs="Courier New" w:eastAsia="Courier New" w:hAnsi="Courier New"/>
                <w:sz w:val="21"/>
                <w:szCs w:val="21"/>
                <w:color w:val="auto"/>
                <w:w w:val="86"/>
                <w:vertAlign w:val="superscript"/>
              </w:rPr>
              <w:t>Twenty-six Weeks</w:t>
            </w:r>
            <w:r>
              <w:rPr>
                <w:rFonts w:ascii="Courier New" w:cs="Courier New" w:eastAsia="Courier New" w:hAnsi="Courier New"/>
                <w:sz w:val="12"/>
                <w:szCs w:val="12"/>
                <w:color w:val="auto"/>
                <w:w w:val="86"/>
              </w:rPr>
              <w:t>.........................................</w:t>
            </w:r>
            <w:r>
              <w:rPr>
                <w:rFonts w:ascii="Courier New" w:cs="Courier New" w:eastAsia="Courier New" w:hAnsi="Courier New"/>
                <w:sz w:val="21"/>
                <w:szCs w:val="21"/>
                <w:color w:val="auto"/>
                <w:w w:val="86"/>
                <w:vertAlign w:val="superscript"/>
              </w:rPr>
              <w:t>EndedJuly4,1999and</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2480" w:type="dxa"/>
            <w:vAlign w:val="bottom"/>
          </w:tcPr>
          <w:p>
            <w:pPr>
              <w:ind w:left="460"/>
              <w:spacing w:after="0"/>
              <w:rPr>
                <w:sz w:val="20"/>
                <w:szCs w:val="20"/>
                <w:color w:val="auto"/>
              </w:rPr>
            </w:pPr>
            <w:r>
              <w:rPr>
                <w:rFonts w:ascii="Courier New" w:cs="Courier New" w:eastAsia="Courier New" w:hAnsi="Courier New"/>
                <w:sz w:val="16"/>
                <w:szCs w:val="16"/>
                <w:color w:val="auto"/>
              </w:rPr>
              <w:t>June 28, 1998</w:t>
            </w: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4"/>
                <w:szCs w:val="24"/>
                <w:color w:val="auto"/>
              </w:rPr>
            </w:pPr>
          </w:p>
        </w:tc>
        <w:tc>
          <w:tcPr>
            <w:tcW w:w="3720" w:type="dxa"/>
            <w:vAlign w:val="bottom"/>
            <w:gridSpan w:val="3"/>
          </w:tcPr>
          <w:p>
            <w:pPr>
              <w:spacing w:after="0"/>
              <w:rPr>
                <w:sz w:val="20"/>
                <w:szCs w:val="20"/>
                <w:color w:val="auto"/>
              </w:rPr>
            </w:pPr>
            <w:r>
              <w:rPr>
                <w:rFonts w:ascii="Courier New" w:cs="Courier New" w:eastAsia="Courier New" w:hAnsi="Courier New"/>
                <w:sz w:val="16"/>
                <w:szCs w:val="16"/>
                <w:color w:val="auto"/>
              </w:rPr>
              <w:t>Condensed Consolidated Balance Sheets</w:t>
            </w:r>
          </w:p>
        </w:tc>
        <w:tc>
          <w:tcPr>
            <w:tcW w:w="10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5520" w:type="dxa"/>
            <w:vAlign w:val="bottom"/>
            <w:gridSpan w:val="5"/>
          </w:tcPr>
          <w:p>
            <w:pPr>
              <w:ind w:left="460"/>
              <w:spacing w:after="0"/>
              <w:rPr>
                <w:sz w:val="20"/>
                <w:szCs w:val="20"/>
                <w:color w:val="auto"/>
              </w:rPr>
            </w:pPr>
            <w:r>
              <w:rPr>
                <w:rFonts w:ascii="Courier New" w:cs="Courier New" w:eastAsia="Courier New" w:hAnsi="Courier New"/>
                <w:sz w:val="16"/>
                <w:szCs w:val="16"/>
                <w:color w:val="auto"/>
              </w:rPr>
              <w:t>at July 4, 1999 (Unaudited) and January 3, 1999</w:t>
            </w:r>
          </w:p>
        </w:tc>
        <w:tc>
          <w:tcPr>
            <w:tcW w:w="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4"/>
                <w:szCs w:val="24"/>
                <w:color w:val="auto"/>
              </w:rPr>
            </w:pPr>
          </w:p>
        </w:tc>
        <w:tc>
          <w:tcPr>
            <w:tcW w:w="4760" w:type="dxa"/>
            <w:vAlign w:val="bottom"/>
            <w:gridSpan w:val="4"/>
          </w:tcPr>
          <w:p>
            <w:pPr>
              <w:spacing w:after="0"/>
              <w:rPr>
                <w:sz w:val="20"/>
                <w:szCs w:val="20"/>
                <w:color w:val="auto"/>
              </w:rPr>
            </w:pPr>
            <w:r>
              <w:rPr>
                <w:rFonts w:ascii="Courier New" w:cs="Courier New" w:eastAsia="Courier New" w:hAnsi="Courier New"/>
                <w:sz w:val="16"/>
                <w:szCs w:val="16"/>
                <w:color w:val="auto"/>
              </w:rPr>
              <w:t>Condensed Consolidated Statements of Cash Flows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5520" w:type="dxa"/>
            <w:vAlign w:val="bottom"/>
            <w:gridSpan w:val="5"/>
          </w:tcPr>
          <w:p>
            <w:pPr>
              <w:ind w:left="460"/>
              <w:spacing w:after="0" w:line="184" w:lineRule="exact"/>
              <w:rPr>
                <w:sz w:val="20"/>
                <w:szCs w:val="20"/>
                <w:color w:val="auto"/>
              </w:rPr>
            </w:pPr>
            <w:r>
              <w:rPr>
                <w:rFonts w:ascii="Courier New" w:cs="Courier New" w:eastAsia="Courier New" w:hAnsi="Courier New"/>
                <w:sz w:val="12"/>
                <w:szCs w:val="12"/>
                <w:color w:val="auto"/>
              </w:rPr>
              <w:t>(Unaudited) for the Twenty-six</w:t>
            </w:r>
            <w:r>
              <w:rPr>
                <w:rFonts w:ascii="Courier New" w:cs="Courier New" w:eastAsia="Courier New" w:hAnsi="Courier New"/>
                <w:sz w:val="21"/>
                <w:szCs w:val="21"/>
                <w:color w:val="auto"/>
                <w:vertAlign w:val="subscript"/>
              </w:rPr>
              <w:t>........................</w:t>
            </w:r>
            <w:r>
              <w:rPr>
                <w:rFonts w:ascii="Courier New" w:cs="Courier New" w:eastAsia="Courier New" w:hAnsi="Courier New"/>
                <w:sz w:val="12"/>
                <w:szCs w:val="12"/>
                <w:color w:val="auto"/>
              </w:rPr>
              <w:t>WeeksEnded</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34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July 4, 1999 and June 28, 1998</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4"/>
                <w:szCs w:val="24"/>
                <w:color w:val="auto"/>
              </w:rPr>
            </w:pPr>
          </w:p>
        </w:tc>
        <w:tc>
          <w:tcPr>
            <w:tcW w:w="5520" w:type="dxa"/>
            <w:vAlign w:val="bottom"/>
            <w:gridSpan w:val="5"/>
          </w:tcPr>
          <w:p>
            <w:pPr>
              <w:spacing w:after="0"/>
              <w:rPr>
                <w:sz w:val="20"/>
                <w:szCs w:val="20"/>
                <w:color w:val="auto"/>
              </w:rPr>
            </w:pPr>
            <w:r>
              <w:rPr>
                <w:rFonts w:ascii="Courier New" w:cs="Courier New" w:eastAsia="Courier New" w:hAnsi="Courier New"/>
                <w:sz w:val="13"/>
                <w:szCs w:val="13"/>
                <w:color w:val="auto"/>
                <w:w w:val="70"/>
              </w:rPr>
              <w:t>Notes to Condensed</w:t>
            </w:r>
            <w:r>
              <w:rPr>
                <w:rFonts w:ascii="Courier New" w:cs="Courier New" w:eastAsia="Courier New" w:hAnsi="Courier New"/>
                <w:sz w:val="23"/>
                <w:szCs w:val="23"/>
                <w:color w:val="auto"/>
                <w:w w:val="70"/>
                <w:vertAlign w:val="subscript"/>
              </w:rPr>
              <w:t>...........................................</w:t>
            </w:r>
            <w:r>
              <w:rPr>
                <w:rFonts w:ascii="Courier New" w:cs="Courier New" w:eastAsia="Courier New" w:hAnsi="Courier New"/>
                <w:sz w:val="13"/>
                <w:szCs w:val="13"/>
                <w:color w:val="auto"/>
                <w:w w:val="70"/>
              </w:rPr>
              <w:t>ConsolidatedFinancialStatements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248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4760" w:type="dxa"/>
            <w:vAlign w:val="bottom"/>
            <w:gridSpan w:val="4"/>
          </w:tcPr>
          <w:p>
            <w:pPr>
              <w:spacing w:after="0"/>
              <w:rPr>
                <w:sz w:val="20"/>
                <w:szCs w:val="20"/>
                <w:color w:val="auto"/>
              </w:rPr>
            </w:pPr>
            <w:r>
              <w:rPr>
                <w:rFonts w:ascii="Courier New" w:cs="Courier New" w:eastAsia="Courier New" w:hAnsi="Courier New"/>
                <w:sz w:val="16"/>
                <w:szCs w:val="16"/>
                <w:color w:val="auto"/>
                <w:w w:val="98"/>
              </w:rPr>
              <w:t>Management's Discussion and Analysis of Results of</w:t>
            </w:r>
          </w:p>
        </w:tc>
        <w:tc>
          <w:tcPr>
            <w:tcW w:w="76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12</w:t>
            </w: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3720" w:type="dxa"/>
            <w:vAlign w:val="bottom"/>
            <w:gridSpan w:val="3"/>
          </w:tcPr>
          <w:p>
            <w:pPr>
              <w:ind w:left="460"/>
              <w:spacing w:after="0"/>
              <w:rPr>
                <w:sz w:val="20"/>
                <w:szCs w:val="20"/>
                <w:color w:val="auto"/>
              </w:rPr>
            </w:pPr>
            <w:r>
              <w:rPr>
                <w:rFonts w:ascii="Courier New" w:cs="Courier New" w:eastAsia="Courier New" w:hAnsi="Courier New"/>
                <w:sz w:val="16"/>
                <w:szCs w:val="16"/>
                <w:color w:val="auto"/>
                <w:w w:val="99"/>
              </w:rPr>
              <w:t>Operations and Financial Condition</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7"/>
        </w:trPr>
        <w:tc>
          <w:tcPr>
            <w:tcW w:w="96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OTHER INFORMATION</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6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5520" w:type="dxa"/>
            <w:vAlign w:val="bottom"/>
            <w:gridSpan w:val="5"/>
          </w:tcPr>
          <w:p>
            <w:pPr>
              <w:spacing w:after="0"/>
              <w:rPr>
                <w:sz w:val="20"/>
                <w:szCs w:val="20"/>
                <w:color w:val="auto"/>
              </w:rPr>
            </w:pPr>
            <w:r>
              <w:rPr>
                <w:rFonts w:ascii="Courier New" w:cs="Courier New" w:eastAsia="Courier New" w:hAnsi="Courier New"/>
                <w:sz w:val="16"/>
                <w:szCs w:val="16"/>
                <w:color w:val="auto"/>
                <w:w w:val="98"/>
              </w:rPr>
              <w:t>Submission of Matters to a Vote of Security Holders.......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22</w:t>
            </w:r>
          </w:p>
        </w:tc>
        <w:tc>
          <w:tcPr>
            <w:tcW w:w="0" w:type="dxa"/>
            <w:vAlign w:val="bottom"/>
          </w:tcPr>
          <w:p>
            <w:pPr>
              <w:spacing w:after="0"/>
              <w:rPr>
                <w:sz w:val="1"/>
                <w:szCs w:val="1"/>
                <w:color w:val="auto"/>
              </w:rPr>
            </w:pPr>
          </w:p>
        </w:tc>
      </w:tr>
      <w:tr>
        <w:trPr>
          <w:trHeight w:val="367"/>
        </w:trPr>
        <w:tc>
          <w:tcPr>
            <w:tcW w:w="96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3720" w:type="dxa"/>
            <w:vAlign w:val="bottom"/>
            <w:gridSpan w:val="3"/>
          </w:tcPr>
          <w:p>
            <w:pPr>
              <w:spacing w:after="0"/>
              <w:rPr>
                <w:sz w:val="20"/>
                <w:szCs w:val="20"/>
                <w:color w:val="auto"/>
              </w:rPr>
            </w:pPr>
            <w:r>
              <w:rPr>
                <w:rFonts w:ascii="Courier New" w:cs="Courier New" w:eastAsia="Courier New" w:hAnsi="Courier New"/>
                <w:sz w:val="15"/>
                <w:szCs w:val="15"/>
                <w:color w:val="auto"/>
                <w:w w:val="70"/>
              </w:rPr>
              <w:t>Exhibits and Reports on Form 8-K..........................</w:t>
            </w: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c>
          <w:tcPr>
            <w:tcW w:w="0" w:type="dxa"/>
            <w:vAlign w:val="bottom"/>
          </w:tcPr>
          <w:p>
            <w:pPr>
              <w:spacing w:after="0"/>
              <w:rPr>
                <w:sz w:val="1"/>
                <w:szCs w:val="1"/>
                <w:color w:val="auto"/>
              </w:rPr>
            </w:pPr>
          </w:p>
        </w:tc>
      </w:tr>
      <w:tr>
        <w:trPr>
          <w:trHeight w:val="367"/>
        </w:trPr>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Signatures</w:t>
            </w:r>
          </w:p>
        </w:tc>
        <w:tc>
          <w:tcPr>
            <w:tcW w:w="3420" w:type="dxa"/>
            <w:vAlign w:val="bottom"/>
            <w:gridSpan w:val="2"/>
          </w:tcPr>
          <w:p>
            <w:pPr>
              <w:spacing w:after="0"/>
              <w:rPr>
                <w:sz w:val="20"/>
                <w:szCs w:val="20"/>
                <w:color w:val="auto"/>
              </w:rPr>
            </w:pPr>
            <w:r>
              <w:rPr>
                <w:rFonts w:ascii="Courier New" w:cs="Courier New" w:eastAsia="Courier New" w:hAnsi="Courier New"/>
                <w:sz w:val="12"/>
                <w:szCs w:val="12"/>
                <w:color w:val="auto"/>
                <w:w w:val="81"/>
              </w:rPr>
              <w:t>..........................................................</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24</w:t>
            </w:r>
          </w:p>
        </w:tc>
        <w:tc>
          <w:tcPr>
            <w:tcW w:w="0" w:type="dxa"/>
            <w:vAlign w:val="bottom"/>
          </w:tcPr>
          <w:p>
            <w:pPr>
              <w:spacing w:after="0"/>
              <w:rPr>
                <w:sz w:val="1"/>
                <w:szCs w:val="1"/>
                <w:color w:val="auto"/>
              </w:rPr>
            </w:pPr>
          </w:p>
        </w:tc>
      </w:tr>
      <w:tr>
        <w:trPr>
          <w:trHeight w:val="367"/>
        </w:trPr>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Exhibit 11</w:t>
            </w:r>
          </w:p>
        </w:tc>
        <w:tc>
          <w:tcPr>
            <w:tcW w:w="2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 27 (Electronic Filing Only)</w:t>
      </w:r>
    </w:p>
    <w:p>
      <w:pPr>
        <w:sectPr>
          <w:pgSz w:w="11900" w:h="16838" w:orient="portrait"/>
          <w:cols w:equalWidth="0" w:num="1">
            <w:col w:w="10219"/>
          </w:cols>
          <w:pgMar w:left="240" w:top="395" w:right="1440" w:bottom="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6"/>
        </w:trPr>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3</w:t>
            </w:r>
          </w:p>
        </w:tc>
        <w:tc>
          <w:tcPr>
            <w:tcW w:w="3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FINANCIAL INFORMATION</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The Washington Post Company</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380" w:type="dxa"/>
            <w:vAlign w:val="bottom"/>
            <w:gridSpan w:val="4"/>
          </w:tcPr>
          <w:p>
            <w:pPr>
              <w:spacing w:after="0"/>
              <w:rPr>
                <w:sz w:val="20"/>
                <w:szCs w:val="20"/>
                <w:color w:val="auto"/>
              </w:rPr>
            </w:pPr>
            <w:r>
              <w:rPr>
                <w:rFonts w:ascii="Courier New" w:cs="Courier New" w:eastAsia="Courier New" w:hAnsi="Courier New"/>
                <w:sz w:val="16"/>
                <w:szCs w:val="16"/>
                <w:color w:val="auto"/>
              </w:rPr>
              <w:t>Condensed Consolidated Statements of Income (Unaudited)</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1"/>
        </w:trPr>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8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Thirteen Weeks Ended</w:t>
            </w:r>
          </w:p>
        </w:tc>
        <w:tc>
          <w:tcPr>
            <w:tcW w:w="380" w:type="dxa"/>
            <w:vAlign w:val="bottom"/>
          </w:tcPr>
          <w:p>
            <w:pPr>
              <w:spacing w:after="0"/>
              <w:rPr>
                <w:sz w:val="24"/>
                <w:szCs w:val="24"/>
                <w:color w:val="auto"/>
              </w:rPr>
            </w:pPr>
          </w:p>
        </w:tc>
        <w:tc>
          <w:tcPr>
            <w:tcW w:w="22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Twenty-six Weeks Ended</w:t>
            </w:r>
          </w:p>
        </w:tc>
        <w:tc>
          <w:tcPr>
            <w:tcW w:w="0" w:type="dxa"/>
            <w:vAlign w:val="bottom"/>
          </w:tcPr>
          <w:p>
            <w:pPr>
              <w:spacing w:after="0"/>
              <w:rPr>
                <w:sz w:val="1"/>
                <w:szCs w:val="1"/>
                <w:color w:val="auto"/>
              </w:rPr>
            </w:pPr>
          </w:p>
        </w:tc>
      </w:tr>
      <w:tr>
        <w:trPr>
          <w:trHeight w:val="183"/>
        </w:trPr>
        <w:tc>
          <w:tcPr>
            <w:tcW w:w="4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2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July 4,</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June 28,</w:t>
            </w:r>
          </w:p>
        </w:tc>
        <w:tc>
          <w:tcPr>
            <w:tcW w:w="38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July 4,</w:t>
            </w:r>
          </w:p>
        </w:tc>
        <w:tc>
          <w:tcPr>
            <w:tcW w:w="2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June 28,</w:t>
            </w:r>
          </w:p>
        </w:tc>
        <w:tc>
          <w:tcPr>
            <w:tcW w:w="0" w:type="dxa"/>
            <w:vAlign w:val="bottom"/>
          </w:tcPr>
          <w:p>
            <w:pPr>
              <w:spacing w:after="0"/>
              <w:rPr>
                <w:sz w:val="1"/>
                <w:szCs w:val="1"/>
                <w:color w:val="auto"/>
              </w:rPr>
            </w:pPr>
          </w:p>
        </w:tc>
      </w:tr>
      <w:tr>
        <w:trPr>
          <w:trHeight w:val="183"/>
        </w:trPr>
        <w:tc>
          <w:tcPr>
            <w:tcW w:w="4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0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1998</w:t>
            </w:r>
          </w:p>
        </w:tc>
        <w:tc>
          <w:tcPr>
            <w:tcW w:w="380" w:type="dxa"/>
            <w:vAlign w:val="bottom"/>
          </w:tcPr>
          <w:p>
            <w:pPr>
              <w:spacing w:after="0"/>
              <w:rPr>
                <w:sz w:val="15"/>
                <w:szCs w:val="15"/>
                <w:color w:val="auto"/>
              </w:rPr>
            </w:pPr>
          </w:p>
        </w:tc>
        <w:tc>
          <w:tcPr>
            <w:tcW w:w="11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6"/>
        </w:trPr>
        <w:tc>
          <w:tcPr>
            <w:tcW w:w="7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48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3"/>
                <w:szCs w:val="23"/>
                <w:color w:val="auto"/>
              </w:rPr>
            </w:pPr>
          </w:p>
        </w:tc>
        <w:tc>
          <w:tcPr>
            <w:tcW w:w="22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7"/>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Operating revenues</w:t>
            </w:r>
          </w:p>
        </w:tc>
        <w:tc>
          <w:tcPr>
            <w:tcW w:w="2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w w:val="95"/>
              </w:rPr>
              <w:t>341,602</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w w:val="98"/>
              </w:rPr>
              <w:t>342,247</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641,604</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634,932</w:t>
            </w:r>
          </w:p>
        </w:tc>
        <w:tc>
          <w:tcPr>
            <w:tcW w:w="0" w:type="dxa"/>
            <w:vAlign w:val="bottom"/>
          </w:tcPr>
          <w:p>
            <w:pPr>
              <w:spacing w:after="0"/>
              <w:rPr>
                <w:sz w:val="1"/>
                <w:szCs w:val="1"/>
                <w:color w:val="auto"/>
              </w:rPr>
            </w:pPr>
          </w:p>
        </w:tc>
      </w:tr>
      <w:tr>
        <w:trPr>
          <w:trHeight w:val="183"/>
        </w:trPr>
        <w:tc>
          <w:tcPr>
            <w:tcW w:w="4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Advertising</w:t>
            </w:r>
          </w:p>
        </w:tc>
        <w:tc>
          <w:tcPr>
            <w:tcW w:w="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Circulation and subscriber</w:t>
            </w:r>
          </w:p>
        </w:tc>
        <w:tc>
          <w:tcPr>
            <w:tcW w:w="2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142,854</w:t>
            </w:r>
          </w:p>
        </w:tc>
        <w:tc>
          <w:tcPr>
            <w:tcW w:w="240" w:type="dxa"/>
            <w:vAlign w:val="bottom"/>
          </w:tcPr>
          <w:p>
            <w:pPr>
              <w:spacing w:after="0"/>
              <w:rPr>
                <w:sz w:val="15"/>
                <w:szCs w:val="15"/>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133,365</w:t>
            </w:r>
          </w:p>
        </w:tc>
        <w:tc>
          <w:tcPr>
            <w:tcW w:w="3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284,285</w:t>
            </w:r>
          </w:p>
        </w:tc>
        <w:tc>
          <w:tcPr>
            <w:tcW w:w="2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263,705</w:t>
            </w:r>
          </w:p>
        </w:tc>
        <w:tc>
          <w:tcPr>
            <w:tcW w:w="0" w:type="dxa"/>
            <w:vAlign w:val="bottom"/>
          </w:tcPr>
          <w:p>
            <w:pPr>
              <w:spacing w:after="0"/>
              <w:rPr>
                <w:sz w:val="1"/>
                <w:szCs w:val="1"/>
                <w:color w:val="auto"/>
              </w:rPr>
            </w:pPr>
          </w:p>
        </w:tc>
      </w:tr>
      <w:tr>
        <w:trPr>
          <w:trHeight w:val="266"/>
        </w:trPr>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3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72,739</w:t>
            </w:r>
          </w:p>
        </w:tc>
        <w:tc>
          <w:tcPr>
            <w:tcW w:w="240" w:type="dxa"/>
            <w:vAlign w:val="bottom"/>
          </w:tcPr>
          <w:p>
            <w:pPr>
              <w:spacing w:after="0"/>
              <w:rPr>
                <w:sz w:val="23"/>
                <w:szCs w:val="23"/>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50,145</w:t>
            </w:r>
          </w:p>
        </w:tc>
        <w:tc>
          <w:tcPr>
            <w:tcW w:w="38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151,703</w:t>
            </w:r>
          </w:p>
        </w:tc>
        <w:tc>
          <w:tcPr>
            <w:tcW w:w="24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111,075</w:t>
            </w:r>
          </w:p>
        </w:tc>
        <w:tc>
          <w:tcPr>
            <w:tcW w:w="0" w:type="dxa"/>
            <w:vAlign w:val="bottom"/>
          </w:tcPr>
          <w:p>
            <w:pPr>
              <w:spacing w:after="0"/>
              <w:rPr>
                <w:sz w:val="1"/>
                <w:szCs w:val="1"/>
                <w:color w:val="auto"/>
              </w:rPr>
            </w:pPr>
          </w:p>
        </w:tc>
      </w:tr>
      <w:tr>
        <w:trPr>
          <w:trHeight w:val="367"/>
        </w:trPr>
        <w:tc>
          <w:tcPr>
            <w:tcW w:w="4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28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557,195</w:t>
            </w:r>
          </w:p>
        </w:tc>
        <w:tc>
          <w:tcPr>
            <w:tcW w:w="240" w:type="dxa"/>
            <w:vAlign w:val="bottom"/>
          </w:tcPr>
          <w:p>
            <w:pPr>
              <w:spacing w:after="0"/>
              <w:rPr>
                <w:sz w:val="24"/>
                <w:szCs w:val="24"/>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525,757</w:t>
            </w:r>
          </w:p>
        </w:tc>
        <w:tc>
          <w:tcPr>
            <w:tcW w:w="38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1,077,592</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1,009,712</w:t>
            </w:r>
          </w:p>
        </w:tc>
        <w:tc>
          <w:tcPr>
            <w:tcW w:w="0" w:type="dxa"/>
            <w:vAlign w:val="bottom"/>
          </w:tcPr>
          <w:p>
            <w:pPr>
              <w:spacing w:after="0"/>
              <w:rPr>
                <w:sz w:val="1"/>
                <w:szCs w:val="1"/>
                <w:color w:val="auto"/>
              </w:rPr>
            </w:pPr>
          </w:p>
        </w:tc>
      </w:tr>
      <w:tr>
        <w:trPr>
          <w:trHeight w:val="100"/>
        </w:trPr>
        <w:tc>
          <w:tcPr>
            <w:tcW w:w="4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w w:val="95"/>
              </w:rPr>
              <w:t>294,172</w:t>
            </w:r>
          </w:p>
        </w:tc>
        <w:tc>
          <w:tcPr>
            <w:tcW w:w="240" w:type="dxa"/>
            <w:vAlign w:val="bottom"/>
          </w:tcPr>
          <w:p>
            <w:pPr>
              <w:spacing w:after="0"/>
              <w:rPr>
                <w:sz w:val="8"/>
                <w:szCs w:val="8"/>
                <w:color w:val="auto"/>
              </w:rPr>
            </w:pPr>
          </w:p>
        </w:tc>
        <w:tc>
          <w:tcPr>
            <w:tcW w:w="10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w w:val="98"/>
              </w:rPr>
              <w:t>276,399</w:t>
            </w:r>
          </w:p>
        </w:tc>
        <w:tc>
          <w:tcPr>
            <w:tcW w:w="380" w:type="dxa"/>
            <w:vAlign w:val="bottom"/>
          </w:tcPr>
          <w:p>
            <w:pPr>
              <w:spacing w:after="0"/>
              <w:rPr>
                <w:sz w:val="8"/>
                <w:szCs w:val="8"/>
                <w:color w:val="auto"/>
              </w:rPr>
            </w:pPr>
          </w:p>
        </w:tc>
        <w:tc>
          <w:tcPr>
            <w:tcW w:w="11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580,756</w:t>
            </w:r>
          </w:p>
        </w:tc>
        <w:tc>
          <w:tcPr>
            <w:tcW w:w="240" w:type="dxa"/>
            <w:vAlign w:val="bottom"/>
          </w:tcPr>
          <w:p>
            <w:pPr>
              <w:spacing w:after="0"/>
              <w:rPr>
                <w:sz w:val="8"/>
                <w:szCs w:val="8"/>
                <w:color w:val="auto"/>
              </w:rPr>
            </w:pP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543,986</w:t>
            </w:r>
          </w:p>
        </w:tc>
        <w:tc>
          <w:tcPr>
            <w:tcW w:w="0" w:type="dxa"/>
            <w:vAlign w:val="bottom"/>
          </w:tcPr>
          <w:p>
            <w:pPr>
              <w:spacing w:after="0"/>
              <w:rPr>
                <w:sz w:val="1"/>
                <w:szCs w:val="1"/>
                <w:color w:val="auto"/>
              </w:rPr>
            </w:pPr>
          </w:p>
        </w:tc>
      </w:tr>
      <w:tr>
        <w:trPr>
          <w:trHeight w:val="183"/>
        </w:trPr>
        <w:tc>
          <w:tcPr>
            <w:tcW w:w="4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Operating</w:t>
            </w: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Selling, general and administrative</w:t>
            </w:r>
          </w:p>
        </w:tc>
        <w:tc>
          <w:tcPr>
            <w:tcW w:w="2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116,414</w:t>
            </w:r>
          </w:p>
        </w:tc>
        <w:tc>
          <w:tcPr>
            <w:tcW w:w="240" w:type="dxa"/>
            <w:vAlign w:val="bottom"/>
          </w:tcPr>
          <w:p>
            <w:pPr>
              <w:spacing w:after="0"/>
              <w:rPr>
                <w:sz w:val="15"/>
                <w:szCs w:val="15"/>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111,005</w:t>
            </w:r>
          </w:p>
        </w:tc>
        <w:tc>
          <w:tcPr>
            <w:tcW w:w="3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233,410</w:t>
            </w:r>
          </w:p>
        </w:tc>
        <w:tc>
          <w:tcPr>
            <w:tcW w:w="2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220,935</w:t>
            </w:r>
          </w:p>
        </w:tc>
        <w:tc>
          <w:tcPr>
            <w:tcW w:w="0" w:type="dxa"/>
            <w:vAlign w:val="bottom"/>
          </w:tcPr>
          <w:p>
            <w:pPr>
              <w:spacing w:after="0"/>
              <w:rPr>
                <w:sz w:val="1"/>
                <w:szCs w:val="1"/>
                <w:color w:val="auto"/>
              </w:rPr>
            </w:pPr>
          </w:p>
        </w:tc>
      </w:tr>
      <w:tr>
        <w:trPr>
          <w:trHeight w:val="183"/>
        </w:trPr>
        <w:tc>
          <w:tcPr>
            <w:tcW w:w="4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Depreciation of property, plant</w:t>
            </w:r>
          </w:p>
        </w:tc>
        <w:tc>
          <w:tcPr>
            <w:tcW w:w="280" w:type="dxa"/>
            <w:vAlign w:val="bottom"/>
          </w:tcPr>
          <w:p>
            <w:pPr>
              <w:spacing w:after="0"/>
              <w:rPr>
                <w:sz w:val="15"/>
                <w:szCs w:val="15"/>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25,305</w:t>
            </w:r>
          </w:p>
        </w:tc>
        <w:tc>
          <w:tcPr>
            <w:tcW w:w="240" w:type="dxa"/>
            <w:vAlign w:val="bottom"/>
          </w:tcPr>
          <w:p>
            <w:pPr>
              <w:spacing w:after="0"/>
              <w:rPr>
                <w:sz w:val="15"/>
                <w:szCs w:val="15"/>
                <w:color w:val="auto"/>
              </w:rPr>
            </w:pPr>
          </w:p>
        </w:tc>
        <w:tc>
          <w:tcPr>
            <w:tcW w:w="10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20,731</w:t>
            </w:r>
          </w:p>
        </w:tc>
        <w:tc>
          <w:tcPr>
            <w:tcW w:w="380" w:type="dxa"/>
            <w:vAlign w:val="bottom"/>
          </w:tcPr>
          <w:p>
            <w:pPr>
              <w:spacing w:after="0"/>
              <w:rPr>
                <w:sz w:val="15"/>
                <w:szCs w:val="15"/>
                <w:color w:val="auto"/>
              </w:rPr>
            </w:pPr>
          </w:p>
        </w:tc>
        <w:tc>
          <w:tcPr>
            <w:tcW w:w="11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50,423</w:t>
            </w:r>
          </w:p>
        </w:tc>
        <w:tc>
          <w:tcPr>
            <w:tcW w:w="240" w:type="dxa"/>
            <w:vAlign w:val="bottom"/>
          </w:tcPr>
          <w:p>
            <w:pPr>
              <w:spacing w:after="0"/>
              <w:rPr>
                <w:sz w:val="15"/>
                <w:szCs w:val="15"/>
                <w:color w:val="auto"/>
              </w:rPr>
            </w:pP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41,113</w:t>
            </w:r>
          </w:p>
        </w:tc>
        <w:tc>
          <w:tcPr>
            <w:tcW w:w="0" w:type="dxa"/>
            <w:vAlign w:val="bottom"/>
          </w:tcPr>
          <w:p>
            <w:pPr>
              <w:spacing w:after="0"/>
              <w:rPr>
                <w:sz w:val="1"/>
                <w:szCs w:val="1"/>
                <w:color w:val="auto"/>
              </w:rPr>
            </w:pPr>
          </w:p>
        </w:tc>
      </w:tr>
      <w:tr>
        <w:trPr>
          <w:trHeight w:val="183"/>
        </w:trPr>
        <w:tc>
          <w:tcPr>
            <w:tcW w:w="4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and equipment</w:t>
            </w: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Amortization of goodwill and other</w:t>
            </w:r>
          </w:p>
        </w:tc>
        <w:tc>
          <w:tcPr>
            <w:tcW w:w="280" w:type="dxa"/>
            <w:vAlign w:val="bottom"/>
          </w:tcPr>
          <w:p>
            <w:pPr>
              <w:spacing w:after="0"/>
              <w:rPr>
                <w:sz w:val="15"/>
                <w:szCs w:val="15"/>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14,619</w:t>
            </w:r>
          </w:p>
        </w:tc>
        <w:tc>
          <w:tcPr>
            <w:tcW w:w="240" w:type="dxa"/>
            <w:vAlign w:val="bottom"/>
          </w:tcPr>
          <w:p>
            <w:pPr>
              <w:spacing w:after="0"/>
              <w:rPr>
                <w:sz w:val="15"/>
                <w:szCs w:val="15"/>
                <w:color w:val="auto"/>
              </w:rPr>
            </w:pPr>
          </w:p>
        </w:tc>
        <w:tc>
          <w:tcPr>
            <w:tcW w:w="10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11,129</w:t>
            </w:r>
          </w:p>
        </w:tc>
        <w:tc>
          <w:tcPr>
            <w:tcW w:w="380" w:type="dxa"/>
            <w:vAlign w:val="bottom"/>
          </w:tcPr>
          <w:p>
            <w:pPr>
              <w:spacing w:after="0"/>
              <w:rPr>
                <w:sz w:val="15"/>
                <w:szCs w:val="15"/>
                <w:color w:val="auto"/>
              </w:rPr>
            </w:pPr>
          </w:p>
        </w:tc>
        <w:tc>
          <w:tcPr>
            <w:tcW w:w="11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29,044</w:t>
            </w:r>
          </w:p>
        </w:tc>
        <w:tc>
          <w:tcPr>
            <w:tcW w:w="240" w:type="dxa"/>
            <w:vAlign w:val="bottom"/>
          </w:tcPr>
          <w:p>
            <w:pPr>
              <w:spacing w:after="0"/>
              <w:rPr>
                <w:sz w:val="15"/>
                <w:szCs w:val="15"/>
                <w:color w:val="auto"/>
              </w:rPr>
            </w:pP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21,868</w:t>
            </w:r>
          </w:p>
        </w:tc>
        <w:tc>
          <w:tcPr>
            <w:tcW w:w="0" w:type="dxa"/>
            <w:vAlign w:val="bottom"/>
          </w:tcPr>
          <w:p>
            <w:pPr>
              <w:spacing w:after="0"/>
              <w:rPr>
                <w:sz w:val="1"/>
                <w:szCs w:val="1"/>
                <w:color w:val="auto"/>
              </w:rPr>
            </w:pPr>
          </w:p>
        </w:tc>
      </w:tr>
      <w:tr>
        <w:trPr>
          <w:trHeight w:val="183"/>
        </w:trPr>
        <w:tc>
          <w:tcPr>
            <w:tcW w:w="4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intangibles</w:t>
            </w: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7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450,510</w:t>
            </w:r>
          </w:p>
        </w:tc>
        <w:tc>
          <w:tcPr>
            <w:tcW w:w="240" w:type="dxa"/>
            <w:vAlign w:val="bottom"/>
          </w:tcPr>
          <w:p>
            <w:pPr>
              <w:spacing w:after="0"/>
              <w:rPr>
                <w:sz w:val="23"/>
                <w:szCs w:val="23"/>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419,264</w:t>
            </w:r>
          </w:p>
        </w:tc>
        <w:tc>
          <w:tcPr>
            <w:tcW w:w="38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893,633</w:t>
            </w:r>
          </w:p>
        </w:tc>
        <w:tc>
          <w:tcPr>
            <w:tcW w:w="24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827,902</w:t>
            </w:r>
          </w:p>
        </w:tc>
        <w:tc>
          <w:tcPr>
            <w:tcW w:w="0" w:type="dxa"/>
            <w:vAlign w:val="bottom"/>
          </w:tcPr>
          <w:p>
            <w:pPr>
              <w:spacing w:after="0"/>
              <w:rPr>
                <w:sz w:val="1"/>
                <w:szCs w:val="1"/>
                <w:color w:val="auto"/>
              </w:rPr>
            </w:pPr>
          </w:p>
        </w:tc>
      </w:tr>
      <w:tr>
        <w:trPr>
          <w:trHeight w:val="367"/>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Income from operations</w:t>
            </w:r>
          </w:p>
        </w:tc>
        <w:tc>
          <w:tcPr>
            <w:tcW w:w="28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106,685</w:t>
            </w:r>
          </w:p>
        </w:tc>
        <w:tc>
          <w:tcPr>
            <w:tcW w:w="240" w:type="dxa"/>
            <w:vAlign w:val="bottom"/>
          </w:tcPr>
          <w:p>
            <w:pPr>
              <w:spacing w:after="0"/>
              <w:rPr>
                <w:sz w:val="24"/>
                <w:szCs w:val="24"/>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106,493</w:t>
            </w:r>
          </w:p>
        </w:tc>
        <w:tc>
          <w:tcPr>
            <w:tcW w:w="38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183,959</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181,810</w:t>
            </w:r>
          </w:p>
        </w:tc>
        <w:tc>
          <w:tcPr>
            <w:tcW w:w="0" w:type="dxa"/>
            <w:vAlign w:val="bottom"/>
          </w:tcPr>
          <w:p>
            <w:pPr>
              <w:spacing w:after="0"/>
              <w:rPr>
                <w:sz w:val="1"/>
                <w:szCs w:val="1"/>
                <w:color w:val="auto"/>
              </w:rPr>
            </w:pPr>
          </w:p>
        </w:tc>
      </w:tr>
      <w:tr>
        <w:trPr>
          <w:trHeight w:val="284"/>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280" w:type="dxa"/>
            <w:vAlign w:val="bottom"/>
          </w:tcPr>
          <w:p>
            <w:pPr>
              <w:spacing w:after="0"/>
              <w:rPr>
                <w:sz w:val="24"/>
                <w:szCs w:val="24"/>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731</w:t>
            </w:r>
          </w:p>
        </w:tc>
        <w:tc>
          <w:tcPr>
            <w:tcW w:w="240" w:type="dxa"/>
            <w:vAlign w:val="bottom"/>
          </w:tcPr>
          <w:p>
            <w:pPr>
              <w:spacing w:after="0"/>
              <w:rPr>
                <w:sz w:val="24"/>
                <w:szCs w:val="24"/>
                <w:color w:val="auto"/>
              </w:rPr>
            </w:pPr>
          </w:p>
        </w:tc>
        <w:tc>
          <w:tcPr>
            <w:tcW w:w="10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(71)</w:t>
            </w:r>
          </w:p>
        </w:tc>
        <w:tc>
          <w:tcPr>
            <w:tcW w:w="380" w:type="dxa"/>
            <w:vAlign w:val="bottom"/>
          </w:tcPr>
          <w:p>
            <w:pPr>
              <w:spacing w:after="0"/>
              <w:rPr>
                <w:sz w:val="24"/>
                <w:szCs w:val="24"/>
                <w:color w:val="auto"/>
              </w:rPr>
            </w:pPr>
          </w:p>
        </w:tc>
        <w:tc>
          <w:tcPr>
            <w:tcW w:w="110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rPr>
              <w:t>(1,779)</w:t>
            </w:r>
          </w:p>
        </w:tc>
        <w:tc>
          <w:tcPr>
            <w:tcW w:w="240" w:type="dxa"/>
            <w:vAlign w:val="bottom"/>
          </w:tcPr>
          <w:p>
            <w:pPr>
              <w:spacing w:after="0"/>
              <w:rPr>
                <w:sz w:val="24"/>
                <w:szCs w:val="24"/>
                <w:color w:val="auto"/>
              </w:rPr>
            </w:pP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917</w:t>
            </w:r>
          </w:p>
        </w:tc>
        <w:tc>
          <w:tcPr>
            <w:tcW w:w="0" w:type="dxa"/>
            <w:vAlign w:val="bottom"/>
          </w:tcPr>
          <w:p>
            <w:pPr>
              <w:spacing w:after="0"/>
              <w:rPr>
                <w:sz w:val="1"/>
                <w:szCs w:val="1"/>
                <w:color w:val="auto"/>
              </w:rPr>
            </w:pPr>
          </w:p>
        </w:tc>
      </w:tr>
      <w:tr>
        <w:trPr>
          <w:trHeight w:val="183"/>
        </w:trPr>
        <w:tc>
          <w:tcPr>
            <w:tcW w:w="4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Equity in earnings (losses)of affiliates</w:t>
            </w: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income</w:t>
            </w:r>
          </w:p>
        </w:tc>
        <w:tc>
          <w:tcPr>
            <w:tcW w:w="2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213</w:t>
            </w:r>
          </w:p>
        </w:tc>
        <w:tc>
          <w:tcPr>
            <w:tcW w:w="240" w:type="dxa"/>
            <w:vAlign w:val="bottom"/>
          </w:tcPr>
          <w:p>
            <w:pPr>
              <w:spacing w:after="0"/>
              <w:rPr>
                <w:sz w:val="15"/>
                <w:szCs w:val="15"/>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385</w:t>
            </w:r>
          </w:p>
        </w:tc>
        <w:tc>
          <w:tcPr>
            <w:tcW w:w="3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459</w:t>
            </w:r>
          </w:p>
        </w:tc>
        <w:tc>
          <w:tcPr>
            <w:tcW w:w="2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592</w:t>
            </w:r>
          </w:p>
        </w:tc>
        <w:tc>
          <w:tcPr>
            <w:tcW w:w="0" w:type="dxa"/>
            <w:vAlign w:val="bottom"/>
          </w:tcPr>
          <w:p>
            <w:pPr>
              <w:spacing w:after="0"/>
              <w:rPr>
                <w:sz w:val="1"/>
                <w:szCs w:val="1"/>
                <w:color w:val="auto"/>
              </w:rPr>
            </w:pPr>
          </w:p>
        </w:tc>
      </w:tr>
      <w:tr>
        <w:trPr>
          <w:trHeight w:val="183"/>
        </w:trPr>
        <w:tc>
          <w:tcPr>
            <w:tcW w:w="4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(5,441)</w:t>
            </w:r>
          </w:p>
        </w:tc>
        <w:tc>
          <w:tcPr>
            <w:tcW w:w="24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(330)</w:t>
            </w:r>
          </w:p>
        </w:tc>
        <w:tc>
          <w:tcPr>
            <w:tcW w:w="380" w:type="dxa"/>
            <w:vAlign w:val="bottom"/>
          </w:tcPr>
          <w:p>
            <w:pPr>
              <w:spacing w:after="0"/>
              <w:rPr>
                <w:sz w:val="15"/>
                <w:szCs w:val="15"/>
                <w:color w:val="auto"/>
              </w:rPr>
            </w:pPr>
          </w:p>
        </w:tc>
        <w:tc>
          <w:tcPr>
            <w:tcW w:w="11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(12,254)</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(2,574)</w:t>
            </w:r>
          </w:p>
        </w:tc>
        <w:tc>
          <w:tcPr>
            <w:tcW w:w="0" w:type="dxa"/>
            <w:vAlign w:val="bottom"/>
          </w:tcPr>
          <w:p>
            <w:pPr>
              <w:spacing w:after="0"/>
              <w:rPr>
                <w:sz w:val="1"/>
                <w:szCs w:val="1"/>
                <w:color w:val="auto"/>
              </w:rPr>
            </w:pPr>
          </w:p>
        </w:tc>
      </w:tr>
      <w:tr>
        <w:trPr>
          <w:trHeight w:val="266"/>
        </w:trPr>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3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9,471</w:t>
            </w:r>
          </w:p>
        </w:tc>
        <w:tc>
          <w:tcPr>
            <w:tcW w:w="240" w:type="dxa"/>
            <w:vAlign w:val="bottom"/>
          </w:tcPr>
          <w:p>
            <w:pPr>
              <w:spacing w:after="0"/>
              <w:rPr>
                <w:sz w:val="23"/>
                <w:szCs w:val="23"/>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(1,594)</w:t>
            </w:r>
          </w:p>
        </w:tc>
        <w:tc>
          <w:tcPr>
            <w:tcW w:w="38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15,613</w:t>
            </w:r>
          </w:p>
        </w:tc>
        <w:tc>
          <w:tcPr>
            <w:tcW w:w="24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256,512</w:t>
            </w:r>
          </w:p>
        </w:tc>
        <w:tc>
          <w:tcPr>
            <w:tcW w:w="0" w:type="dxa"/>
            <w:vAlign w:val="bottom"/>
          </w:tcPr>
          <w:p>
            <w:pPr>
              <w:spacing w:after="0"/>
              <w:rPr>
                <w:sz w:val="1"/>
                <w:szCs w:val="1"/>
                <w:color w:val="auto"/>
              </w:rPr>
            </w:pPr>
          </w:p>
        </w:tc>
      </w:tr>
      <w:tr>
        <w:trPr>
          <w:trHeight w:val="367"/>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28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111,659</w:t>
            </w:r>
          </w:p>
        </w:tc>
        <w:tc>
          <w:tcPr>
            <w:tcW w:w="240" w:type="dxa"/>
            <w:vAlign w:val="bottom"/>
          </w:tcPr>
          <w:p>
            <w:pPr>
              <w:spacing w:after="0"/>
              <w:rPr>
                <w:sz w:val="24"/>
                <w:szCs w:val="24"/>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104,883</w:t>
            </w:r>
          </w:p>
        </w:tc>
        <w:tc>
          <w:tcPr>
            <w:tcW w:w="38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185,998</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437,257</w:t>
            </w:r>
          </w:p>
        </w:tc>
        <w:tc>
          <w:tcPr>
            <w:tcW w:w="0" w:type="dxa"/>
            <w:vAlign w:val="bottom"/>
          </w:tcPr>
          <w:p>
            <w:pPr>
              <w:spacing w:after="0"/>
              <w:rPr>
                <w:sz w:val="1"/>
                <w:szCs w:val="1"/>
                <w:color w:val="auto"/>
              </w:rPr>
            </w:pPr>
          </w:p>
        </w:tc>
      </w:tr>
      <w:tr>
        <w:trPr>
          <w:trHeight w:val="367"/>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Provision for income taxes</w:t>
            </w:r>
          </w:p>
        </w:tc>
        <w:tc>
          <w:tcPr>
            <w:tcW w:w="28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43,750</w:t>
            </w:r>
          </w:p>
        </w:tc>
        <w:tc>
          <w:tcPr>
            <w:tcW w:w="240" w:type="dxa"/>
            <w:vAlign w:val="bottom"/>
          </w:tcPr>
          <w:p>
            <w:pPr>
              <w:spacing w:after="0"/>
              <w:rPr>
                <w:sz w:val="24"/>
                <w:szCs w:val="24"/>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41,100</w:t>
            </w:r>
          </w:p>
        </w:tc>
        <w:tc>
          <w:tcPr>
            <w:tcW w:w="38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72,900</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165,600</w:t>
            </w:r>
          </w:p>
        </w:tc>
        <w:tc>
          <w:tcPr>
            <w:tcW w:w="0" w:type="dxa"/>
            <w:vAlign w:val="bottom"/>
          </w:tcPr>
          <w:p>
            <w:pPr>
              <w:spacing w:after="0"/>
              <w:rPr>
                <w:sz w:val="1"/>
                <w:szCs w:val="1"/>
                <w:color w:val="auto"/>
              </w:rPr>
            </w:pPr>
          </w:p>
        </w:tc>
      </w:tr>
      <w:tr>
        <w:trPr>
          <w:trHeight w:val="367"/>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67,909</w:t>
            </w:r>
          </w:p>
        </w:tc>
        <w:tc>
          <w:tcPr>
            <w:tcW w:w="240" w:type="dxa"/>
            <w:vAlign w:val="bottom"/>
          </w:tcPr>
          <w:p>
            <w:pPr>
              <w:spacing w:after="0"/>
              <w:rPr>
                <w:sz w:val="24"/>
                <w:szCs w:val="24"/>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63,783</w:t>
            </w:r>
          </w:p>
        </w:tc>
        <w:tc>
          <w:tcPr>
            <w:tcW w:w="38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113,098</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271,657</w:t>
            </w:r>
          </w:p>
        </w:tc>
        <w:tc>
          <w:tcPr>
            <w:tcW w:w="0" w:type="dxa"/>
            <w:vAlign w:val="bottom"/>
          </w:tcPr>
          <w:p>
            <w:pPr>
              <w:spacing w:after="0"/>
              <w:rPr>
                <w:sz w:val="1"/>
                <w:szCs w:val="1"/>
                <w:color w:val="auto"/>
              </w:rPr>
            </w:pPr>
          </w:p>
        </w:tc>
      </w:tr>
      <w:tr>
        <w:trPr>
          <w:trHeight w:val="367"/>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Redeemable preferred stock dividends</w:t>
            </w:r>
          </w:p>
        </w:tc>
        <w:tc>
          <w:tcPr>
            <w:tcW w:w="28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(237)</w:t>
            </w:r>
          </w:p>
        </w:tc>
        <w:tc>
          <w:tcPr>
            <w:tcW w:w="240" w:type="dxa"/>
            <w:vAlign w:val="bottom"/>
          </w:tcPr>
          <w:p>
            <w:pPr>
              <w:spacing w:after="0"/>
              <w:rPr>
                <w:sz w:val="24"/>
                <w:szCs w:val="24"/>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(239)</w:t>
            </w:r>
          </w:p>
        </w:tc>
        <w:tc>
          <w:tcPr>
            <w:tcW w:w="380" w:type="dxa"/>
            <w:vAlign w:val="bottom"/>
          </w:tcPr>
          <w:p>
            <w:pPr>
              <w:spacing w:after="0"/>
              <w:rPr>
                <w:sz w:val="24"/>
                <w:szCs w:val="24"/>
                <w:color w:val="auto"/>
              </w:rPr>
            </w:pPr>
          </w:p>
        </w:tc>
        <w:tc>
          <w:tcPr>
            <w:tcW w:w="11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(712)</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(717)</w:t>
            </w:r>
          </w:p>
        </w:tc>
        <w:tc>
          <w:tcPr>
            <w:tcW w:w="0" w:type="dxa"/>
            <w:vAlign w:val="bottom"/>
          </w:tcPr>
          <w:p>
            <w:pPr>
              <w:spacing w:after="0"/>
              <w:rPr>
                <w:sz w:val="1"/>
                <w:szCs w:val="1"/>
                <w:color w:val="auto"/>
              </w:rPr>
            </w:pPr>
          </w:p>
        </w:tc>
      </w:tr>
      <w:tr>
        <w:trPr>
          <w:trHeight w:val="367"/>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Net income available for common shares</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67,672</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63,544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112,386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270,940</w:t>
            </w:r>
          </w:p>
        </w:tc>
        <w:tc>
          <w:tcPr>
            <w:tcW w:w="0" w:type="dxa"/>
            <w:vAlign w:val="bottom"/>
          </w:tcPr>
          <w:p>
            <w:pPr>
              <w:spacing w:after="0"/>
              <w:rPr>
                <w:sz w:val="1"/>
                <w:szCs w:val="1"/>
                <w:color w:val="auto"/>
              </w:rPr>
            </w:pPr>
          </w:p>
        </w:tc>
      </w:tr>
      <w:tr>
        <w:trPr>
          <w:trHeight w:val="367"/>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Basic earnings per common share</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6.30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11.13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26.86</w:t>
            </w:r>
          </w:p>
        </w:tc>
        <w:tc>
          <w:tcPr>
            <w:tcW w:w="0" w:type="dxa"/>
            <w:vAlign w:val="bottom"/>
          </w:tcPr>
          <w:p>
            <w:pPr>
              <w:spacing w:after="0"/>
              <w:rPr>
                <w:sz w:val="1"/>
                <w:szCs w:val="1"/>
                <w:color w:val="auto"/>
              </w:rPr>
            </w:pPr>
          </w:p>
        </w:tc>
      </w:tr>
      <w:tr>
        <w:trPr>
          <w:trHeight w:val="367"/>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Diluted earnings per common share</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6.67</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11.08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26.74</w:t>
            </w:r>
          </w:p>
        </w:tc>
        <w:tc>
          <w:tcPr>
            <w:tcW w:w="0" w:type="dxa"/>
            <w:vAlign w:val="bottom"/>
          </w:tcPr>
          <w:p>
            <w:pPr>
              <w:spacing w:after="0"/>
              <w:rPr>
                <w:sz w:val="1"/>
                <w:szCs w:val="1"/>
                <w:color w:val="auto"/>
              </w:rPr>
            </w:pPr>
          </w:p>
        </w:tc>
      </w:tr>
      <w:tr>
        <w:trPr>
          <w:trHeight w:val="367"/>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Dividends declared per common share</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3.75</w:t>
            </w:r>
          </w:p>
        </w:tc>
        <w:tc>
          <w:tcPr>
            <w:tcW w:w="0" w:type="dxa"/>
            <w:vAlign w:val="bottom"/>
          </w:tcPr>
          <w:p>
            <w:pPr>
              <w:spacing w:after="0"/>
              <w:rPr>
                <w:sz w:val="1"/>
                <w:szCs w:val="1"/>
                <w:color w:val="auto"/>
              </w:rPr>
            </w:pPr>
          </w:p>
        </w:tc>
      </w:tr>
      <w:tr>
        <w:trPr>
          <w:trHeight w:val="284"/>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Basic average number of common shares</w:t>
            </w:r>
          </w:p>
        </w:tc>
        <w:tc>
          <w:tcPr>
            <w:tcW w:w="280" w:type="dxa"/>
            <w:vAlign w:val="bottom"/>
          </w:tcPr>
          <w:p>
            <w:pPr>
              <w:spacing w:after="0"/>
              <w:rPr>
                <w:sz w:val="24"/>
                <w:szCs w:val="24"/>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10,098</w:t>
            </w:r>
          </w:p>
        </w:tc>
        <w:tc>
          <w:tcPr>
            <w:tcW w:w="240" w:type="dxa"/>
            <w:vAlign w:val="bottom"/>
          </w:tcPr>
          <w:p>
            <w:pPr>
              <w:spacing w:after="0"/>
              <w:rPr>
                <w:sz w:val="24"/>
                <w:szCs w:val="24"/>
                <w:color w:val="auto"/>
              </w:rPr>
            </w:pPr>
          </w:p>
        </w:tc>
        <w:tc>
          <w:tcPr>
            <w:tcW w:w="10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10,088</w:t>
            </w:r>
          </w:p>
        </w:tc>
        <w:tc>
          <w:tcPr>
            <w:tcW w:w="380" w:type="dxa"/>
            <w:vAlign w:val="bottom"/>
          </w:tcPr>
          <w:p>
            <w:pPr>
              <w:spacing w:after="0"/>
              <w:rPr>
                <w:sz w:val="24"/>
                <w:szCs w:val="24"/>
                <w:color w:val="auto"/>
              </w:rPr>
            </w:pPr>
          </w:p>
        </w:tc>
        <w:tc>
          <w:tcPr>
            <w:tcW w:w="11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10,098</w:t>
            </w:r>
          </w:p>
        </w:tc>
        <w:tc>
          <w:tcPr>
            <w:tcW w:w="240" w:type="dxa"/>
            <w:vAlign w:val="bottom"/>
          </w:tcPr>
          <w:p>
            <w:pPr>
              <w:spacing w:after="0"/>
              <w:rPr>
                <w:sz w:val="24"/>
                <w:szCs w:val="24"/>
                <w:color w:val="auto"/>
              </w:rPr>
            </w:pP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10,086</w:t>
            </w:r>
          </w:p>
        </w:tc>
        <w:tc>
          <w:tcPr>
            <w:tcW w:w="0" w:type="dxa"/>
            <w:vAlign w:val="bottom"/>
          </w:tcPr>
          <w:p>
            <w:pPr>
              <w:spacing w:after="0"/>
              <w:rPr>
                <w:sz w:val="1"/>
                <w:szCs w:val="1"/>
                <w:color w:val="auto"/>
              </w:rPr>
            </w:pPr>
          </w:p>
        </w:tc>
      </w:tr>
      <w:tr>
        <w:trPr>
          <w:trHeight w:val="266"/>
        </w:trPr>
        <w:tc>
          <w:tcPr>
            <w:tcW w:w="4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outstanding</w:t>
            </w:r>
          </w:p>
        </w:tc>
        <w:tc>
          <w:tcPr>
            <w:tcW w:w="280" w:type="dxa"/>
            <w:vAlign w:val="bottom"/>
          </w:tcPr>
          <w:p>
            <w:pPr>
              <w:spacing w:after="0"/>
              <w:rPr>
                <w:sz w:val="23"/>
                <w:szCs w:val="23"/>
                <w:color w:val="auto"/>
              </w:rPr>
            </w:pPr>
          </w:p>
        </w:tc>
        <w:tc>
          <w:tcPr>
            <w:tcW w:w="9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Diluted average number of common shares</w:t>
            </w:r>
          </w:p>
        </w:tc>
        <w:tc>
          <w:tcPr>
            <w:tcW w:w="280" w:type="dxa"/>
            <w:vAlign w:val="bottom"/>
          </w:tcPr>
          <w:p>
            <w:pPr>
              <w:spacing w:after="0"/>
              <w:rPr>
                <w:sz w:val="24"/>
                <w:szCs w:val="24"/>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10,140</w:t>
            </w:r>
          </w:p>
        </w:tc>
        <w:tc>
          <w:tcPr>
            <w:tcW w:w="240" w:type="dxa"/>
            <w:vAlign w:val="bottom"/>
          </w:tcPr>
          <w:p>
            <w:pPr>
              <w:spacing w:after="0"/>
              <w:rPr>
                <w:sz w:val="24"/>
                <w:szCs w:val="24"/>
                <w:color w:val="auto"/>
              </w:rPr>
            </w:pPr>
          </w:p>
        </w:tc>
        <w:tc>
          <w:tcPr>
            <w:tcW w:w="10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10,136</w:t>
            </w:r>
          </w:p>
        </w:tc>
        <w:tc>
          <w:tcPr>
            <w:tcW w:w="380" w:type="dxa"/>
            <w:vAlign w:val="bottom"/>
          </w:tcPr>
          <w:p>
            <w:pPr>
              <w:spacing w:after="0"/>
              <w:rPr>
                <w:sz w:val="24"/>
                <w:szCs w:val="24"/>
                <w:color w:val="auto"/>
              </w:rPr>
            </w:pPr>
          </w:p>
        </w:tc>
        <w:tc>
          <w:tcPr>
            <w:tcW w:w="11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10,141</w:t>
            </w:r>
          </w:p>
        </w:tc>
        <w:tc>
          <w:tcPr>
            <w:tcW w:w="240" w:type="dxa"/>
            <w:vAlign w:val="bottom"/>
          </w:tcPr>
          <w:p>
            <w:pPr>
              <w:spacing w:after="0"/>
              <w:rPr>
                <w:sz w:val="24"/>
                <w:szCs w:val="24"/>
                <w:color w:val="auto"/>
              </w:rPr>
            </w:pP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10,132</w:t>
            </w:r>
          </w:p>
        </w:tc>
        <w:tc>
          <w:tcPr>
            <w:tcW w:w="0" w:type="dxa"/>
            <w:vAlign w:val="bottom"/>
          </w:tcPr>
          <w:p>
            <w:pPr>
              <w:spacing w:after="0"/>
              <w:rPr>
                <w:sz w:val="1"/>
                <w:szCs w:val="1"/>
                <w:color w:val="auto"/>
              </w:rPr>
            </w:pPr>
          </w:p>
        </w:tc>
      </w:tr>
      <w:tr>
        <w:trPr>
          <w:trHeight w:val="266"/>
        </w:trPr>
        <w:tc>
          <w:tcPr>
            <w:tcW w:w="4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outstanding</w:t>
            </w:r>
          </w:p>
        </w:tc>
        <w:tc>
          <w:tcPr>
            <w:tcW w:w="280" w:type="dxa"/>
            <w:vAlign w:val="bottom"/>
          </w:tcPr>
          <w:p>
            <w:pPr>
              <w:spacing w:after="0"/>
              <w:rPr>
                <w:sz w:val="23"/>
                <w:szCs w:val="23"/>
                <w:color w:val="auto"/>
              </w:rPr>
            </w:pPr>
          </w:p>
        </w:tc>
        <w:tc>
          <w:tcPr>
            <w:tcW w:w="9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3" w:name="page4"/>
    <w:bookmarkEnd w:id="3"/>
    <w:p>
      <w:pPr>
        <w:ind w:left="180"/>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30" w:lineRule="exact"/>
        <w:rPr>
          <w:sz w:val="20"/>
          <w:szCs w:val="20"/>
          <w:color w:val="auto"/>
        </w:rPr>
      </w:pPr>
    </w:p>
    <w:p>
      <w:pPr>
        <w:ind w:right="4779"/>
        <w:spacing w:after="0" w:line="318" w:lineRule="auto"/>
        <w:rPr>
          <w:sz w:val="20"/>
          <w:szCs w:val="20"/>
          <w:color w:val="auto"/>
        </w:rPr>
      </w:pPr>
      <w:r>
        <w:rPr>
          <w:rFonts w:ascii="Courier New" w:cs="Courier New" w:eastAsia="Courier New" w:hAnsi="Courier New"/>
          <w:sz w:val="16"/>
          <w:szCs w:val="16"/>
          <w:color w:val="auto"/>
        </w:rPr>
        <w:t>Condensed Consolidated Statements of Comprehensive Income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2620" w:type="dxa"/>
            <w:vAlign w:val="bottom"/>
            <w:gridSpan w:val="3"/>
          </w:tcPr>
          <w:p>
            <w:pPr>
              <w:jc w:val="right"/>
              <w:ind w:right="381"/>
              <w:spacing w:after="0"/>
              <w:rPr>
                <w:sz w:val="20"/>
                <w:szCs w:val="20"/>
                <w:color w:val="auto"/>
              </w:rPr>
            </w:pPr>
            <w:r>
              <w:rPr>
                <w:rFonts w:ascii="Courier New" w:cs="Courier New" w:eastAsia="Courier New" w:hAnsi="Courier New"/>
                <w:sz w:val="16"/>
                <w:szCs w:val="16"/>
                <w:color w:val="auto"/>
              </w:rPr>
              <w:t>Thirteen Weeks Ended</w:t>
            </w:r>
          </w:p>
        </w:tc>
        <w:tc>
          <w:tcPr>
            <w:tcW w:w="2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Twenty-six Weeks Ended</w:t>
            </w:r>
          </w:p>
        </w:tc>
        <w:tc>
          <w:tcPr>
            <w:tcW w:w="0" w:type="dxa"/>
            <w:vAlign w:val="bottom"/>
          </w:tcPr>
          <w:p>
            <w:pPr>
              <w:spacing w:after="0"/>
              <w:rPr>
                <w:sz w:val="1"/>
                <w:szCs w:val="1"/>
                <w:color w:val="auto"/>
              </w:rPr>
            </w:pPr>
          </w:p>
        </w:tc>
      </w:tr>
      <w:tr>
        <w:trPr>
          <w:trHeight w:val="183"/>
        </w:trPr>
        <w:tc>
          <w:tcPr>
            <w:tcW w:w="4140" w:type="dxa"/>
            <w:vAlign w:val="bottom"/>
            <w:vMerge w:val="restart"/>
          </w:tcPr>
          <w:p>
            <w:pPr>
              <w:spacing w:after="0"/>
              <w:rPr>
                <w:sz w:val="20"/>
                <w:szCs w:val="20"/>
                <w:color w:val="auto"/>
              </w:rPr>
            </w:pPr>
            <w:r>
              <w:rPr>
                <w:rFonts w:ascii="Courier New" w:cs="Courier New" w:eastAsia="Courier New" w:hAnsi="Courier New"/>
                <w:sz w:val="16"/>
                <w:szCs w:val="16"/>
                <w:color w:val="auto"/>
              </w:rPr>
              <w:t>(In thousands)</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July 4,</w:t>
            </w:r>
          </w:p>
        </w:tc>
        <w:tc>
          <w:tcPr>
            <w:tcW w:w="1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June 28,</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July 4,</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June 28,</w:t>
            </w:r>
          </w:p>
        </w:tc>
        <w:tc>
          <w:tcPr>
            <w:tcW w:w="0" w:type="dxa"/>
            <w:vAlign w:val="bottom"/>
          </w:tcPr>
          <w:p>
            <w:pPr>
              <w:spacing w:after="0"/>
              <w:rPr>
                <w:sz w:val="1"/>
                <w:szCs w:val="1"/>
                <w:color w:val="auto"/>
              </w:rPr>
            </w:pPr>
          </w:p>
        </w:tc>
      </w:tr>
      <w:tr>
        <w:trPr>
          <w:trHeight w:val="266"/>
        </w:trPr>
        <w:tc>
          <w:tcPr>
            <w:tcW w:w="4140" w:type="dxa"/>
            <w:vAlign w:val="bottom"/>
            <w:vMerge w:val="continue"/>
          </w:tcPr>
          <w:p>
            <w:pPr>
              <w:spacing w:after="0"/>
              <w:rPr>
                <w:sz w:val="23"/>
                <w:szCs w:val="23"/>
                <w:color w:val="auto"/>
              </w:rPr>
            </w:pPr>
          </w:p>
        </w:tc>
        <w:tc>
          <w:tcPr>
            <w:tcW w:w="12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23"/>
                <w:szCs w:val="23"/>
                <w:color w:val="auto"/>
              </w:rPr>
            </w:pPr>
          </w:p>
        </w:tc>
        <w:tc>
          <w:tcPr>
            <w:tcW w:w="11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3"/>
              </w:rPr>
              <w:t>1998</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1999</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367"/>
        </w:trPr>
        <w:tc>
          <w:tcPr>
            <w:tcW w:w="41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$ 67,909</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63,783</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$113,098</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$271,657</w:t>
            </w:r>
          </w:p>
        </w:tc>
        <w:tc>
          <w:tcPr>
            <w:tcW w:w="0" w:type="dxa"/>
            <w:vAlign w:val="bottom"/>
          </w:tcPr>
          <w:p>
            <w:pPr>
              <w:spacing w:after="0"/>
              <w:rPr>
                <w:sz w:val="1"/>
                <w:szCs w:val="1"/>
                <w:color w:val="auto"/>
              </w:rPr>
            </w:pPr>
          </w:p>
        </w:tc>
      </w:tr>
      <w:tr>
        <w:trPr>
          <w:trHeight w:val="284"/>
        </w:trPr>
        <w:tc>
          <w:tcPr>
            <w:tcW w:w="4140" w:type="dxa"/>
            <w:vAlign w:val="bottom"/>
          </w:tcPr>
          <w:p>
            <w:pPr>
              <w:spacing w:after="0"/>
              <w:rPr>
                <w:sz w:val="20"/>
                <w:szCs w:val="20"/>
                <w:color w:val="auto"/>
              </w:rPr>
            </w:pPr>
            <w:r>
              <w:rPr>
                <w:rFonts w:ascii="Courier New" w:cs="Courier New" w:eastAsia="Courier New" w:hAnsi="Courier New"/>
                <w:sz w:val="16"/>
                <w:szCs w:val="16"/>
                <w:color w:val="auto"/>
              </w:rPr>
              <w:t>Other comprehensive income (loss)</w:t>
            </w:r>
          </w:p>
        </w:tc>
        <w:tc>
          <w:tcPr>
            <w:tcW w:w="124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(239)</w:t>
            </w:r>
          </w:p>
        </w:tc>
        <w:tc>
          <w:tcPr>
            <w:tcW w:w="240" w:type="dxa"/>
            <w:vAlign w:val="bottom"/>
          </w:tcPr>
          <w:p>
            <w:pPr>
              <w:spacing w:after="0"/>
              <w:rPr>
                <w:sz w:val="24"/>
                <w:szCs w:val="24"/>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(1,189)</w:t>
            </w:r>
          </w:p>
        </w:tc>
        <w:tc>
          <w:tcPr>
            <w:tcW w:w="14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(3,348)</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(1,485)</w:t>
            </w:r>
          </w:p>
        </w:tc>
        <w:tc>
          <w:tcPr>
            <w:tcW w:w="0" w:type="dxa"/>
            <w:vAlign w:val="bottom"/>
          </w:tcPr>
          <w:p>
            <w:pPr>
              <w:spacing w:after="0"/>
              <w:rPr>
                <w:sz w:val="1"/>
                <w:szCs w:val="1"/>
                <w:color w:val="auto"/>
              </w:rPr>
            </w:pPr>
          </w:p>
        </w:tc>
      </w:tr>
      <w:tr>
        <w:trPr>
          <w:trHeight w:val="183"/>
        </w:trPr>
        <w:tc>
          <w:tcPr>
            <w:tcW w:w="4140" w:type="dxa"/>
            <w:vAlign w:val="bottom"/>
          </w:tcPr>
          <w:p>
            <w:pPr>
              <w:ind w:left="180"/>
              <w:spacing w:after="0"/>
              <w:rPr>
                <w:sz w:val="20"/>
                <w:szCs w:val="20"/>
                <w:color w:val="auto"/>
              </w:rPr>
            </w:pPr>
            <w:r>
              <w:rPr>
                <w:rFonts w:ascii="Courier New" w:cs="Courier New" w:eastAsia="Courier New" w:hAnsi="Courier New"/>
                <w:sz w:val="16"/>
                <w:szCs w:val="16"/>
                <w:color w:val="auto"/>
              </w:rPr>
              <w:t>Foreign currency translation adjustment</w:t>
            </w:r>
          </w:p>
        </w:tc>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180"/>
              <w:spacing w:after="0"/>
              <w:rPr>
                <w:sz w:val="20"/>
                <w:szCs w:val="20"/>
                <w:color w:val="auto"/>
              </w:rPr>
            </w:pPr>
            <w:r>
              <w:rPr>
                <w:rFonts w:ascii="Courier New" w:cs="Courier New" w:eastAsia="Courier New" w:hAnsi="Courier New"/>
                <w:sz w:val="16"/>
                <w:szCs w:val="16"/>
                <w:color w:val="auto"/>
              </w:rPr>
              <w:t>Change in unrealized gain on</w:t>
            </w:r>
          </w:p>
        </w:tc>
        <w:tc>
          <w:tcPr>
            <w:tcW w:w="124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(20,385)</w:t>
            </w:r>
          </w:p>
        </w:tc>
        <w:tc>
          <w:tcPr>
            <w:tcW w:w="240" w:type="dxa"/>
            <w:vAlign w:val="bottom"/>
          </w:tcPr>
          <w:p>
            <w:pPr>
              <w:spacing w:after="0"/>
              <w:rPr>
                <w:sz w:val="15"/>
                <w:szCs w:val="15"/>
                <w:color w:val="auto"/>
              </w:rPr>
            </w:pPr>
          </w:p>
        </w:tc>
        <w:tc>
          <w:tcPr>
            <w:tcW w:w="114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2,720</w:t>
            </w:r>
          </w:p>
        </w:tc>
        <w:tc>
          <w:tcPr>
            <w:tcW w:w="14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(12,420)</w:t>
            </w:r>
          </w:p>
        </w:tc>
        <w:tc>
          <w:tcPr>
            <w:tcW w:w="11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3,108</w:t>
            </w:r>
          </w:p>
        </w:tc>
        <w:tc>
          <w:tcPr>
            <w:tcW w:w="0" w:type="dxa"/>
            <w:vAlign w:val="bottom"/>
          </w:tcPr>
          <w:p>
            <w:pPr>
              <w:spacing w:after="0"/>
              <w:rPr>
                <w:sz w:val="1"/>
                <w:szCs w:val="1"/>
                <w:color w:val="auto"/>
              </w:rPr>
            </w:pPr>
          </w:p>
        </w:tc>
      </w:tr>
      <w:tr>
        <w:trPr>
          <w:trHeight w:val="183"/>
        </w:trPr>
        <w:tc>
          <w:tcPr>
            <w:tcW w:w="4140" w:type="dxa"/>
            <w:vAlign w:val="bottom"/>
          </w:tcPr>
          <w:p>
            <w:pPr>
              <w:ind w:left="380"/>
              <w:spacing w:after="0"/>
              <w:rPr>
                <w:sz w:val="20"/>
                <w:szCs w:val="20"/>
                <w:color w:val="auto"/>
              </w:rPr>
            </w:pPr>
            <w:r>
              <w:rPr>
                <w:rFonts w:ascii="Courier New" w:cs="Courier New" w:eastAsia="Courier New" w:hAnsi="Courier New"/>
                <w:sz w:val="16"/>
                <w:szCs w:val="16"/>
                <w:color w:val="auto"/>
              </w:rPr>
              <w:t>available-for-sale securities</w:t>
            </w:r>
          </w:p>
        </w:tc>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180"/>
              <w:spacing w:after="0"/>
              <w:rPr>
                <w:sz w:val="20"/>
                <w:szCs w:val="20"/>
                <w:color w:val="auto"/>
              </w:rPr>
            </w:pPr>
            <w:r>
              <w:rPr>
                <w:rFonts w:ascii="Courier New" w:cs="Courier New" w:eastAsia="Courier New" w:hAnsi="Courier New"/>
                <w:sz w:val="16"/>
                <w:szCs w:val="16"/>
                <w:color w:val="auto"/>
              </w:rPr>
              <w:t>Less:  reclassification adjustment</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380"/>
              <w:spacing w:after="0"/>
              <w:rPr>
                <w:sz w:val="20"/>
                <w:szCs w:val="20"/>
                <w:color w:val="auto"/>
              </w:rPr>
            </w:pPr>
            <w:r>
              <w:rPr>
                <w:rFonts w:ascii="Courier New" w:cs="Courier New" w:eastAsia="Courier New" w:hAnsi="Courier New"/>
                <w:sz w:val="16"/>
                <w:szCs w:val="16"/>
                <w:color w:val="auto"/>
              </w:rPr>
              <w:t>for realized gains included in</w:t>
            </w:r>
          </w:p>
        </w:tc>
        <w:tc>
          <w:tcPr>
            <w:tcW w:w="124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(7,258)</w:t>
            </w:r>
          </w:p>
        </w:tc>
        <w:tc>
          <w:tcPr>
            <w:tcW w:w="240" w:type="dxa"/>
            <w:vAlign w:val="bottom"/>
          </w:tcPr>
          <w:p>
            <w:pPr>
              <w:spacing w:after="0"/>
              <w:rPr>
                <w:sz w:val="15"/>
                <w:szCs w:val="15"/>
                <w:color w:val="auto"/>
              </w:rPr>
            </w:pPr>
          </w:p>
        </w:tc>
        <w:tc>
          <w:tcPr>
            <w:tcW w:w="114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(5,832)</w:t>
            </w:r>
          </w:p>
        </w:tc>
        <w:tc>
          <w:tcPr>
            <w:tcW w:w="11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14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14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(27,882)</w:t>
            </w:r>
          </w:p>
        </w:tc>
        <w:tc>
          <w:tcPr>
            <w:tcW w:w="240" w:type="dxa"/>
            <w:vAlign w:val="bottom"/>
          </w:tcPr>
          <w:p>
            <w:pPr>
              <w:spacing w:after="0"/>
              <w:rPr>
                <w:sz w:val="23"/>
                <w:szCs w:val="23"/>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1,531</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(21,600)</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1,623</w:t>
            </w:r>
          </w:p>
        </w:tc>
        <w:tc>
          <w:tcPr>
            <w:tcW w:w="0" w:type="dxa"/>
            <w:vAlign w:val="bottom"/>
          </w:tcPr>
          <w:p>
            <w:pPr>
              <w:spacing w:after="0"/>
              <w:rPr>
                <w:sz w:val="1"/>
                <w:szCs w:val="1"/>
                <w:color w:val="auto"/>
              </w:rPr>
            </w:pPr>
          </w:p>
        </w:tc>
      </w:tr>
      <w:tr>
        <w:trPr>
          <w:trHeight w:val="284"/>
        </w:trPr>
        <w:tc>
          <w:tcPr>
            <w:tcW w:w="4140" w:type="dxa"/>
            <w:vAlign w:val="bottom"/>
          </w:tcPr>
          <w:p>
            <w:pPr>
              <w:spacing w:after="0"/>
              <w:rPr>
                <w:sz w:val="20"/>
                <w:szCs w:val="20"/>
                <w:color w:val="auto"/>
              </w:rPr>
            </w:pPr>
            <w:r>
              <w:rPr>
                <w:rFonts w:ascii="Courier New" w:cs="Courier New" w:eastAsia="Courier New" w:hAnsi="Courier New"/>
                <w:sz w:val="16"/>
                <w:szCs w:val="16"/>
                <w:color w:val="auto"/>
              </w:rPr>
              <w:t>Income tax benefit (expense) related to</w:t>
            </w:r>
          </w:p>
        </w:tc>
        <w:tc>
          <w:tcPr>
            <w:tcW w:w="12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10,781</w:t>
            </w:r>
          </w:p>
        </w:tc>
        <w:tc>
          <w:tcPr>
            <w:tcW w:w="240" w:type="dxa"/>
            <w:vAlign w:val="bottom"/>
          </w:tcPr>
          <w:p>
            <w:pPr>
              <w:spacing w:after="0"/>
              <w:rPr>
                <w:sz w:val="24"/>
                <w:szCs w:val="24"/>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(1,061)</w:t>
            </w:r>
          </w:p>
        </w:tc>
        <w:tc>
          <w:tcPr>
            <w:tcW w:w="14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7,112</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(1,212)</w:t>
            </w:r>
          </w:p>
        </w:tc>
        <w:tc>
          <w:tcPr>
            <w:tcW w:w="0" w:type="dxa"/>
            <w:vAlign w:val="bottom"/>
          </w:tcPr>
          <w:p>
            <w:pPr>
              <w:spacing w:after="0"/>
              <w:rPr>
                <w:sz w:val="1"/>
                <w:szCs w:val="1"/>
                <w:color w:val="auto"/>
              </w:rPr>
            </w:pPr>
          </w:p>
        </w:tc>
      </w:tr>
      <w:tr>
        <w:trPr>
          <w:trHeight w:val="183"/>
        </w:trPr>
        <w:tc>
          <w:tcPr>
            <w:tcW w:w="4140" w:type="dxa"/>
            <w:vAlign w:val="bottom"/>
          </w:tcPr>
          <w:p>
            <w:pPr>
              <w:ind w:left="180"/>
              <w:spacing w:after="0"/>
              <w:rPr>
                <w:sz w:val="20"/>
                <w:szCs w:val="20"/>
                <w:color w:val="auto"/>
              </w:rPr>
            </w:pPr>
            <w:r>
              <w:rPr>
                <w:rFonts w:ascii="Courier New" w:cs="Courier New" w:eastAsia="Courier New" w:hAnsi="Courier New"/>
                <w:sz w:val="16"/>
                <w:szCs w:val="16"/>
                <w:color w:val="auto"/>
              </w:rPr>
              <w:t>other comprehensive (loss) income</w:t>
            </w:r>
          </w:p>
        </w:tc>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14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( 17,101)</w:t>
            </w:r>
          </w:p>
        </w:tc>
        <w:tc>
          <w:tcPr>
            <w:tcW w:w="240" w:type="dxa"/>
            <w:vAlign w:val="bottom"/>
          </w:tcPr>
          <w:p>
            <w:pPr>
              <w:spacing w:after="0"/>
              <w:rPr>
                <w:sz w:val="23"/>
                <w:szCs w:val="23"/>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470</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(14,488)</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411</w:t>
            </w:r>
          </w:p>
        </w:tc>
        <w:tc>
          <w:tcPr>
            <w:tcW w:w="0" w:type="dxa"/>
            <w:vAlign w:val="bottom"/>
          </w:tcPr>
          <w:p>
            <w:pPr>
              <w:spacing w:after="0"/>
              <w:rPr>
                <w:sz w:val="1"/>
                <w:szCs w:val="1"/>
                <w:color w:val="auto"/>
              </w:rPr>
            </w:pPr>
          </w:p>
        </w:tc>
      </w:tr>
      <w:tr>
        <w:trPr>
          <w:trHeight w:val="367"/>
        </w:trPr>
        <w:tc>
          <w:tcPr>
            <w:tcW w:w="414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$ 50,808</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64,253</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$98,610</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$272,068</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4" w:name="page5"/>
    <w:bookmarkEnd w:id="4"/>
    <w:p>
      <w:pPr>
        <w:ind w:left="1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00" w:type="dxa"/>
            <w:vAlign w:val="bottom"/>
          </w:tcPr>
          <w:p>
            <w:pPr>
              <w:spacing w:after="0"/>
              <w:rPr>
                <w:sz w:val="15"/>
                <w:szCs w:val="15"/>
                <w:color w:val="auto"/>
              </w:rPr>
            </w:pPr>
          </w:p>
        </w:tc>
        <w:tc>
          <w:tcPr>
            <w:tcW w:w="1860" w:type="dxa"/>
            <w:vAlign w:val="bottom"/>
          </w:tcPr>
          <w:p>
            <w:pPr>
              <w:jc w:val="right"/>
              <w:ind w:right="1121"/>
              <w:spacing w:after="0"/>
              <w:rPr>
                <w:sz w:val="20"/>
                <w:szCs w:val="20"/>
                <w:color w:val="auto"/>
              </w:rPr>
            </w:pPr>
            <w:r>
              <w:rPr>
                <w:rFonts w:ascii="Courier New" w:cs="Courier New" w:eastAsia="Courier New" w:hAnsi="Courier New"/>
                <w:sz w:val="16"/>
                <w:szCs w:val="16"/>
                <w:color w:val="auto"/>
                <w:w w:val="95"/>
              </w:rPr>
              <w:t>July 4,</w:t>
            </w:r>
          </w:p>
        </w:tc>
        <w:tc>
          <w:tcPr>
            <w:tcW w:w="1960" w:type="dxa"/>
            <w:vAlign w:val="bottom"/>
            <w:gridSpan w:val="2"/>
            <w:vMerge w:val="restart"/>
          </w:tcPr>
          <w:p>
            <w:pPr>
              <w:ind w:left="900"/>
              <w:spacing w:after="0"/>
              <w:rPr>
                <w:sz w:val="20"/>
                <w:szCs w:val="20"/>
                <w:color w:val="auto"/>
              </w:rPr>
            </w:pPr>
            <w:r>
              <w:rPr>
                <w:rFonts w:ascii="Courier New" w:cs="Courier New" w:eastAsia="Courier New" w:hAnsi="Courier New"/>
                <w:sz w:val="16"/>
                <w:szCs w:val="16"/>
                <w:color w:val="auto"/>
              </w:rPr>
              <w:t>January 3,</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1301"/>
              <w:spacing w:after="0"/>
              <w:rPr>
                <w:sz w:val="20"/>
                <w:szCs w:val="20"/>
                <w:color w:val="auto"/>
              </w:rPr>
            </w:pPr>
            <w:r>
              <w:rPr>
                <w:rFonts w:ascii="Courier New" w:cs="Courier New" w:eastAsia="Courier New" w:hAnsi="Courier New"/>
                <w:sz w:val="16"/>
                <w:szCs w:val="16"/>
                <w:color w:val="auto"/>
              </w:rPr>
              <w:t>1999</w:t>
            </w:r>
          </w:p>
        </w:tc>
        <w:tc>
          <w:tcPr>
            <w:tcW w:w="1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280" w:type="dxa"/>
            <w:vAlign w:val="bottom"/>
            <w:vMerge w:val="restart"/>
          </w:tcPr>
          <w:p>
            <w:pPr>
              <w:spacing w:after="0"/>
              <w:rPr>
                <w:sz w:val="20"/>
                <w:szCs w:val="20"/>
                <w:color w:val="auto"/>
              </w:rPr>
            </w:pPr>
            <w:r>
              <w:rPr>
                <w:rFonts w:ascii="Courier New" w:cs="Courier New" w:eastAsia="Courier New" w:hAnsi="Courier New"/>
                <w:sz w:val="16"/>
                <w:szCs w:val="16"/>
                <w:color w:val="auto"/>
              </w:rPr>
              <w:t>Assets</w:t>
            </w:r>
          </w:p>
        </w:tc>
        <w:tc>
          <w:tcPr>
            <w:tcW w:w="21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(unaudited)</w:t>
            </w:r>
          </w:p>
        </w:tc>
        <w:tc>
          <w:tcPr>
            <w:tcW w:w="1000" w:type="dxa"/>
            <w:vAlign w:val="bottom"/>
          </w:tcPr>
          <w:p>
            <w:pPr>
              <w:spacing w:after="0"/>
              <w:rPr>
                <w:sz w:val="23"/>
                <w:szCs w:val="23"/>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3"/>
        </w:trPr>
        <w:tc>
          <w:tcPr>
            <w:tcW w:w="4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42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0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w:t>
            </w:r>
          </w:p>
        </w:tc>
        <w:tc>
          <w:tcPr>
            <w:tcW w:w="1860" w:type="dxa"/>
            <w:vAlign w:val="bottom"/>
            <w:vMerge w:val="restart"/>
          </w:tcPr>
          <w:p>
            <w:pPr>
              <w:jc w:val="right"/>
              <w:ind w:right="921"/>
              <w:spacing w:after="0"/>
              <w:rPr>
                <w:sz w:val="20"/>
                <w:szCs w:val="20"/>
                <w:color w:val="auto"/>
              </w:rPr>
            </w:pPr>
            <w:r>
              <w:rPr>
                <w:rFonts w:ascii="Courier New" w:cs="Courier New" w:eastAsia="Courier New" w:hAnsi="Courier New"/>
                <w:sz w:val="16"/>
                <w:szCs w:val="16"/>
                <w:color w:val="auto"/>
              </w:rPr>
              <w:t>17,707</w:t>
            </w:r>
          </w:p>
        </w:tc>
        <w:tc>
          <w:tcPr>
            <w:tcW w:w="1000" w:type="dxa"/>
            <w:vAlign w:val="bottom"/>
            <w:vMerge w:val="restart"/>
          </w:tcPr>
          <w:p>
            <w:pPr>
              <w:ind w:left="90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15,190</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w:t>
            </w:r>
          </w:p>
        </w:tc>
        <w:tc>
          <w:tcPr>
            <w:tcW w:w="30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Investments in marketable equity securities</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56,530</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71,676</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Accounts receivable, net</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259,566</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236,514</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Federal and state income taxes receivable</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29,117</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35,395</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Inventories</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21,270</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20,154</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Other current assets</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27,533</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25,949</w:t>
            </w:r>
          </w:p>
        </w:tc>
        <w:tc>
          <w:tcPr>
            <w:tcW w:w="0" w:type="dxa"/>
            <w:vAlign w:val="bottom"/>
          </w:tcPr>
          <w:p>
            <w:pPr>
              <w:spacing w:after="0"/>
              <w:rPr>
                <w:sz w:val="1"/>
                <w:szCs w:val="1"/>
                <w:color w:val="auto"/>
              </w:rPr>
            </w:pPr>
          </w:p>
        </w:tc>
      </w:tr>
      <w:tr>
        <w:trPr>
          <w:trHeight w:val="266"/>
        </w:trPr>
        <w:tc>
          <w:tcPr>
            <w:tcW w:w="4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411,723</w:t>
            </w:r>
          </w:p>
        </w:tc>
        <w:tc>
          <w:tcPr>
            <w:tcW w:w="10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404,878</w:t>
            </w:r>
          </w:p>
        </w:tc>
        <w:tc>
          <w:tcPr>
            <w:tcW w:w="0" w:type="dxa"/>
            <w:vAlign w:val="bottom"/>
          </w:tcPr>
          <w:p>
            <w:pPr>
              <w:spacing w:after="0"/>
              <w:rPr>
                <w:sz w:val="1"/>
                <w:szCs w:val="1"/>
                <w:color w:val="auto"/>
              </w:rPr>
            </w:pPr>
          </w:p>
        </w:tc>
      </w:tr>
      <w:tr>
        <w:trPr>
          <w:trHeight w:val="284"/>
        </w:trPr>
        <w:tc>
          <w:tcPr>
            <w:tcW w:w="42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300" w:type="dxa"/>
            <w:vAlign w:val="bottom"/>
          </w:tcPr>
          <w:p>
            <w:pPr>
              <w:spacing w:after="0"/>
              <w:rPr>
                <w:sz w:val="24"/>
                <w:szCs w:val="24"/>
                <w:color w:val="auto"/>
              </w:rPr>
            </w:pPr>
          </w:p>
        </w:tc>
        <w:tc>
          <w:tcPr>
            <w:tcW w:w="1860" w:type="dxa"/>
            <w:vAlign w:val="bottom"/>
            <w:vMerge w:val="restart"/>
          </w:tcPr>
          <w:p>
            <w:pPr>
              <w:jc w:val="right"/>
              <w:ind w:right="921"/>
              <w:spacing w:after="0"/>
              <w:rPr>
                <w:sz w:val="20"/>
                <w:szCs w:val="20"/>
                <w:color w:val="auto"/>
              </w:rPr>
            </w:pPr>
            <w:r>
              <w:rPr>
                <w:rFonts w:ascii="Courier New" w:cs="Courier New" w:eastAsia="Courier New" w:hAnsi="Courier New"/>
                <w:sz w:val="16"/>
                <w:szCs w:val="16"/>
                <w:color w:val="auto"/>
              </w:rPr>
              <w:t>253,285</w:t>
            </w:r>
          </w:p>
        </w:tc>
        <w:tc>
          <w:tcPr>
            <w:tcW w:w="1000" w:type="dxa"/>
            <w:vAlign w:val="bottom"/>
          </w:tcPr>
          <w:p>
            <w:pPr>
              <w:spacing w:after="0"/>
              <w:rPr>
                <w:sz w:val="24"/>
                <w:szCs w:val="24"/>
                <w:color w:val="auto"/>
              </w:rPr>
            </w:pPr>
          </w:p>
        </w:tc>
        <w:tc>
          <w:tcPr>
            <w:tcW w:w="9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248,764</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30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Machinery, equipment and fixtures</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986,101</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977,710</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Leasehold improvements</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54,193</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50,556</w:t>
            </w:r>
          </w:p>
        </w:tc>
        <w:tc>
          <w:tcPr>
            <w:tcW w:w="0" w:type="dxa"/>
            <w:vAlign w:val="bottom"/>
          </w:tcPr>
          <w:p>
            <w:pPr>
              <w:spacing w:after="0"/>
              <w:rPr>
                <w:sz w:val="1"/>
                <w:szCs w:val="1"/>
                <w:color w:val="auto"/>
              </w:rPr>
            </w:pPr>
          </w:p>
        </w:tc>
      </w:tr>
      <w:tr>
        <w:trPr>
          <w:trHeight w:val="183"/>
        </w:trPr>
        <w:tc>
          <w:tcPr>
            <w:tcW w:w="42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Less accumulated depreciation</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7"/>
              </w:rPr>
              <w:t>1,293,579</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1,277,030</w:t>
            </w:r>
          </w:p>
        </w:tc>
        <w:tc>
          <w:tcPr>
            <w:tcW w:w="0" w:type="dxa"/>
            <w:vAlign w:val="bottom"/>
          </w:tcPr>
          <w:p>
            <w:pPr>
              <w:spacing w:after="0"/>
              <w:rPr>
                <w:sz w:val="1"/>
                <w:szCs w:val="1"/>
                <w:color w:val="auto"/>
              </w:rPr>
            </w:pPr>
          </w:p>
        </w:tc>
      </w:tr>
      <w:tr>
        <w:trPr>
          <w:trHeight w:val="183"/>
        </w:trPr>
        <w:tc>
          <w:tcPr>
            <w:tcW w:w="4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841"/>
              <w:spacing w:after="0"/>
              <w:rPr>
                <w:sz w:val="20"/>
                <w:szCs w:val="20"/>
                <w:color w:val="auto"/>
              </w:rPr>
            </w:pPr>
            <w:r>
              <w:rPr>
                <w:rFonts w:ascii="Courier New" w:cs="Courier New" w:eastAsia="Courier New" w:hAnsi="Courier New"/>
                <w:sz w:val="16"/>
                <w:szCs w:val="16"/>
                <w:color w:val="auto"/>
              </w:rPr>
              <w:t>(602,058)</w:t>
            </w:r>
          </w:p>
        </w:tc>
        <w:tc>
          <w:tcPr>
            <w:tcW w:w="10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(566,616)</w:t>
            </w:r>
          </w:p>
        </w:tc>
        <w:tc>
          <w:tcPr>
            <w:tcW w:w="0" w:type="dxa"/>
            <w:vAlign w:val="bottom"/>
          </w:tcPr>
          <w:p>
            <w:pPr>
              <w:spacing w:after="0"/>
              <w:rPr>
                <w:sz w:val="1"/>
                <w:szCs w:val="1"/>
                <w:color w:val="auto"/>
              </w:rPr>
            </w:pPr>
          </w:p>
        </w:tc>
      </w:tr>
      <w:tr>
        <w:trPr>
          <w:trHeight w:val="183"/>
        </w:trPr>
        <w:tc>
          <w:tcPr>
            <w:tcW w:w="42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Land</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691,521</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710,414</w:t>
            </w:r>
          </w:p>
        </w:tc>
        <w:tc>
          <w:tcPr>
            <w:tcW w:w="0" w:type="dxa"/>
            <w:vAlign w:val="bottom"/>
          </w:tcPr>
          <w:p>
            <w:pPr>
              <w:spacing w:after="0"/>
              <w:rPr>
                <w:sz w:val="1"/>
                <w:szCs w:val="1"/>
                <w:color w:val="auto"/>
              </w:rPr>
            </w:pPr>
          </w:p>
        </w:tc>
      </w:tr>
      <w:tr>
        <w:trPr>
          <w:trHeight w:val="183"/>
        </w:trPr>
        <w:tc>
          <w:tcPr>
            <w:tcW w:w="4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41,475</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41,191</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Construction in progress</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123,104</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89,457</w:t>
            </w:r>
          </w:p>
        </w:tc>
        <w:tc>
          <w:tcPr>
            <w:tcW w:w="0" w:type="dxa"/>
            <w:vAlign w:val="bottom"/>
          </w:tcPr>
          <w:p>
            <w:pPr>
              <w:spacing w:after="0"/>
              <w:rPr>
                <w:sz w:val="1"/>
                <w:szCs w:val="1"/>
                <w:color w:val="auto"/>
              </w:rPr>
            </w:pPr>
          </w:p>
        </w:tc>
      </w:tr>
      <w:tr>
        <w:trPr>
          <w:trHeight w:val="266"/>
        </w:trPr>
        <w:tc>
          <w:tcPr>
            <w:tcW w:w="4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856,100</w:t>
            </w:r>
          </w:p>
        </w:tc>
        <w:tc>
          <w:tcPr>
            <w:tcW w:w="10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841,062</w:t>
            </w:r>
          </w:p>
        </w:tc>
        <w:tc>
          <w:tcPr>
            <w:tcW w:w="0" w:type="dxa"/>
            <w:vAlign w:val="bottom"/>
          </w:tcPr>
          <w:p>
            <w:pPr>
              <w:spacing w:after="0"/>
              <w:rPr>
                <w:sz w:val="1"/>
                <w:szCs w:val="1"/>
                <w:color w:val="auto"/>
              </w:rPr>
            </w:pPr>
          </w:p>
        </w:tc>
      </w:tr>
      <w:tr>
        <w:trPr>
          <w:trHeight w:val="284"/>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Investments in marketable equity securities</w:t>
            </w:r>
          </w:p>
        </w:tc>
        <w:tc>
          <w:tcPr>
            <w:tcW w:w="300" w:type="dxa"/>
            <w:vAlign w:val="bottom"/>
          </w:tcPr>
          <w:p>
            <w:pPr>
              <w:spacing w:after="0"/>
              <w:rPr>
                <w:sz w:val="24"/>
                <w:szCs w:val="24"/>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183,383</w:t>
            </w:r>
          </w:p>
        </w:tc>
        <w:tc>
          <w:tcPr>
            <w:tcW w:w="100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184,440</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Investments in affiliates</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60,081</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68,530</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intangibles,</w:t>
            </w:r>
          </w:p>
        </w:tc>
        <w:tc>
          <w:tcPr>
            <w:tcW w:w="300" w:type="dxa"/>
            <w:vAlign w:val="bottom"/>
          </w:tcPr>
          <w:p>
            <w:pPr>
              <w:spacing w:after="0"/>
              <w:rPr>
                <w:sz w:val="15"/>
                <w:szCs w:val="15"/>
                <w:color w:val="auto"/>
              </w:rPr>
            </w:pPr>
          </w:p>
        </w:tc>
        <w:tc>
          <w:tcPr>
            <w:tcW w:w="1860" w:type="dxa"/>
            <w:vAlign w:val="bottom"/>
            <w:vMerge w:val="restart"/>
          </w:tcPr>
          <w:p>
            <w:pPr>
              <w:jc w:val="right"/>
              <w:ind w:right="921"/>
              <w:spacing w:after="0"/>
              <w:rPr>
                <w:sz w:val="20"/>
                <w:szCs w:val="20"/>
                <w:color w:val="auto"/>
              </w:rPr>
            </w:pPr>
            <w:r>
              <w:rPr>
                <w:rFonts w:ascii="Courier New" w:cs="Courier New" w:eastAsia="Courier New" w:hAnsi="Courier New"/>
                <w:sz w:val="16"/>
                <w:szCs w:val="16"/>
                <w:color w:val="auto"/>
              </w:rPr>
              <w:t>881,941</w:t>
            </w:r>
          </w:p>
        </w:tc>
        <w:tc>
          <w:tcPr>
            <w:tcW w:w="1000" w:type="dxa"/>
            <w:vAlign w:val="bottom"/>
          </w:tcPr>
          <w:p>
            <w:pPr>
              <w:spacing w:after="0"/>
              <w:rPr>
                <w:sz w:val="15"/>
                <w:szCs w:val="15"/>
                <w:color w:val="auto"/>
              </w:rPr>
            </w:pPr>
          </w:p>
        </w:tc>
        <w:tc>
          <w:tcPr>
            <w:tcW w:w="9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883,232</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less accumulated amortization</w:t>
            </w:r>
          </w:p>
        </w:tc>
        <w:tc>
          <w:tcPr>
            <w:tcW w:w="30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Prepaid pension cost</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296,493</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256,134</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Deferred charges and other assets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108,629</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91,385</w:t>
            </w:r>
          </w:p>
        </w:tc>
        <w:tc>
          <w:tcPr>
            <w:tcW w:w="0" w:type="dxa"/>
            <w:vAlign w:val="bottom"/>
          </w:tcPr>
          <w:p>
            <w:pPr>
              <w:spacing w:after="0"/>
              <w:rPr>
                <w:sz w:val="1"/>
                <w:szCs w:val="1"/>
                <w:color w:val="auto"/>
              </w:rPr>
            </w:pPr>
          </w:p>
        </w:tc>
      </w:tr>
      <w:tr>
        <w:trPr>
          <w:trHeight w:val="266"/>
        </w:trPr>
        <w:tc>
          <w:tcPr>
            <w:tcW w:w="4280" w:type="dxa"/>
            <w:vAlign w:val="bottom"/>
          </w:tcPr>
          <w:p>
            <w:pPr>
              <w:spacing w:after="0"/>
              <w:rPr>
                <w:sz w:val="23"/>
                <w:szCs w:val="23"/>
                <w:color w:val="auto"/>
              </w:rPr>
            </w:pPr>
          </w:p>
        </w:tc>
        <w:tc>
          <w:tcPr>
            <w:tcW w:w="300" w:type="dxa"/>
            <w:vAlign w:val="bottom"/>
            <w:vMerge w:val="continue"/>
          </w:tcPr>
          <w:p>
            <w:pPr>
              <w:spacing w:after="0"/>
              <w:rPr>
                <w:sz w:val="23"/>
                <w:szCs w:val="23"/>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7"/>
              </w:rPr>
              <w:t>2,798,350</w:t>
            </w:r>
          </w:p>
        </w:tc>
        <w:tc>
          <w:tcPr>
            <w:tcW w:w="1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$2,729,661</w:t>
            </w:r>
          </w:p>
        </w:tc>
        <w:tc>
          <w:tcPr>
            <w:tcW w:w="0" w:type="dxa"/>
            <w:vAlign w:val="bottom"/>
          </w:tcPr>
          <w:p>
            <w:pPr>
              <w:spacing w:after="0"/>
              <w:rPr>
                <w:sz w:val="1"/>
                <w:szCs w:val="1"/>
                <w:color w:val="auto"/>
              </w:rPr>
            </w:pP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2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860" w:type="dxa"/>
            <w:vAlign w:val="bottom"/>
            <w:vMerge w:val="restart"/>
          </w:tcPr>
          <w:p>
            <w:pPr>
              <w:jc w:val="right"/>
              <w:ind w:right="921"/>
              <w:spacing w:after="0"/>
              <w:rPr>
                <w:sz w:val="20"/>
                <w:szCs w:val="20"/>
                <w:color w:val="auto"/>
              </w:rPr>
            </w:pPr>
            <w:r>
              <w:rPr>
                <w:rFonts w:ascii="Courier New" w:cs="Courier New" w:eastAsia="Courier New" w:hAnsi="Courier New"/>
                <w:sz w:val="16"/>
                <w:szCs w:val="16"/>
                <w:color w:val="auto"/>
              </w:rPr>
              <w:t>265,560</w:t>
            </w:r>
          </w:p>
        </w:tc>
        <w:tc>
          <w:tcPr>
            <w:tcW w:w="1000" w:type="dxa"/>
            <w:vAlign w:val="bottom"/>
            <w:vMerge w:val="restart"/>
          </w:tcPr>
          <w:p>
            <w:pPr>
              <w:ind w:left="90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245,068</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Accounts payable and accrued liabilities</w:t>
            </w:r>
          </w:p>
        </w:tc>
        <w:tc>
          <w:tcPr>
            <w:tcW w:w="30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Deferred subscription revenue</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81,677</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85,649</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Dividends declared</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13,366</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Short-term borrowings</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33,247</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58,362</w:t>
            </w:r>
          </w:p>
        </w:tc>
        <w:tc>
          <w:tcPr>
            <w:tcW w:w="0" w:type="dxa"/>
            <w:vAlign w:val="bottom"/>
          </w:tcPr>
          <w:p>
            <w:pPr>
              <w:spacing w:after="0"/>
              <w:rPr>
                <w:sz w:val="1"/>
                <w:szCs w:val="1"/>
                <w:color w:val="auto"/>
              </w:rPr>
            </w:pPr>
          </w:p>
        </w:tc>
      </w:tr>
      <w:tr>
        <w:trPr>
          <w:trHeight w:val="266"/>
        </w:trPr>
        <w:tc>
          <w:tcPr>
            <w:tcW w:w="4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393,850</w:t>
            </w:r>
          </w:p>
        </w:tc>
        <w:tc>
          <w:tcPr>
            <w:tcW w:w="10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389,079</w:t>
            </w:r>
          </w:p>
        </w:tc>
        <w:tc>
          <w:tcPr>
            <w:tcW w:w="0" w:type="dxa"/>
            <w:vAlign w:val="bottom"/>
          </w:tcPr>
          <w:p>
            <w:pPr>
              <w:spacing w:after="0"/>
              <w:rPr>
                <w:sz w:val="1"/>
                <w:szCs w:val="1"/>
                <w:color w:val="auto"/>
              </w:rPr>
            </w:pPr>
          </w:p>
        </w:tc>
      </w:tr>
      <w:tr>
        <w:trPr>
          <w:trHeight w:val="284"/>
        </w:trPr>
        <w:tc>
          <w:tcPr>
            <w:tcW w:w="428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300" w:type="dxa"/>
            <w:vAlign w:val="bottom"/>
          </w:tcPr>
          <w:p>
            <w:pPr>
              <w:spacing w:after="0"/>
              <w:rPr>
                <w:sz w:val="24"/>
                <w:szCs w:val="24"/>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270,717</w:t>
            </w:r>
          </w:p>
        </w:tc>
        <w:tc>
          <w:tcPr>
            <w:tcW w:w="100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261,896</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83,015</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83,710</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397,490</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395,000</w:t>
            </w:r>
          </w:p>
        </w:tc>
        <w:tc>
          <w:tcPr>
            <w:tcW w:w="0" w:type="dxa"/>
            <w:vAlign w:val="bottom"/>
          </w:tcPr>
          <w:p>
            <w:pPr>
              <w:spacing w:after="0"/>
              <w:rPr>
                <w:sz w:val="1"/>
                <w:szCs w:val="1"/>
                <w:color w:val="auto"/>
              </w:rPr>
            </w:pPr>
          </w:p>
        </w:tc>
      </w:tr>
      <w:tr>
        <w:trPr>
          <w:trHeight w:val="266"/>
        </w:trPr>
        <w:tc>
          <w:tcPr>
            <w:tcW w:w="4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7"/>
              </w:rPr>
              <w:t>1,145,072</w:t>
            </w:r>
          </w:p>
        </w:tc>
        <w:tc>
          <w:tcPr>
            <w:tcW w:w="10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1,129,685</w:t>
            </w:r>
          </w:p>
        </w:tc>
        <w:tc>
          <w:tcPr>
            <w:tcW w:w="0" w:type="dxa"/>
            <w:vAlign w:val="bottom"/>
          </w:tcPr>
          <w:p>
            <w:pPr>
              <w:spacing w:after="0"/>
              <w:rPr>
                <w:sz w:val="1"/>
                <w:szCs w:val="1"/>
                <w:color w:val="auto"/>
              </w:rPr>
            </w:pP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Redeemable preferred stock</w:t>
            </w:r>
          </w:p>
        </w:tc>
        <w:tc>
          <w:tcPr>
            <w:tcW w:w="300" w:type="dxa"/>
            <w:vAlign w:val="bottom"/>
          </w:tcPr>
          <w:p>
            <w:pPr>
              <w:spacing w:after="0"/>
              <w:rPr>
                <w:sz w:val="24"/>
                <w:szCs w:val="24"/>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11,873</w:t>
            </w:r>
          </w:p>
        </w:tc>
        <w:tc>
          <w:tcPr>
            <w:tcW w:w="100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11,873</w:t>
            </w:r>
          </w:p>
        </w:tc>
        <w:tc>
          <w:tcPr>
            <w:tcW w:w="0" w:type="dxa"/>
            <w:vAlign w:val="bottom"/>
          </w:tcPr>
          <w:p>
            <w:pPr>
              <w:spacing w:after="0"/>
              <w:rPr>
                <w:sz w:val="1"/>
                <w:szCs w:val="1"/>
                <w:color w:val="auto"/>
              </w:rPr>
            </w:pPr>
          </w:p>
        </w:tc>
      </w:tr>
      <w:tr>
        <w:trPr>
          <w:trHeight w:val="284"/>
        </w:trPr>
        <w:tc>
          <w:tcPr>
            <w:tcW w:w="428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300" w:type="dxa"/>
            <w:vAlign w:val="bottom"/>
          </w:tcPr>
          <w:p>
            <w:pPr>
              <w:spacing w:after="0"/>
              <w:rPr>
                <w:sz w:val="24"/>
                <w:szCs w:val="24"/>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Common shareholders' equity</w:t>
            </w:r>
          </w:p>
        </w:tc>
        <w:tc>
          <w:tcPr>
            <w:tcW w:w="300" w:type="dxa"/>
            <w:vAlign w:val="bottom"/>
          </w:tcPr>
          <w:p>
            <w:pPr>
              <w:spacing w:after="0"/>
              <w:rPr>
                <w:sz w:val="15"/>
                <w:szCs w:val="15"/>
                <w:color w:val="auto"/>
              </w:rPr>
            </w:pPr>
          </w:p>
        </w:tc>
        <w:tc>
          <w:tcPr>
            <w:tcW w:w="1860" w:type="dxa"/>
            <w:vAlign w:val="bottom"/>
            <w:vMerge w:val="restart"/>
          </w:tcPr>
          <w:p>
            <w:pPr>
              <w:jc w:val="right"/>
              <w:ind w:right="921"/>
              <w:spacing w:after="0"/>
              <w:rPr>
                <w:sz w:val="20"/>
                <w:szCs w:val="20"/>
                <w:color w:val="auto"/>
              </w:rPr>
            </w:pPr>
            <w:r>
              <w:rPr>
                <w:rFonts w:ascii="Courier New" w:cs="Courier New" w:eastAsia="Courier New" w:hAnsi="Courier New"/>
                <w:sz w:val="16"/>
                <w:szCs w:val="16"/>
                <w:color w:val="auto"/>
              </w:rPr>
              <w:t>20,000</w:t>
            </w:r>
          </w:p>
        </w:tc>
        <w:tc>
          <w:tcPr>
            <w:tcW w:w="1000" w:type="dxa"/>
            <w:vAlign w:val="bottom"/>
          </w:tcPr>
          <w:p>
            <w:pPr>
              <w:spacing w:after="0"/>
              <w:rPr>
                <w:sz w:val="15"/>
                <w:szCs w:val="15"/>
                <w:color w:val="auto"/>
              </w:rPr>
            </w:pPr>
          </w:p>
        </w:tc>
        <w:tc>
          <w:tcPr>
            <w:tcW w:w="9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20,000</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Common stock</w:t>
            </w:r>
          </w:p>
        </w:tc>
        <w:tc>
          <w:tcPr>
            <w:tcW w:w="30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Capital in excess of par value</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47,942</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46,199</w:t>
            </w:r>
          </w:p>
        </w:tc>
        <w:tc>
          <w:tcPr>
            <w:tcW w:w="0" w:type="dxa"/>
            <w:vAlign w:val="bottom"/>
          </w:tcPr>
          <w:p>
            <w:pPr>
              <w:spacing w:after="0"/>
              <w:rPr>
                <w:sz w:val="1"/>
                <w:szCs w:val="1"/>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Retained earnings</w:t>
            </w:r>
          </w:p>
        </w:tc>
        <w:tc>
          <w:tcPr>
            <w:tcW w:w="300" w:type="dxa"/>
            <w:vAlign w:val="bottom"/>
          </w:tcPr>
          <w:p>
            <w:pPr>
              <w:spacing w:after="0"/>
              <w:rPr>
                <w:sz w:val="15"/>
                <w:szCs w:val="15"/>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7"/>
              </w:rPr>
              <w:t>2,670,231</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2,597,217</w:t>
            </w:r>
          </w:p>
        </w:tc>
        <w:tc>
          <w:tcPr>
            <w:tcW w:w="0" w:type="dxa"/>
            <w:vAlign w:val="bottom"/>
          </w:tcPr>
          <w:p>
            <w:pPr>
              <w:spacing w:after="0"/>
              <w:rPr>
                <w:sz w:val="1"/>
                <w:szCs w:val="1"/>
                <w:color w:val="auto"/>
              </w:rPr>
            </w:pPr>
          </w:p>
        </w:tc>
      </w:tr>
      <w:tr>
        <w:trPr>
          <w:trHeight w:val="183"/>
        </w:trPr>
        <w:tc>
          <w:tcPr>
            <w:tcW w:w="45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Accumulated other comprehensive income (losses)</w:t>
            </w:r>
          </w:p>
        </w:tc>
        <w:tc>
          <w:tcPr>
            <w:tcW w:w="1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Cumulative foreign currency translation</w:t>
            </w:r>
          </w:p>
        </w:tc>
        <w:tc>
          <w:tcPr>
            <w:tcW w:w="300" w:type="dxa"/>
            <w:vAlign w:val="bottom"/>
          </w:tcPr>
          <w:p>
            <w:pPr>
              <w:spacing w:after="0"/>
              <w:rPr>
                <w:sz w:val="15"/>
                <w:szCs w:val="15"/>
                <w:color w:val="auto"/>
              </w:rPr>
            </w:pPr>
          </w:p>
        </w:tc>
        <w:tc>
          <w:tcPr>
            <w:tcW w:w="1860" w:type="dxa"/>
            <w:vAlign w:val="bottom"/>
            <w:vMerge w:val="restart"/>
          </w:tcPr>
          <w:p>
            <w:pPr>
              <w:jc w:val="right"/>
              <w:ind w:right="841"/>
              <w:spacing w:after="0"/>
              <w:rPr>
                <w:sz w:val="20"/>
                <w:szCs w:val="20"/>
                <w:color w:val="auto"/>
              </w:rPr>
            </w:pPr>
            <w:r>
              <w:rPr>
                <w:rFonts w:ascii="Courier New" w:cs="Courier New" w:eastAsia="Courier New" w:hAnsi="Courier New"/>
                <w:sz w:val="16"/>
                <w:szCs w:val="16"/>
                <w:color w:val="auto"/>
              </w:rPr>
              <w:t>(4,948)</w:t>
            </w:r>
          </w:p>
        </w:tc>
        <w:tc>
          <w:tcPr>
            <w:tcW w:w="10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(1,600)</w:t>
            </w:r>
          </w:p>
        </w:tc>
        <w:tc>
          <w:tcPr>
            <w:tcW w:w="0" w:type="dxa"/>
            <w:vAlign w:val="bottom"/>
          </w:tcPr>
          <w:p>
            <w:pPr>
              <w:spacing w:after="0"/>
              <w:rPr>
                <w:sz w:val="1"/>
                <w:szCs w:val="1"/>
                <w:color w:val="auto"/>
              </w:rPr>
            </w:pPr>
          </w:p>
        </w:tc>
      </w:tr>
      <w:tr>
        <w:trPr>
          <w:trHeight w:val="183"/>
        </w:trPr>
        <w:tc>
          <w:tcPr>
            <w:tcW w:w="4280" w:type="dxa"/>
            <w:vAlign w:val="bottom"/>
          </w:tcPr>
          <w:p>
            <w:pPr>
              <w:ind w:left="480"/>
              <w:spacing w:after="0"/>
              <w:rPr>
                <w:sz w:val="20"/>
                <w:szCs w:val="20"/>
                <w:color w:val="auto"/>
              </w:rPr>
            </w:pPr>
            <w:r>
              <w:rPr>
                <w:rFonts w:ascii="Courier New" w:cs="Courier New" w:eastAsia="Courier New" w:hAnsi="Courier New"/>
                <w:sz w:val="16"/>
                <w:szCs w:val="16"/>
                <w:color w:val="auto"/>
              </w:rPr>
              <w:t>adjustment</w:t>
            </w:r>
          </w:p>
        </w:tc>
        <w:tc>
          <w:tcPr>
            <w:tcW w:w="30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 on available-for-sale</w:t>
            </w:r>
          </w:p>
        </w:tc>
        <w:tc>
          <w:tcPr>
            <w:tcW w:w="300" w:type="dxa"/>
            <w:vAlign w:val="bottom"/>
          </w:tcPr>
          <w:p>
            <w:pPr>
              <w:spacing w:after="0"/>
              <w:rPr>
                <w:sz w:val="15"/>
                <w:szCs w:val="15"/>
                <w:color w:val="auto"/>
              </w:rPr>
            </w:pPr>
          </w:p>
        </w:tc>
        <w:tc>
          <w:tcPr>
            <w:tcW w:w="1860" w:type="dxa"/>
            <w:vAlign w:val="bottom"/>
            <w:vMerge w:val="restart"/>
          </w:tcPr>
          <w:p>
            <w:pPr>
              <w:jc w:val="right"/>
              <w:ind w:right="921"/>
              <w:spacing w:after="0"/>
              <w:rPr>
                <w:sz w:val="20"/>
                <w:szCs w:val="20"/>
                <w:color w:val="auto"/>
              </w:rPr>
            </w:pPr>
            <w:r>
              <w:rPr>
                <w:rFonts w:ascii="Courier New" w:cs="Courier New" w:eastAsia="Courier New" w:hAnsi="Courier New"/>
                <w:sz w:val="16"/>
                <w:szCs w:val="16"/>
                <w:color w:val="auto"/>
              </w:rPr>
              <w:t>30,840</w:t>
            </w:r>
          </w:p>
        </w:tc>
        <w:tc>
          <w:tcPr>
            <w:tcW w:w="1000" w:type="dxa"/>
            <w:vAlign w:val="bottom"/>
          </w:tcPr>
          <w:p>
            <w:pPr>
              <w:spacing w:after="0"/>
              <w:rPr>
                <w:sz w:val="15"/>
                <w:szCs w:val="15"/>
                <w:color w:val="auto"/>
              </w:rPr>
            </w:pPr>
          </w:p>
        </w:tc>
        <w:tc>
          <w:tcPr>
            <w:tcW w:w="9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41,980</w:t>
            </w:r>
          </w:p>
        </w:tc>
        <w:tc>
          <w:tcPr>
            <w:tcW w:w="0" w:type="dxa"/>
            <w:vAlign w:val="bottom"/>
          </w:tcPr>
          <w:p>
            <w:pPr>
              <w:spacing w:after="0"/>
              <w:rPr>
                <w:sz w:val="1"/>
                <w:szCs w:val="1"/>
                <w:color w:val="auto"/>
              </w:rPr>
            </w:pPr>
          </w:p>
        </w:tc>
      </w:tr>
      <w:tr>
        <w:trPr>
          <w:trHeight w:val="183"/>
        </w:trPr>
        <w:tc>
          <w:tcPr>
            <w:tcW w:w="4280" w:type="dxa"/>
            <w:vAlign w:val="bottom"/>
          </w:tcPr>
          <w:p>
            <w:pPr>
              <w:ind w:left="480"/>
              <w:spacing w:after="0"/>
              <w:rPr>
                <w:sz w:val="20"/>
                <w:szCs w:val="20"/>
                <w:color w:val="auto"/>
              </w:rPr>
            </w:pPr>
            <w:r>
              <w:rPr>
                <w:rFonts w:ascii="Courier New" w:cs="Courier New" w:eastAsia="Courier New" w:hAnsi="Courier New"/>
                <w:sz w:val="16"/>
                <w:szCs w:val="16"/>
                <w:color w:val="auto"/>
              </w:rPr>
              <w:t>securities</w:t>
            </w:r>
          </w:p>
        </w:tc>
        <w:tc>
          <w:tcPr>
            <w:tcW w:w="30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Cost of Class B common stock held in treasury (1,122,660)</w:t>
            </w: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(1,115,693)</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7"/>
              </w:rPr>
              <w:t>1,641,405</w:t>
            </w:r>
          </w:p>
        </w:tc>
        <w:tc>
          <w:tcPr>
            <w:tcW w:w="10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1,588,103</w:t>
            </w:r>
          </w:p>
        </w:tc>
        <w:tc>
          <w:tcPr>
            <w:tcW w:w="0" w:type="dxa"/>
            <w:vAlign w:val="bottom"/>
          </w:tcPr>
          <w:p>
            <w:pPr>
              <w:spacing w:after="0"/>
              <w:rPr>
                <w:sz w:val="1"/>
                <w:szCs w:val="1"/>
                <w:color w:val="auto"/>
              </w:rPr>
            </w:pPr>
          </w:p>
        </w:tc>
      </w:tr>
      <w:tr>
        <w:trPr>
          <w:trHeight w:val="266"/>
        </w:trPr>
        <w:tc>
          <w:tcPr>
            <w:tcW w:w="4280" w:type="dxa"/>
            <w:vAlign w:val="bottom"/>
          </w:tcPr>
          <w:p>
            <w:pPr>
              <w:spacing w:after="0"/>
              <w:rPr>
                <w:sz w:val="23"/>
                <w:szCs w:val="23"/>
                <w:color w:val="auto"/>
              </w:rPr>
            </w:pPr>
          </w:p>
        </w:tc>
        <w:tc>
          <w:tcPr>
            <w:tcW w:w="300" w:type="dxa"/>
            <w:vAlign w:val="bottom"/>
            <w:vMerge w:val="continue"/>
          </w:tcPr>
          <w:p>
            <w:pPr>
              <w:spacing w:after="0"/>
              <w:rPr>
                <w:sz w:val="23"/>
                <w:szCs w:val="23"/>
                <w:color w:val="auto"/>
              </w:rPr>
            </w:pPr>
          </w:p>
        </w:tc>
        <w:tc>
          <w:tcPr>
            <w:tcW w:w="186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7"/>
              </w:rPr>
              <w:t>2,798,350</w:t>
            </w:r>
          </w:p>
        </w:tc>
        <w:tc>
          <w:tcPr>
            <w:tcW w:w="1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$2,729,661</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5" w:name="page6"/>
    <w:bookmarkEnd w:id="5"/>
    <w:p>
      <w:pPr>
        <w:ind w:left="180"/>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Cash Flows (Unaudited)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2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Twenty-six Weeks Ended</w:t>
            </w:r>
          </w:p>
        </w:tc>
        <w:tc>
          <w:tcPr>
            <w:tcW w:w="0" w:type="dxa"/>
            <w:vAlign w:val="bottom"/>
          </w:tcPr>
          <w:p>
            <w:pPr>
              <w:spacing w:after="0"/>
              <w:rPr>
                <w:sz w:val="1"/>
                <w:szCs w:val="1"/>
                <w:color w:val="auto"/>
              </w:rPr>
            </w:pPr>
          </w:p>
        </w:tc>
      </w:tr>
      <w:tr>
        <w:trPr>
          <w:trHeight w:val="183"/>
        </w:trPr>
        <w:tc>
          <w:tcPr>
            <w:tcW w:w="5340" w:type="dxa"/>
            <w:vAlign w:val="bottom"/>
            <w:vMerge w:val="restart"/>
          </w:tcPr>
          <w:p>
            <w:pPr>
              <w:spacing w:after="0"/>
              <w:rPr>
                <w:sz w:val="20"/>
                <w:szCs w:val="20"/>
                <w:color w:val="auto"/>
              </w:rPr>
            </w:pPr>
            <w:r>
              <w:rPr>
                <w:rFonts w:ascii="Courier New" w:cs="Courier New" w:eastAsia="Courier New" w:hAnsi="Courier New"/>
                <w:sz w:val="16"/>
                <w:szCs w:val="16"/>
                <w:color w:val="auto"/>
              </w:rPr>
              <w:t>(In thousands)</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July 4,</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June 28,</w:t>
            </w:r>
          </w:p>
        </w:tc>
        <w:tc>
          <w:tcPr>
            <w:tcW w:w="0" w:type="dxa"/>
            <w:vAlign w:val="bottom"/>
          </w:tcPr>
          <w:p>
            <w:pPr>
              <w:spacing w:after="0"/>
              <w:rPr>
                <w:sz w:val="1"/>
                <w:szCs w:val="1"/>
                <w:color w:val="auto"/>
              </w:rPr>
            </w:pPr>
          </w:p>
        </w:tc>
      </w:tr>
      <w:tr>
        <w:trPr>
          <w:trHeight w:val="266"/>
        </w:trPr>
        <w:tc>
          <w:tcPr>
            <w:tcW w:w="5340" w:type="dxa"/>
            <w:vAlign w:val="bottom"/>
            <w:vMerge w:val="continue"/>
          </w:tcPr>
          <w:p>
            <w:pPr>
              <w:spacing w:after="0"/>
              <w:rPr>
                <w:sz w:val="23"/>
                <w:szCs w:val="23"/>
                <w:color w:val="auto"/>
              </w:rPr>
            </w:pP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1999</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84"/>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1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$113,098</w:t>
            </w:r>
          </w:p>
        </w:tc>
        <w:tc>
          <w:tcPr>
            <w:tcW w:w="10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$271,657</w:t>
            </w: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Net income</w:t>
            </w:r>
          </w:p>
        </w:tc>
        <w:tc>
          <w:tcPr>
            <w:tcW w:w="1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provided by operating activities:</w:t>
            </w:r>
          </w:p>
        </w:tc>
        <w:tc>
          <w:tcPr>
            <w:tcW w:w="11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50,423</w:t>
            </w:r>
          </w:p>
        </w:tc>
        <w:tc>
          <w:tcPr>
            <w:tcW w:w="10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41,113</w:t>
            </w:r>
          </w:p>
        </w:tc>
        <w:tc>
          <w:tcPr>
            <w:tcW w:w="0" w:type="dxa"/>
            <w:vAlign w:val="bottom"/>
          </w:tcPr>
          <w:p>
            <w:pPr>
              <w:spacing w:after="0"/>
              <w:rPr>
                <w:sz w:val="1"/>
                <w:szCs w:val="1"/>
                <w:color w:val="auto"/>
              </w:rPr>
            </w:pP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Depreciation of property, plant and equipment</w:t>
            </w:r>
          </w:p>
        </w:tc>
        <w:tc>
          <w:tcPr>
            <w:tcW w:w="1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29,044</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21,868</w:t>
            </w:r>
          </w:p>
        </w:tc>
        <w:tc>
          <w:tcPr>
            <w:tcW w:w="0" w:type="dxa"/>
            <w:vAlign w:val="bottom"/>
          </w:tcPr>
          <w:p>
            <w:pPr>
              <w:spacing w:after="0"/>
              <w:rPr>
                <w:sz w:val="1"/>
                <w:szCs w:val="1"/>
                <w:color w:val="auto"/>
              </w:rPr>
            </w:pP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Net pension benefit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(43,000)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(28,500)</w:t>
            </w:r>
          </w:p>
        </w:tc>
        <w:tc>
          <w:tcPr>
            <w:tcW w:w="0" w:type="dxa"/>
            <w:vAlign w:val="bottom"/>
          </w:tcPr>
          <w:p>
            <w:pPr>
              <w:spacing w:after="0"/>
              <w:rPr>
                <w:sz w:val="1"/>
                <w:szCs w:val="1"/>
                <w:color w:val="auto"/>
              </w:rPr>
            </w:pP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Gain on disposition of business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(258,436)</w:t>
            </w:r>
          </w:p>
        </w:tc>
        <w:tc>
          <w:tcPr>
            <w:tcW w:w="0" w:type="dxa"/>
            <w:vAlign w:val="bottom"/>
          </w:tcPr>
          <w:p>
            <w:pPr>
              <w:spacing w:after="0"/>
              <w:rPr>
                <w:sz w:val="1"/>
                <w:szCs w:val="1"/>
                <w:color w:val="auto"/>
              </w:rPr>
            </w:pP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w w:val="98"/>
              </w:rPr>
              <w:t>Gain on disposition of marketable equity securities</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(17,013)</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Provision for deferred income taxes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6,448</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w:t>
            </w:r>
          </w:p>
        </w:tc>
        <w:tc>
          <w:tcPr>
            <w:tcW w:w="0" w:type="dxa"/>
            <w:vAlign w:val="bottom"/>
          </w:tcPr>
          <w:p>
            <w:pPr>
              <w:spacing w:after="0"/>
              <w:rPr>
                <w:sz w:val="1"/>
                <w:szCs w:val="1"/>
                <w:color w:val="auto"/>
              </w:rPr>
            </w:pP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Equity in earnings of affiliates, net of</w:t>
            </w:r>
          </w:p>
        </w:tc>
        <w:tc>
          <w:tcPr>
            <w:tcW w:w="11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1,779</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(255)</w:t>
            </w:r>
          </w:p>
        </w:tc>
        <w:tc>
          <w:tcPr>
            <w:tcW w:w="0" w:type="dxa"/>
            <w:vAlign w:val="bottom"/>
          </w:tcPr>
          <w:p>
            <w:pPr>
              <w:spacing w:after="0"/>
              <w:rPr>
                <w:sz w:val="1"/>
                <w:szCs w:val="1"/>
                <w:color w:val="auto"/>
              </w:rPr>
            </w:pPr>
          </w:p>
        </w:tc>
      </w:tr>
      <w:tr>
        <w:trPr>
          <w:trHeight w:val="183"/>
        </w:trPr>
        <w:tc>
          <w:tcPr>
            <w:tcW w:w="5340" w:type="dxa"/>
            <w:vAlign w:val="bottom"/>
          </w:tcPr>
          <w:p>
            <w:pPr>
              <w:ind w:left="660"/>
              <w:spacing w:after="0"/>
              <w:rPr>
                <w:sz w:val="20"/>
                <w:szCs w:val="20"/>
                <w:color w:val="auto"/>
              </w:rPr>
            </w:pPr>
            <w:r>
              <w:rPr>
                <w:rFonts w:ascii="Courier New" w:cs="Courier New" w:eastAsia="Courier New" w:hAnsi="Courier New"/>
                <w:sz w:val="16"/>
                <w:szCs w:val="16"/>
                <w:color w:val="auto"/>
              </w:rPr>
              <w:t>distributions</w:t>
            </w:r>
          </w:p>
        </w:tc>
        <w:tc>
          <w:tcPr>
            <w:tcW w:w="1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Change in assets and liabilities:</w:t>
            </w:r>
          </w:p>
        </w:tc>
        <w:tc>
          <w:tcPr>
            <w:tcW w:w="11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(20,902)</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(23,140)</w:t>
            </w:r>
          </w:p>
        </w:tc>
        <w:tc>
          <w:tcPr>
            <w:tcW w:w="0" w:type="dxa"/>
            <w:vAlign w:val="bottom"/>
          </w:tcPr>
          <w:p>
            <w:pPr>
              <w:spacing w:after="0"/>
              <w:rPr>
                <w:sz w:val="1"/>
                <w:szCs w:val="1"/>
                <w:color w:val="auto"/>
              </w:rPr>
            </w:pPr>
          </w:p>
        </w:tc>
      </w:tr>
      <w:tr>
        <w:trPr>
          <w:trHeight w:val="183"/>
        </w:trPr>
        <w:tc>
          <w:tcPr>
            <w:tcW w:w="5340" w:type="dxa"/>
            <w:vAlign w:val="bottom"/>
          </w:tcPr>
          <w:p>
            <w:pPr>
              <w:ind w:left="660"/>
              <w:spacing w:after="0"/>
              <w:rPr>
                <w:sz w:val="20"/>
                <w:szCs w:val="20"/>
                <w:color w:val="auto"/>
              </w:rPr>
            </w:pPr>
            <w:r>
              <w:rPr>
                <w:rFonts w:ascii="Courier New" w:cs="Courier New" w:eastAsia="Courier New" w:hAnsi="Courier New"/>
                <w:sz w:val="16"/>
                <w:szCs w:val="16"/>
                <w:color w:val="auto"/>
              </w:rPr>
              <w:t>Increase in accounts receivable, net</w:t>
            </w:r>
          </w:p>
        </w:tc>
        <w:tc>
          <w:tcPr>
            <w:tcW w:w="1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660"/>
              <w:spacing w:after="0"/>
              <w:rPr>
                <w:sz w:val="20"/>
                <w:szCs w:val="20"/>
                <w:color w:val="auto"/>
              </w:rPr>
            </w:pPr>
            <w:r>
              <w:rPr>
                <w:rFonts w:ascii="Courier New" w:cs="Courier New" w:eastAsia="Courier New" w:hAnsi="Courier New"/>
                <w:sz w:val="16"/>
                <w:szCs w:val="16"/>
                <w:color w:val="auto"/>
              </w:rPr>
              <w:t>Increase in inventories</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(12,085)</w:t>
            </w:r>
          </w:p>
        </w:tc>
        <w:tc>
          <w:tcPr>
            <w:tcW w:w="0" w:type="dxa"/>
            <w:vAlign w:val="bottom"/>
          </w:tcPr>
          <w:p>
            <w:pPr>
              <w:spacing w:after="0"/>
              <w:rPr>
                <w:sz w:val="1"/>
                <w:szCs w:val="1"/>
                <w:color w:val="auto"/>
              </w:rPr>
            </w:pPr>
          </w:p>
        </w:tc>
      </w:tr>
      <w:tr>
        <w:trPr>
          <w:trHeight w:val="183"/>
        </w:trPr>
        <w:tc>
          <w:tcPr>
            <w:tcW w:w="5340" w:type="dxa"/>
            <w:vAlign w:val="bottom"/>
          </w:tcPr>
          <w:p>
            <w:pPr>
              <w:ind w:left="660"/>
              <w:spacing w:after="0"/>
              <w:rPr>
                <w:sz w:val="20"/>
                <w:szCs w:val="20"/>
                <w:color w:val="auto"/>
              </w:rPr>
            </w:pPr>
            <w:r>
              <w:rPr>
                <w:rFonts w:ascii="Courier New" w:cs="Courier New" w:eastAsia="Courier New" w:hAnsi="Courier New"/>
                <w:sz w:val="16"/>
                <w:szCs w:val="16"/>
                <w:color w:val="auto"/>
              </w:rPr>
              <w:t>Increase in accounts payable and</w:t>
            </w:r>
          </w:p>
        </w:tc>
        <w:tc>
          <w:tcPr>
            <w:tcW w:w="11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7,879</w:t>
            </w:r>
          </w:p>
        </w:tc>
        <w:tc>
          <w:tcPr>
            <w:tcW w:w="10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9,426</w:t>
            </w:r>
          </w:p>
        </w:tc>
        <w:tc>
          <w:tcPr>
            <w:tcW w:w="0" w:type="dxa"/>
            <w:vAlign w:val="bottom"/>
          </w:tcPr>
          <w:p>
            <w:pPr>
              <w:spacing w:after="0"/>
              <w:rPr>
                <w:sz w:val="1"/>
                <w:szCs w:val="1"/>
                <w:color w:val="auto"/>
              </w:rPr>
            </w:pPr>
          </w:p>
        </w:tc>
      </w:tr>
      <w:tr>
        <w:trPr>
          <w:trHeight w:val="183"/>
        </w:trPr>
        <w:tc>
          <w:tcPr>
            <w:tcW w:w="5340" w:type="dxa"/>
            <w:vAlign w:val="bottom"/>
          </w:tcPr>
          <w:p>
            <w:pPr>
              <w:ind w:left="860"/>
              <w:spacing w:after="0"/>
              <w:rPr>
                <w:sz w:val="20"/>
                <w:szCs w:val="20"/>
                <w:color w:val="auto"/>
              </w:rPr>
            </w:pPr>
            <w:r>
              <w:rPr>
                <w:rFonts w:ascii="Courier New" w:cs="Courier New" w:eastAsia="Courier New" w:hAnsi="Courier New"/>
                <w:sz w:val="16"/>
                <w:szCs w:val="16"/>
                <w:color w:val="auto"/>
              </w:rPr>
              <w:t>accrued liabilities</w:t>
            </w:r>
          </w:p>
        </w:tc>
        <w:tc>
          <w:tcPr>
            <w:tcW w:w="1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660"/>
              <w:spacing w:after="0"/>
              <w:rPr>
                <w:sz w:val="20"/>
                <w:szCs w:val="20"/>
                <w:color w:val="auto"/>
              </w:rPr>
            </w:pPr>
            <w:r>
              <w:rPr>
                <w:rFonts w:ascii="Courier New" w:cs="Courier New" w:eastAsia="Courier New" w:hAnsi="Courier New"/>
                <w:sz w:val="16"/>
                <w:szCs w:val="16"/>
                <w:color w:val="auto"/>
              </w:rPr>
              <w:t>Increase in income taxes payable</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13,590</w:t>
            </w:r>
          </w:p>
        </w:tc>
        <w:tc>
          <w:tcPr>
            <w:tcW w:w="0" w:type="dxa"/>
            <w:vAlign w:val="bottom"/>
          </w:tcPr>
          <w:p>
            <w:pPr>
              <w:spacing w:after="0"/>
              <w:rPr>
                <w:sz w:val="1"/>
                <w:szCs w:val="1"/>
                <w:color w:val="auto"/>
              </w:rPr>
            </w:pPr>
          </w:p>
        </w:tc>
      </w:tr>
      <w:tr>
        <w:trPr>
          <w:trHeight w:val="183"/>
        </w:trPr>
        <w:tc>
          <w:tcPr>
            <w:tcW w:w="5340" w:type="dxa"/>
            <w:vAlign w:val="bottom"/>
          </w:tcPr>
          <w:p>
            <w:pPr>
              <w:ind w:left="660"/>
              <w:spacing w:after="0"/>
              <w:rPr>
                <w:sz w:val="20"/>
                <w:szCs w:val="20"/>
                <w:color w:val="auto"/>
              </w:rPr>
            </w:pPr>
            <w:r>
              <w:rPr>
                <w:rFonts w:ascii="Courier New" w:cs="Courier New" w:eastAsia="Courier New" w:hAnsi="Courier New"/>
                <w:sz w:val="16"/>
                <w:szCs w:val="16"/>
                <w:color w:val="auto"/>
              </w:rPr>
              <w:t>Decrease in income taxes receivable</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6,278</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5340" w:type="dxa"/>
            <w:vAlign w:val="bottom"/>
          </w:tcPr>
          <w:p>
            <w:pPr>
              <w:ind w:left="660"/>
              <w:spacing w:after="0"/>
              <w:rPr>
                <w:sz w:val="20"/>
                <w:szCs w:val="20"/>
                <w:color w:val="auto"/>
              </w:rPr>
            </w:pPr>
            <w:r>
              <w:rPr>
                <w:rFonts w:ascii="Courier New" w:cs="Courier New" w:eastAsia="Courier New" w:hAnsi="Courier New"/>
                <w:sz w:val="16"/>
                <w:szCs w:val="16"/>
                <w:color w:val="auto"/>
              </w:rPr>
              <w:t>Decrease in other assets and other</w:t>
            </w:r>
          </w:p>
        </w:tc>
        <w:tc>
          <w:tcPr>
            <w:tcW w:w="11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2,505</w:t>
            </w:r>
          </w:p>
        </w:tc>
        <w:tc>
          <w:tcPr>
            <w:tcW w:w="10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9,737</w:t>
            </w:r>
          </w:p>
        </w:tc>
        <w:tc>
          <w:tcPr>
            <w:tcW w:w="0" w:type="dxa"/>
            <w:vAlign w:val="bottom"/>
          </w:tcPr>
          <w:p>
            <w:pPr>
              <w:spacing w:after="0"/>
              <w:rPr>
                <w:sz w:val="1"/>
                <w:szCs w:val="1"/>
                <w:color w:val="auto"/>
              </w:rPr>
            </w:pPr>
          </w:p>
        </w:tc>
      </w:tr>
      <w:tr>
        <w:trPr>
          <w:trHeight w:val="183"/>
        </w:trPr>
        <w:tc>
          <w:tcPr>
            <w:tcW w:w="5340" w:type="dxa"/>
            <w:vAlign w:val="bottom"/>
          </w:tcPr>
          <w:p>
            <w:pPr>
              <w:ind w:left="860"/>
              <w:spacing w:after="0"/>
              <w:rPr>
                <w:sz w:val="20"/>
                <w:szCs w:val="20"/>
                <w:color w:val="auto"/>
              </w:rPr>
            </w:pPr>
            <w:r>
              <w:rPr>
                <w:rFonts w:ascii="Courier New" w:cs="Courier New" w:eastAsia="Courier New" w:hAnsi="Courier New"/>
                <w:sz w:val="16"/>
                <w:szCs w:val="16"/>
                <w:color w:val="auto"/>
              </w:rPr>
              <w:t>liabilities, net</w:t>
            </w:r>
          </w:p>
        </w:tc>
        <w:tc>
          <w:tcPr>
            <w:tcW w:w="1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Other</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1,165</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8,057</w:t>
            </w:r>
          </w:p>
        </w:tc>
        <w:tc>
          <w:tcPr>
            <w:tcW w:w="0" w:type="dxa"/>
            <w:vAlign w:val="bottom"/>
          </w:tcPr>
          <w:p>
            <w:pPr>
              <w:spacing w:after="0"/>
              <w:rPr>
                <w:sz w:val="1"/>
                <w:szCs w:val="1"/>
                <w:color w:val="auto"/>
              </w:rPr>
            </w:pPr>
          </w:p>
        </w:tc>
      </w:tr>
      <w:tr>
        <w:trPr>
          <w:trHeight w:val="367"/>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136,588</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53,161</w:t>
            </w:r>
          </w:p>
        </w:tc>
        <w:tc>
          <w:tcPr>
            <w:tcW w:w="0" w:type="dxa"/>
            <w:vAlign w:val="bottom"/>
          </w:tcPr>
          <w:p>
            <w:pPr>
              <w:spacing w:after="0"/>
              <w:rPr>
                <w:sz w:val="1"/>
                <w:szCs w:val="1"/>
                <w:color w:val="auto"/>
              </w:rPr>
            </w:pPr>
          </w:p>
        </w:tc>
      </w:tr>
      <w:tr>
        <w:trPr>
          <w:trHeight w:val="284"/>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1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2,000</w:t>
            </w:r>
          </w:p>
        </w:tc>
        <w:tc>
          <w:tcPr>
            <w:tcW w:w="10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330,473</w:t>
            </w: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Net proceeds from sale of business</w:t>
            </w:r>
          </w:p>
        </w:tc>
        <w:tc>
          <w:tcPr>
            <w:tcW w:w="1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Purchases of property, plant and equipment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(64,951)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(86,380)</w:t>
            </w: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Investments in certain businesses</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(28,431)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(132,483)</w:t>
            </w: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Proceeds from sale of marketable securities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27,379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5,009</w:t>
            </w: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Purchase of marketable securities</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(3,370)</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Other</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(12,107)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(664)</w:t>
            </w:r>
          </w:p>
        </w:tc>
        <w:tc>
          <w:tcPr>
            <w:tcW w:w="0" w:type="dxa"/>
            <w:vAlign w:val="bottom"/>
          </w:tcPr>
          <w:p>
            <w:pPr>
              <w:spacing w:after="0"/>
              <w:rPr>
                <w:sz w:val="1"/>
                <w:szCs w:val="1"/>
                <w:color w:val="auto"/>
              </w:rPr>
            </w:pPr>
          </w:p>
        </w:tc>
      </w:tr>
      <w:tr>
        <w:trPr>
          <w:trHeight w:val="367"/>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w w:val="98"/>
              </w:rPr>
              <w:t>Net cash (used in) provided by investing activities</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(79,480)</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115,955</w:t>
            </w:r>
          </w:p>
        </w:tc>
        <w:tc>
          <w:tcPr>
            <w:tcW w:w="0" w:type="dxa"/>
            <w:vAlign w:val="bottom"/>
          </w:tcPr>
          <w:p>
            <w:pPr>
              <w:spacing w:after="0"/>
              <w:rPr>
                <w:sz w:val="1"/>
                <w:szCs w:val="1"/>
                <w:color w:val="auto"/>
              </w:rPr>
            </w:pPr>
          </w:p>
        </w:tc>
      </w:tr>
      <w:tr>
        <w:trPr>
          <w:trHeight w:val="284"/>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1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(420,115)</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(296,394)</w:t>
            </w: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Principal payments on debt</w:t>
            </w:r>
          </w:p>
        </w:tc>
        <w:tc>
          <w:tcPr>
            <w:tcW w:w="1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Issuance of debt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397,425</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156,984</w:t>
            </w: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Dividends paid</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(26,719)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(25,695)</w:t>
            </w: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Common shares repurchased</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(8,424)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(7,809)</w:t>
            </w:r>
          </w:p>
        </w:tc>
        <w:tc>
          <w:tcPr>
            <w:tcW w:w="0" w:type="dxa"/>
            <w:vAlign w:val="bottom"/>
          </w:tcPr>
          <w:p>
            <w:pPr>
              <w:spacing w:after="0"/>
              <w:rPr>
                <w:sz w:val="1"/>
                <w:szCs w:val="1"/>
                <w:color w:val="auto"/>
              </w:rPr>
            </w:pPr>
          </w:p>
        </w:tc>
      </w:tr>
      <w:tr>
        <w:trPr>
          <w:trHeight w:val="266"/>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Proceeds from exercise of stock options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3,242</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4,359</w:t>
            </w:r>
          </w:p>
        </w:tc>
        <w:tc>
          <w:tcPr>
            <w:tcW w:w="0" w:type="dxa"/>
            <w:vAlign w:val="bottom"/>
          </w:tcPr>
          <w:p>
            <w:pPr>
              <w:spacing w:after="0"/>
              <w:rPr>
                <w:sz w:val="1"/>
                <w:szCs w:val="1"/>
                <w:color w:val="auto"/>
              </w:rPr>
            </w:pPr>
          </w:p>
        </w:tc>
      </w:tr>
      <w:tr>
        <w:trPr>
          <w:trHeight w:val="367"/>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Net cash used in financing activities</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(54,591)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(168,555)</w:t>
            </w:r>
          </w:p>
        </w:tc>
        <w:tc>
          <w:tcPr>
            <w:tcW w:w="0" w:type="dxa"/>
            <w:vAlign w:val="bottom"/>
          </w:tcPr>
          <w:p>
            <w:pPr>
              <w:spacing w:after="0"/>
              <w:rPr>
                <w:sz w:val="1"/>
                <w:szCs w:val="1"/>
                <w:color w:val="auto"/>
              </w:rPr>
            </w:pPr>
          </w:p>
        </w:tc>
      </w:tr>
      <w:tr>
        <w:trPr>
          <w:trHeight w:val="367"/>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increase in cash and cash equivalents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2,517</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561</w:t>
            </w:r>
          </w:p>
        </w:tc>
        <w:tc>
          <w:tcPr>
            <w:tcW w:w="0" w:type="dxa"/>
            <w:vAlign w:val="bottom"/>
          </w:tcPr>
          <w:p>
            <w:pPr>
              <w:spacing w:after="0"/>
              <w:rPr>
                <w:sz w:val="1"/>
                <w:szCs w:val="1"/>
                <w:color w:val="auto"/>
              </w:rPr>
            </w:pPr>
          </w:p>
        </w:tc>
      </w:tr>
      <w:tr>
        <w:trPr>
          <w:trHeight w:val="36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Beginning cash and cash equivalents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15,190</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21,117</w:t>
            </w:r>
          </w:p>
        </w:tc>
        <w:tc>
          <w:tcPr>
            <w:tcW w:w="0" w:type="dxa"/>
            <w:vAlign w:val="bottom"/>
          </w:tcPr>
          <w:p>
            <w:pPr>
              <w:spacing w:after="0"/>
              <w:rPr>
                <w:sz w:val="1"/>
                <w:szCs w:val="1"/>
                <w:color w:val="auto"/>
              </w:rPr>
            </w:pPr>
          </w:p>
        </w:tc>
      </w:tr>
      <w:tr>
        <w:trPr>
          <w:trHeight w:val="367"/>
        </w:trPr>
        <w:tc>
          <w:tcPr>
            <w:tcW w:w="5340" w:type="dxa"/>
            <w:vAlign w:val="bottom"/>
          </w:tcPr>
          <w:p>
            <w:pPr>
              <w:spacing w:after="0"/>
              <w:rPr>
                <w:sz w:val="20"/>
                <w:szCs w:val="20"/>
                <w:color w:val="auto"/>
              </w:rPr>
            </w:pPr>
            <w:r>
              <w:rPr>
                <w:rFonts w:ascii="Courier New" w:cs="Courier New" w:eastAsia="Courier New" w:hAnsi="Courier New"/>
                <w:sz w:val="16"/>
                <w:szCs w:val="16"/>
                <w:color w:val="auto"/>
              </w:rPr>
              <w:t>Ending cash and cash equivalents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17,707</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21,678</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6" w:name="page7"/>
    <w:bookmarkEnd w:id="6"/>
    <w:p>
      <w:pPr>
        <w:ind w:left="180"/>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158" w:lineRule="exact"/>
        <w:rPr>
          <w:sz w:val="20"/>
          <w:szCs w:val="20"/>
          <w:color w:val="auto"/>
        </w:rPr>
      </w:pPr>
    </w:p>
    <w:p>
      <w:pPr>
        <w:ind w:right="4019"/>
        <w:spacing w:after="0" w:line="261" w:lineRule="auto"/>
        <w:rPr>
          <w:sz w:val="20"/>
          <w:szCs w:val="20"/>
          <w:color w:val="auto"/>
        </w:rPr>
      </w:pPr>
      <w:r>
        <w:rPr>
          <w:rFonts w:ascii="Courier New" w:cs="Courier New" w:eastAsia="Courier New" w:hAnsi="Courier New"/>
          <w:sz w:val="16"/>
          <w:szCs w:val="16"/>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5"/>
          <w:szCs w:val="15"/>
          <w:color w:val="auto"/>
        </w:rPr>
        <w:t>Acquisitions and Dispositions</w:t>
      </w:r>
    </w:p>
    <w:p>
      <w:pPr>
        <w:spacing w:after="0" w:line="186" w:lineRule="exact"/>
        <w:rPr>
          <w:sz w:val="20"/>
          <w:szCs w:val="20"/>
          <w:color w:val="auto"/>
        </w:rPr>
      </w:pPr>
    </w:p>
    <w:p>
      <w:pPr>
        <w:ind w:right="4119"/>
        <w:spacing w:after="0" w:line="265" w:lineRule="auto"/>
        <w:rPr>
          <w:sz w:val="20"/>
          <w:szCs w:val="20"/>
          <w:color w:val="auto"/>
        </w:rPr>
      </w:pPr>
      <w:r>
        <w:rPr>
          <w:rFonts w:ascii="Courier New" w:cs="Courier New" w:eastAsia="Courier New" w:hAnsi="Courier New"/>
          <w:sz w:val="16"/>
          <w:szCs w:val="16"/>
          <w:color w:val="auto"/>
        </w:rPr>
        <w:t>Acquisitions. During the first six months of 1999, the company acquired various businesses for approximately $28.4 million, including an accredited distance education institute that offers degrees in paralegal studies and legal nurse consulting, and a provider of test preparation services for the United States Medical Licensing Exam.</w:t>
      </w:r>
    </w:p>
    <w:p>
      <w:pPr>
        <w:spacing w:after="0" w:line="83" w:lineRule="exact"/>
        <w:rPr>
          <w:sz w:val="20"/>
          <w:szCs w:val="20"/>
          <w:color w:val="auto"/>
        </w:rPr>
      </w:pPr>
    </w:p>
    <w:p>
      <w:pPr>
        <w:ind w:right="4019" w:firstLine="191"/>
        <w:spacing w:after="0" w:line="256" w:lineRule="auto"/>
        <w:rPr>
          <w:sz w:val="20"/>
          <w:szCs w:val="20"/>
          <w:color w:val="auto"/>
        </w:rPr>
      </w:pPr>
      <w:r>
        <w:rPr>
          <w:rFonts w:ascii="Courier New" w:cs="Courier New" w:eastAsia="Courier New" w:hAnsi="Courier New"/>
          <w:sz w:val="16"/>
          <w:szCs w:val="16"/>
          <w:color w:val="auto"/>
        </w:rPr>
        <w:t>During the first six months of 1998, the company acquired an educational services company that provides English language study programs (in January 1998 for $16.1 million) and a 36,000 subscriber cable system serving Anniston, Alabama (in June 1998 for $66.5 million). In addition, the company acquired various other small businesses throughout the first six months of 1998 for $49.9 million (principally consisting of a cable system in Grenada, Mississippi serving approximately 7,400 subscribers and a provider of customized information technology training).</w:t>
      </w:r>
    </w:p>
    <w:p>
      <w:pPr>
        <w:spacing w:after="0" w:line="9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Dispositions.</w:t>
        <w:tab/>
        <w:t>In June 1999, the company sold Legi-Slate, Inc.</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significant gain or loss arose from the sale of Legi-Slate.</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March 1998, Cowles Media Company ("Cowles") and McClatchy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gridSpan w:val="3"/>
          </w:tcPr>
          <w:p>
            <w:pPr>
              <w:spacing w:after="0"/>
              <w:rPr>
                <w:sz w:val="20"/>
                <w:szCs w:val="20"/>
                <w:color w:val="auto"/>
              </w:rPr>
            </w:pPr>
            <w:r>
              <w:rPr>
                <w:rFonts w:ascii="Courier New" w:cs="Courier New" w:eastAsia="Courier New" w:hAnsi="Courier New"/>
                <w:sz w:val="16"/>
                <w:szCs w:val="16"/>
                <w:color w:val="auto"/>
              </w:rPr>
              <w:t>Newspapers, Inc.</w:t>
            </w:r>
          </w:p>
        </w:tc>
        <w:tc>
          <w:tcPr>
            <w:tcW w:w="31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("McClatchy") completed a series</w:t>
            </w:r>
          </w:p>
        </w:tc>
        <w:tc>
          <w:tcPr>
            <w:tcW w:w="14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of transactions</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resulting</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in</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merger of Cowles</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McClatchy.</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In</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the merger,</w:t>
            </w:r>
          </w:p>
        </w:tc>
      </w:tr>
      <w:tr>
        <w:trPr>
          <w:trHeight w:val="183"/>
        </w:trPr>
        <w:tc>
          <w:tcPr>
            <w:tcW w:w="3200" w:type="dxa"/>
            <w:vAlign w:val="bottom"/>
            <w:gridSpan w:val="5"/>
          </w:tcPr>
          <w:p>
            <w:pPr>
              <w:spacing w:after="0"/>
              <w:rPr>
                <w:sz w:val="20"/>
                <w:szCs w:val="20"/>
                <w:color w:val="auto"/>
              </w:rPr>
            </w:pPr>
            <w:r>
              <w:rPr>
                <w:rFonts w:ascii="Courier New" w:cs="Courier New" w:eastAsia="Courier New" w:hAnsi="Courier New"/>
                <w:sz w:val="16"/>
                <w:szCs w:val="16"/>
                <w:color w:val="auto"/>
              </w:rPr>
              <w:t>each share of Cowles common stock</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was</w:t>
            </w:r>
          </w:p>
        </w:tc>
        <w:tc>
          <w:tcPr>
            <w:tcW w:w="26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converted (based upon</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elections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Cowles</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stockholders)</w:t>
            </w:r>
          </w:p>
        </w:tc>
        <w:tc>
          <w:tcPr>
            <w:tcW w:w="300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w w:val="99"/>
              </w:rPr>
              <w:t>into shares of McClatchy stock</w:t>
            </w:r>
          </w:p>
        </w:tc>
      </w:tr>
      <w:tr>
        <w:trPr>
          <w:trHeight w:val="211"/>
        </w:trPr>
        <w:tc>
          <w:tcPr>
            <w:tcW w:w="1580" w:type="dxa"/>
            <w:vAlign w:val="bottom"/>
            <w:gridSpan w:val="3"/>
          </w:tcPr>
          <w:p>
            <w:pPr>
              <w:spacing w:after="0"/>
              <w:rPr>
                <w:sz w:val="20"/>
                <w:szCs w:val="20"/>
                <w:color w:val="auto"/>
              </w:rPr>
            </w:pPr>
            <w:r>
              <w:rPr>
                <w:rFonts w:ascii="Courier New" w:cs="Courier New" w:eastAsia="Courier New" w:hAnsi="Courier New"/>
                <w:sz w:val="16"/>
                <w:szCs w:val="16"/>
                <w:color w:val="auto"/>
              </w:rPr>
              <w:t>or a combination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28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cash and McClatchy stock.</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As</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the date</w:t>
            </w:r>
          </w:p>
        </w:tc>
      </w:tr>
    </w:tbl>
    <w:p>
      <w:pPr>
        <w:ind w:right="4019"/>
        <w:spacing w:after="0" w:line="249" w:lineRule="auto"/>
        <w:rPr>
          <w:sz w:val="20"/>
          <w:szCs w:val="20"/>
          <w:color w:val="auto"/>
        </w:rPr>
      </w:pPr>
      <w:r>
        <w:rPr>
          <w:rFonts w:ascii="Courier New" w:cs="Courier New" w:eastAsia="Courier New" w:hAnsi="Courier New"/>
          <w:sz w:val="16"/>
          <w:szCs w:val="16"/>
          <w:color w:val="auto"/>
        </w:rPr>
        <w:t>of the Cowles and McClatchy merger transaction, a wholly-owned subsidiary of the company owned 3,893,796 (equal to about 28%) of the outstanding common stock of Cowles, most of which was acquired in 1985. As a result of this transaction, the company's subsidiary received $330.5 million in cash from McClatchy and 730,525 shares of McClatchy Class A common stock. The market value of the McClatchy stock received approximated $21.6 million. The gain resulting from this transaction, which is included in "Other, net" in the Condensed Consolidated Statements of Income, increased net income by approximately $162.8 million and basic and diluted earnings per share by $16.14 and $16.07, respectively.</w:t>
      </w:r>
    </w:p>
    <w:p>
      <w:pPr>
        <w:spacing w:after="0" w:line="10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5"/>
          <w:szCs w:val="15"/>
          <w:color w:val="auto"/>
        </w:rPr>
        <w:t>Investments in Marketable Securities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Investments in marketable equity securities at July 4, 1999 and</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 1999 consist of the following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660"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July 4,</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January 3,</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4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1999</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3"/>
                <w:szCs w:val="23"/>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2380" w:type="dxa"/>
            <w:vAlign w:val="bottom"/>
          </w:tcPr>
          <w:p>
            <w:pPr>
              <w:spacing w:after="0"/>
              <w:rPr>
                <w:sz w:val="20"/>
                <w:szCs w:val="20"/>
                <w:color w:val="auto"/>
              </w:rPr>
            </w:pPr>
            <w:r>
              <w:rPr>
                <w:rFonts w:ascii="Courier New" w:cs="Courier New" w:eastAsia="Courier New" w:hAnsi="Courier New"/>
                <w:sz w:val="16"/>
                <w:szCs w:val="16"/>
                <w:color w:val="auto"/>
              </w:rPr>
              <w:t>Total cost</w:t>
            </w: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$189,356</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$187,297</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Gross unrealized gains</w:t>
            </w: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50,557</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68,819</w:t>
            </w:r>
          </w:p>
        </w:tc>
        <w:tc>
          <w:tcPr>
            <w:tcW w:w="0" w:type="dxa"/>
            <w:vAlign w:val="bottom"/>
          </w:tcPr>
          <w:p>
            <w:pPr>
              <w:spacing w:after="0"/>
              <w:rPr>
                <w:sz w:val="1"/>
                <w:szCs w:val="1"/>
                <w:color w:val="auto"/>
              </w:rPr>
            </w:pPr>
          </w:p>
        </w:tc>
      </w:tr>
      <w:tr>
        <w:trPr>
          <w:trHeight w:val="183"/>
        </w:trPr>
        <w:tc>
          <w:tcPr>
            <w:tcW w:w="2380" w:type="dxa"/>
            <w:vAlign w:val="bottom"/>
            <w:vMerge w:val="restart"/>
          </w:tcPr>
          <w:p>
            <w:pPr>
              <w:spacing w:after="0"/>
              <w:rPr>
                <w:sz w:val="20"/>
                <w:szCs w:val="20"/>
                <w:color w:val="auto"/>
              </w:rPr>
            </w:pPr>
            <w:r>
              <w:rPr>
                <w:rFonts w:ascii="Courier New" w:cs="Courier New" w:eastAsia="Courier New" w:hAnsi="Courier New"/>
                <w:sz w:val="16"/>
                <w:szCs w:val="16"/>
                <w:color w:val="auto"/>
              </w:rPr>
              <w:t>Total fair value</w:t>
            </w: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2380" w:type="dxa"/>
            <w:vAlign w:val="bottom"/>
            <w:vMerge w:val="continue"/>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$239,913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$256,116</w:t>
            </w: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3"/>
                <w:szCs w:val="23"/>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4019" w:firstLine="191"/>
        <w:spacing w:after="0" w:line="265" w:lineRule="auto"/>
        <w:rPr>
          <w:sz w:val="20"/>
          <w:szCs w:val="20"/>
          <w:color w:val="auto"/>
        </w:rPr>
      </w:pPr>
      <w:r>
        <w:rPr>
          <w:rFonts w:ascii="Courier New" w:cs="Courier New" w:eastAsia="Courier New" w:hAnsi="Courier New"/>
          <w:sz w:val="16"/>
          <w:szCs w:val="16"/>
          <w:color w:val="auto"/>
        </w:rPr>
        <w:t>During the second quarter and first six months of 1999, proceeds from sales of marketable equity securities were $16.9 million and $27.4 million, respectively. Gross realized gains on such sales were $10.3 million and $17.0 million, respectively. There were no sales of marketable equity securities during the first six months of 1998. Gross realized gains upon the sale of</w:t>
      </w:r>
    </w:p>
    <w:p>
      <w:pPr>
        <w:sectPr>
          <w:pgSz w:w="11900" w:h="16838" w:orient="portrait"/>
          <w:cols w:equalWidth="0" w:num="1">
            <w:col w:w="10219"/>
          </w:cols>
          <w:pgMar w:left="240" w:top="273" w:right="1440" w:bottom="1440" w:gutter="0" w:footer="0" w:header="0"/>
        </w:sectPr>
      </w:pPr>
    </w:p>
    <w:bookmarkStart w:id="7" w:name="page8"/>
    <w:bookmarkEnd w:id="7"/>
    <w:p>
      <w:pPr>
        <w:ind w:left="100"/>
        <w:spacing w:after="0"/>
        <w:rPr>
          <w:sz w:val="20"/>
          <w:szCs w:val="20"/>
          <w:color w:val="auto"/>
        </w:rPr>
      </w:pPr>
      <w:r>
        <w:rPr>
          <w:rFonts w:ascii="Courier New" w:cs="Courier New" w:eastAsia="Courier New" w:hAnsi="Courier New"/>
          <w:sz w:val="16"/>
          <w:szCs w:val="16"/>
          <w:color w:val="auto"/>
        </w:rPr>
        <w:t>8</w:t>
      </w:r>
    </w:p>
    <w:p>
      <w:pPr>
        <w:spacing w:after="0" w:line="186" w:lineRule="exact"/>
        <w:rPr>
          <w:sz w:val="20"/>
          <w:szCs w:val="20"/>
          <w:color w:val="auto"/>
        </w:rPr>
      </w:pPr>
    </w:p>
    <w:p>
      <w:pPr>
        <w:ind w:right="4119"/>
        <w:spacing w:after="0" w:line="355" w:lineRule="auto"/>
        <w:rPr>
          <w:sz w:val="20"/>
          <w:szCs w:val="20"/>
          <w:color w:val="auto"/>
        </w:rPr>
      </w:pPr>
      <w:r>
        <w:rPr>
          <w:rFonts w:ascii="Courier New" w:cs="Courier New" w:eastAsia="Courier New" w:hAnsi="Courier New"/>
          <w:sz w:val="16"/>
          <w:szCs w:val="16"/>
          <w:color w:val="auto"/>
        </w:rPr>
        <w:t>marketable equity securities are included in "Other, net" in the Condensed Consolidated Statements of Income.</w:t>
      </w:r>
    </w:p>
    <w:p>
      <w:pPr>
        <w:spacing w:after="0" w:line="1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3:</w:t>
      </w:r>
      <w:r>
        <w:rPr>
          <w:sz w:val="20"/>
          <w:szCs w:val="20"/>
          <w:color w:val="auto"/>
        </w:rPr>
        <w:tab/>
      </w:r>
      <w:r>
        <w:rPr>
          <w:rFonts w:ascii="Courier New" w:cs="Courier New" w:eastAsia="Courier New" w:hAnsi="Courier New"/>
          <w:sz w:val="15"/>
          <w:szCs w:val="15"/>
          <w:color w:val="auto"/>
        </w:rPr>
        <w:t>Borrowings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On February 15, 1999, the company completed the issuance of</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 million 5.5 percent unsecured notes due February 15, 2009.</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is required to pay interest related to these notes on</w:t>
      </w:r>
    </w:p>
    <w:p>
      <w:pPr>
        <w:spacing w:after="0" w:line="13"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6"/>
          <w:szCs w:val="16"/>
          <w:color w:val="auto"/>
        </w:rPr>
        <w:t>February 15 and August 15 of each year.</w:t>
      </w:r>
      <w:r>
        <w:rPr>
          <w:sz w:val="20"/>
          <w:szCs w:val="20"/>
          <w:color w:val="auto"/>
        </w:rPr>
        <w:tab/>
      </w:r>
      <w:r>
        <w:rPr>
          <w:rFonts w:ascii="Courier New" w:cs="Courier New" w:eastAsia="Courier New" w:hAnsi="Courier New"/>
          <w:sz w:val="15"/>
          <w:szCs w:val="15"/>
          <w:color w:val="auto"/>
        </w:rPr>
        <w:t>The first interest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approximately $11.0 million is due on August 15, 1999.</w:t>
      </w:r>
    </w:p>
    <w:p>
      <w:pPr>
        <w:spacing w:after="0" w:line="169" w:lineRule="exact"/>
        <w:rPr>
          <w:sz w:val="20"/>
          <w:szCs w:val="20"/>
          <w:color w:val="auto"/>
        </w:rPr>
      </w:pPr>
    </w:p>
    <w:p>
      <w:pPr>
        <w:ind w:right="4019" w:firstLine="191"/>
        <w:spacing w:after="0" w:line="258" w:lineRule="auto"/>
        <w:rPr>
          <w:sz w:val="20"/>
          <w:szCs w:val="20"/>
          <w:color w:val="auto"/>
        </w:rPr>
      </w:pPr>
      <w:r>
        <w:rPr>
          <w:rFonts w:ascii="Courier New" w:cs="Courier New" w:eastAsia="Courier New" w:hAnsi="Courier New"/>
          <w:sz w:val="16"/>
          <w:szCs w:val="16"/>
          <w:color w:val="auto"/>
        </w:rPr>
        <w:t>During the second quarter and first half of 1999, the company had average borrowings outstanding of approximately $425.7 million and $437.7 million, respectively, at average interest rates of approximately 5.7 percent and 5.6 percent, respectively. During the second quarter and first half of 1998, the company had average borrowings outstanding of approximately $15.2 million and $143.6 million, respectively, at an average interest rate of approximately 5.6 percent.</w:t>
      </w:r>
    </w:p>
    <w:p>
      <w:pPr>
        <w:spacing w:after="0" w:line="92" w:lineRule="exact"/>
        <w:rPr>
          <w:sz w:val="20"/>
          <w:szCs w:val="20"/>
          <w:color w:val="auto"/>
        </w:rPr>
      </w:pPr>
    </w:p>
    <w:p>
      <w:pPr>
        <w:ind w:right="4219" w:firstLine="191"/>
        <w:spacing w:after="0" w:line="271" w:lineRule="auto"/>
        <w:rPr>
          <w:sz w:val="20"/>
          <w:szCs w:val="20"/>
          <w:color w:val="auto"/>
        </w:rPr>
      </w:pPr>
      <w:r>
        <w:rPr>
          <w:rFonts w:ascii="Courier New" w:cs="Courier New" w:eastAsia="Courier New" w:hAnsi="Courier New"/>
          <w:sz w:val="16"/>
          <w:szCs w:val="16"/>
          <w:color w:val="auto"/>
        </w:rPr>
        <w:t>During the first half of 1999 and 1998, the company incurred interest costs on borrowings of $12.3 million and $4.1 million, respectively, of which $1.2 million and $2.2 million was capitalized. Interest costs for construction and upgrade of qualifying assets are capitalized.</w:t>
      </w:r>
    </w:p>
    <w:p>
      <w:pPr>
        <w:sectPr>
          <w:pgSz w:w="11900" w:h="16838" w:orient="portrait"/>
          <w:cols w:equalWidth="0" w:num="1">
            <w:col w:w="10219"/>
          </w:cols>
          <w:pgMar w:left="240" w:top="273" w:right="1440" w:bottom="1440" w:gutter="0" w:footer="0" w:header="0"/>
        </w:sectPr>
      </w:pPr>
    </w:p>
    <w:bookmarkStart w:id="8" w:name="page9"/>
    <w:bookmarkEnd w:id="8"/>
    <w:p>
      <w:pPr>
        <w:ind w:left="180"/>
        <w:spacing w:after="0"/>
        <w:rPr>
          <w:sz w:val="20"/>
          <w:szCs w:val="20"/>
          <w:color w:val="auto"/>
        </w:rPr>
      </w:pPr>
      <w:r>
        <w:rPr>
          <w:rFonts w:ascii="Courier New" w:cs="Courier New" w:eastAsia="Courier New" w:hAnsi="Courier New"/>
          <w:sz w:val="16"/>
          <w:szCs w:val="16"/>
          <w:color w:val="auto"/>
        </w:rPr>
        <w:t>9</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Business Segments.</w:t>
      </w:r>
    </w:p>
    <w:p>
      <w:pPr>
        <w:spacing w:after="0" w:line="186" w:lineRule="exact"/>
        <w:rPr>
          <w:sz w:val="20"/>
          <w:szCs w:val="20"/>
          <w:color w:val="auto"/>
        </w:rPr>
      </w:pPr>
    </w:p>
    <w:p>
      <w:pPr>
        <w:ind w:right="5320" w:firstLine="191"/>
        <w:spacing w:after="0" w:line="280" w:lineRule="auto"/>
        <w:rPr>
          <w:sz w:val="20"/>
          <w:szCs w:val="20"/>
          <w:color w:val="auto"/>
        </w:rPr>
      </w:pPr>
      <w:r>
        <w:rPr>
          <w:rFonts w:ascii="Courier New" w:cs="Courier New" w:eastAsia="Courier New" w:hAnsi="Courier New"/>
          <w:sz w:val="16"/>
          <w:szCs w:val="16"/>
          <w:color w:val="auto"/>
        </w:rPr>
        <w:t>The following table summarizes financial information related to each of the company's business segments. The 1999 and 1998 asset information is as of July 4, 1999 and June 28, 1999, respectively.</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Quarter Period</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9"/>
              </w:rPr>
              <w:t>Education</w:t>
            </w:r>
          </w:p>
        </w:tc>
        <w:tc>
          <w:tcPr>
            <w:tcW w:w="4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240" w:type="dxa"/>
            <w:vAlign w:val="bottom"/>
            <w:gridSpan w:val="2"/>
            <w:vMerge w:val="restart"/>
          </w:tcPr>
          <w:p>
            <w:pPr>
              <w:ind w:left="100"/>
              <w:spacing w:after="0"/>
              <w:rPr>
                <w:sz w:val="20"/>
                <w:szCs w:val="20"/>
                <w:color w:val="auto"/>
              </w:rPr>
            </w:pPr>
            <w:r>
              <w:rPr>
                <w:rFonts w:ascii="Courier New" w:cs="Courier New" w:eastAsia="Courier New" w:hAnsi="Courier New"/>
                <w:sz w:val="16"/>
                <w:szCs w:val="16"/>
                <w:color w:val="auto"/>
              </w:rPr>
              <w:t>Newspaper</w:t>
            </w:r>
          </w:p>
        </w:tc>
        <w:tc>
          <w:tcPr>
            <w:tcW w:w="148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w w:val="99"/>
              </w:rPr>
              <w:t>Television</w:t>
            </w:r>
          </w:p>
        </w:tc>
        <w:tc>
          <w:tcPr>
            <w:tcW w:w="124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w w:val="98"/>
              </w:rPr>
              <w:t>Magazine</w:t>
            </w:r>
          </w:p>
        </w:tc>
        <w:tc>
          <w:tcPr>
            <w:tcW w:w="1180" w:type="dxa"/>
            <w:vAlign w:val="bottom"/>
            <w:gridSpan w:val="2"/>
            <w:vMerge w:val="restart"/>
          </w:tcPr>
          <w:p>
            <w:pPr>
              <w:jc w:val="right"/>
              <w:ind w:right="401"/>
              <w:spacing w:after="0"/>
              <w:rPr>
                <w:sz w:val="20"/>
                <w:szCs w:val="20"/>
                <w:color w:val="auto"/>
              </w:rPr>
            </w:pPr>
            <w:r>
              <w:rPr>
                <w:rFonts w:ascii="Courier New" w:cs="Courier New" w:eastAsia="Courier New" w:hAnsi="Courier New"/>
                <w:sz w:val="16"/>
                <w:szCs w:val="16"/>
                <w:color w:val="auto"/>
              </w:rPr>
              <w:t>Cable</w:t>
            </w:r>
          </w:p>
        </w:tc>
        <w:tc>
          <w:tcPr>
            <w:tcW w:w="300" w:type="dxa"/>
            <w:vAlign w:val="bottom"/>
          </w:tcPr>
          <w:p>
            <w:pPr>
              <w:spacing w:after="0"/>
              <w:rPr>
                <w:sz w:val="15"/>
                <w:szCs w:val="15"/>
                <w:color w:val="auto"/>
              </w:rPr>
            </w:pPr>
          </w:p>
        </w:tc>
        <w:tc>
          <w:tcPr>
            <w:tcW w:w="900" w:type="dxa"/>
            <w:vAlign w:val="bottom"/>
          </w:tcPr>
          <w:p>
            <w:pPr>
              <w:jc w:val="center"/>
              <w:ind w:right="361"/>
              <w:spacing w:after="0"/>
              <w:rPr>
                <w:sz w:val="20"/>
                <w:szCs w:val="20"/>
                <w:color w:val="auto"/>
              </w:rPr>
            </w:pPr>
            <w:r>
              <w:rPr>
                <w:rFonts w:ascii="Courier New" w:cs="Courier New" w:eastAsia="Courier New" w:hAnsi="Courier New"/>
                <w:sz w:val="16"/>
                <w:szCs w:val="16"/>
                <w:color w:val="auto"/>
              </w:rPr>
              <w:t>and</w:t>
            </w:r>
          </w:p>
        </w:tc>
        <w:tc>
          <w:tcPr>
            <w:tcW w:w="16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Businesses</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Career</w:t>
            </w: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and Corporate</w:t>
            </w:r>
          </w:p>
        </w:tc>
        <w:tc>
          <w:tcPr>
            <w:tcW w:w="1460" w:type="dxa"/>
            <w:vAlign w:val="bottom"/>
            <w:gridSpan w:val="2"/>
            <w:vMerge w:val="restart"/>
          </w:tcPr>
          <w:p>
            <w:pPr>
              <w:jc w:val="right"/>
              <w:ind w:right="1"/>
              <w:spacing w:after="0"/>
              <w:rPr>
                <w:sz w:val="20"/>
                <w:szCs w:val="20"/>
                <w:color w:val="auto"/>
              </w:rPr>
            </w:pPr>
            <w:r>
              <w:rPr>
                <w:rFonts w:ascii="Courier New" w:cs="Courier New" w:eastAsia="Courier New" w:hAnsi="Courier New"/>
                <w:sz w:val="16"/>
                <w:szCs w:val="16"/>
                <w:color w:val="auto"/>
              </w:rPr>
              <w:t>Consolidated</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Publishing</w:t>
            </w: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Broadcasting</w:t>
            </w:r>
          </w:p>
        </w:tc>
        <w:tc>
          <w:tcPr>
            <w:tcW w:w="12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Publishing</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Television</w:t>
            </w:r>
          </w:p>
        </w:tc>
        <w:tc>
          <w:tcPr>
            <w:tcW w:w="12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Services</w:t>
            </w:r>
          </w:p>
        </w:tc>
        <w:tc>
          <w:tcPr>
            <w:tcW w:w="4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Office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100" w:type="dxa"/>
            <w:vAlign w:val="bottom"/>
          </w:tcPr>
          <w:p>
            <w:pPr>
              <w:spacing w:after="0"/>
              <w:rPr>
                <w:sz w:val="23"/>
                <w:szCs w:val="23"/>
                <w:color w:val="auto"/>
              </w:rPr>
            </w:pP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210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240" w:type="dxa"/>
            <w:vAlign w:val="bottom"/>
            <w:gridSpan w:val="2"/>
            <w:vMerge w:val="restart"/>
          </w:tcPr>
          <w:p>
            <w:pPr>
              <w:jc w:val="right"/>
              <w:ind w:right="121"/>
              <w:spacing w:after="0"/>
              <w:rPr>
                <w:sz w:val="20"/>
                <w:szCs w:val="20"/>
                <w:color w:val="auto"/>
              </w:rPr>
            </w:pPr>
            <w:r>
              <w:rPr>
                <w:rFonts w:ascii="Courier New" w:cs="Courier New" w:eastAsia="Courier New" w:hAnsi="Courier New"/>
                <w:sz w:val="16"/>
                <w:szCs w:val="16"/>
                <w:color w:val="auto"/>
              </w:rPr>
              <w:t>$219,017</w:t>
            </w:r>
          </w:p>
        </w:tc>
        <w:tc>
          <w:tcPr>
            <w:tcW w:w="148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$ 91,022</w:t>
            </w:r>
          </w:p>
        </w:tc>
        <w:tc>
          <w:tcPr>
            <w:tcW w:w="124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$100,586</w:t>
            </w:r>
          </w:p>
        </w:tc>
        <w:tc>
          <w:tcPr>
            <w:tcW w:w="1180" w:type="dxa"/>
            <w:vAlign w:val="bottom"/>
            <w:gridSpan w:val="2"/>
            <w:vMerge w:val="restart"/>
          </w:tcPr>
          <w:p>
            <w:pPr>
              <w:jc w:val="right"/>
              <w:ind w:right="1"/>
              <w:spacing w:after="0"/>
              <w:rPr>
                <w:sz w:val="20"/>
                <w:szCs w:val="20"/>
                <w:color w:val="auto"/>
              </w:rPr>
            </w:pPr>
            <w:r>
              <w:rPr>
                <w:rFonts w:ascii="Courier New" w:cs="Courier New" w:eastAsia="Courier New" w:hAnsi="Courier New"/>
                <w:sz w:val="16"/>
                <w:szCs w:val="16"/>
                <w:color w:val="auto"/>
              </w:rPr>
              <w:t>$ 83,120</w:t>
            </w:r>
          </w:p>
        </w:tc>
        <w:tc>
          <w:tcPr>
            <w:tcW w:w="1200" w:type="dxa"/>
            <w:vAlign w:val="bottom"/>
            <w:gridSpan w:val="2"/>
            <w:vMerge w:val="restart"/>
          </w:tcPr>
          <w:p>
            <w:pPr>
              <w:jc w:val="right"/>
              <w:ind w:right="161"/>
              <w:spacing w:after="0"/>
              <w:rPr>
                <w:sz w:val="20"/>
                <w:szCs w:val="20"/>
                <w:color w:val="auto"/>
              </w:rPr>
            </w:pPr>
            <w:r>
              <w:rPr>
                <w:rFonts w:ascii="Courier New" w:cs="Courier New" w:eastAsia="Courier New" w:hAnsi="Courier New"/>
                <w:sz w:val="16"/>
                <w:szCs w:val="16"/>
                <w:color w:val="auto"/>
              </w:rPr>
              <w:t>$ 61,045</w:t>
            </w:r>
          </w:p>
        </w:tc>
        <w:tc>
          <w:tcPr>
            <w:tcW w:w="420" w:type="dxa"/>
            <w:vAlign w:val="bottom"/>
            <w:vMerge w:val="restart"/>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2,405</w:t>
            </w:r>
          </w:p>
        </w:tc>
        <w:tc>
          <w:tcPr>
            <w:tcW w:w="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557,195</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2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240" w:type="dxa"/>
            <w:vAlign w:val="bottom"/>
            <w:gridSpan w:val="2"/>
            <w:vMerge w:val="restart"/>
          </w:tcPr>
          <w:p>
            <w:pPr>
              <w:jc w:val="right"/>
              <w:ind w:right="121"/>
              <w:spacing w:after="0"/>
              <w:rPr>
                <w:sz w:val="20"/>
                <w:szCs w:val="20"/>
                <w:color w:val="auto"/>
              </w:rPr>
            </w:pPr>
            <w:r>
              <w:rPr>
                <w:rFonts w:ascii="Courier New" w:cs="Courier New" w:eastAsia="Courier New" w:hAnsi="Courier New"/>
                <w:sz w:val="16"/>
                <w:szCs w:val="16"/>
                <w:color w:val="auto"/>
              </w:rPr>
              <w:t>$ 50,067</w:t>
            </w:r>
          </w:p>
        </w:tc>
        <w:tc>
          <w:tcPr>
            <w:tcW w:w="148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$ 45,942</w:t>
            </w:r>
          </w:p>
        </w:tc>
        <w:tc>
          <w:tcPr>
            <w:tcW w:w="124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$ 17,719</w:t>
            </w:r>
          </w:p>
        </w:tc>
        <w:tc>
          <w:tcPr>
            <w:tcW w:w="1180" w:type="dxa"/>
            <w:vAlign w:val="bottom"/>
            <w:gridSpan w:val="2"/>
            <w:vMerge w:val="restart"/>
          </w:tcPr>
          <w:p>
            <w:pPr>
              <w:jc w:val="right"/>
              <w:ind w:right="1"/>
              <w:spacing w:after="0"/>
              <w:rPr>
                <w:sz w:val="20"/>
                <w:szCs w:val="20"/>
                <w:color w:val="auto"/>
              </w:rPr>
            </w:pPr>
            <w:r>
              <w:rPr>
                <w:rFonts w:ascii="Courier New" w:cs="Courier New" w:eastAsia="Courier New" w:hAnsi="Courier New"/>
                <w:sz w:val="16"/>
                <w:szCs w:val="16"/>
                <w:color w:val="auto"/>
              </w:rPr>
              <w:t>$ 15,573</w:t>
            </w:r>
          </w:p>
        </w:tc>
        <w:tc>
          <w:tcPr>
            <w:tcW w:w="120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(6,958)</w:t>
            </w:r>
          </w:p>
        </w:tc>
        <w:tc>
          <w:tcPr>
            <w:tcW w:w="1620" w:type="dxa"/>
            <w:vAlign w:val="bottom"/>
            <w:gridSpan w:val="2"/>
            <w:vMerge w:val="restart"/>
          </w:tcPr>
          <w:p>
            <w:pPr>
              <w:ind w:left="340"/>
              <w:spacing w:after="0"/>
              <w:rPr>
                <w:sz w:val="20"/>
                <w:szCs w:val="20"/>
                <w:color w:val="auto"/>
              </w:rPr>
            </w:pPr>
            <w:r>
              <w:rPr>
                <w:rFonts w:ascii="Courier New" w:cs="Courier New" w:eastAsia="Courier New" w:hAnsi="Courier New"/>
                <w:sz w:val="16"/>
                <w:szCs w:val="16"/>
                <w:color w:val="auto"/>
              </w:rPr>
              <w:t>$(15,658)</w:t>
            </w:r>
          </w:p>
        </w:tc>
        <w:tc>
          <w:tcPr>
            <w:tcW w:w="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106,685</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operations</w:t>
            </w:r>
          </w:p>
        </w:tc>
        <w:tc>
          <w:tcPr>
            <w:tcW w:w="12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Equity in losses of</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731</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affiliates</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(5,228)</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9,471</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Income before income</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111,659</w:t>
            </w:r>
          </w:p>
        </w:tc>
        <w:tc>
          <w:tcPr>
            <w:tcW w:w="0" w:type="dxa"/>
            <w:vAlign w:val="bottom"/>
          </w:tcPr>
          <w:p>
            <w:pPr>
              <w:spacing w:after="0"/>
              <w:rPr>
                <w:sz w:val="1"/>
                <w:szCs w:val="1"/>
                <w:color w:val="auto"/>
              </w:rPr>
            </w:pPr>
          </w:p>
        </w:tc>
      </w:tr>
      <w:tr>
        <w:trPr>
          <w:trHeight w:val="266"/>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taxes</w:t>
            </w: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100" w:type="dxa"/>
            <w:vAlign w:val="bottom"/>
          </w:tcPr>
          <w:p>
            <w:pPr>
              <w:spacing w:after="0"/>
              <w:rPr>
                <w:sz w:val="20"/>
                <w:szCs w:val="20"/>
                <w:color w:val="auto"/>
              </w:rPr>
            </w:pPr>
            <w:r>
              <w:rPr>
                <w:rFonts w:ascii="Courier New" w:cs="Courier New" w:eastAsia="Courier New" w:hAnsi="Courier New"/>
                <w:sz w:val="16"/>
                <w:szCs w:val="16"/>
                <w:color w:val="auto"/>
              </w:rPr>
              <w:t>Depreciation expense</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7,678</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2,825</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1,244</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$ 10,754</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2,012</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792</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25,305</w:t>
            </w:r>
          </w:p>
        </w:tc>
        <w:tc>
          <w:tcPr>
            <w:tcW w:w="0" w:type="dxa"/>
            <w:vAlign w:val="bottom"/>
          </w:tcPr>
          <w:p>
            <w:pPr>
              <w:spacing w:after="0"/>
              <w:rPr>
                <w:sz w:val="1"/>
                <w:szCs w:val="1"/>
                <w:color w:val="auto"/>
              </w:rPr>
            </w:pPr>
          </w:p>
        </w:tc>
      </w:tr>
      <w:tr>
        <w:trPr>
          <w:trHeight w:val="266"/>
        </w:trPr>
        <w:tc>
          <w:tcPr>
            <w:tcW w:w="2100" w:type="dxa"/>
            <w:vAlign w:val="bottom"/>
          </w:tcPr>
          <w:p>
            <w:pPr>
              <w:spacing w:after="0"/>
              <w:rPr>
                <w:sz w:val="20"/>
                <w:szCs w:val="20"/>
                <w:color w:val="auto"/>
              </w:rPr>
            </w:pPr>
            <w:r>
              <w:rPr>
                <w:rFonts w:ascii="Courier New" w:cs="Courier New" w:eastAsia="Courier New" w:hAnsi="Courier New"/>
                <w:sz w:val="16"/>
                <w:szCs w:val="16"/>
                <w:color w:val="auto"/>
              </w:rPr>
              <w:t>Amortization expense</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380</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3,559</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1,478</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7,446</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1,756</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14,619</w:t>
            </w:r>
          </w:p>
        </w:tc>
        <w:tc>
          <w:tcPr>
            <w:tcW w:w="0" w:type="dxa"/>
            <w:vAlign w:val="bottom"/>
          </w:tcPr>
          <w:p>
            <w:pPr>
              <w:spacing w:after="0"/>
              <w:rPr>
                <w:sz w:val="1"/>
                <w:szCs w:val="1"/>
                <w:color w:val="auto"/>
              </w:rPr>
            </w:pPr>
          </w:p>
        </w:tc>
      </w:tr>
      <w:tr>
        <w:trPr>
          <w:trHeight w:val="284"/>
        </w:trPr>
        <w:tc>
          <w:tcPr>
            <w:tcW w:w="2100" w:type="dxa"/>
            <w:vAlign w:val="bottom"/>
          </w:tcPr>
          <w:p>
            <w:pPr>
              <w:spacing w:after="0"/>
              <w:rPr>
                <w:sz w:val="20"/>
                <w:szCs w:val="20"/>
                <w:color w:val="auto"/>
              </w:rPr>
            </w:pPr>
            <w:r>
              <w:rPr>
                <w:rFonts w:ascii="Courier New" w:cs="Courier New" w:eastAsia="Courier New" w:hAnsi="Courier New"/>
                <w:sz w:val="16"/>
                <w:szCs w:val="16"/>
                <w:color w:val="auto"/>
              </w:rPr>
              <w:t>Identifiable assets</w:t>
            </w: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$642,078</w:t>
            </w: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$437,583</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$371,163</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$703,240</w:t>
            </w: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$250,765</w:t>
            </w:r>
          </w:p>
        </w:tc>
        <w:tc>
          <w:tcPr>
            <w:tcW w:w="16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$ 93,527</w:t>
            </w:r>
          </w:p>
        </w:tc>
        <w:tc>
          <w:tcPr>
            <w:tcW w:w="14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$2,498,356</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Investments in</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marketable equity</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239,913</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securities</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Investments in</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60,081</w:t>
            </w:r>
          </w:p>
        </w:tc>
        <w:tc>
          <w:tcPr>
            <w:tcW w:w="0" w:type="dxa"/>
            <w:vAlign w:val="bottom"/>
          </w:tcPr>
          <w:p>
            <w:pPr>
              <w:spacing w:after="0"/>
              <w:rPr>
                <w:sz w:val="1"/>
                <w:szCs w:val="1"/>
                <w:color w:val="auto"/>
              </w:rPr>
            </w:pPr>
          </w:p>
        </w:tc>
      </w:tr>
      <w:tr>
        <w:trPr>
          <w:trHeight w:val="266"/>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affiliates</w:t>
            </w: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7"/>
        </w:trPr>
        <w:tc>
          <w:tcPr>
            <w:tcW w:w="2100" w:type="dxa"/>
            <w:vAlign w:val="bottom"/>
          </w:tcPr>
          <w:p>
            <w:pPr>
              <w:ind w:left="100"/>
              <w:spacing w:after="0"/>
              <w:rPr>
                <w:sz w:val="20"/>
                <w:szCs w:val="20"/>
                <w:color w:val="auto"/>
              </w:rPr>
            </w:pPr>
            <w:r>
              <w:rPr>
                <w:rFonts w:ascii="Courier New" w:cs="Courier New" w:eastAsia="Courier New" w:hAnsi="Courier New"/>
                <w:sz w:val="16"/>
                <w:szCs w:val="16"/>
                <w:color w:val="auto"/>
              </w:rPr>
              <w:t>Total assets</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$2,798,350</w:t>
            </w:r>
          </w:p>
        </w:tc>
        <w:tc>
          <w:tcPr>
            <w:tcW w:w="0" w:type="dxa"/>
            <w:vAlign w:val="bottom"/>
          </w:tcPr>
          <w:p>
            <w:pPr>
              <w:spacing w:after="0"/>
              <w:rPr>
                <w:sz w:val="1"/>
                <w:szCs w:val="1"/>
                <w:color w:val="auto"/>
              </w:rPr>
            </w:pPr>
          </w:p>
        </w:tc>
      </w:tr>
      <w:tr>
        <w:trPr>
          <w:trHeight w:val="284"/>
        </w:trPr>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9"/>
              </w:rPr>
              <w:t>Education</w:t>
            </w:r>
          </w:p>
        </w:tc>
        <w:tc>
          <w:tcPr>
            <w:tcW w:w="4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240" w:type="dxa"/>
            <w:vAlign w:val="bottom"/>
            <w:gridSpan w:val="2"/>
            <w:vMerge w:val="restart"/>
          </w:tcPr>
          <w:p>
            <w:pPr>
              <w:ind w:left="100"/>
              <w:spacing w:after="0"/>
              <w:rPr>
                <w:sz w:val="20"/>
                <w:szCs w:val="20"/>
                <w:color w:val="auto"/>
              </w:rPr>
            </w:pPr>
            <w:r>
              <w:rPr>
                <w:rFonts w:ascii="Courier New" w:cs="Courier New" w:eastAsia="Courier New" w:hAnsi="Courier New"/>
                <w:sz w:val="16"/>
                <w:szCs w:val="16"/>
                <w:color w:val="auto"/>
              </w:rPr>
              <w:t>Newspaper</w:t>
            </w:r>
          </w:p>
        </w:tc>
        <w:tc>
          <w:tcPr>
            <w:tcW w:w="148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w w:val="99"/>
              </w:rPr>
              <w:t>Television</w:t>
            </w:r>
          </w:p>
        </w:tc>
        <w:tc>
          <w:tcPr>
            <w:tcW w:w="124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w w:val="98"/>
              </w:rPr>
              <w:t>Magazine</w:t>
            </w:r>
          </w:p>
        </w:tc>
        <w:tc>
          <w:tcPr>
            <w:tcW w:w="1180" w:type="dxa"/>
            <w:vAlign w:val="bottom"/>
            <w:gridSpan w:val="2"/>
            <w:vMerge w:val="restart"/>
          </w:tcPr>
          <w:p>
            <w:pPr>
              <w:jc w:val="right"/>
              <w:ind w:right="401"/>
              <w:spacing w:after="0"/>
              <w:rPr>
                <w:sz w:val="20"/>
                <w:szCs w:val="20"/>
                <w:color w:val="auto"/>
              </w:rPr>
            </w:pPr>
            <w:r>
              <w:rPr>
                <w:rFonts w:ascii="Courier New" w:cs="Courier New" w:eastAsia="Courier New" w:hAnsi="Courier New"/>
                <w:sz w:val="16"/>
                <w:szCs w:val="16"/>
                <w:color w:val="auto"/>
              </w:rPr>
              <w:t>Cable</w:t>
            </w:r>
          </w:p>
        </w:tc>
        <w:tc>
          <w:tcPr>
            <w:tcW w:w="300" w:type="dxa"/>
            <w:vAlign w:val="bottom"/>
          </w:tcPr>
          <w:p>
            <w:pPr>
              <w:spacing w:after="0"/>
              <w:rPr>
                <w:sz w:val="15"/>
                <w:szCs w:val="15"/>
                <w:color w:val="auto"/>
              </w:rPr>
            </w:pPr>
          </w:p>
        </w:tc>
        <w:tc>
          <w:tcPr>
            <w:tcW w:w="900" w:type="dxa"/>
            <w:vAlign w:val="bottom"/>
          </w:tcPr>
          <w:p>
            <w:pPr>
              <w:jc w:val="center"/>
              <w:ind w:right="361"/>
              <w:spacing w:after="0"/>
              <w:rPr>
                <w:sz w:val="20"/>
                <w:szCs w:val="20"/>
                <w:color w:val="auto"/>
              </w:rPr>
            </w:pPr>
            <w:r>
              <w:rPr>
                <w:rFonts w:ascii="Courier New" w:cs="Courier New" w:eastAsia="Courier New" w:hAnsi="Courier New"/>
                <w:sz w:val="16"/>
                <w:szCs w:val="16"/>
                <w:color w:val="auto"/>
              </w:rPr>
              <w:t>and</w:t>
            </w:r>
          </w:p>
        </w:tc>
        <w:tc>
          <w:tcPr>
            <w:tcW w:w="16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Businesses</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Career</w:t>
            </w: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and Corporate</w:t>
            </w:r>
          </w:p>
        </w:tc>
        <w:tc>
          <w:tcPr>
            <w:tcW w:w="1460" w:type="dxa"/>
            <w:vAlign w:val="bottom"/>
            <w:gridSpan w:val="2"/>
            <w:vMerge w:val="restart"/>
          </w:tcPr>
          <w:p>
            <w:pPr>
              <w:jc w:val="right"/>
              <w:ind w:right="1"/>
              <w:spacing w:after="0"/>
              <w:rPr>
                <w:sz w:val="20"/>
                <w:szCs w:val="20"/>
                <w:color w:val="auto"/>
              </w:rPr>
            </w:pPr>
            <w:r>
              <w:rPr>
                <w:rFonts w:ascii="Courier New" w:cs="Courier New" w:eastAsia="Courier New" w:hAnsi="Courier New"/>
                <w:sz w:val="16"/>
                <w:szCs w:val="16"/>
                <w:color w:val="auto"/>
              </w:rPr>
              <w:t>Consolidated</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Publishing</w:t>
            </w: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Broadcasting</w:t>
            </w:r>
          </w:p>
        </w:tc>
        <w:tc>
          <w:tcPr>
            <w:tcW w:w="12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Publishing</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Television</w:t>
            </w:r>
          </w:p>
        </w:tc>
        <w:tc>
          <w:tcPr>
            <w:tcW w:w="12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Services</w:t>
            </w:r>
          </w:p>
        </w:tc>
        <w:tc>
          <w:tcPr>
            <w:tcW w:w="4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Office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100" w:type="dxa"/>
            <w:vAlign w:val="bottom"/>
            <w:vMerge w:val="restart"/>
          </w:tcPr>
          <w:p>
            <w:pPr>
              <w:spacing w:after="0"/>
              <w:rPr>
                <w:sz w:val="20"/>
                <w:szCs w:val="20"/>
                <w:color w:val="auto"/>
              </w:rPr>
            </w:pPr>
            <w:r>
              <w:rPr>
                <w:rFonts w:ascii="Courier New" w:cs="Courier New" w:eastAsia="Courier New" w:hAnsi="Courier New"/>
                <w:sz w:val="16"/>
                <w:szCs w:val="16"/>
                <w:color w:val="auto"/>
              </w:rPr>
              <w:t>1998</w:t>
            </w: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2100" w:type="dxa"/>
            <w:vAlign w:val="bottom"/>
            <w:vMerge w:val="continue"/>
          </w:tcPr>
          <w:p>
            <w:pPr>
              <w:spacing w:after="0"/>
              <w:rPr>
                <w:sz w:val="8"/>
                <w:szCs w:val="8"/>
                <w:color w:val="auto"/>
              </w:rPr>
            </w:pPr>
          </w:p>
        </w:tc>
        <w:tc>
          <w:tcPr>
            <w:tcW w:w="1240" w:type="dxa"/>
            <w:vAlign w:val="bottom"/>
            <w:gridSpan w:val="2"/>
            <w:vMerge w:val="restart"/>
          </w:tcPr>
          <w:p>
            <w:pPr>
              <w:jc w:val="right"/>
              <w:ind w:right="121"/>
              <w:spacing w:after="0"/>
              <w:rPr>
                <w:sz w:val="20"/>
                <w:szCs w:val="20"/>
                <w:color w:val="auto"/>
              </w:rPr>
            </w:pPr>
            <w:r>
              <w:rPr>
                <w:rFonts w:ascii="Courier New" w:cs="Courier New" w:eastAsia="Courier New" w:hAnsi="Courier New"/>
                <w:sz w:val="16"/>
                <w:szCs w:val="16"/>
                <w:color w:val="auto"/>
              </w:rPr>
              <w:t>$214,841</w:t>
            </w:r>
          </w:p>
        </w:tc>
        <w:tc>
          <w:tcPr>
            <w:tcW w:w="148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$ 95,423</w:t>
            </w:r>
          </w:p>
        </w:tc>
        <w:tc>
          <w:tcPr>
            <w:tcW w:w="124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$107,623</w:t>
            </w:r>
          </w:p>
        </w:tc>
        <w:tc>
          <w:tcPr>
            <w:tcW w:w="1180" w:type="dxa"/>
            <w:vAlign w:val="bottom"/>
            <w:gridSpan w:val="2"/>
            <w:vMerge w:val="restart"/>
          </w:tcPr>
          <w:p>
            <w:pPr>
              <w:jc w:val="right"/>
              <w:ind w:right="1"/>
              <w:spacing w:after="0"/>
              <w:rPr>
                <w:sz w:val="20"/>
                <w:szCs w:val="20"/>
                <w:color w:val="auto"/>
              </w:rPr>
            </w:pPr>
            <w:r>
              <w:rPr>
                <w:rFonts w:ascii="Courier New" w:cs="Courier New" w:eastAsia="Courier New" w:hAnsi="Courier New"/>
                <w:sz w:val="16"/>
                <w:szCs w:val="16"/>
                <w:color w:val="auto"/>
              </w:rPr>
              <w:t>$ 70,888</w:t>
            </w:r>
          </w:p>
        </w:tc>
        <w:tc>
          <w:tcPr>
            <w:tcW w:w="1200" w:type="dxa"/>
            <w:vAlign w:val="bottom"/>
            <w:gridSpan w:val="2"/>
            <w:vMerge w:val="restart"/>
          </w:tcPr>
          <w:p>
            <w:pPr>
              <w:jc w:val="right"/>
              <w:ind w:right="161"/>
              <w:spacing w:after="0"/>
              <w:rPr>
                <w:sz w:val="20"/>
                <w:szCs w:val="20"/>
                <w:color w:val="auto"/>
              </w:rPr>
            </w:pPr>
            <w:r>
              <w:rPr>
                <w:rFonts w:ascii="Courier New" w:cs="Courier New" w:eastAsia="Courier New" w:hAnsi="Courier New"/>
                <w:sz w:val="16"/>
                <w:szCs w:val="16"/>
                <w:color w:val="auto"/>
              </w:rPr>
              <w:t>$ 34,404</w:t>
            </w:r>
          </w:p>
        </w:tc>
        <w:tc>
          <w:tcPr>
            <w:tcW w:w="420" w:type="dxa"/>
            <w:vAlign w:val="bottom"/>
            <w:vMerge w:val="restart"/>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2,578</w:t>
            </w:r>
          </w:p>
        </w:tc>
        <w:tc>
          <w:tcPr>
            <w:tcW w:w="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525,757</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2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240" w:type="dxa"/>
            <w:vAlign w:val="bottom"/>
            <w:gridSpan w:val="2"/>
            <w:vMerge w:val="restart"/>
          </w:tcPr>
          <w:p>
            <w:pPr>
              <w:jc w:val="right"/>
              <w:ind w:right="121"/>
              <w:spacing w:after="0"/>
              <w:rPr>
                <w:sz w:val="20"/>
                <w:szCs w:val="20"/>
                <w:color w:val="auto"/>
              </w:rPr>
            </w:pPr>
            <w:r>
              <w:rPr>
                <w:rFonts w:ascii="Courier New" w:cs="Courier New" w:eastAsia="Courier New" w:hAnsi="Courier New"/>
                <w:sz w:val="16"/>
                <w:szCs w:val="16"/>
                <w:color w:val="auto"/>
              </w:rPr>
              <w:t>$ 44,835</w:t>
            </w:r>
          </w:p>
        </w:tc>
        <w:tc>
          <w:tcPr>
            <w:tcW w:w="148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$ 48,999</w:t>
            </w:r>
          </w:p>
        </w:tc>
        <w:tc>
          <w:tcPr>
            <w:tcW w:w="124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$ 16,996</w:t>
            </w:r>
          </w:p>
        </w:tc>
        <w:tc>
          <w:tcPr>
            <w:tcW w:w="1180" w:type="dxa"/>
            <w:vAlign w:val="bottom"/>
            <w:gridSpan w:val="2"/>
            <w:vMerge w:val="restart"/>
          </w:tcPr>
          <w:p>
            <w:pPr>
              <w:jc w:val="right"/>
              <w:ind w:right="1"/>
              <w:spacing w:after="0"/>
              <w:rPr>
                <w:sz w:val="20"/>
                <w:szCs w:val="20"/>
                <w:color w:val="auto"/>
              </w:rPr>
            </w:pPr>
            <w:r>
              <w:rPr>
                <w:rFonts w:ascii="Courier New" w:cs="Courier New" w:eastAsia="Courier New" w:hAnsi="Courier New"/>
                <w:sz w:val="16"/>
                <w:szCs w:val="16"/>
                <w:color w:val="auto"/>
              </w:rPr>
              <w:t>$ 15,095</w:t>
            </w:r>
          </w:p>
        </w:tc>
        <w:tc>
          <w:tcPr>
            <w:tcW w:w="120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(7,338)</w:t>
            </w:r>
          </w:p>
        </w:tc>
        <w:tc>
          <w:tcPr>
            <w:tcW w:w="1620" w:type="dxa"/>
            <w:vAlign w:val="bottom"/>
            <w:gridSpan w:val="2"/>
            <w:vMerge w:val="restart"/>
          </w:tcPr>
          <w:p>
            <w:pPr>
              <w:ind w:left="340"/>
              <w:spacing w:after="0"/>
              <w:rPr>
                <w:sz w:val="20"/>
                <w:szCs w:val="20"/>
                <w:color w:val="auto"/>
              </w:rPr>
            </w:pPr>
            <w:r>
              <w:rPr>
                <w:rFonts w:ascii="Courier New" w:cs="Courier New" w:eastAsia="Courier New" w:hAnsi="Courier New"/>
                <w:sz w:val="16"/>
                <w:szCs w:val="16"/>
                <w:color w:val="auto"/>
              </w:rPr>
              <w:t>$(12,094)</w:t>
            </w:r>
          </w:p>
        </w:tc>
        <w:tc>
          <w:tcPr>
            <w:tcW w:w="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106,493</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operations</w:t>
            </w:r>
          </w:p>
        </w:tc>
        <w:tc>
          <w:tcPr>
            <w:tcW w:w="12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Equity in losses of</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(71)</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affiliates</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Interest income, net</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(1,594)</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Income before income</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104,883</w:t>
            </w:r>
          </w:p>
        </w:tc>
        <w:tc>
          <w:tcPr>
            <w:tcW w:w="0" w:type="dxa"/>
            <w:vAlign w:val="bottom"/>
          </w:tcPr>
          <w:p>
            <w:pPr>
              <w:spacing w:after="0"/>
              <w:rPr>
                <w:sz w:val="1"/>
                <w:szCs w:val="1"/>
                <w:color w:val="auto"/>
              </w:rPr>
            </w:pPr>
          </w:p>
        </w:tc>
      </w:tr>
      <w:tr>
        <w:trPr>
          <w:trHeight w:val="266"/>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taxes</w:t>
            </w: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100" w:type="dxa"/>
            <w:vAlign w:val="bottom"/>
          </w:tcPr>
          <w:p>
            <w:pPr>
              <w:spacing w:after="0"/>
              <w:rPr>
                <w:sz w:val="20"/>
                <w:szCs w:val="20"/>
                <w:color w:val="auto"/>
              </w:rPr>
            </w:pPr>
            <w:r>
              <w:rPr>
                <w:rFonts w:ascii="Courier New" w:cs="Courier New" w:eastAsia="Courier New" w:hAnsi="Courier New"/>
                <w:sz w:val="16"/>
                <w:szCs w:val="16"/>
                <w:color w:val="auto"/>
              </w:rPr>
              <w:t>Depreciation expense</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5,363</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2,809</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1,242</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9,261</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1,214</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842</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20,731</w:t>
            </w:r>
          </w:p>
        </w:tc>
        <w:tc>
          <w:tcPr>
            <w:tcW w:w="0" w:type="dxa"/>
            <w:vAlign w:val="bottom"/>
          </w:tcPr>
          <w:p>
            <w:pPr>
              <w:spacing w:after="0"/>
              <w:rPr>
                <w:sz w:val="1"/>
                <w:szCs w:val="1"/>
                <w:color w:val="auto"/>
              </w:rPr>
            </w:pPr>
          </w:p>
        </w:tc>
      </w:tr>
      <w:tr>
        <w:trPr>
          <w:trHeight w:val="266"/>
        </w:trPr>
        <w:tc>
          <w:tcPr>
            <w:tcW w:w="2100" w:type="dxa"/>
            <w:vAlign w:val="bottom"/>
          </w:tcPr>
          <w:p>
            <w:pPr>
              <w:spacing w:after="0"/>
              <w:rPr>
                <w:sz w:val="20"/>
                <w:szCs w:val="20"/>
                <w:color w:val="auto"/>
              </w:rPr>
            </w:pPr>
            <w:r>
              <w:rPr>
                <w:rFonts w:ascii="Courier New" w:cs="Courier New" w:eastAsia="Courier New" w:hAnsi="Courier New"/>
                <w:sz w:val="16"/>
                <w:szCs w:val="16"/>
                <w:color w:val="auto"/>
              </w:rPr>
              <w:t>Amortization expense</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397</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3,534</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1,468</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4,874</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856</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11,129</w:t>
            </w:r>
          </w:p>
        </w:tc>
        <w:tc>
          <w:tcPr>
            <w:tcW w:w="0" w:type="dxa"/>
            <w:vAlign w:val="bottom"/>
          </w:tcPr>
          <w:p>
            <w:pPr>
              <w:spacing w:after="0"/>
              <w:rPr>
                <w:sz w:val="1"/>
                <w:szCs w:val="1"/>
                <w:color w:val="auto"/>
              </w:rPr>
            </w:pPr>
          </w:p>
        </w:tc>
      </w:tr>
      <w:tr>
        <w:trPr>
          <w:trHeight w:val="284"/>
        </w:trPr>
        <w:tc>
          <w:tcPr>
            <w:tcW w:w="2100" w:type="dxa"/>
            <w:vAlign w:val="bottom"/>
          </w:tcPr>
          <w:p>
            <w:pPr>
              <w:spacing w:after="0"/>
              <w:rPr>
                <w:sz w:val="20"/>
                <w:szCs w:val="20"/>
                <w:color w:val="auto"/>
              </w:rPr>
            </w:pPr>
            <w:r>
              <w:rPr>
                <w:rFonts w:ascii="Courier New" w:cs="Courier New" w:eastAsia="Courier New" w:hAnsi="Courier New"/>
                <w:sz w:val="16"/>
                <w:szCs w:val="16"/>
                <w:color w:val="auto"/>
              </w:rPr>
              <w:t>Identifiable assets</w:t>
            </w: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$634,882</w:t>
            </w: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$437,506</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$355,176</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$710,641</w:t>
            </w: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$196,702</w:t>
            </w:r>
          </w:p>
        </w:tc>
        <w:tc>
          <w:tcPr>
            <w:tcW w:w="16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$ 70,108</w:t>
            </w:r>
          </w:p>
        </w:tc>
        <w:tc>
          <w:tcPr>
            <w:tcW w:w="14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$2,405,015</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Investments in</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marketable equity</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256,116</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securities</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Investments in</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68,530</w:t>
            </w:r>
          </w:p>
        </w:tc>
        <w:tc>
          <w:tcPr>
            <w:tcW w:w="0" w:type="dxa"/>
            <w:vAlign w:val="bottom"/>
          </w:tcPr>
          <w:p>
            <w:pPr>
              <w:spacing w:after="0"/>
              <w:rPr>
                <w:sz w:val="1"/>
                <w:szCs w:val="1"/>
                <w:color w:val="auto"/>
              </w:rPr>
            </w:pPr>
          </w:p>
        </w:tc>
      </w:tr>
      <w:tr>
        <w:trPr>
          <w:trHeight w:val="266"/>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affiliates</w:t>
            </w: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7"/>
        </w:trPr>
        <w:tc>
          <w:tcPr>
            <w:tcW w:w="2100" w:type="dxa"/>
            <w:vAlign w:val="bottom"/>
          </w:tcPr>
          <w:p>
            <w:pPr>
              <w:ind w:left="100"/>
              <w:spacing w:after="0"/>
              <w:rPr>
                <w:sz w:val="20"/>
                <w:szCs w:val="20"/>
                <w:color w:val="auto"/>
              </w:rPr>
            </w:pPr>
            <w:r>
              <w:rPr>
                <w:rFonts w:ascii="Courier New" w:cs="Courier New" w:eastAsia="Courier New" w:hAnsi="Courier New"/>
                <w:sz w:val="16"/>
                <w:szCs w:val="16"/>
                <w:color w:val="auto"/>
              </w:rPr>
              <w:t>Total assets</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$2,729,661</w:t>
            </w:r>
          </w:p>
        </w:tc>
        <w:tc>
          <w:tcPr>
            <w:tcW w:w="0" w:type="dxa"/>
            <w:vAlign w:val="bottom"/>
          </w:tcPr>
          <w:p>
            <w:pPr>
              <w:spacing w:after="0"/>
              <w:rPr>
                <w:sz w:val="1"/>
                <w:szCs w:val="1"/>
                <w:color w:val="auto"/>
              </w:rPr>
            </w:pPr>
          </w:p>
        </w:tc>
      </w:tr>
    </w:tbl>
    <w:p>
      <w:pPr>
        <w:sectPr>
          <w:pgSz w:w="11900" w:h="16838" w:orient="portrait"/>
          <w:cols w:equalWidth="0" w:num="1">
            <w:col w:w="11520"/>
          </w:cols>
          <w:pgMar w:left="240" w:top="273" w:right="139" w:bottom="1440" w:gutter="0" w:footer="0" w:header="0"/>
        </w:sectPr>
      </w:pPr>
    </w:p>
    <w:bookmarkStart w:id="9" w:name="page10"/>
    <w:bookmarkEnd w:id="9"/>
    <w:p>
      <w:pPr>
        <w:ind w:left="180"/>
        <w:spacing w:after="0"/>
        <w:rPr>
          <w:sz w:val="20"/>
          <w:szCs w:val="20"/>
          <w:color w:val="auto"/>
        </w:rPr>
      </w:pPr>
      <w:r>
        <w:rPr>
          <w:rFonts w:ascii="Courier New" w:cs="Courier New" w:eastAsia="Courier New" w:hAnsi="Courier New"/>
          <w:sz w:val="16"/>
          <w:szCs w:val="16"/>
          <w:color w:val="auto"/>
        </w:rPr>
        <w:t>10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 Period</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9"/>
              </w:rPr>
              <w:t>Education</w:t>
            </w:r>
          </w:p>
        </w:tc>
        <w:tc>
          <w:tcPr>
            <w:tcW w:w="4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240" w:type="dxa"/>
            <w:vAlign w:val="bottom"/>
            <w:gridSpan w:val="2"/>
            <w:vMerge w:val="restart"/>
          </w:tcPr>
          <w:p>
            <w:pPr>
              <w:ind w:left="100"/>
              <w:spacing w:after="0"/>
              <w:rPr>
                <w:sz w:val="20"/>
                <w:szCs w:val="20"/>
                <w:color w:val="auto"/>
              </w:rPr>
            </w:pPr>
            <w:r>
              <w:rPr>
                <w:rFonts w:ascii="Courier New" w:cs="Courier New" w:eastAsia="Courier New" w:hAnsi="Courier New"/>
                <w:sz w:val="16"/>
                <w:szCs w:val="16"/>
                <w:color w:val="auto"/>
              </w:rPr>
              <w:t>Newspaper</w:t>
            </w:r>
          </w:p>
        </w:tc>
        <w:tc>
          <w:tcPr>
            <w:tcW w:w="148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w w:val="99"/>
              </w:rPr>
              <w:t>Television</w:t>
            </w:r>
          </w:p>
        </w:tc>
        <w:tc>
          <w:tcPr>
            <w:tcW w:w="124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w w:val="98"/>
              </w:rPr>
              <w:t>Magazine</w:t>
            </w:r>
          </w:p>
        </w:tc>
        <w:tc>
          <w:tcPr>
            <w:tcW w:w="118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Cable</w:t>
            </w:r>
          </w:p>
        </w:tc>
        <w:tc>
          <w:tcPr>
            <w:tcW w:w="300" w:type="dxa"/>
            <w:vAlign w:val="bottom"/>
          </w:tcPr>
          <w:p>
            <w:pPr>
              <w:spacing w:after="0"/>
              <w:rPr>
                <w:sz w:val="15"/>
                <w:szCs w:val="15"/>
                <w:color w:val="auto"/>
              </w:rPr>
            </w:pPr>
          </w:p>
        </w:tc>
        <w:tc>
          <w:tcPr>
            <w:tcW w:w="900" w:type="dxa"/>
            <w:vAlign w:val="bottom"/>
          </w:tcPr>
          <w:p>
            <w:pPr>
              <w:jc w:val="center"/>
              <w:ind w:right="361"/>
              <w:spacing w:after="0"/>
              <w:rPr>
                <w:sz w:val="20"/>
                <w:szCs w:val="20"/>
                <w:color w:val="auto"/>
              </w:rPr>
            </w:pPr>
            <w:r>
              <w:rPr>
                <w:rFonts w:ascii="Courier New" w:cs="Courier New" w:eastAsia="Courier New" w:hAnsi="Courier New"/>
                <w:sz w:val="16"/>
                <w:szCs w:val="16"/>
                <w:color w:val="auto"/>
              </w:rPr>
              <w:t>and</w:t>
            </w:r>
          </w:p>
        </w:tc>
        <w:tc>
          <w:tcPr>
            <w:tcW w:w="16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Businesses</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Career</w:t>
            </w: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and Corporate</w:t>
            </w:r>
          </w:p>
        </w:tc>
        <w:tc>
          <w:tcPr>
            <w:tcW w:w="1460" w:type="dxa"/>
            <w:vAlign w:val="bottom"/>
            <w:gridSpan w:val="2"/>
            <w:vMerge w:val="restart"/>
          </w:tcPr>
          <w:p>
            <w:pPr>
              <w:jc w:val="right"/>
              <w:ind w:right="1"/>
              <w:spacing w:after="0"/>
              <w:rPr>
                <w:sz w:val="20"/>
                <w:szCs w:val="20"/>
                <w:color w:val="auto"/>
              </w:rPr>
            </w:pPr>
            <w:r>
              <w:rPr>
                <w:rFonts w:ascii="Courier New" w:cs="Courier New" w:eastAsia="Courier New" w:hAnsi="Courier New"/>
                <w:sz w:val="16"/>
                <w:szCs w:val="16"/>
                <w:color w:val="auto"/>
              </w:rPr>
              <w:t>Consolidated</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Publishing</w:t>
            </w: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Broadcasting</w:t>
            </w:r>
          </w:p>
        </w:tc>
        <w:tc>
          <w:tcPr>
            <w:tcW w:w="12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Publishing</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Television</w:t>
            </w:r>
          </w:p>
        </w:tc>
        <w:tc>
          <w:tcPr>
            <w:tcW w:w="12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Services</w:t>
            </w:r>
          </w:p>
        </w:tc>
        <w:tc>
          <w:tcPr>
            <w:tcW w:w="4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Office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100" w:type="dxa"/>
            <w:vAlign w:val="bottom"/>
          </w:tcPr>
          <w:p>
            <w:pPr>
              <w:spacing w:after="0"/>
              <w:rPr>
                <w:sz w:val="23"/>
                <w:szCs w:val="23"/>
                <w:color w:val="auto"/>
              </w:rPr>
            </w:pP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210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240" w:type="dxa"/>
            <w:vAlign w:val="bottom"/>
            <w:gridSpan w:val="2"/>
            <w:vMerge w:val="restart"/>
          </w:tcPr>
          <w:p>
            <w:pPr>
              <w:jc w:val="right"/>
              <w:ind w:right="121"/>
              <w:spacing w:after="0"/>
              <w:rPr>
                <w:sz w:val="20"/>
                <w:szCs w:val="20"/>
                <w:color w:val="auto"/>
              </w:rPr>
            </w:pPr>
            <w:r>
              <w:rPr>
                <w:rFonts w:ascii="Courier New" w:cs="Courier New" w:eastAsia="Courier New" w:hAnsi="Courier New"/>
                <w:sz w:val="16"/>
                <w:szCs w:val="16"/>
                <w:color w:val="auto"/>
              </w:rPr>
              <w:t>$427,479</w:t>
            </w:r>
          </w:p>
        </w:tc>
        <w:tc>
          <w:tcPr>
            <w:tcW w:w="148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$171,319</w:t>
            </w:r>
          </w:p>
        </w:tc>
        <w:tc>
          <w:tcPr>
            <w:tcW w:w="124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$191,302</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$163,919</w:t>
            </w:r>
          </w:p>
        </w:tc>
        <w:tc>
          <w:tcPr>
            <w:tcW w:w="1200" w:type="dxa"/>
            <w:vAlign w:val="bottom"/>
            <w:gridSpan w:val="2"/>
            <w:vMerge w:val="restart"/>
          </w:tcPr>
          <w:p>
            <w:pPr>
              <w:jc w:val="right"/>
              <w:ind w:right="161"/>
              <w:spacing w:after="0"/>
              <w:rPr>
                <w:sz w:val="20"/>
                <w:szCs w:val="20"/>
                <w:color w:val="auto"/>
              </w:rPr>
            </w:pPr>
            <w:r>
              <w:rPr>
                <w:rFonts w:ascii="Courier New" w:cs="Courier New" w:eastAsia="Courier New" w:hAnsi="Courier New"/>
                <w:sz w:val="16"/>
                <w:szCs w:val="16"/>
                <w:color w:val="auto"/>
              </w:rPr>
              <w:t>$118,457</w:t>
            </w:r>
          </w:p>
        </w:tc>
        <w:tc>
          <w:tcPr>
            <w:tcW w:w="420" w:type="dxa"/>
            <w:vAlign w:val="bottom"/>
            <w:vMerge w:val="restart"/>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5,116</w:t>
            </w:r>
          </w:p>
        </w:tc>
        <w:tc>
          <w:tcPr>
            <w:tcW w:w="1460" w:type="dxa"/>
            <w:vAlign w:val="bottom"/>
            <w:gridSpan w:val="2"/>
            <w:vMerge w:val="restart"/>
          </w:tcPr>
          <w:p>
            <w:pPr>
              <w:jc w:val="right"/>
              <w:ind w:right="1"/>
              <w:spacing w:after="0"/>
              <w:rPr>
                <w:sz w:val="20"/>
                <w:szCs w:val="20"/>
                <w:color w:val="auto"/>
              </w:rPr>
            </w:pPr>
            <w:r>
              <w:rPr>
                <w:rFonts w:ascii="Courier New" w:cs="Courier New" w:eastAsia="Courier New" w:hAnsi="Courier New"/>
                <w:sz w:val="16"/>
                <w:szCs w:val="16"/>
                <w:color w:val="auto"/>
              </w:rPr>
              <w:t>$ 1,077,592</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2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240" w:type="dxa"/>
            <w:vAlign w:val="bottom"/>
            <w:gridSpan w:val="2"/>
            <w:vMerge w:val="restart"/>
          </w:tcPr>
          <w:p>
            <w:pPr>
              <w:jc w:val="right"/>
              <w:ind w:right="121"/>
              <w:spacing w:after="0"/>
              <w:rPr>
                <w:sz w:val="20"/>
                <w:szCs w:val="20"/>
                <w:color w:val="auto"/>
              </w:rPr>
            </w:pPr>
            <w:r>
              <w:rPr>
                <w:rFonts w:ascii="Courier New" w:cs="Courier New" w:eastAsia="Courier New" w:hAnsi="Courier New"/>
                <w:sz w:val="16"/>
                <w:szCs w:val="16"/>
                <w:color w:val="auto"/>
              </w:rPr>
              <w:t>$ 89,569</w:t>
            </w:r>
          </w:p>
        </w:tc>
        <w:tc>
          <w:tcPr>
            <w:tcW w:w="148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$ 80,370</w:t>
            </w:r>
          </w:p>
        </w:tc>
        <w:tc>
          <w:tcPr>
            <w:tcW w:w="124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$ 26,689</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$ 30,391</w:t>
            </w:r>
          </w:p>
        </w:tc>
        <w:tc>
          <w:tcPr>
            <w:tcW w:w="120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$(14,336)</w:t>
            </w:r>
          </w:p>
        </w:tc>
        <w:tc>
          <w:tcPr>
            <w:tcW w:w="1620" w:type="dxa"/>
            <w:vAlign w:val="bottom"/>
            <w:gridSpan w:val="2"/>
            <w:vMerge w:val="restart"/>
          </w:tcPr>
          <w:p>
            <w:pPr>
              <w:ind w:left="340"/>
              <w:spacing w:after="0"/>
              <w:rPr>
                <w:sz w:val="20"/>
                <w:szCs w:val="20"/>
                <w:color w:val="auto"/>
              </w:rPr>
            </w:pPr>
            <w:r>
              <w:rPr>
                <w:rFonts w:ascii="Courier New" w:cs="Courier New" w:eastAsia="Courier New" w:hAnsi="Courier New"/>
                <w:sz w:val="16"/>
                <w:szCs w:val="16"/>
                <w:color w:val="auto"/>
              </w:rPr>
              <w:t>$(28,724)</w:t>
            </w:r>
          </w:p>
        </w:tc>
        <w:tc>
          <w:tcPr>
            <w:tcW w:w="62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183,959</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operations</w:t>
            </w:r>
          </w:p>
        </w:tc>
        <w:tc>
          <w:tcPr>
            <w:tcW w:w="12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Equity in losses of</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(1,779)</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affiliates</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(11,795)</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15,613</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Income before income</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185,998</w:t>
            </w:r>
          </w:p>
        </w:tc>
        <w:tc>
          <w:tcPr>
            <w:tcW w:w="0" w:type="dxa"/>
            <w:vAlign w:val="bottom"/>
          </w:tcPr>
          <w:p>
            <w:pPr>
              <w:spacing w:after="0"/>
              <w:rPr>
                <w:sz w:val="1"/>
                <w:szCs w:val="1"/>
                <w:color w:val="auto"/>
              </w:rPr>
            </w:pPr>
          </w:p>
        </w:tc>
      </w:tr>
      <w:tr>
        <w:trPr>
          <w:trHeight w:val="266"/>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taxes</w:t>
            </w: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100" w:type="dxa"/>
            <w:vAlign w:val="bottom"/>
          </w:tcPr>
          <w:p>
            <w:pPr>
              <w:spacing w:after="0"/>
              <w:rPr>
                <w:sz w:val="20"/>
                <w:szCs w:val="20"/>
                <w:color w:val="auto"/>
              </w:rPr>
            </w:pPr>
            <w:r>
              <w:rPr>
                <w:rFonts w:ascii="Courier New" w:cs="Courier New" w:eastAsia="Courier New" w:hAnsi="Courier New"/>
                <w:sz w:val="16"/>
                <w:szCs w:val="16"/>
                <w:color w:val="auto"/>
              </w:rPr>
              <w:t>Depreciation expense</w:t>
            </w: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$ 15,260</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5,613</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2,507</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$ 21,508</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4,005</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1,530</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50,423</w:t>
            </w:r>
          </w:p>
        </w:tc>
        <w:tc>
          <w:tcPr>
            <w:tcW w:w="0" w:type="dxa"/>
            <w:vAlign w:val="bottom"/>
          </w:tcPr>
          <w:p>
            <w:pPr>
              <w:spacing w:after="0"/>
              <w:rPr>
                <w:sz w:val="1"/>
                <w:szCs w:val="1"/>
                <w:color w:val="auto"/>
              </w:rPr>
            </w:pPr>
          </w:p>
        </w:tc>
      </w:tr>
      <w:tr>
        <w:trPr>
          <w:trHeight w:val="266"/>
        </w:trPr>
        <w:tc>
          <w:tcPr>
            <w:tcW w:w="2100" w:type="dxa"/>
            <w:vAlign w:val="bottom"/>
          </w:tcPr>
          <w:p>
            <w:pPr>
              <w:spacing w:after="0"/>
              <w:rPr>
                <w:sz w:val="20"/>
                <w:szCs w:val="20"/>
                <w:color w:val="auto"/>
              </w:rPr>
            </w:pPr>
            <w:r>
              <w:rPr>
                <w:rFonts w:ascii="Courier New" w:cs="Courier New" w:eastAsia="Courier New" w:hAnsi="Courier New"/>
                <w:sz w:val="16"/>
                <w:szCs w:val="16"/>
                <w:color w:val="auto"/>
              </w:rPr>
              <w:t>Amortization expense</w:t>
            </w:r>
          </w:p>
        </w:tc>
        <w:tc>
          <w:tcPr>
            <w:tcW w:w="5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760</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7,119</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2,956</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$ 14,892</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3,317</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29,044</w:t>
            </w:r>
          </w:p>
        </w:tc>
        <w:tc>
          <w:tcPr>
            <w:tcW w:w="0" w:type="dxa"/>
            <w:vAlign w:val="bottom"/>
          </w:tcPr>
          <w:p>
            <w:pPr>
              <w:spacing w:after="0"/>
              <w:rPr>
                <w:sz w:val="1"/>
                <w:szCs w:val="1"/>
                <w:color w:val="auto"/>
              </w:rPr>
            </w:pPr>
          </w:p>
        </w:tc>
      </w:tr>
      <w:tr>
        <w:trPr>
          <w:trHeight w:val="467"/>
        </w:trPr>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9"/>
              </w:rPr>
              <w:t>Education</w:t>
            </w:r>
          </w:p>
        </w:tc>
        <w:tc>
          <w:tcPr>
            <w:tcW w:w="4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240" w:type="dxa"/>
            <w:vAlign w:val="bottom"/>
            <w:gridSpan w:val="2"/>
            <w:vMerge w:val="restart"/>
          </w:tcPr>
          <w:p>
            <w:pPr>
              <w:ind w:left="100"/>
              <w:spacing w:after="0"/>
              <w:rPr>
                <w:sz w:val="20"/>
                <w:szCs w:val="20"/>
                <w:color w:val="auto"/>
              </w:rPr>
            </w:pPr>
            <w:r>
              <w:rPr>
                <w:rFonts w:ascii="Courier New" w:cs="Courier New" w:eastAsia="Courier New" w:hAnsi="Courier New"/>
                <w:sz w:val="16"/>
                <w:szCs w:val="16"/>
                <w:color w:val="auto"/>
              </w:rPr>
              <w:t>Newspaper</w:t>
            </w:r>
          </w:p>
        </w:tc>
        <w:tc>
          <w:tcPr>
            <w:tcW w:w="148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w w:val="99"/>
              </w:rPr>
              <w:t>Television</w:t>
            </w:r>
          </w:p>
        </w:tc>
        <w:tc>
          <w:tcPr>
            <w:tcW w:w="124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w w:val="98"/>
              </w:rPr>
              <w:t>Magazine</w:t>
            </w:r>
          </w:p>
        </w:tc>
        <w:tc>
          <w:tcPr>
            <w:tcW w:w="118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Cable</w:t>
            </w:r>
          </w:p>
        </w:tc>
        <w:tc>
          <w:tcPr>
            <w:tcW w:w="300" w:type="dxa"/>
            <w:vAlign w:val="bottom"/>
          </w:tcPr>
          <w:p>
            <w:pPr>
              <w:spacing w:after="0"/>
              <w:rPr>
                <w:sz w:val="15"/>
                <w:szCs w:val="15"/>
                <w:color w:val="auto"/>
              </w:rPr>
            </w:pPr>
          </w:p>
        </w:tc>
        <w:tc>
          <w:tcPr>
            <w:tcW w:w="900" w:type="dxa"/>
            <w:vAlign w:val="bottom"/>
          </w:tcPr>
          <w:p>
            <w:pPr>
              <w:jc w:val="center"/>
              <w:ind w:right="361"/>
              <w:spacing w:after="0"/>
              <w:rPr>
                <w:sz w:val="20"/>
                <w:szCs w:val="20"/>
                <w:color w:val="auto"/>
              </w:rPr>
            </w:pPr>
            <w:r>
              <w:rPr>
                <w:rFonts w:ascii="Courier New" w:cs="Courier New" w:eastAsia="Courier New" w:hAnsi="Courier New"/>
                <w:sz w:val="16"/>
                <w:szCs w:val="16"/>
                <w:color w:val="auto"/>
              </w:rPr>
              <w:t>and</w:t>
            </w:r>
          </w:p>
        </w:tc>
        <w:tc>
          <w:tcPr>
            <w:tcW w:w="16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Businesses</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Career</w:t>
            </w: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and Corporate</w:t>
            </w:r>
          </w:p>
        </w:tc>
        <w:tc>
          <w:tcPr>
            <w:tcW w:w="1460" w:type="dxa"/>
            <w:vAlign w:val="bottom"/>
            <w:gridSpan w:val="2"/>
            <w:vMerge w:val="restart"/>
          </w:tcPr>
          <w:p>
            <w:pPr>
              <w:jc w:val="right"/>
              <w:ind w:right="1"/>
              <w:spacing w:after="0"/>
              <w:rPr>
                <w:sz w:val="20"/>
                <w:szCs w:val="20"/>
                <w:color w:val="auto"/>
              </w:rPr>
            </w:pPr>
            <w:r>
              <w:rPr>
                <w:rFonts w:ascii="Courier New" w:cs="Courier New" w:eastAsia="Courier New" w:hAnsi="Courier New"/>
                <w:sz w:val="16"/>
                <w:szCs w:val="16"/>
                <w:color w:val="auto"/>
              </w:rPr>
              <w:t>Consolidated</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Publishing</w:t>
            </w: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Broadcasting</w:t>
            </w:r>
          </w:p>
        </w:tc>
        <w:tc>
          <w:tcPr>
            <w:tcW w:w="12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Publishing</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Television</w:t>
            </w:r>
          </w:p>
        </w:tc>
        <w:tc>
          <w:tcPr>
            <w:tcW w:w="12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Services</w:t>
            </w:r>
          </w:p>
        </w:tc>
        <w:tc>
          <w:tcPr>
            <w:tcW w:w="4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Office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100" w:type="dxa"/>
            <w:vAlign w:val="bottom"/>
            <w:vMerge w:val="restart"/>
          </w:tcPr>
          <w:p>
            <w:pPr>
              <w:spacing w:after="0"/>
              <w:rPr>
                <w:sz w:val="20"/>
                <w:szCs w:val="20"/>
                <w:color w:val="auto"/>
              </w:rPr>
            </w:pPr>
            <w:r>
              <w:rPr>
                <w:rFonts w:ascii="Courier New" w:cs="Courier New" w:eastAsia="Courier New" w:hAnsi="Courier New"/>
                <w:sz w:val="16"/>
                <w:szCs w:val="16"/>
                <w:color w:val="auto"/>
              </w:rPr>
              <w:t>1998</w:t>
            </w: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2100" w:type="dxa"/>
            <w:vAlign w:val="bottom"/>
            <w:vMerge w:val="continue"/>
          </w:tcPr>
          <w:p>
            <w:pPr>
              <w:spacing w:after="0"/>
              <w:rPr>
                <w:sz w:val="8"/>
                <w:szCs w:val="8"/>
                <w:color w:val="auto"/>
              </w:rPr>
            </w:pPr>
          </w:p>
        </w:tc>
        <w:tc>
          <w:tcPr>
            <w:tcW w:w="1240" w:type="dxa"/>
            <w:vAlign w:val="bottom"/>
            <w:gridSpan w:val="2"/>
            <w:vMerge w:val="restart"/>
          </w:tcPr>
          <w:p>
            <w:pPr>
              <w:jc w:val="right"/>
              <w:ind w:right="121"/>
              <w:spacing w:after="0"/>
              <w:rPr>
                <w:sz w:val="20"/>
                <w:szCs w:val="20"/>
                <w:color w:val="auto"/>
              </w:rPr>
            </w:pPr>
            <w:r>
              <w:rPr>
                <w:rFonts w:ascii="Courier New" w:cs="Courier New" w:eastAsia="Courier New" w:hAnsi="Courier New"/>
                <w:sz w:val="16"/>
                <w:szCs w:val="16"/>
                <w:color w:val="auto"/>
              </w:rPr>
              <w:t>$418,721</w:t>
            </w:r>
          </w:p>
        </w:tc>
        <w:tc>
          <w:tcPr>
            <w:tcW w:w="148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$174,480</w:t>
            </w:r>
          </w:p>
        </w:tc>
        <w:tc>
          <w:tcPr>
            <w:tcW w:w="124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$199,477</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$138,192</w:t>
            </w:r>
          </w:p>
        </w:tc>
        <w:tc>
          <w:tcPr>
            <w:tcW w:w="1200" w:type="dxa"/>
            <w:vAlign w:val="bottom"/>
            <w:gridSpan w:val="2"/>
            <w:vMerge w:val="restart"/>
          </w:tcPr>
          <w:p>
            <w:pPr>
              <w:jc w:val="right"/>
              <w:ind w:right="161"/>
              <w:spacing w:after="0"/>
              <w:rPr>
                <w:sz w:val="20"/>
                <w:szCs w:val="20"/>
                <w:color w:val="auto"/>
              </w:rPr>
            </w:pPr>
            <w:r>
              <w:rPr>
                <w:rFonts w:ascii="Courier New" w:cs="Courier New" w:eastAsia="Courier New" w:hAnsi="Courier New"/>
                <w:sz w:val="16"/>
                <w:szCs w:val="16"/>
                <w:color w:val="auto"/>
              </w:rPr>
              <w:t>$ 73,970</w:t>
            </w:r>
          </w:p>
        </w:tc>
        <w:tc>
          <w:tcPr>
            <w:tcW w:w="420" w:type="dxa"/>
            <w:vAlign w:val="bottom"/>
            <w:vMerge w:val="restart"/>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4,872</w:t>
            </w:r>
          </w:p>
        </w:tc>
        <w:tc>
          <w:tcPr>
            <w:tcW w:w="1460" w:type="dxa"/>
            <w:vAlign w:val="bottom"/>
            <w:gridSpan w:val="2"/>
            <w:vMerge w:val="restart"/>
          </w:tcPr>
          <w:p>
            <w:pPr>
              <w:jc w:val="right"/>
              <w:ind w:right="1"/>
              <w:spacing w:after="0"/>
              <w:rPr>
                <w:sz w:val="20"/>
                <w:szCs w:val="20"/>
                <w:color w:val="auto"/>
              </w:rPr>
            </w:pPr>
            <w:r>
              <w:rPr>
                <w:rFonts w:ascii="Courier New" w:cs="Courier New" w:eastAsia="Courier New" w:hAnsi="Courier New"/>
                <w:sz w:val="16"/>
                <w:szCs w:val="16"/>
                <w:color w:val="auto"/>
              </w:rPr>
              <w:t>$ 1,009,712</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2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240" w:type="dxa"/>
            <w:vAlign w:val="bottom"/>
            <w:gridSpan w:val="2"/>
            <w:vMerge w:val="restart"/>
          </w:tcPr>
          <w:p>
            <w:pPr>
              <w:jc w:val="right"/>
              <w:ind w:right="121"/>
              <w:spacing w:after="0"/>
              <w:rPr>
                <w:sz w:val="20"/>
                <w:szCs w:val="20"/>
                <w:color w:val="auto"/>
              </w:rPr>
            </w:pPr>
            <w:r>
              <w:rPr>
                <w:rFonts w:ascii="Courier New" w:cs="Courier New" w:eastAsia="Courier New" w:hAnsi="Courier New"/>
                <w:sz w:val="16"/>
                <w:szCs w:val="16"/>
                <w:color w:val="auto"/>
              </w:rPr>
              <w:t>$ 87,284</w:t>
            </w:r>
          </w:p>
        </w:tc>
        <w:tc>
          <w:tcPr>
            <w:tcW w:w="148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$ 82,999</w:t>
            </w:r>
          </w:p>
        </w:tc>
        <w:tc>
          <w:tcPr>
            <w:tcW w:w="124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$ 23,287</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$ 27,189</w:t>
            </w:r>
          </w:p>
        </w:tc>
        <w:tc>
          <w:tcPr>
            <w:tcW w:w="120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$(11,450)</w:t>
            </w:r>
          </w:p>
        </w:tc>
        <w:tc>
          <w:tcPr>
            <w:tcW w:w="1620" w:type="dxa"/>
            <w:vAlign w:val="bottom"/>
            <w:gridSpan w:val="2"/>
            <w:vMerge w:val="restart"/>
          </w:tcPr>
          <w:p>
            <w:pPr>
              <w:ind w:left="340"/>
              <w:spacing w:after="0"/>
              <w:rPr>
                <w:sz w:val="20"/>
                <w:szCs w:val="20"/>
                <w:color w:val="auto"/>
              </w:rPr>
            </w:pPr>
            <w:r>
              <w:rPr>
                <w:rFonts w:ascii="Courier New" w:cs="Courier New" w:eastAsia="Courier New" w:hAnsi="Courier New"/>
                <w:sz w:val="16"/>
                <w:szCs w:val="16"/>
                <w:color w:val="auto"/>
              </w:rPr>
              <w:t>$(27,499)</w:t>
            </w:r>
          </w:p>
        </w:tc>
        <w:tc>
          <w:tcPr>
            <w:tcW w:w="62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181,810</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operations</w:t>
            </w:r>
          </w:p>
        </w:tc>
        <w:tc>
          <w:tcPr>
            <w:tcW w:w="12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Equity in losses of</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917</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affiliates</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(1,982)</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256,512</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Income before income</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437,257</w:t>
            </w:r>
          </w:p>
        </w:tc>
        <w:tc>
          <w:tcPr>
            <w:tcW w:w="0" w:type="dxa"/>
            <w:vAlign w:val="bottom"/>
          </w:tcPr>
          <w:p>
            <w:pPr>
              <w:spacing w:after="0"/>
              <w:rPr>
                <w:sz w:val="1"/>
                <w:szCs w:val="1"/>
                <w:color w:val="auto"/>
              </w:rPr>
            </w:pPr>
          </w:p>
        </w:tc>
      </w:tr>
      <w:tr>
        <w:trPr>
          <w:trHeight w:val="266"/>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taxes</w:t>
            </w: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100" w:type="dxa"/>
            <w:vAlign w:val="bottom"/>
          </w:tcPr>
          <w:p>
            <w:pPr>
              <w:spacing w:after="0"/>
              <w:rPr>
                <w:sz w:val="20"/>
                <w:szCs w:val="20"/>
                <w:color w:val="auto"/>
              </w:rPr>
            </w:pPr>
            <w:r>
              <w:rPr>
                <w:rFonts w:ascii="Courier New" w:cs="Courier New" w:eastAsia="Courier New" w:hAnsi="Courier New"/>
                <w:sz w:val="16"/>
                <w:szCs w:val="16"/>
                <w:color w:val="auto"/>
              </w:rPr>
              <w:t>Depreciation expense</w:t>
            </w: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$ 10,411</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5,614</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2,486</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$ 18,553</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2,475</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1,574</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41,113</w:t>
            </w:r>
          </w:p>
        </w:tc>
        <w:tc>
          <w:tcPr>
            <w:tcW w:w="0" w:type="dxa"/>
            <w:vAlign w:val="bottom"/>
          </w:tcPr>
          <w:p>
            <w:pPr>
              <w:spacing w:after="0"/>
              <w:rPr>
                <w:sz w:val="1"/>
                <w:szCs w:val="1"/>
                <w:color w:val="auto"/>
              </w:rPr>
            </w:pPr>
          </w:p>
        </w:tc>
      </w:tr>
      <w:tr>
        <w:trPr>
          <w:trHeight w:val="266"/>
        </w:trPr>
        <w:tc>
          <w:tcPr>
            <w:tcW w:w="2100" w:type="dxa"/>
            <w:vAlign w:val="bottom"/>
          </w:tcPr>
          <w:p>
            <w:pPr>
              <w:spacing w:after="0"/>
              <w:rPr>
                <w:sz w:val="20"/>
                <w:szCs w:val="20"/>
                <w:color w:val="auto"/>
              </w:rPr>
            </w:pPr>
            <w:r>
              <w:rPr>
                <w:rFonts w:ascii="Courier New" w:cs="Courier New" w:eastAsia="Courier New" w:hAnsi="Courier New"/>
                <w:sz w:val="16"/>
                <w:szCs w:val="16"/>
                <w:color w:val="auto"/>
              </w:rPr>
              <w:t>Amortization expense</w:t>
            </w:r>
          </w:p>
        </w:tc>
        <w:tc>
          <w:tcPr>
            <w:tcW w:w="5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615</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7,067</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2,950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9,748</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1,488</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21,868</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5320" w:firstLine="286"/>
        <w:spacing w:after="0" w:line="271" w:lineRule="auto"/>
        <w:rPr>
          <w:sz w:val="20"/>
          <w:szCs w:val="20"/>
          <w:color w:val="auto"/>
        </w:rPr>
      </w:pPr>
      <w:r>
        <w:rPr>
          <w:rFonts w:ascii="Courier New" w:cs="Courier New" w:eastAsia="Courier New" w:hAnsi="Courier New"/>
          <w:sz w:val="16"/>
          <w:szCs w:val="16"/>
          <w:color w:val="auto"/>
        </w:rPr>
        <w:t>Newspaper publishing includes the publication of newspapers in the Washington, D.C. area (The Washington Post and the Gazette community newspapers) and Everett, Washington (The Everett Herald). This business division also includes newsprint warehousing and recycling operations.</w:t>
      </w:r>
    </w:p>
    <w:p>
      <w:pPr>
        <w:spacing w:after="0" w:line="77" w:lineRule="exact"/>
        <w:rPr>
          <w:sz w:val="20"/>
          <w:szCs w:val="20"/>
          <w:color w:val="auto"/>
        </w:rPr>
      </w:pPr>
    </w:p>
    <w:p>
      <w:pPr>
        <w:ind w:right="5420" w:firstLine="191"/>
        <w:spacing w:after="0" w:line="280" w:lineRule="auto"/>
        <w:rPr>
          <w:sz w:val="20"/>
          <w:szCs w:val="20"/>
          <w:color w:val="auto"/>
        </w:rPr>
      </w:pPr>
      <w:r>
        <w:rPr>
          <w:rFonts w:ascii="Courier New" w:cs="Courier New" w:eastAsia="Courier New" w:hAnsi="Courier New"/>
          <w:sz w:val="16"/>
          <w:szCs w:val="16"/>
          <w:color w:val="auto"/>
        </w:rPr>
        <w:t>Television broadcasting operations are conducted through six VHF, network-affiliated television stations serving the Detroit, Houston, Miami, San Antonio, Orlando and Jacksonville television markets.</w:t>
      </w:r>
    </w:p>
    <w:p>
      <w:pPr>
        <w:spacing w:after="0" w:line="71" w:lineRule="exact"/>
        <w:rPr>
          <w:sz w:val="20"/>
          <w:szCs w:val="20"/>
          <w:color w:val="auto"/>
        </w:rPr>
      </w:pPr>
    </w:p>
    <w:p>
      <w:pPr>
        <w:ind w:right="5220" w:firstLine="191"/>
        <w:spacing w:after="0" w:line="271" w:lineRule="auto"/>
        <w:rPr>
          <w:sz w:val="20"/>
          <w:szCs w:val="20"/>
          <w:color w:val="auto"/>
        </w:rPr>
      </w:pPr>
      <w:r>
        <w:rPr>
          <w:rFonts w:ascii="Courier New" w:cs="Courier New" w:eastAsia="Courier New" w:hAnsi="Courier New"/>
          <w:sz w:val="16"/>
          <w:szCs w:val="16"/>
          <w:color w:val="auto"/>
        </w:rPr>
        <w:t>The magazine publishing division consists of the publication of a weekly news magazine, Newsweek, which has one domestic and three international editions, and the publication of business periodicals for the computer services industry and the Washington-area technology community.</w:t>
      </w:r>
    </w:p>
    <w:p>
      <w:pPr>
        <w:spacing w:after="0" w:line="77" w:lineRule="exact"/>
        <w:rPr>
          <w:sz w:val="20"/>
          <w:szCs w:val="20"/>
          <w:color w:val="auto"/>
        </w:rPr>
      </w:pPr>
    </w:p>
    <w:p>
      <w:pPr>
        <w:ind w:right="5320" w:firstLine="191"/>
        <w:spacing w:after="0" w:line="327" w:lineRule="auto"/>
        <w:rPr>
          <w:sz w:val="20"/>
          <w:szCs w:val="20"/>
          <w:color w:val="auto"/>
        </w:rPr>
      </w:pPr>
      <w:r>
        <w:rPr>
          <w:rFonts w:ascii="Courier New" w:cs="Courier New" w:eastAsia="Courier New" w:hAnsi="Courier New"/>
          <w:sz w:val="15"/>
          <w:szCs w:val="15"/>
          <w:color w:val="auto"/>
        </w:rPr>
        <w:t>Cable television operations consist of over 53 cable systems offering basic cable and pay television services to approximately 735,200 subscribers in midwestern, western, and southern states.</w:t>
      </w:r>
    </w:p>
    <w:p>
      <w:pPr>
        <w:spacing w:after="0" w:line="39" w:lineRule="exact"/>
        <w:rPr>
          <w:sz w:val="20"/>
          <w:szCs w:val="20"/>
          <w:color w:val="auto"/>
        </w:rPr>
      </w:pPr>
    </w:p>
    <w:p>
      <w:pPr>
        <w:ind w:right="5320" w:firstLine="191"/>
        <w:spacing w:after="0" w:line="255" w:lineRule="auto"/>
        <w:rPr>
          <w:sz w:val="20"/>
          <w:szCs w:val="20"/>
          <w:color w:val="auto"/>
        </w:rPr>
      </w:pPr>
      <w:r>
        <w:rPr>
          <w:rFonts w:ascii="Courier New" w:cs="Courier New" w:eastAsia="Courier New" w:hAnsi="Courier New"/>
          <w:sz w:val="16"/>
          <w:szCs w:val="16"/>
          <w:color w:val="auto"/>
        </w:rPr>
        <w:t>Education and career services are provided through the Company's wholly owned subsidiary Kaplan Educational Center, Inc. Kaplan's six operating divisions include Test Preparation and Admissions; Score! Educational Centers, offering K-8 after-school programs; Kaplan Learning Services, providing customized education services and professional development at schools and universities; Publishing, which produces educational books and software; Kaplan Professional, providing recruitment, assessment, training and certification services; and Kaplan University, offering distance learning programs.</w:t>
      </w:r>
    </w:p>
    <w:p>
      <w:pPr>
        <w:spacing w:after="0" w:line="92" w:lineRule="exact"/>
        <w:rPr>
          <w:sz w:val="20"/>
          <w:szCs w:val="20"/>
          <w:color w:val="auto"/>
        </w:rPr>
      </w:pPr>
    </w:p>
    <w:p>
      <w:pPr>
        <w:ind w:right="5520" w:firstLine="191"/>
        <w:spacing w:after="0" w:line="395" w:lineRule="auto"/>
        <w:rPr>
          <w:sz w:val="20"/>
          <w:szCs w:val="20"/>
          <w:color w:val="auto"/>
        </w:rPr>
      </w:pPr>
      <w:r>
        <w:rPr>
          <w:rFonts w:ascii="Courier New" w:cs="Courier New" w:eastAsia="Courier New" w:hAnsi="Courier New"/>
          <w:sz w:val="15"/>
          <w:szCs w:val="15"/>
          <w:color w:val="auto"/>
        </w:rPr>
        <w:t>Other businesses and corporate office include a digital media and electronic information services provider and the company's</w:t>
      </w:r>
    </w:p>
    <w:p>
      <w:pPr>
        <w:sectPr>
          <w:pgSz w:w="11900" w:h="16838" w:orient="portrait"/>
          <w:cols w:equalWidth="0" w:num="1">
            <w:col w:w="11520"/>
          </w:cols>
          <w:pgMar w:left="240" w:top="273" w:right="139" w:bottom="769" w:gutter="0" w:footer="0" w:header="0"/>
        </w:sectPr>
      </w:pPr>
    </w:p>
    <w:bookmarkStart w:id="10" w:name="page11"/>
    <w:bookmarkEnd w:id="10"/>
    <w:p>
      <w:pPr>
        <w:ind w:left="180"/>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ind w:right="4219"/>
        <w:spacing w:after="0" w:line="271" w:lineRule="auto"/>
        <w:rPr>
          <w:sz w:val="20"/>
          <w:szCs w:val="20"/>
          <w:color w:val="auto"/>
        </w:rPr>
      </w:pPr>
      <w:r>
        <w:rPr>
          <w:rFonts w:ascii="Courier New" w:cs="Courier New" w:eastAsia="Courier New" w:hAnsi="Courier New"/>
          <w:sz w:val="16"/>
          <w:szCs w:val="16"/>
          <w:color w:val="auto"/>
        </w:rPr>
        <w:t>corporate office. Through the first six months of 1999, the other businesses and corporate office segment also includes the result of Legi-Slate, Inc., which was sold in June 1999. The 1998 results for other businesses and corporate office include Moffet, Larson &amp; Johnson, which was sold in July 1998.</w:t>
      </w:r>
    </w:p>
    <w:p>
      <w:pPr>
        <w:spacing w:after="0" w:line="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from operations includes actuarially determined net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credits, which are significant to the magazine and</w:t>
      </w:r>
    </w:p>
    <w:p>
      <w:pPr>
        <w:spacing w:after="0" w:line="2"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6"/>
          <w:szCs w:val="16"/>
          <w:color w:val="auto"/>
        </w:rPr>
        <w:t>newspaper publishing divisions.</w:t>
      </w:r>
      <w:r>
        <w:rPr>
          <w:sz w:val="20"/>
          <w:szCs w:val="20"/>
          <w:color w:val="auto"/>
        </w:rPr>
        <w:tab/>
      </w:r>
      <w:r>
        <w:rPr>
          <w:rFonts w:ascii="Courier New" w:cs="Courier New" w:eastAsia="Courier New" w:hAnsi="Courier New"/>
          <w:sz w:val="15"/>
          <w:szCs w:val="15"/>
          <w:color w:val="auto"/>
        </w:rPr>
        <w:t>These pension credits totaled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$12.2 million and $24.4 million for the magazine division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quarter and first six months of 1999, respectively,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compared to $9.2 million and $17.8 million during the second</w:t>
      </w:r>
    </w:p>
    <w:p>
      <w:pPr>
        <w:spacing w:after="0" w:line="2"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quarter and first six month of 1998.</w:t>
      </w:r>
      <w:r>
        <w:rPr>
          <w:sz w:val="20"/>
          <w:szCs w:val="20"/>
          <w:color w:val="auto"/>
        </w:rPr>
        <w:tab/>
      </w:r>
      <w:r>
        <w:rPr>
          <w:rFonts w:ascii="Courier New" w:cs="Courier New" w:eastAsia="Courier New" w:hAnsi="Courier New"/>
          <w:sz w:val="15"/>
          <w:szCs w:val="15"/>
          <w:color w:val="auto"/>
        </w:rPr>
        <w:t>Net pension credits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by the newspaper division totaled $7.5 million and $14.7</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during the second quarter and first six months of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compared to $4.7 million and $6.8 million during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second quarter and first six months of 1998.</w:t>
      </w:r>
    </w:p>
    <w:p>
      <w:pPr>
        <w:spacing w:after="0" w:line="158" w:lineRule="exact"/>
        <w:rPr>
          <w:sz w:val="20"/>
          <w:szCs w:val="20"/>
          <w:color w:val="auto"/>
        </w:rPr>
      </w:pPr>
    </w:p>
    <w:p>
      <w:pPr>
        <w:ind w:right="4019" w:firstLine="191"/>
        <w:spacing w:after="0" w:line="254" w:lineRule="auto"/>
        <w:rPr>
          <w:sz w:val="20"/>
          <w:szCs w:val="20"/>
          <w:color w:val="auto"/>
        </w:rPr>
      </w:pPr>
      <w:r>
        <w:rPr>
          <w:rFonts w:ascii="Courier New" w:cs="Courier New" w:eastAsia="Courier New" w:hAnsi="Courier New"/>
          <w:sz w:val="16"/>
          <w:szCs w:val="16"/>
          <w:color w:val="auto"/>
        </w:rPr>
        <w:t>The company maintains stock option and stock appreciation right plans at its Kaplan subsidiary that provide for the issuance of stock options representing 10 percent of Kaplan's stock and the issuance of stock appreciation rights to certain members of Kaplan's management. The options and appreciation rights vest ratably over five years from issuance. For the second quarter of 1999 and 1998, the education and career services operating results include a non-cash charge of $1.7 and $1.5 million, respectively, related to these plans; for the first six months of 1999 and 1998, the charge related to these plans was $3.7 million and $3.0 million, respectively.</w:t>
      </w:r>
    </w:p>
    <w:p>
      <w:pPr>
        <w:sectPr>
          <w:pgSz w:w="11900" w:h="16838" w:orient="portrait"/>
          <w:cols w:equalWidth="0" w:num="1">
            <w:col w:w="10219"/>
          </w:cols>
          <w:pgMar w:left="240" w:top="273" w:right="1440" w:bottom="1440" w:gutter="0" w:footer="0" w:header="0"/>
        </w:sectPr>
      </w:pPr>
    </w:p>
    <w:bookmarkStart w:id="11" w:name="page12"/>
    <w:bookmarkEnd w:id="11"/>
    <w:p>
      <w:pPr>
        <w:ind w:left="180"/>
        <w:spacing w:after="0"/>
        <w:rPr>
          <w:sz w:val="20"/>
          <w:szCs w:val="20"/>
          <w:color w:val="auto"/>
        </w:rPr>
      </w:pPr>
      <w:r>
        <w:rPr>
          <w:rFonts w:ascii="Courier New" w:cs="Courier New" w:eastAsia="Courier New" w:hAnsi="Courier New"/>
          <w:sz w:val="16"/>
          <w:szCs w:val="16"/>
          <w:color w:val="auto"/>
        </w:rPr>
        <w:t>12</w:t>
      </w:r>
    </w:p>
    <w:p>
      <w:pPr>
        <w:spacing w:after="0" w:line="186" w:lineRule="exact"/>
        <w:rPr>
          <w:sz w:val="20"/>
          <w:szCs w:val="20"/>
          <w:color w:val="auto"/>
        </w:rPr>
      </w:pPr>
    </w:p>
    <w:p>
      <w:pPr>
        <w:ind w:right="4599"/>
        <w:spacing w:after="0" w:line="355" w:lineRule="auto"/>
        <w:rPr>
          <w:sz w:val="20"/>
          <w:szCs w:val="20"/>
          <w:color w:val="auto"/>
        </w:rPr>
      </w:pPr>
      <w:r>
        <w:rPr>
          <w:rFonts w:ascii="Courier New" w:cs="Courier New" w:eastAsia="Courier New" w:hAnsi="Courier New"/>
          <w:sz w:val="16"/>
          <w:szCs w:val="16"/>
          <w:color w:val="auto"/>
        </w:rPr>
        <w:t>Item 2. Management's Discussion and Analysis of Results of Operations and Financial Condition</w:t>
      </w:r>
    </w:p>
    <w:p>
      <w:pPr>
        <w:spacing w:after="0" w:line="14" w:lineRule="exact"/>
        <w:rPr>
          <w:sz w:val="20"/>
          <w:szCs w:val="20"/>
          <w:color w:val="auto"/>
        </w:rPr>
      </w:pPr>
    </w:p>
    <w:p>
      <w:pPr>
        <w:ind w:right="4779" w:firstLine="477"/>
        <w:spacing w:after="0" w:line="388" w:lineRule="auto"/>
        <w:rPr>
          <w:sz w:val="20"/>
          <w:szCs w:val="20"/>
          <w:color w:val="auto"/>
        </w:rPr>
      </w:pPr>
      <w:r>
        <w:rPr>
          <w:rFonts w:ascii="Courier New" w:cs="Courier New" w:eastAsia="Courier New" w:hAnsi="Courier New"/>
          <w:sz w:val="15"/>
          <w:szCs w:val="15"/>
          <w:color w:val="auto"/>
        </w:rPr>
        <w:t>This analysis should be read in conjunction with the consolidated financial statements and the notes thereto.</w:t>
      </w:r>
    </w:p>
    <w:p>
      <w:pPr>
        <w:spacing w:after="0" w:line="1" w:lineRule="exact"/>
        <w:rPr>
          <w:sz w:val="20"/>
          <w:szCs w:val="20"/>
          <w:color w:val="auto"/>
        </w:rPr>
      </w:pPr>
    </w:p>
    <w:p>
      <w:pPr>
        <w:ind w:right="4219" w:firstLine="477"/>
        <w:spacing w:after="0" w:line="265" w:lineRule="auto"/>
        <w:rPr>
          <w:sz w:val="20"/>
          <w:szCs w:val="20"/>
          <w:color w:val="auto"/>
        </w:rPr>
      </w:pPr>
      <w:r>
        <w:rPr>
          <w:rFonts w:ascii="Courier New" w:cs="Courier New" w:eastAsia="Courier New" w:hAnsi="Courier New"/>
          <w:sz w:val="16"/>
          <w:szCs w:val="16"/>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Quarter Comparisons</w:t>
      </w:r>
    </w:p>
    <w:p>
      <w:pPr>
        <w:spacing w:after="0" w:line="186" w:lineRule="exact"/>
        <w:rPr>
          <w:sz w:val="20"/>
          <w:szCs w:val="20"/>
          <w:color w:val="auto"/>
        </w:rPr>
      </w:pPr>
    </w:p>
    <w:p>
      <w:pPr>
        <w:ind w:right="4019" w:firstLine="477"/>
        <w:spacing w:after="0" w:line="304" w:lineRule="auto"/>
        <w:rPr>
          <w:sz w:val="20"/>
          <w:szCs w:val="20"/>
          <w:color w:val="auto"/>
        </w:rPr>
      </w:pPr>
      <w:r>
        <w:rPr>
          <w:rFonts w:ascii="Courier New" w:cs="Courier New" w:eastAsia="Courier New" w:hAnsi="Courier New"/>
          <w:sz w:val="15"/>
          <w:szCs w:val="15"/>
          <w:color w:val="auto"/>
        </w:rPr>
        <w:t>Net income for the second quarter of 1999 was $67.9 million, an increase of 6 percent from net income of $63.8 million in the second quarter last year. Diluted earnings per share increased 6 percent to $6.67, from $6.27 in the second quarter of 1998.</w:t>
      </w:r>
    </w:p>
    <w:p>
      <w:pPr>
        <w:spacing w:after="0" w:line="5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Revenues for the second quarter of 1999 rose 6 percent to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$557.2 million, from $525.8 million in the same period last year.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Advertising revenues remained flat, while circulation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subscriber revenues increased 7 percent as compared to last year.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revenues increased 45 percent over the second quarter of</w:t>
      </w:r>
    </w:p>
    <w:p>
      <w:pPr>
        <w:spacing w:after="0" w:line="2"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5"/>
          <w:szCs w:val="15"/>
          <w:color w:val="auto"/>
        </w:rPr>
        <w:t>1998.</w:t>
        <w:tab/>
        <w:t>The increase in circulation and subscriber revenues is due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growth at the cable division, resulting mostly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completed after June 1998. Growth at Kaplan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Educational Centers accounted for the majority of the increase in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operating revenues.</w:t>
      </w:r>
    </w:p>
    <w:p>
      <w:pPr>
        <w:spacing w:after="0" w:line="158" w:lineRule="exact"/>
        <w:rPr>
          <w:sz w:val="20"/>
          <w:szCs w:val="20"/>
          <w:color w:val="auto"/>
        </w:rPr>
      </w:pPr>
    </w:p>
    <w:p>
      <w:pPr>
        <w:ind w:right="4019" w:firstLine="477"/>
        <w:spacing w:after="0" w:line="254" w:lineRule="auto"/>
        <w:rPr>
          <w:sz w:val="20"/>
          <w:szCs w:val="20"/>
          <w:color w:val="auto"/>
        </w:rPr>
      </w:pPr>
      <w:r>
        <w:rPr>
          <w:rFonts w:ascii="Courier New" w:cs="Courier New" w:eastAsia="Courier New" w:hAnsi="Courier New"/>
          <w:sz w:val="16"/>
          <w:szCs w:val="16"/>
          <w:color w:val="auto"/>
        </w:rPr>
        <w:t>Costs and expenses for the second quarter of 1999 increased 7 percent to $450.5 million, from $419.3 million in the second quarter of 1998. The increase in costs and expenses is attributable to expenses arising from companies acquired after June 1998 (including amortization expense), higher depreciation expense, and increased spending for internet-related operations. These expense increases were partially offset by growth in the Company's pension credit and a 20 percent decline in newsprint expense at the newspaper division. The increase in depreciation expense is principally due to the recently completed expansion of The Washington Post's printing facilities.</w:t>
      </w:r>
    </w:p>
    <w:p>
      <w:pPr>
        <w:spacing w:after="0" w:line="91" w:lineRule="exact"/>
        <w:rPr>
          <w:sz w:val="20"/>
          <w:szCs w:val="20"/>
          <w:color w:val="auto"/>
        </w:rPr>
      </w:pPr>
    </w:p>
    <w:p>
      <w:pPr>
        <w:ind w:right="4219" w:firstLine="477"/>
        <w:spacing w:after="0" w:line="299" w:lineRule="auto"/>
        <w:rPr>
          <w:sz w:val="20"/>
          <w:szCs w:val="20"/>
          <w:color w:val="auto"/>
        </w:rPr>
      </w:pPr>
      <w:r>
        <w:rPr>
          <w:rFonts w:ascii="Courier New" w:cs="Courier New" w:eastAsia="Courier New" w:hAnsi="Courier New"/>
          <w:sz w:val="16"/>
          <w:szCs w:val="16"/>
          <w:color w:val="auto"/>
        </w:rPr>
        <w:t>In the second quarter of 1999, operating income of $106.7 remained relatively unchanged as compared to the second quarter of 1998.</w:t>
      </w:r>
    </w:p>
    <w:p>
      <w:pPr>
        <w:spacing w:after="0" w:line="56" w:lineRule="exact"/>
        <w:rPr>
          <w:sz w:val="20"/>
          <w:szCs w:val="20"/>
          <w:color w:val="auto"/>
        </w:rPr>
      </w:pPr>
    </w:p>
    <w:p>
      <w:pPr>
        <w:ind w:right="4599"/>
        <w:spacing w:after="0" w:line="280" w:lineRule="auto"/>
        <w:rPr>
          <w:sz w:val="20"/>
          <w:szCs w:val="20"/>
          <w:color w:val="auto"/>
        </w:rPr>
      </w:pPr>
      <w:r>
        <w:rPr>
          <w:rFonts w:ascii="Courier New" w:cs="Courier New" w:eastAsia="Courier New" w:hAnsi="Courier New"/>
          <w:sz w:val="16"/>
          <w:szCs w:val="16"/>
          <w:color w:val="auto"/>
        </w:rPr>
        <w:t>Newspaper Division. At the newspaper division, revenues increased 2 percent in the second quarter of 1999 to $219.0 million; division operating income for the second quarter increased 12 percent to $50.1 million.</w:t>
      </w:r>
    </w:p>
    <w:p>
      <w:pPr>
        <w:sectPr>
          <w:pgSz w:w="11900" w:h="16838" w:orient="portrait"/>
          <w:cols w:equalWidth="0" w:num="1">
            <w:col w:w="10219"/>
          </w:cols>
          <w:pgMar w:left="240" w:top="273" w:right="1440" w:bottom="1440" w:gutter="0" w:footer="0" w:header="0"/>
        </w:sectPr>
      </w:pPr>
    </w:p>
    <w:bookmarkStart w:id="12" w:name="page13"/>
    <w:bookmarkEnd w:id="12"/>
    <w:p>
      <w:pPr>
        <w:ind w:left="180"/>
        <w:spacing w:after="0"/>
        <w:rPr>
          <w:sz w:val="20"/>
          <w:szCs w:val="20"/>
          <w:color w:val="auto"/>
        </w:rPr>
      </w:pPr>
      <w:r>
        <w:rPr>
          <w:rFonts w:ascii="Courier New" w:cs="Courier New" w:eastAsia="Courier New" w:hAnsi="Courier New"/>
          <w:sz w:val="16"/>
          <w:szCs w:val="16"/>
          <w:color w:val="auto"/>
        </w:rPr>
        <w:t>13</w:t>
      </w:r>
    </w:p>
    <w:p>
      <w:pPr>
        <w:spacing w:after="0" w:line="186" w:lineRule="exact"/>
        <w:rPr>
          <w:sz w:val="20"/>
          <w:szCs w:val="20"/>
          <w:color w:val="auto"/>
        </w:rPr>
      </w:pPr>
    </w:p>
    <w:p>
      <w:pPr>
        <w:ind w:right="4019" w:firstLine="477"/>
        <w:spacing w:after="0" w:line="255" w:lineRule="auto"/>
        <w:rPr>
          <w:sz w:val="20"/>
          <w:szCs w:val="20"/>
          <w:color w:val="auto"/>
        </w:rPr>
      </w:pPr>
      <w:r>
        <w:rPr>
          <w:rFonts w:ascii="Courier New" w:cs="Courier New" w:eastAsia="Courier New" w:hAnsi="Courier New"/>
          <w:sz w:val="16"/>
          <w:szCs w:val="16"/>
          <w:color w:val="auto"/>
        </w:rPr>
        <w:t>Advertising revenues for the division rose 4 percent in 1999 due principally to higher ad rates. Advertising volume at The Washington Post totaled 807,400 inches in the second quarter of 1999 as compared to 814,600 inches in 1998. Preprint advertising volume at The Post increased 7 percent to 422.4 million pieces, compared to 393.6 million pieces in 1998. Circulation revenues for the division decreased 1 percent in comparison to the same period last year as a result of a 1 percent decrease in Sunday circulation at The Washington Post; daily circulation at The Post remained relatively unchanged.</w:t>
      </w:r>
    </w:p>
    <w:p>
      <w:pPr>
        <w:spacing w:after="0" w:line="92" w:lineRule="exact"/>
        <w:rPr>
          <w:sz w:val="20"/>
          <w:szCs w:val="20"/>
          <w:color w:val="auto"/>
        </w:rPr>
      </w:pPr>
    </w:p>
    <w:p>
      <w:pPr>
        <w:ind w:right="4119" w:firstLine="477"/>
        <w:spacing w:after="0" w:line="261" w:lineRule="auto"/>
        <w:rPr>
          <w:sz w:val="20"/>
          <w:szCs w:val="20"/>
          <w:color w:val="auto"/>
        </w:rPr>
      </w:pPr>
      <w:r>
        <w:rPr>
          <w:rFonts w:ascii="Courier New" w:cs="Courier New" w:eastAsia="Courier New" w:hAnsi="Courier New"/>
          <w:sz w:val="16"/>
          <w:szCs w:val="16"/>
          <w:color w:val="auto"/>
        </w:rPr>
        <w:t>The Post's second quarter operating expenses benefited from a 20 percent decline in newsprint expense and additional pension credits. These expense reductions were offset by higher depreciation expense (arising from the recently completed expansion of The Post's printing facilities) and other general expense increases including increased promotion and marketing expenses.</w:t>
      </w:r>
    </w:p>
    <w:p>
      <w:pPr>
        <w:spacing w:after="0" w:line="87"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6"/>
          <w:szCs w:val="16"/>
          <w:color w:val="auto"/>
        </w:rPr>
        <w:t>Broadcast Division.</w:t>
      </w:r>
      <w:r>
        <w:rPr>
          <w:sz w:val="20"/>
          <w:szCs w:val="20"/>
          <w:color w:val="auto"/>
        </w:rPr>
        <w:tab/>
      </w:r>
      <w:r>
        <w:rPr>
          <w:rFonts w:ascii="Courier New" w:cs="Courier New" w:eastAsia="Courier New" w:hAnsi="Courier New"/>
          <w:sz w:val="15"/>
          <w:szCs w:val="15"/>
          <w:color w:val="auto"/>
        </w:rPr>
        <w:t>Revenues at the broadcast division totaled</w:t>
      </w:r>
    </w:p>
    <w:p>
      <w:pPr>
        <w:spacing w:after="0" w:line="30"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6"/>
          <w:szCs w:val="16"/>
          <w:color w:val="auto"/>
        </w:rPr>
        <w:t>$91.0 million for the second quarter of 1999, a 5 percent decline from the second quarter of 1998. Division operating income for the quarter totaled $45.9 million, a decrease of 6 percent from the prior year. The decline in second quarter 1999 operating results is primarily attributable to softness in national advertising revenues offset in part by growth in local advertising revenues.</w:t>
      </w:r>
    </w:p>
    <w:p>
      <w:pPr>
        <w:spacing w:after="0" w:line="91" w:lineRule="exact"/>
        <w:rPr>
          <w:sz w:val="20"/>
          <w:szCs w:val="20"/>
          <w:color w:val="auto"/>
        </w:rPr>
      </w:pPr>
    </w:p>
    <w:p>
      <w:pPr>
        <w:ind w:right="4019"/>
        <w:spacing w:after="0" w:line="280" w:lineRule="auto"/>
        <w:rPr>
          <w:sz w:val="20"/>
          <w:szCs w:val="20"/>
          <w:color w:val="auto"/>
        </w:rPr>
      </w:pPr>
      <w:r>
        <w:rPr>
          <w:rFonts w:ascii="Courier New" w:cs="Courier New" w:eastAsia="Courier New" w:hAnsi="Courier New"/>
          <w:sz w:val="16"/>
          <w:szCs w:val="16"/>
          <w:color w:val="auto"/>
        </w:rPr>
        <w:t>Magazine Division. Revenues at the magazine division were $100.6 million for the second quarter of 1999, a 7 percent decline from the second quarter of 1998; division operating income for the second quarter of 1999 improved 4 percent to $17.7 million.</w:t>
      </w:r>
    </w:p>
    <w:p>
      <w:pPr>
        <w:spacing w:after="0" w:line="71" w:lineRule="exact"/>
        <w:rPr>
          <w:sz w:val="20"/>
          <w:szCs w:val="20"/>
          <w:color w:val="auto"/>
        </w:rPr>
      </w:pPr>
    </w:p>
    <w:p>
      <w:pPr>
        <w:ind w:right="4019" w:firstLine="477"/>
        <w:spacing w:after="0" w:line="261" w:lineRule="auto"/>
        <w:rPr>
          <w:sz w:val="20"/>
          <w:szCs w:val="20"/>
          <w:color w:val="auto"/>
        </w:rPr>
      </w:pPr>
      <w:r>
        <w:rPr>
          <w:rFonts w:ascii="Courier New" w:cs="Courier New" w:eastAsia="Courier New" w:hAnsi="Courier New"/>
          <w:sz w:val="16"/>
          <w:szCs w:val="16"/>
          <w:color w:val="auto"/>
        </w:rPr>
        <w:t>The 7 percent decrease in revenues is attributable to one less special issue in the second quarter of 1999 at the domestic edition of Newsweek and lower revenues from the international editions of Newsweek. The 4 percent increase in operating income is attributable to improved results at the company's trade periodicals unit as well as additional pension credits at Newsweek.</w:t>
      </w:r>
    </w:p>
    <w:p>
      <w:pPr>
        <w:spacing w:after="0" w:line="87" w:lineRule="exact"/>
        <w:rPr>
          <w:sz w:val="20"/>
          <w:szCs w:val="20"/>
          <w:color w:val="auto"/>
        </w:rPr>
      </w:pPr>
    </w:p>
    <w:p>
      <w:pPr>
        <w:ind w:right="4299"/>
        <w:spacing w:after="0" w:line="271" w:lineRule="auto"/>
        <w:rPr>
          <w:sz w:val="20"/>
          <w:szCs w:val="20"/>
          <w:color w:val="auto"/>
        </w:rPr>
      </w:pPr>
      <w:r>
        <w:rPr>
          <w:rFonts w:ascii="Courier New" w:cs="Courier New" w:eastAsia="Courier New" w:hAnsi="Courier New"/>
          <w:sz w:val="16"/>
          <w:szCs w:val="16"/>
          <w:color w:val="auto"/>
        </w:rPr>
        <w:t>Cable Division. At the cable division, second quarter 1999 revenues of $83.1 million were 17 percent higher than 1998; division operating income before amortization expense for the second quarter of $23.0 million was 15 percent higher than the same period last year.</w:t>
      </w:r>
    </w:p>
    <w:p>
      <w:pPr>
        <w:sectPr>
          <w:pgSz w:w="11900" w:h="16838" w:orient="portrait"/>
          <w:cols w:equalWidth="0" w:num="1">
            <w:col w:w="10219"/>
          </w:cols>
          <w:pgMar w:left="240" w:top="273" w:right="1440" w:bottom="1440" w:gutter="0" w:footer="0" w:header="0"/>
        </w:sectPr>
      </w:pPr>
    </w:p>
    <w:bookmarkStart w:id="13" w:name="page14"/>
    <w:bookmarkEnd w:id="13"/>
    <w:p>
      <w:pPr>
        <w:ind w:left="180"/>
        <w:spacing w:after="0"/>
        <w:rPr>
          <w:sz w:val="20"/>
          <w:szCs w:val="20"/>
          <w:color w:val="auto"/>
        </w:rPr>
      </w:pPr>
      <w:r>
        <w:rPr>
          <w:rFonts w:ascii="Courier New" w:cs="Courier New" w:eastAsia="Courier New" w:hAnsi="Courier New"/>
          <w:sz w:val="16"/>
          <w:szCs w:val="16"/>
          <w:color w:val="auto"/>
        </w:rPr>
        <w:t>14</w:t>
      </w:r>
    </w:p>
    <w:p>
      <w:pPr>
        <w:spacing w:after="0" w:line="186" w:lineRule="exact"/>
        <w:rPr>
          <w:sz w:val="20"/>
          <w:szCs w:val="20"/>
          <w:color w:val="auto"/>
        </w:rPr>
      </w:pPr>
    </w:p>
    <w:p>
      <w:pPr>
        <w:ind w:right="4119" w:firstLine="477"/>
        <w:spacing w:after="0" w:line="286" w:lineRule="auto"/>
        <w:rPr>
          <w:sz w:val="20"/>
          <w:szCs w:val="20"/>
          <w:color w:val="auto"/>
        </w:rPr>
      </w:pPr>
      <w:r>
        <w:rPr>
          <w:rFonts w:ascii="Courier New" w:cs="Courier New" w:eastAsia="Courier New" w:hAnsi="Courier New"/>
          <w:sz w:val="15"/>
          <w:szCs w:val="15"/>
          <w:color w:val="auto"/>
        </w:rPr>
        <w:t>Higher subscriber levels, resulting mainly from recent acquisitions, as well as slightly higher rates accounted for the increase in revenue and operating income before amortization expense. At the end of the second quarter, the number of basic subscribers totaled approximately 735,200, 7 percent higher than the subscriber levels at the same time last year.</w:t>
      </w:r>
    </w:p>
    <w:p>
      <w:pPr>
        <w:spacing w:after="0" w:line="69" w:lineRule="exact"/>
        <w:rPr>
          <w:sz w:val="20"/>
          <w:szCs w:val="20"/>
          <w:color w:val="auto"/>
        </w:rPr>
      </w:pPr>
    </w:p>
    <w:p>
      <w:pPr>
        <w:ind w:right="4019"/>
        <w:spacing w:after="0" w:line="253" w:lineRule="auto"/>
        <w:rPr>
          <w:sz w:val="20"/>
          <w:szCs w:val="20"/>
          <w:color w:val="auto"/>
        </w:rPr>
      </w:pPr>
      <w:r>
        <w:rPr>
          <w:rFonts w:ascii="Courier New" w:cs="Courier New" w:eastAsia="Courier New" w:hAnsi="Courier New"/>
          <w:sz w:val="16"/>
          <w:szCs w:val="16"/>
          <w:color w:val="auto"/>
        </w:rPr>
        <w:t>Education and Career Services. The company provides education and career services through its subsidiary, Kaplan Educational Centers. Kaplan provides test preparation programs in the U.S. and abroad for individuals taking admissions and professional licensing exams. Kaplan also provides on-site educational programs to students and teachers at elementary, secondary and post-secondary institutions, and offers a growing number of distance learning programs. In addition, Kaplan publishes books, software and other materials. For career services, Kaplan is the leading provider of career fairs in North America, bringing together technical, sales and diversity candidates with corporate recruiters.</w:t>
      </w:r>
    </w:p>
    <w:p>
      <w:pPr>
        <w:spacing w:after="0" w:line="91" w:lineRule="exact"/>
        <w:rPr>
          <w:sz w:val="20"/>
          <w:szCs w:val="20"/>
          <w:color w:val="auto"/>
        </w:rPr>
      </w:pPr>
    </w:p>
    <w:p>
      <w:pPr>
        <w:ind w:right="4019" w:firstLine="477"/>
        <w:spacing w:after="0" w:line="254" w:lineRule="auto"/>
        <w:rPr>
          <w:sz w:val="20"/>
          <w:szCs w:val="20"/>
          <w:color w:val="auto"/>
        </w:rPr>
      </w:pPr>
      <w:r>
        <w:rPr>
          <w:rFonts w:ascii="Courier New" w:cs="Courier New" w:eastAsia="Courier New" w:hAnsi="Courier New"/>
          <w:sz w:val="16"/>
          <w:szCs w:val="16"/>
          <w:color w:val="auto"/>
        </w:rPr>
        <w:t>Completing the business offerings of Kaplan are two subsidiaries that are in the early growth phase of their operations. Score! Learning Centers is a provider of after-school learning opportunities for students in kindergarten through the eighth grade. Score! presently operates 72 Score! centers (most opened within the last two years) and plans to open an additional 28 centers in the remainder of 1999. HireSystems provides corporate clients with Web-based tools to streamline the recruitment and hiring process. HireSystems established its products during 1998 and plans to spend significant resources in 1999 developing its customer base.</w:t>
      </w:r>
    </w:p>
    <w:p>
      <w:pPr>
        <w:spacing w:after="0" w:line="91" w:lineRule="exact"/>
        <w:rPr>
          <w:sz w:val="20"/>
          <w:szCs w:val="20"/>
          <w:color w:val="auto"/>
        </w:rPr>
      </w:pPr>
    </w:p>
    <w:p>
      <w:pPr>
        <w:ind w:right="4119" w:firstLine="477"/>
        <w:spacing w:after="0" w:line="258" w:lineRule="auto"/>
        <w:rPr>
          <w:sz w:val="20"/>
          <w:szCs w:val="20"/>
          <w:color w:val="auto"/>
        </w:rPr>
      </w:pPr>
      <w:r>
        <w:rPr>
          <w:rFonts w:ascii="Courier New" w:cs="Courier New" w:eastAsia="Courier New" w:hAnsi="Courier New"/>
          <w:sz w:val="16"/>
          <w:szCs w:val="16"/>
          <w:color w:val="auto"/>
        </w:rPr>
        <w:t>At the education and career services division, second quarter 1999 revenues totaled $61.0 million, a 77 percent increase over 1998. Most of the revenue increase is attributable to businesses acquired subsequent to the second quarter of 1998. Classroom test preparation revenue grew over 30 percent in the second quarter of 1999 (approximately 12 percent on a comparable basis excluding acquisitions). Growth in Score! revenue also contributed to the revenue increase.</w:t>
      </w:r>
    </w:p>
    <w:p>
      <w:pPr>
        <w:spacing w:after="0" w:line="92" w:lineRule="exact"/>
        <w:rPr>
          <w:sz w:val="20"/>
          <w:szCs w:val="20"/>
          <w:color w:val="auto"/>
        </w:rPr>
      </w:pPr>
    </w:p>
    <w:p>
      <w:pPr>
        <w:ind w:right="4119" w:firstLine="477"/>
        <w:spacing w:after="0" w:line="281" w:lineRule="auto"/>
        <w:rPr>
          <w:sz w:val="20"/>
          <w:szCs w:val="20"/>
          <w:color w:val="auto"/>
        </w:rPr>
      </w:pPr>
      <w:r>
        <w:rPr>
          <w:rFonts w:ascii="Courier New" w:cs="Courier New" w:eastAsia="Courier New" w:hAnsi="Courier New"/>
          <w:sz w:val="15"/>
          <w:szCs w:val="15"/>
          <w:color w:val="auto"/>
        </w:rPr>
        <w:t>Division operating losses of $7.0 million in the second quarter of 1999 represent a 5 percent improvement over 1998 and were in line with management's expectations. Division operating losses include approximately $4.4 million in losses arising from the opening of new Score! centers and HireSystems' expansion of its customer base. Operating results were also adversely affected by amortization expense arising from acquisitions.</w:t>
      </w:r>
    </w:p>
    <w:p>
      <w:pPr>
        <w:spacing w:after="0" w:line="75" w:lineRule="exact"/>
        <w:rPr>
          <w:sz w:val="20"/>
          <w:szCs w:val="20"/>
          <w:color w:val="auto"/>
        </w:rPr>
      </w:pPr>
    </w:p>
    <w:p>
      <w:pPr>
        <w:ind w:right="4019" w:firstLine="477"/>
        <w:spacing w:after="0" w:line="280" w:lineRule="auto"/>
        <w:rPr>
          <w:sz w:val="20"/>
          <w:szCs w:val="20"/>
          <w:color w:val="auto"/>
        </w:rPr>
      </w:pPr>
      <w:r>
        <w:rPr>
          <w:rFonts w:ascii="Courier New" w:cs="Courier New" w:eastAsia="Courier New" w:hAnsi="Courier New"/>
          <w:sz w:val="16"/>
          <w:szCs w:val="16"/>
          <w:color w:val="auto"/>
        </w:rPr>
        <w:t>Test preparation revenues, which comprise approximately half of Kaplan's annual revenues, are seasonally strongest in the third and fourth quarters while test preparation operating expenses are relatively consistent throughout the year.</w:t>
      </w:r>
    </w:p>
    <w:p>
      <w:pPr>
        <w:spacing w:after="0" w:line="71" w:lineRule="exact"/>
        <w:rPr>
          <w:sz w:val="20"/>
          <w:szCs w:val="20"/>
          <w:color w:val="auto"/>
        </w:rPr>
      </w:pPr>
    </w:p>
    <w:p>
      <w:pPr>
        <w:ind w:right="4119"/>
        <w:spacing w:after="0" w:line="293" w:lineRule="auto"/>
        <w:rPr>
          <w:sz w:val="20"/>
          <w:szCs w:val="20"/>
          <w:color w:val="auto"/>
        </w:rPr>
      </w:pPr>
      <w:r>
        <w:rPr>
          <w:rFonts w:ascii="Courier New" w:cs="Courier New" w:eastAsia="Courier New" w:hAnsi="Courier New"/>
          <w:sz w:val="15"/>
          <w:szCs w:val="15"/>
          <w:color w:val="auto"/>
        </w:rPr>
        <w:t>Other Businesses and Corporate Office. Revenues for other businesses totaled $2.4 million and $2.6 million in the second quarter of 1999 and 1998, respectively. Operating losses for other businesses and corporate office were $15.7 million for the second quarter of 1999 and $12.1 million for the second quarter</w:t>
      </w:r>
    </w:p>
    <w:p>
      <w:pPr>
        <w:sectPr>
          <w:pgSz w:w="11900" w:h="16838" w:orient="portrait"/>
          <w:cols w:equalWidth="0" w:num="1">
            <w:col w:w="10219"/>
          </w:cols>
          <w:pgMar w:left="240" w:top="273" w:right="1440" w:bottom="1440" w:gutter="0" w:footer="0" w:header="0"/>
        </w:sectPr>
      </w:pPr>
    </w:p>
    <w:bookmarkStart w:id="14" w:name="page15"/>
    <w:bookmarkEnd w:id="14"/>
    <w:p>
      <w:pPr>
        <w:ind w:left="180"/>
        <w:spacing w:after="0"/>
        <w:rPr>
          <w:sz w:val="20"/>
          <w:szCs w:val="20"/>
          <w:color w:val="auto"/>
        </w:rPr>
      </w:pPr>
      <w:r>
        <w:rPr>
          <w:rFonts w:ascii="Courier New" w:cs="Courier New" w:eastAsia="Courier New" w:hAnsi="Courier New"/>
          <w:sz w:val="16"/>
          <w:szCs w:val="16"/>
          <w:color w:val="auto"/>
        </w:rPr>
        <w:t>15</w:t>
      </w:r>
    </w:p>
    <w:p>
      <w:pPr>
        <w:spacing w:after="0" w:line="186" w:lineRule="exact"/>
        <w:rPr>
          <w:sz w:val="20"/>
          <w:szCs w:val="20"/>
          <w:color w:val="auto"/>
        </w:rPr>
      </w:pPr>
    </w:p>
    <w:p>
      <w:pPr>
        <w:ind w:right="4119"/>
        <w:spacing w:after="0" w:line="299" w:lineRule="auto"/>
        <w:rPr>
          <w:sz w:val="20"/>
          <w:szCs w:val="20"/>
          <w:color w:val="auto"/>
        </w:rPr>
      </w:pPr>
      <w:r>
        <w:rPr>
          <w:rFonts w:ascii="Courier New" w:cs="Courier New" w:eastAsia="Courier New" w:hAnsi="Courier New"/>
          <w:sz w:val="16"/>
          <w:szCs w:val="16"/>
          <w:color w:val="auto"/>
        </w:rPr>
        <w:t>of 1998. The increase in operating losses in the second quarter of 1999 is due to additional spending for internet-related operations.</w:t>
      </w:r>
    </w:p>
    <w:p>
      <w:pPr>
        <w:spacing w:after="0" w:line="56" w:lineRule="exact"/>
        <w:rPr>
          <w:sz w:val="20"/>
          <w:szCs w:val="20"/>
          <w:color w:val="auto"/>
        </w:rPr>
      </w:pPr>
    </w:p>
    <w:p>
      <w:pPr>
        <w:ind w:right="4019" w:firstLine="477"/>
        <w:spacing w:after="0" w:line="280" w:lineRule="auto"/>
        <w:rPr>
          <w:sz w:val="20"/>
          <w:szCs w:val="20"/>
          <w:color w:val="auto"/>
        </w:rPr>
      </w:pPr>
      <w:r>
        <w:rPr>
          <w:rFonts w:ascii="Courier New" w:cs="Courier New" w:eastAsia="Courier New" w:hAnsi="Courier New"/>
          <w:sz w:val="16"/>
          <w:szCs w:val="16"/>
          <w:color w:val="auto"/>
        </w:rPr>
        <w:t>The 1998 operating results include Moffet, Larson &amp; Johnson, which was sold in July 1998. In June 1999 the company sold Legi-Slate. No significant gain or loss arose from the sale of these businesses.</w:t>
      </w:r>
    </w:p>
    <w:p>
      <w:pPr>
        <w:spacing w:after="0" w:line="71" w:lineRule="exact"/>
        <w:rPr>
          <w:sz w:val="20"/>
          <w:szCs w:val="20"/>
          <w:color w:val="auto"/>
        </w:rPr>
      </w:pPr>
    </w:p>
    <w:p>
      <w:pPr>
        <w:ind w:right="4019"/>
        <w:spacing w:after="0" w:line="286" w:lineRule="auto"/>
        <w:rPr>
          <w:sz w:val="20"/>
          <w:szCs w:val="20"/>
          <w:color w:val="auto"/>
        </w:rPr>
      </w:pPr>
      <w:r>
        <w:rPr>
          <w:rFonts w:ascii="Courier New" w:cs="Courier New" w:eastAsia="Courier New" w:hAnsi="Courier New"/>
          <w:sz w:val="15"/>
          <w:szCs w:val="15"/>
          <w:color w:val="auto"/>
        </w:rPr>
        <w:t>Equity in Earnings and Losses of Affiliates. The company's equity in earnings of affiliates in the second quarter of 1999 totaled $0.7 million, compared to losses of $0.1 million for the second quarter of 1998. Improved results at the International Herald Tribune, in which the company holds a 50 percent interest, contributed to the increase in second quarter equity earnings.</w:t>
      </w:r>
    </w:p>
    <w:p>
      <w:pPr>
        <w:spacing w:after="0" w:line="69" w:lineRule="exact"/>
        <w:rPr>
          <w:sz w:val="20"/>
          <w:szCs w:val="20"/>
          <w:color w:val="auto"/>
        </w:rPr>
      </w:pPr>
    </w:p>
    <w:p>
      <w:pPr>
        <w:ind w:right="4019"/>
        <w:spacing w:after="0" w:line="299" w:lineRule="auto"/>
        <w:rPr>
          <w:sz w:val="20"/>
          <w:szCs w:val="20"/>
          <w:color w:val="auto"/>
        </w:rPr>
      </w:pPr>
      <w:r>
        <w:rPr>
          <w:rFonts w:ascii="Courier New" w:cs="Courier New" w:eastAsia="Courier New" w:hAnsi="Courier New"/>
          <w:sz w:val="16"/>
          <w:szCs w:val="16"/>
          <w:color w:val="auto"/>
        </w:rPr>
        <w:t>Non-Operating Items. Interest expense, net of interest income, was $5.2 million, compared to net interest income of $0.1 million for the second quarters of 1999 and 1998, respectively.</w:t>
      </w:r>
    </w:p>
    <w:p>
      <w:pPr>
        <w:spacing w:after="0" w:line="56" w:lineRule="exact"/>
        <w:rPr>
          <w:sz w:val="20"/>
          <w:szCs w:val="20"/>
          <w:color w:val="auto"/>
        </w:rPr>
      </w:pPr>
    </w:p>
    <w:p>
      <w:pPr>
        <w:ind w:right="4299"/>
        <w:spacing w:after="0" w:line="355" w:lineRule="auto"/>
        <w:rPr>
          <w:sz w:val="20"/>
          <w:szCs w:val="20"/>
          <w:color w:val="auto"/>
        </w:rPr>
      </w:pPr>
      <w:r>
        <w:rPr>
          <w:rFonts w:ascii="Courier New" w:cs="Courier New" w:eastAsia="Courier New" w:hAnsi="Courier New"/>
          <w:sz w:val="16"/>
          <w:szCs w:val="16"/>
          <w:color w:val="auto"/>
        </w:rPr>
        <w:t>Income taxes. The effective tax rate in the second quarter of 1999 and 1998 was 39.2 percent.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 Comparisons</w:t>
      </w:r>
    </w:p>
    <w:p>
      <w:pPr>
        <w:spacing w:after="0" w:line="186" w:lineRule="exact"/>
        <w:rPr>
          <w:sz w:val="20"/>
          <w:szCs w:val="20"/>
          <w:color w:val="auto"/>
        </w:rPr>
      </w:pPr>
    </w:p>
    <w:p>
      <w:pPr>
        <w:ind w:right="4019" w:firstLine="477"/>
        <w:spacing w:after="0" w:line="256" w:lineRule="auto"/>
        <w:rPr>
          <w:sz w:val="20"/>
          <w:szCs w:val="20"/>
          <w:color w:val="auto"/>
        </w:rPr>
      </w:pPr>
      <w:r>
        <w:rPr>
          <w:rFonts w:ascii="Courier New" w:cs="Courier New" w:eastAsia="Courier New" w:hAnsi="Courier New"/>
          <w:sz w:val="16"/>
          <w:szCs w:val="16"/>
          <w:color w:val="auto"/>
        </w:rPr>
        <w:t>For the first six months of 1999 net income was $113.1 million, compared with net income of $271.7 million for the same period of 1998. The company's 1998 net income includes $162.8 million ($16.07 per share) from the March 1998 disposition of its 28 percent interest in Cowles Media Company. Excluding the effect of the prior year's disposition, net income for the first half of 1999 increased $4.2 million, or 4 percent; earnings per share also increased 4 percent to $11.08, from $10.67 in the first half of 1998.</w:t>
      </w:r>
    </w:p>
    <w:p>
      <w:pPr>
        <w:spacing w:after="0" w:line="94" w:lineRule="exact"/>
        <w:rPr>
          <w:sz w:val="20"/>
          <w:szCs w:val="20"/>
          <w:color w:val="auto"/>
        </w:rPr>
      </w:pPr>
    </w:p>
    <w:p>
      <w:pPr>
        <w:ind w:right="4019" w:firstLine="477"/>
        <w:spacing w:after="0" w:line="256" w:lineRule="auto"/>
        <w:rPr>
          <w:sz w:val="20"/>
          <w:szCs w:val="20"/>
          <w:color w:val="auto"/>
        </w:rPr>
      </w:pPr>
      <w:r>
        <w:rPr>
          <w:rFonts w:ascii="Courier New" w:cs="Courier New" w:eastAsia="Courier New" w:hAnsi="Courier New"/>
          <w:sz w:val="16"/>
          <w:szCs w:val="16"/>
          <w:color w:val="auto"/>
        </w:rPr>
        <w:t>Revenues for the first half of 1999 increased 7 percent to $1,077.6 million, from $1,009.7 million in the comparable period last year. Advertising revenues increased 1 percent, circulation and subscriber revenues increased 8 percent and other revenues increased 37 percent. The increase in circulation and subscriber revenues is due to growth at the cable division, resulting mostly from acquisitions completed after June 1998. Growth at Kaplan Educational Centers accounted for the majority of the increase in other operating revenues.</w:t>
      </w:r>
    </w:p>
    <w:p>
      <w:pPr>
        <w:spacing w:after="0" w:line="94" w:lineRule="exact"/>
        <w:rPr>
          <w:sz w:val="20"/>
          <w:szCs w:val="20"/>
          <w:color w:val="auto"/>
        </w:rPr>
      </w:pPr>
    </w:p>
    <w:p>
      <w:pPr>
        <w:ind w:right="4019" w:firstLine="477"/>
        <w:spacing w:after="0" w:line="281" w:lineRule="auto"/>
        <w:rPr>
          <w:sz w:val="20"/>
          <w:szCs w:val="20"/>
          <w:color w:val="auto"/>
        </w:rPr>
      </w:pPr>
      <w:r>
        <w:rPr>
          <w:rFonts w:ascii="Courier New" w:cs="Courier New" w:eastAsia="Courier New" w:hAnsi="Courier New"/>
          <w:sz w:val="15"/>
          <w:szCs w:val="15"/>
          <w:color w:val="auto"/>
        </w:rPr>
        <w:t>Costs and expenses increased 8 percent during the first half of 1999 to $893.6 million from the corresponding period of 1998. The increase in costs and expenses is attributable to expenses arising from companies acquired after June 1998 (including amortization expense), increased spending for internet related operations and new business initiatives at the company's education and career services division, and higher depreciation</w:t>
      </w:r>
    </w:p>
    <w:p>
      <w:pPr>
        <w:sectPr>
          <w:pgSz w:w="11900" w:h="16838" w:orient="portrait"/>
          <w:cols w:equalWidth="0" w:num="1">
            <w:col w:w="10219"/>
          </w:cols>
          <w:pgMar w:left="240" w:top="273" w:right="1440" w:bottom="1440" w:gutter="0" w:footer="0" w:header="0"/>
        </w:sectPr>
      </w:pPr>
    </w:p>
    <w:bookmarkStart w:id="15" w:name="page16"/>
    <w:bookmarkEnd w:id="15"/>
    <w:p>
      <w:pPr>
        <w:ind w:left="180"/>
        <w:spacing w:after="0"/>
        <w:rPr>
          <w:sz w:val="20"/>
          <w:szCs w:val="20"/>
          <w:color w:val="auto"/>
        </w:rPr>
      </w:pPr>
      <w:r>
        <w:rPr>
          <w:rFonts w:ascii="Courier New" w:cs="Courier New" w:eastAsia="Courier New" w:hAnsi="Courier New"/>
          <w:sz w:val="16"/>
          <w:szCs w:val="16"/>
          <w:color w:val="auto"/>
        </w:rPr>
        <w:t>16</w:t>
      </w:r>
    </w:p>
    <w:p>
      <w:pPr>
        <w:spacing w:after="0" w:line="186" w:lineRule="exact"/>
        <w:rPr>
          <w:sz w:val="20"/>
          <w:szCs w:val="20"/>
          <w:color w:val="auto"/>
        </w:rPr>
      </w:pPr>
    </w:p>
    <w:p>
      <w:pPr>
        <w:ind w:right="4299"/>
        <w:spacing w:after="0" w:line="271" w:lineRule="auto"/>
        <w:rPr>
          <w:sz w:val="20"/>
          <w:szCs w:val="20"/>
          <w:color w:val="auto"/>
        </w:rPr>
      </w:pPr>
      <w:r>
        <w:rPr>
          <w:rFonts w:ascii="Courier New" w:cs="Courier New" w:eastAsia="Courier New" w:hAnsi="Courier New"/>
          <w:sz w:val="16"/>
          <w:szCs w:val="16"/>
          <w:color w:val="auto"/>
        </w:rPr>
        <w:t>expense. These expense increases were offset in part by an increase in the Company's pension credit and a 20 percent reduction in newsprint expense. The increase in depreciation expense is primarily due to the recently competed expansion of The Washington Post's printing facilities.</w:t>
      </w:r>
    </w:p>
    <w:p>
      <w:pPr>
        <w:spacing w:after="0" w:line="77" w:lineRule="exact"/>
        <w:rPr>
          <w:sz w:val="20"/>
          <w:szCs w:val="20"/>
          <w:color w:val="auto"/>
        </w:rPr>
      </w:pPr>
    </w:p>
    <w:p>
      <w:pPr>
        <w:ind w:right="4119" w:firstLine="477"/>
        <w:spacing w:after="0" w:line="299" w:lineRule="auto"/>
        <w:rPr>
          <w:sz w:val="20"/>
          <w:szCs w:val="20"/>
          <w:color w:val="auto"/>
        </w:rPr>
      </w:pPr>
      <w:r>
        <w:rPr>
          <w:rFonts w:ascii="Courier New" w:cs="Courier New" w:eastAsia="Courier New" w:hAnsi="Courier New"/>
          <w:sz w:val="16"/>
          <w:szCs w:val="16"/>
          <w:color w:val="auto"/>
        </w:rPr>
        <w:t>In the first half of 1999 operating income improved 1 percent to $184.0 million from $181.8 million in the same period last year.</w:t>
      </w:r>
    </w:p>
    <w:p>
      <w:pPr>
        <w:spacing w:after="0" w:line="56" w:lineRule="exact"/>
        <w:rPr>
          <w:sz w:val="20"/>
          <w:szCs w:val="20"/>
          <w:color w:val="auto"/>
        </w:rPr>
      </w:pPr>
    </w:p>
    <w:p>
      <w:pPr>
        <w:ind w:right="4299"/>
        <w:spacing w:after="0" w:line="271" w:lineRule="auto"/>
        <w:rPr>
          <w:sz w:val="20"/>
          <w:szCs w:val="20"/>
          <w:color w:val="auto"/>
        </w:rPr>
      </w:pPr>
      <w:r>
        <w:rPr>
          <w:rFonts w:ascii="Courier New" w:cs="Courier New" w:eastAsia="Courier New" w:hAnsi="Courier New"/>
          <w:sz w:val="16"/>
          <w:szCs w:val="16"/>
          <w:color w:val="auto"/>
        </w:rPr>
        <w:t>Newspaper Division. Newspaper division revenues of $427.5 million in the first half of 1999 were up 2 percent over the comparable period of 1998; division operating income for the first half of 1999 totaled $89.6 million, a 3 percent increase over the prior year.</w:t>
      </w:r>
    </w:p>
    <w:p>
      <w:pPr>
        <w:spacing w:after="0" w:line="77" w:lineRule="exact"/>
        <w:rPr>
          <w:sz w:val="20"/>
          <w:szCs w:val="20"/>
          <w:color w:val="auto"/>
        </w:rPr>
      </w:pPr>
    </w:p>
    <w:p>
      <w:pPr>
        <w:ind w:right="4119" w:firstLine="477"/>
        <w:spacing w:after="0" w:line="258" w:lineRule="auto"/>
        <w:rPr>
          <w:sz w:val="20"/>
          <w:szCs w:val="20"/>
          <w:color w:val="auto"/>
        </w:rPr>
      </w:pPr>
      <w:r>
        <w:rPr>
          <w:rFonts w:ascii="Courier New" w:cs="Courier New" w:eastAsia="Courier New" w:hAnsi="Courier New"/>
          <w:sz w:val="16"/>
          <w:szCs w:val="16"/>
          <w:color w:val="auto"/>
        </w:rPr>
        <w:t>Advertising revenues for the division rose 2 percent in the period due mainly to increased rates. Advertising volume at The Washington Post totaled 1,559,400 inches, a 1 percent decline from 1,578,200 inches in the first half of 1998. Circulation revenues for the division declined 1 percent as compared to the same period in the prior year. Sunday circulation at The Post both declined 1 percent, while daily circulation remained essentially unchanged.</w:t>
      </w:r>
    </w:p>
    <w:p>
      <w:pPr>
        <w:spacing w:after="0" w:line="92" w:lineRule="exact"/>
        <w:rPr>
          <w:sz w:val="20"/>
          <w:szCs w:val="20"/>
          <w:color w:val="auto"/>
        </w:rPr>
      </w:pPr>
    </w:p>
    <w:p>
      <w:pPr>
        <w:ind w:right="4119" w:firstLine="477"/>
        <w:spacing w:after="0" w:line="265" w:lineRule="auto"/>
        <w:rPr>
          <w:sz w:val="20"/>
          <w:szCs w:val="20"/>
          <w:color w:val="auto"/>
        </w:rPr>
      </w:pPr>
      <w:r>
        <w:rPr>
          <w:rFonts w:ascii="Courier New" w:cs="Courier New" w:eastAsia="Courier New" w:hAnsi="Courier New"/>
          <w:sz w:val="16"/>
          <w:szCs w:val="16"/>
          <w:color w:val="auto"/>
        </w:rPr>
        <w:t>Operating expenses at the newspaper division benefited from a 20 percent decline in newsprint expense as compared to the first six months of 1998 due primarily to a decline in newsprint prices. This benefit was partially offset by an increase in depreciation expense due to the recently completed expansion of the printing facilities of The Washington Post.</w:t>
      </w:r>
    </w:p>
    <w:p>
      <w:pPr>
        <w:spacing w:after="0" w:line="83" w:lineRule="exact"/>
        <w:rPr>
          <w:sz w:val="20"/>
          <w:szCs w:val="20"/>
          <w:color w:val="auto"/>
        </w:rPr>
      </w:pPr>
    </w:p>
    <w:p>
      <w:pPr>
        <w:ind w:right="4019"/>
        <w:spacing w:after="0" w:line="258" w:lineRule="auto"/>
        <w:rPr>
          <w:sz w:val="20"/>
          <w:szCs w:val="20"/>
          <w:color w:val="auto"/>
        </w:rPr>
      </w:pPr>
      <w:r>
        <w:rPr>
          <w:rFonts w:ascii="Courier New" w:cs="Courier New" w:eastAsia="Courier New" w:hAnsi="Courier New"/>
          <w:sz w:val="16"/>
          <w:szCs w:val="16"/>
          <w:color w:val="auto"/>
        </w:rPr>
        <w:t>Broadcast Division. Revenues at the broadcast division of $171.3 million were 2 percent less than revenues for the first six months of 1998; division operating income through the first six months of 1999 totaled $80.4 million, a decline of 3 percent as compared to the same period in 1998. The overall decrease in broadcast division operating results is due to softness in national advertising revenue partially offset by an increase in local advertising revenue.</w:t>
      </w:r>
    </w:p>
    <w:p>
      <w:pPr>
        <w:spacing w:after="0" w:line="92" w:lineRule="exact"/>
        <w:rPr>
          <w:sz w:val="20"/>
          <w:szCs w:val="20"/>
          <w:color w:val="auto"/>
        </w:rPr>
      </w:pPr>
    </w:p>
    <w:p>
      <w:pPr>
        <w:ind w:right="4019"/>
        <w:spacing w:after="0" w:line="271" w:lineRule="auto"/>
        <w:rPr>
          <w:sz w:val="20"/>
          <w:szCs w:val="20"/>
          <w:color w:val="auto"/>
        </w:rPr>
      </w:pPr>
      <w:r>
        <w:rPr>
          <w:rFonts w:ascii="Courier New" w:cs="Courier New" w:eastAsia="Courier New" w:hAnsi="Courier New"/>
          <w:sz w:val="16"/>
          <w:szCs w:val="16"/>
          <w:color w:val="auto"/>
        </w:rPr>
        <w:t>Magazine Division. Magazine division revenue totaled $191.3 million for the first six months in 1999, a decrease of 4 percent for the first half of the year. Magazine division operating income for the first six months of 1999 totaled $26.7 million, a 15 percent increase over 1998.</w:t>
      </w:r>
    </w:p>
    <w:p>
      <w:pPr>
        <w:spacing w:after="0" w:line="77" w:lineRule="exact"/>
        <w:rPr>
          <w:sz w:val="20"/>
          <w:szCs w:val="20"/>
          <w:color w:val="auto"/>
        </w:rPr>
      </w:pPr>
    </w:p>
    <w:p>
      <w:pPr>
        <w:ind w:right="4019" w:firstLine="477"/>
        <w:spacing w:after="0" w:line="265" w:lineRule="auto"/>
        <w:rPr>
          <w:sz w:val="20"/>
          <w:szCs w:val="20"/>
          <w:color w:val="auto"/>
        </w:rPr>
      </w:pPr>
      <w:r>
        <w:rPr>
          <w:rFonts w:ascii="Courier New" w:cs="Courier New" w:eastAsia="Courier New" w:hAnsi="Courier New"/>
          <w:sz w:val="16"/>
          <w:szCs w:val="16"/>
          <w:color w:val="auto"/>
        </w:rPr>
        <w:t>The 4 percent decrease in revenue is attributable to one less special issue in 1999 at the domestic edition of Newsweek and lower revenues from the international editions of Newsweek. The 15 percent increase in operating income is attributable to additional pension credits and other favorable cost experience at Newsweek.</w:t>
      </w:r>
    </w:p>
    <w:p>
      <w:pPr>
        <w:spacing w:after="0" w:line="83" w:lineRule="exact"/>
        <w:rPr>
          <w:sz w:val="20"/>
          <w:szCs w:val="20"/>
          <w:color w:val="auto"/>
        </w:rPr>
      </w:pPr>
    </w:p>
    <w:p>
      <w:pPr>
        <w:ind w:right="4699"/>
        <w:spacing w:after="0" w:line="355" w:lineRule="auto"/>
        <w:rPr>
          <w:sz w:val="20"/>
          <w:szCs w:val="20"/>
          <w:color w:val="auto"/>
        </w:rPr>
      </w:pPr>
      <w:r>
        <w:rPr>
          <w:rFonts w:ascii="Courier New" w:cs="Courier New" w:eastAsia="Courier New" w:hAnsi="Courier New"/>
          <w:sz w:val="16"/>
          <w:szCs w:val="16"/>
          <w:color w:val="auto"/>
        </w:rPr>
        <w:t>Cable Division. Cable division revenues of $163.9 million increased 19 percent in the first half of 1999; division</w:t>
      </w:r>
    </w:p>
    <w:p>
      <w:pPr>
        <w:sectPr>
          <w:pgSz w:w="11900" w:h="16838" w:orient="portrait"/>
          <w:cols w:equalWidth="0" w:num="1">
            <w:col w:w="10219"/>
          </w:cols>
          <w:pgMar w:left="240" w:top="273" w:right="1440" w:bottom="1440" w:gutter="0" w:footer="0" w:header="0"/>
        </w:sectPr>
      </w:pPr>
    </w:p>
    <w:bookmarkStart w:id="16" w:name="page17"/>
    <w:bookmarkEnd w:id="16"/>
    <w:p>
      <w:pPr>
        <w:ind w:left="180"/>
        <w:spacing w:after="0"/>
        <w:rPr>
          <w:sz w:val="20"/>
          <w:szCs w:val="20"/>
          <w:color w:val="auto"/>
        </w:rPr>
      </w:pPr>
      <w:r>
        <w:rPr>
          <w:rFonts w:ascii="Courier New" w:cs="Courier New" w:eastAsia="Courier New" w:hAnsi="Courier New"/>
          <w:sz w:val="16"/>
          <w:szCs w:val="16"/>
          <w:color w:val="auto"/>
        </w:rPr>
        <w:t>17</w:t>
      </w:r>
    </w:p>
    <w:p>
      <w:pPr>
        <w:spacing w:after="0" w:line="186" w:lineRule="exact"/>
        <w:rPr>
          <w:sz w:val="20"/>
          <w:szCs w:val="20"/>
          <w:color w:val="auto"/>
        </w:rPr>
      </w:pPr>
    </w:p>
    <w:p>
      <w:pPr>
        <w:ind w:right="4019"/>
        <w:spacing w:after="0" w:line="258" w:lineRule="auto"/>
        <w:rPr>
          <w:sz w:val="20"/>
          <w:szCs w:val="20"/>
          <w:color w:val="auto"/>
        </w:rPr>
      </w:pPr>
      <w:r>
        <w:rPr>
          <w:rFonts w:ascii="Courier New" w:cs="Courier New" w:eastAsia="Courier New" w:hAnsi="Courier New"/>
          <w:sz w:val="16"/>
          <w:szCs w:val="16"/>
          <w:color w:val="auto"/>
        </w:rPr>
        <w:t>operating income before amortization expense of $45.3 million increased 23 percent over 1998. Division operating income after amortization expense improved 12 percent over the first half of 1998. The increase in operating income after amortization expense is due to higher subscriber levels, resulting mainly from system acquisitions, and slightly higher rates, offset in part by increased expenses from systems acquired after June 1998 (including amortization expense).</w:t>
      </w:r>
    </w:p>
    <w:p>
      <w:pPr>
        <w:spacing w:after="0" w:line="92" w:lineRule="exact"/>
        <w:rPr>
          <w:sz w:val="20"/>
          <w:szCs w:val="20"/>
          <w:color w:val="auto"/>
        </w:rPr>
      </w:pPr>
    </w:p>
    <w:p>
      <w:pPr>
        <w:ind w:right="4019"/>
        <w:spacing w:after="0" w:line="280" w:lineRule="auto"/>
        <w:rPr>
          <w:sz w:val="20"/>
          <w:szCs w:val="20"/>
          <w:color w:val="auto"/>
        </w:rPr>
      </w:pPr>
      <w:r>
        <w:rPr>
          <w:rFonts w:ascii="Courier New" w:cs="Courier New" w:eastAsia="Courier New" w:hAnsi="Courier New"/>
          <w:sz w:val="16"/>
          <w:szCs w:val="16"/>
          <w:color w:val="auto"/>
        </w:rPr>
        <w:t>Education and Career Services. For the first six months of 1999, revenues totaled $118.5 million, an increase of 60 percent over 1998. The increase in revenues is mostly attributable to businesses acquired subsequent to the second quarter of 1998.</w:t>
      </w:r>
    </w:p>
    <w:p>
      <w:pPr>
        <w:spacing w:after="0" w:line="71" w:lineRule="exact"/>
        <w:rPr>
          <w:sz w:val="20"/>
          <w:szCs w:val="20"/>
          <w:color w:val="auto"/>
        </w:rPr>
      </w:pPr>
    </w:p>
    <w:p>
      <w:pPr>
        <w:ind w:right="4019" w:firstLine="477"/>
        <w:spacing w:after="0" w:line="261" w:lineRule="auto"/>
        <w:rPr>
          <w:sz w:val="20"/>
          <w:szCs w:val="20"/>
          <w:color w:val="auto"/>
        </w:rPr>
      </w:pPr>
      <w:r>
        <w:rPr>
          <w:rFonts w:ascii="Courier New" w:cs="Courier New" w:eastAsia="Courier New" w:hAnsi="Courier New"/>
          <w:sz w:val="16"/>
          <w:szCs w:val="16"/>
          <w:color w:val="auto"/>
        </w:rPr>
        <w:t>Division operating losses of $14.3 million during the first half of 1999 represent a 25 percent decrease from 1998. Division operating losses include approximately $8.8 million in losses arising from the opening of new Score! centers and HireSystems' expansion of its customer base. Operating results were also adversely affected by expenses arising from acquisitions, including amortization expense.</w:t>
      </w:r>
    </w:p>
    <w:p>
      <w:pPr>
        <w:spacing w:after="0" w:line="87" w:lineRule="exact"/>
        <w:rPr>
          <w:sz w:val="20"/>
          <w:szCs w:val="20"/>
          <w:color w:val="auto"/>
        </w:rPr>
      </w:pPr>
    </w:p>
    <w:p>
      <w:pPr>
        <w:ind w:right="4119"/>
        <w:spacing w:after="0" w:line="261" w:lineRule="auto"/>
        <w:rPr>
          <w:sz w:val="20"/>
          <w:szCs w:val="20"/>
          <w:color w:val="auto"/>
        </w:rPr>
      </w:pPr>
      <w:r>
        <w:rPr>
          <w:rFonts w:ascii="Courier New" w:cs="Courier New" w:eastAsia="Courier New" w:hAnsi="Courier New"/>
          <w:sz w:val="16"/>
          <w:szCs w:val="16"/>
          <w:color w:val="auto"/>
        </w:rPr>
        <w:t>Other Businesses and Corporate Office. Revenues for other businesses totaled $5.1 million and $4.9 million in the first half of 1999 and 1998, respectively. Operating losses for other businesses and corporate office were $28.7 million for the first half of 1999 and $27.5 million for the first half of 1998. The increase in operating losses over 1998 is primarily due to additional spending for internet-related operations.</w:t>
      </w:r>
    </w:p>
    <w:p>
      <w:pPr>
        <w:spacing w:after="0" w:line="87" w:lineRule="exact"/>
        <w:rPr>
          <w:sz w:val="20"/>
          <w:szCs w:val="20"/>
          <w:color w:val="auto"/>
        </w:rPr>
      </w:pPr>
    </w:p>
    <w:p>
      <w:pPr>
        <w:ind w:right="4019" w:firstLine="477"/>
        <w:spacing w:after="0" w:line="280" w:lineRule="auto"/>
        <w:rPr>
          <w:sz w:val="20"/>
          <w:szCs w:val="20"/>
          <w:color w:val="auto"/>
        </w:rPr>
      </w:pPr>
      <w:r>
        <w:rPr>
          <w:rFonts w:ascii="Courier New" w:cs="Courier New" w:eastAsia="Courier New" w:hAnsi="Courier New"/>
          <w:sz w:val="16"/>
          <w:szCs w:val="16"/>
          <w:color w:val="auto"/>
        </w:rPr>
        <w:t>The 1998 operating results include Moffet, Larson &amp; Johnson, which was sold in July 1998. In June 1999 the company sold Legi-Slate. No significant gain or loss arose from the sale of these businesses.</w:t>
      </w:r>
    </w:p>
    <w:p>
      <w:pPr>
        <w:spacing w:after="0" w:line="71" w:lineRule="exact"/>
        <w:rPr>
          <w:sz w:val="20"/>
          <w:szCs w:val="20"/>
          <w:color w:val="auto"/>
        </w:rPr>
      </w:pPr>
    </w:p>
    <w:p>
      <w:pPr>
        <w:ind w:right="4019"/>
        <w:spacing w:after="0" w:line="261" w:lineRule="auto"/>
        <w:rPr>
          <w:sz w:val="20"/>
          <w:szCs w:val="20"/>
          <w:color w:val="auto"/>
        </w:rPr>
      </w:pPr>
      <w:r>
        <w:rPr>
          <w:rFonts w:ascii="Courier New" w:cs="Courier New" w:eastAsia="Courier New" w:hAnsi="Courier New"/>
          <w:sz w:val="16"/>
          <w:szCs w:val="16"/>
          <w:color w:val="auto"/>
        </w:rPr>
        <w:t>Equity in Earnings and Losses of Affiliates. The company's equity in losses of affiliates during the first half of 1999 was $1.8 million, compared with earnings of $0.9 million in the first six months of 1998. The decline in earnings of affiliates resulted primarily from the disposition of the company's 28 percent interest in Cowles Media Company, which occurred in March of 1998.</w:t>
      </w:r>
    </w:p>
    <w:p>
      <w:pPr>
        <w:spacing w:after="0" w:line="87"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6"/>
          <w:szCs w:val="16"/>
          <w:color w:val="auto"/>
        </w:rPr>
        <w:t>Non-Operating Items.</w:t>
      </w:r>
      <w:r>
        <w:rPr>
          <w:sz w:val="20"/>
          <w:szCs w:val="20"/>
          <w:color w:val="auto"/>
        </w:rPr>
        <w:tab/>
      </w:r>
      <w:r>
        <w:rPr>
          <w:rFonts w:ascii="Courier New" w:cs="Courier New" w:eastAsia="Courier New" w:hAnsi="Courier New"/>
          <w:sz w:val="15"/>
          <w:szCs w:val="15"/>
          <w:color w:val="auto"/>
        </w:rPr>
        <w:t>Interest expense, net of interest income,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$11.8 million in the first six months of 1999, compared to</w:t>
      </w:r>
    </w:p>
    <w:p>
      <w:pPr>
        <w:spacing w:after="0" w:line="2"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6"/>
          <w:szCs w:val="16"/>
          <w:color w:val="auto"/>
        </w:rPr>
        <w:t>$2.0 million in 1998.</w:t>
      </w:r>
      <w:r>
        <w:rPr>
          <w:sz w:val="20"/>
          <w:szCs w:val="20"/>
          <w:color w:val="auto"/>
        </w:rPr>
        <w:tab/>
      </w:r>
      <w:r>
        <w:rPr>
          <w:rFonts w:ascii="Courier New" w:cs="Courier New" w:eastAsia="Courier New" w:hAnsi="Courier New"/>
          <w:sz w:val="15"/>
          <w:szCs w:val="15"/>
          <w:color w:val="auto"/>
        </w:rPr>
        <w:t>Included in other, net for the first half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1998 is a $258.4 million pre-tax gain resulting from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disposition of the company's 28 percent interest in Cowles Media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158" w:lineRule="exact"/>
        <w:rPr>
          <w:sz w:val="20"/>
          <w:szCs w:val="20"/>
          <w:color w:val="auto"/>
        </w:rPr>
      </w:pPr>
    </w:p>
    <w:p>
      <w:pPr>
        <w:ind w:right="4599"/>
        <w:spacing w:after="0" w:line="355" w:lineRule="auto"/>
        <w:rPr>
          <w:sz w:val="20"/>
          <w:szCs w:val="20"/>
          <w:color w:val="auto"/>
        </w:rPr>
      </w:pPr>
      <w:r>
        <w:rPr>
          <w:rFonts w:ascii="Courier New" w:cs="Courier New" w:eastAsia="Courier New" w:hAnsi="Courier New"/>
          <w:sz w:val="16"/>
          <w:szCs w:val="16"/>
          <w:color w:val="auto"/>
        </w:rPr>
        <w:t>Income Taxes. The effective tax rate through the first six months of 1999 increased to 39.2 percent from 37.9 percent</w:t>
      </w:r>
    </w:p>
    <w:p>
      <w:pPr>
        <w:sectPr>
          <w:pgSz w:w="11900" w:h="16838" w:orient="portrait"/>
          <w:cols w:equalWidth="0" w:num="1">
            <w:col w:w="10219"/>
          </w:cols>
          <w:pgMar w:left="240" w:top="273" w:right="1440" w:bottom="1440" w:gutter="0" w:footer="0" w:header="0"/>
        </w:sectPr>
      </w:pPr>
    </w:p>
    <w:bookmarkStart w:id="17" w:name="page18"/>
    <w:bookmarkEnd w:id="17"/>
    <w:p>
      <w:pPr>
        <w:ind w:left="100"/>
        <w:spacing w:after="0"/>
        <w:rPr>
          <w:sz w:val="20"/>
          <w:szCs w:val="20"/>
          <w:color w:val="auto"/>
        </w:rPr>
      </w:pPr>
      <w:r>
        <w:rPr>
          <w:rFonts w:ascii="Courier New" w:cs="Courier New" w:eastAsia="Courier New" w:hAnsi="Courier New"/>
          <w:sz w:val="16"/>
          <w:szCs w:val="16"/>
          <w:color w:val="auto"/>
        </w:rPr>
        <w:t>18</w:t>
      </w:r>
    </w:p>
    <w:p>
      <w:pPr>
        <w:spacing w:after="0" w:line="186" w:lineRule="exact"/>
        <w:rPr>
          <w:sz w:val="20"/>
          <w:szCs w:val="20"/>
          <w:color w:val="auto"/>
        </w:rPr>
      </w:pPr>
    </w:p>
    <w:p>
      <w:pPr>
        <w:ind w:right="4119"/>
        <w:spacing w:after="0" w:line="280" w:lineRule="auto"/>
        <w:rPr>
          <w:sz w:val="20"/>
          <w:szCs w:val="20"/>
          <w:color w:val="auto"/>
        </w:rPr>
      </w:pPr>
      <w:r>
        <w:rPr>
          <w:rFonts w:ascii="Courier New" w:cs="Courier New" w:eastAsia="Courier New" w:hAnsi="Courier New"/>
          <w:sz w:val="16"/>
          <w:szCs w:val="16"/>
          <w:color w:val="auto"/>
        </w:rPr>
        <w:t>through the first six months of 1998. The lower state tax rate applicable to the company's sale of its interest Cowles Media Company during March 1998 resulted in the overall decline in the effective tax rate during 1998.</w:t>
      </w:r>
    </w:p>
    <w:p>
      <w:pPr>
        <w:spacing w:after="0" w:line="255"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6"/>
          <w:szCs w:val="16"/>
          <w:color w:val="auto"/>
        </w:rPr>
        <w:t>Financial Condition:</w:t>
      </w:r>
      <w:r>
        <w:rPr>
          <w:sz w:val="20"/>
          <w:szCs w:val="20"/>
          <w:color w:val="auto"/>
        </w:rPr>
        <w:tab/>
      </w:r>
      <w:r>
        <w:rPr>
          <w:rFonts w:ascii="Courier New" w:cs="Courier New" w:eastAsia="Courier New" w:hAnsi="Courier New"/>
          <w:sz w:val="15"/>
          <w:szCs w:val="15"/>
          <w:color w:val="auto"/>
        </w:rPr>
        <w:t>Capital Resources and Liquidity</w:t>
      </w:r>
    </w:p>
    <w:p>
      <w:pPr>
        <w:spacing w:after="0" w:line="186" w:lineRule="exact"/>
        <w:rPr>
          <w:sz w:val="20"/>
          <w:szCs w:val="20"/>
          <w:color w:val="auto"/>
        </w:rPr>
      </w:pPr>
    </w:p>
    <w:p>
      <w:pPr>
        <w:ind w:right="4119"/>
        <w:spacing w:after="0" w:line="265" w:lineRule="auto"/>
        <w:rPr>
          <w:sz w:val="20"/>
          <w:szCs w:val="20"/>
          <w:color w:val="auto"/>
        </w:rPr>
      </w:pPr>
      <w:r>
        <w:rPr>
          <w:rFonts w:ascii="Courier New" w:cs="Courier New" w:eastAsia="Courier New" w:hAnsi="Courier New"/>
          <w:sz w:val="16"/>
          <w:szCs w:val="16"/>
          <w:color w:val="auto"/>
        </w:rPr>
        <w:t>Acquisitions. In the first half of 1999, the company acquired various small businesses for approximately $28.4 million, including an accredited distance education institute that offers degrees in paralegal studies and legal nurse consulting and a provider of test preparation services for the United States Medical Licensing Exam.</w:t>
      </w:r>
    </w:p>
    <w:p>
      <w:pPr>
        <w:spacing w:after="0" w:line="83" w:lineRule="exact"/>
        <w:rPr>
          <w:sz w:val="20"/>
          <w:szCs w:val="20"/>
          <w:color w:val="auto"/>
        </w:rPr>
      </w:pPr>
    </w:p>
    <w:p>
      <w:pPr>
        <w:ind w:right="4219"/>
        <w:spacing w:after="0" w:line="299" w:lineRule="auto"/>
        <w:rPr>
          <w:sz w:val="20"/>
          <w:szCs w:val="20"/>
          <w:color w:val="auto"/>
        </w:rPr>
      </w:pPr>
      <w:r>
        <w:rPr>
          <w:rFonts w:ascii="Courier New" w:cs="Courier New" w:eastAsia="Courier New" w:hAnsi="Courier New"/>
          <w:sz w:val="16"/>
          <w:szCs w:val="16"/>
          <w:color w:val="auto"/>
        </w:rPr>
        <w:t>Investments in Marketable Equity Securities. During the first six months of 1999, the company received $27.4 million from the sale of certain marketable equity securities.</w:t>
      </w:r>
    </w:p>
    <w:p>
      <w:pPr>
        <w:spacing w:after="0" w:line="56" w:lineRule="exact"/>
        <w:rPr>
          <w:sz w:val="20"/>
          <w:szCs w:val="20"/>
          <w:color w:val="auto"/>
        </w:rPr>
      </w:pPr>
    </w:p>
    <w:p>
      <w:pPr>
        <w:ind w:right="4119"/>
        <w:spacing w:after="0" w:line="261" w:lineRule="auto"/>
        <w:rPr>
          <w:sz w:val="20"/>
          <w:szCs w:val="20"/>
          <w:color w:val="auto"/>
        </w:rPr>
      </w:pPr>
      <w:r>
        <w:rPr>
          <w:rFonts w:ascii="Courier New" w:cs="Courier New" w:eastAsia="Courier New" w:hAnsi="Courier New"/>
          <w:sz w:val="16"/>
          <w:szCs w:val="16"/>
          <w:color w:val="auto"/>
        </w:rPr>
        <w:t>At July 4, 1999, the fair value of the company's investment in marketable equity securities was $239.9 million, of which $183.4 million consists of the company's investment in the common stock of Berkshire Hathaway, Inc. The remaining investment in marketable equity securities consist of common stock investments in various publicly traded companies, most of which have concentrations in internet business activities.</w:t>
      </w:r>
    </w:p>
    <w:p>
      <w:pPr>
        <w:spacing w:after="0" w:line="87" w:lineRule="exact"/>
        <w:rPr>
          <w:sz w:val="20"/>
          <w:szCs w:val="20"/>
          <w:color w:val="auto"/>
        </w:rPr>
      </w:pPr>
    </w:p>
    <w:p>
      <w:pPr>
        <w:ind w:right="4019"/>
        <w:spacing w:after="0" w:line="261" w:lineRule="auto"/>
        <w:rPr>
          <w:sz w:val="20"/>
          <w:szCs w:val="20"/>
          <w:color w:val="auto"/>
        </w:rPr>
      </w:pPr>
      <w:r>
        <w:rPr>
          <w:rFonts w:ascii="Courier New" w:cs="Courier New" w:eastAsia="Courier New" w:hAnsi="Courier New"/>
          <w:sz w:val="16"/>
          <w:szCs w:val="16"/>
          <w:color w:val="auto"/>
        </w:rPr>
        <w:t>Capital Expenditures. During the first six months of 1999, the company's capital expenditures totaled approximately $65.0 million, the most significant portion of which related to plant upgrades at the company's cable subsidiary. The company anticipates it will spend approximately $150.0 million throughout 1999 for property and equipment, primarily for various projects at the newspaper and cable divisions.</w:t>
      </w:r>
    </w:p>
    <w:p>
      <w:pPr>
        <w:spacing w:after="0" w:line="87" w:lineRule="exact"/>
        <w:rPr>
          <w:sz w:val="20"/>
          <w:szCs w:val="20"/>
          <w:color w:val="auto"/>
        </w:rPr>
      </w:pPr>
    </w:p>
    <w:p>
      <w:pPr>
        <w:ind w:right="4119"/>
        <w:spacing w:after="0" w:line="271" w:lineRule="auto"/>
        <w:rPr>
          <w:sz w:val="20"/>
          <w:szCs w:val="20"/>
          <w:color w:val="auto"/>
        </w:rPr>
      </w:pPr>
      <w:r>
        <w:rPr>
          <w:rFonts w:ascii="Courier New" w:cs="Courier New" w:eastAsia="Courier New" w:hAnsi="Courier New"/>
          <w:sz w:val="16"/>
          <w:szCs w:val="16"/>
          <w:color w:val="auto"/>
        </w:rPr>
        <w:t>Stock Repurchases. During the first six months of 1999, the company repurchased 15,318 shares of its Class B common stock at a cost of approximately $8.4 million. Approximately 786,000 Class B common shares remain available for repurchases under a November 13, 1997 authorization by the Board of Directors.</w:t>
      </w:r>
    </w:p>
    <w:p>
      <w:pPr>
        <w:spacing w:after="0" w:line="77" w:lineRule="exact"/>
        <w:rPr>
          <w:sz w:val="20"/>
          <w:szCs w:val="20"/>
          <w:color w:val="auto"/>
        </w:rPr>
      </w:pPr>
    </w:p>
    <w:p>
      <w:pPr>
        <w:ind w:right="4019"/>
        <w:spacing w:after="0" w:line="286" w:lineRule="auto"/>
        <w:rPr>
          <w:sz w:val="20"/>
          <w:szCs w:val="20"/>
          <w:color w:val="auto"/>
        </w:rPr>
      </w:pPr>
      <w:r>
        <w:rPr>
          <w:rFonts w:ascii="Courier New" w:cs="Courier New" w:eastAsia="Courier New" w:hAnsi="Courier New"/>
          <w:sz w:val="15"/>
          <w:szCs w:val="15"/>
          <w:color w:val="auto"/>
        </w:rPr>
        <w:t>Liquidity. On February 15, 1999, the company completed the issuance of $400.0 million, 5.5 percent unsecured notes due February 15, 2009, netting approximately $395.0 million in proceeds after discount and fees. The company used the proceeds from the issuance of these unsecured notes to repay approximately $395.0 million of commercial paper borrowings then outstanding.</w:t>
      </w:r>
    </w:p>
    <w:p>
      <w:pPr>
        <w:spacing w:after="0" w:line="69" w:lineRule="exact"/>
        <w:rPr>
          <w:sz w:val="20"/>
          <w:szCs w:val="20"/>
          <w:color w:val="auto"/>
        </w:rPr>
      </w:pPr>
    </w:p>
    <w:p>
      <w:pPr>
        <w:jc w:val="both"/>
        <w:ind w:right="4219"/>
        <w:spacing w:after="0" w:line="299" w:lineRule="auto"/>
        <w:rPr>
          <w:sz w:val="20"/>
          <w:szCs w:val="20"/>
          <w:color w:val="auto"/>
        </w:rPr>
      </w:pPr>
      <w:r>
        <w:rPr>
          <w:rFonts w:ascii="Courier New" w:cs="Courier New" w:eastAsia="Courier New" w:hAnsi="Courier New"/>
          <w:sz w:val="16"/>
          <w:szCs w:val="16"/>
          <w:color w:val="auto"/>
        </w:rPr>
        <w:t>Throughout the first six months of 1999 the company also repaid an additional $25.1 million of commercial paper borrowings with cash generated from operations.</w:t>
      </w:r>
    </w:p>
    <w:p>
      <w:pPr>
        <w:sectPr>
          <w:pgSz w:w="11900" w:h="16838" w:orient="portrait"/>
          <w:cols w:equalWidth="0" w:num="1">
            <w:col w:w="10219"/>
          </w:cols>
          <w:pgMar w:left="240" w:top="273" w:right="1440" w:bottom="1440" w:gutter="0" w:footer="0" w:header="0"/>
        </w:sectPr>
      </w:pPr>
    </w:p>
    <w:bookmarkStart w:id="18" w:name="page19"/>
    <w:bookmarkEnd w:id="18"/>
    <w:p>
      <w:pPr>
        <w:ind w:left="100"/>
        <w:spacing w:after="0"/>
        <w:rPr>
          <w:sz w:val="20"/>
          <w:szCs w:val="20"/>
          <w:color w:val="auto"/>
        </w:rPr>
      </w:pPr>
      <w:r>
        <w:rPr>
          <w:rFonts w:ascii="Courier New" w:cs="Courier New" w:eastAsia="Courier New" w:hAnsi="Courier New"/>
          <w:sz w:val="16"/>
          <w:szCs w:val="16"/>
          <w:color w:val="auto"/>
        </w:rPr>
        <w:t>19</w:t>
      </w:r>
    </w:p>
    <w:p>
      <w:pPr>
        <w:spacing w:after="0" w:line="186" w:lineRule="exact"/>
        <w:rPr>
          <w:sz w:val="20"/>
          <w:szCs w:val="20"/>
          <w:color w:val="auto"/>
        </w:rPr>
      </w:pPr>
    </w:p>
    <w:p>
      <w:pPr>
        <w:ind w:right="4019"/>
        <w:spacing w:after="0" w:line="299" w:lineRule="auto"/>
        <w:rPr>
          <w:sz w:val="20"/>
          <w:szCs w:val="20"/>
          <w:color w:val="auto"/>
        </w:rPr>
      </w:pPr>
      <w:r>
        <w:rPr>
          <w:rFonts w:ascii="Courier New" w:cs="Courier New" w:eastAsia="Courier New" w:hAnsi="Courier New"/>
          <w:sz w:val="16"/>
          <w:szCs w:val="16"/>
          <w:color w:val="auto"/>
        </w:rPr>
        <w:t>During the first half of 1999, the company had average borrowings outstanding of approximately $437.7 million at an average annual interest rate of 5.6 percent.</w:t>
      </w:r>
    </w:p>
    <w:p>
      <w:pPr>
        <w:spacing w:after="0" w:line="56" w:lineRule="exact"/>
        <w:rPr>
          <w:sz w:val="20"/>
          <w:szCs w:val="20"/>
          <w:color w:val="auto"/>
        </w:rPr>
      </w:pPr>
    </w:p>
    <w:p>
      <w:pPr>
        <w:ind w:right="4019"/>
        <w:spacing w:after="0" w:line="271" w:lineRule="auto"/>
        <w:rPr>
          <w:sz w:val="20"/>
          <w:szCs w:val="20"/>
          <w:color w:val="auto"/>
        </w:rPr>
      </w:pPr>
      <w:r>
        <w:rPr>
          <w:rFonts w:ascii="Courier New" w:cs="Courier New" w:eastAsia="Courier New" w:hAnsi="Courier New"/>
          <w:sz w:val="16"/>
          <w:szCs w:val="16"/>
          <w:color w:val="auto"/>
        </w:rPr>
        <w:t>The company expects to fund its estimated capital needs primarily through internally generated funds, and to a lesser extent, commercial paper borrowings. In management's opinion, the company will have ample liquidity to meet its various cash needs throughout 1999.</w:t>
      </w:r>
    </w:p>
    <w:p>
      <w:pPr>
        <w:spacing w:after="0" w:line="77" w:lineRule="exact"/>
        <w:rPr>
          <w:sz w:val="20"/>
          <w:szCs w:val="20"/>
          <w:color w:val="auto"/>
        </w:rPr>
      </w:pPr>
    </w:p>
    <w:p>
      <w:pPr>
        <w:ind w:right="4019"/>
        <w:spacing w:after="0" w:line="258" w:lineRule="auto"/>
        <w:rPr>
          <w:sz w:val="20"/>
          <w:szCs w:val="20"/>
          <w:color w:val="auto"/>
        </w:rPr>
      </w:pPr>
      <w:r>
        <w:rPr>
          <w:rFonts w:ascii="Courier New" w:cs="Courier New" w:eastAsia="Courier New" w:hAnsi="Courier New"/>
          <w:sz w:val="16"/>
          <w:szCs w:val="16"/>
          <w:color w:val="auto"/>
        </w:rPr>
        <w:t>Year 2000. The company's assessment, remediation, testing and contingency planning efforts surrounding Year 2000 readiness are proceeding as planned with completion of the final project phases projected for late Fall of 1999. To date, the assessment of internal systems and equipment has been completed and the company has made substantial progress in completing the remediation, testing and contingency planning phases of its Year 2000 readiness project.</w:t>
      </w:r>
    </w:p>
    <w:p>
      <w:pPr>
        <w:spacing w:after="0" w:line="92" w:lineRule="exact"/>
        <w:rPr>
          <w:sz w:val="20"/>
          <w:szCs w:val="20"/>
          <w:color w:val="auto"/>
        </w:rPr>
      </w:pPr>
    </w:p>
    <w:p>
      <w:pPr>
        <w:ind w:right="4019"/>
        <w:spacing w:after="0" w:line="268" w:lineRule="auto"/>
        <w:rPr>
          <w:sz w:val="20"/>
          <w:szCs w:val="20"/>
          <w:color w:val="auto"/>
        </w:rPr>
      </w:pPr>
      <w:r>
        <w:rPr>
          <w:rFonts w:ascii="Courier New" w:cs="Courier New" w:eastAsia="Courier New" w:hAnsi="Courier New"/>
          <w:sz w:val="15"/>
          <w:szCs w:val="15"/>
          <w:color w:val="auto"/>
        </w:rPr>
        <w:t>Most of the company's significant internal systems and equipment, including equipment with embedded controls, have been determined to be Year 2000 compliant. Certain critical internal systems, however, have been identified as incapable of processing transactions beyond the Year 2000 the most significant of which include some of the revenue related business systems at The Washington Post and Newsweek. At Newsweek, the non-compliant systems have since been repaired and testing of such remediation has been completed. For the non-compliant systems at The Washington Post, which principally include the advertising and circulation billing systems, the remediation efforts are continuing and are presently expected to be completed and tested by late Fall of 1999. The Company believes it has the ability to perform these functions manually should the remediation efforts not be completed according to plan.</w:t>
      </w:r>
    </w:p>
    <w:p>
      <w:pPr>
        <w:spacing w:after="0" w:line="278" w:lineRule="exact"/>
        <w:rPr>
          <w:sz w:val="20"/>
          <w:szCs w:val="20"/>
          <w:color w:val="auto"/>
        </w:rPr>
      </w:pPr>
    </w:p>
    <w:p>
      <w:pPr>
        <w:ind w:right="3919"/>
        <w:spacing w:after="0" w:line="256" w:lineRule="auto"/>
        <w:rPr>
          <w:sz w:val="20"/>
          <w:szCs w:val="20"/>
          <w:color w:val="auto"/>
        </w:rPr>
      </w:pPr>
      <w:r>
        <w:rPr>
          <w:rFonts w:ascii="Courier New" w:cs="Courier New" w:eastAsia="Courier New" w:hAnsi="Courier New"/>
          <w:sz w:val="16"/>
          <w:szCs w:val="16"/>
          <w:color w:val="auto"/>
        </w:rPr>
        <w:t>For critical internal systems and equipment determined to be compliant during the assessment phase of the project, and for non-compliant equipment that has been repaired or replaced, the company has devised and is executing a testing plan to provide additional compliance assurance. To date, the results of the company's Year 2000 compliance testing program have not revealed any new problems, or ineffective remediation. The Year 2000 testing phase for internal systems and equipment is believed to be approximately 85 percent complete as of the end of July 1999.</w:t>
      </w:r>
    </w:p>
    <w:p>
      <w:pPr>
        <w:spacing w:after="0" w:line="94" w:lineRule="exact"/>
        <w:rPr>
          <w:sz w:val="20"/>
          <w:szCs w:val="20"/>
          <w:color w:val="auto"/>
        </w:rPr>
      </w:pPr>
    </w:p>
    <w:p>
      <w:pPr>
        <w:ind w:right="3919"/>
        <w:spacing w:after="0" w:line="286" w:lineRule="auto"/>
        <w:rPr>
          <w:sz w:val="20"/>
          <w:szCs w:val="20"/>
          <w:color w:val="auto"/>
        </w:rPr>
      </w:pPr>
      <w:r>
        <w:rPr>
          <w:rFonts w:ascii="Courier New" w:cs="Courier New" w:eastAsia="Courier New" w:hAnsi="Courier New"/>
          <w:sz w:val="15"/>
          <w:szCs w:val="15"/>
          <w:color w:val="auto"/>
        </w:rPr>
        <w:t>The company's Year 2000 readiness project also includes procedures designed to identify and assess Year 2000 business interruption which may occur as a result of the company's dependency on third parties. Vendors, suppliers, service providers, customers and governmental entities that are believed to be critical to the company's business operations after January 1, 2000 ("key business</w:t>
      </w:r>
    </w:p>
    <w:p>
      <w:pPr>
        <w:sectPr>
          <w:pgSz w:w="11900" w:h="16838" w:orient="portrait"/>
          <w:cols w:equalWidth="0" w:num="1">
            <w:col w:w="10219"/>
          </w:cols>
          <w:pgMar w:left="240" w:top="273" w:right="1440" w:bottom="1440" w:gutter="0" w:footer="0" w:header="0"/>
        </w:sectPr>
      </w:pPr>
    </w:p>
    <w:bookmarkStart w:id="19" w:name="page20"/>
    <w:bookmarkEnd w:id="19"/>
    <w:p>
      <w:pPr>
        <w:ind w:left="100"/>
        <w:spacing w:after="0"/>
        <w:rPr>
          <w:sz w:val="20"/>
          <w:szCs w:val="20"/>
          <w:color w:val="auto"/>
        </w:rPr>
      </w:pPr>
      <w:r>
        <w:rPr>
          <w:rFonts w:ascii="Courier New" w:cs="Courier New" w:eastAsia="Courier New" w:hAnsi="Courier New"/>
          <w:sz w:val="16"/>
          <w:szCs w:val="16"/>
          <w:color w:val="auto"/>
        </w:rPr>
        <w:t>20</w:t>
      </w:r>
    </w:p>
    <w:p>
      <w:pPr>
        <w:spacing w:after="0" w:line="186" w:lineRule="exact"/>
        <w:rPr>
          <w:sz w:val="20"/>
          <w:szCs w:val="20"/>
          <w:color w:val="auto"/>
        </w:rPr>
      </w:pPr>
    </w:p>
    <w:p>
      <w:pPr>
        <w:ind w:right="4019"/>
        <w:spacing w:after="0" w:line="271" w:lineRule="auto"/>
        <w:rPr>
          <w:sz w:val="20"/>
          <w:szCs w:val="20"/>
          <w:color w:val="auto"/>
        </w:rPr>
      </w:pPr>
      <w:r>
        <w:rPr>
          <w:rFonts w:ascii="Courier New" w:cs="Courier New" w:eastAsia="Courier New" w:hAnsi="Courier New"/>
          <w:sz w:val="16"/>
          <w:szCs w:val="16"/>
          <w:color w:val="auto"/>
        </w:rPr>
        <w:t>partners") have been identified and significant progress has been made in ascertaining their stage of Year 2000 readiness. These efforts include, among others, circularization of Year 2000 compliance confirmations and conducting interviews and on-site reviews.</w:t>
      </w:r>
    </w:p>
    <w:p>
      <w:pPr>
        <w:spacing w:after="0" w:line="77" w:lineRule="exact"/>
        <w:rPr>
          <w:sz w:val="20"/>
          <w:szCs w:val="20"/>
          <w:color w:val="auto"/>
        </w:rPr>
      </w:pPr>
    </w:p>
    <w:p>
      <w:pPr>
        <w:ind w:right="3919"/>
        <w:spacing w:after="0" w:line="253" w:lineRule="auto"/>
        <w:rPr>
          <w:sz w:val="20"/>
          <w:szCs w:val="20"/>
          <w:color w:val="auto"/>
        </w:rPr>
      </w:pPr>
      <w:r>
        <w:rPr>
          <w:rFonts w:ascii="Courier New" w:cs="Courier New" w:eastAsia="Courier New" w:hAnsi="Courier New"/>
          <w:sz w:val="16"/>
          <w:szCs w:val="16"/>
          <w:color w:val="auto"/>
        </w:rPr>
        <w:t>The company could potentially experience disruptions as a result of non-compliant systems utilized by some of its key business partners or unrelated third party governmental and business entities. Contingency plans have been developed to mitigate these potential disruptions to business operations. These contingency plans include, but are not limited to, identification of alternative suppliers, vendors and service providers and planned accumulation of inventory to ensure production capability. The Company has also developed contingency plans for its internal critical business systems. These contingency planning activities are intended to reduce risk, but cannot eliminate the potential for business disruption caused by third party failures.</w:t>
      </w:r>
    </w:p>
    <w:p>
      <w:pPr>
        <w:spacing w:after="0" w:line="91" w:lineRule="exact"/>
        <w:rPr>
          <w:sz w:val="20"/>
          <w:szCs w:val="20"/>
          <w:color w:val="auto"/>
        </w:rPr>
      </w:pPr>
    </w:p>
    <w:p>
      <w:pPr>
        <w:ind w:right="3919"/>
        <w:spacing w:after="0" w:line="272" w:lineRule="auto"/>
        <w:rPr>
          <w:sz w:val="20"/>
          <w:szCs w:val="20"/>
          <w:color w:val="auto"/>
        </w:rPr>
      </w:pPr>
      <w:r>
        <w:rPr>
          <w:rFonts w:ascii="Courier New" w:cs="Courier New" w:eastAsia="Courier New" w:hAnsi="Courier New"/>
          <w:sz w:val="15"/>
          <w:szCs w:val="15"/>
          <w:color w:val="auto"/>
        </w:rPr>
        <w:t>The company estimates that its total Year 2000 compliance costs will approximate $25 million. Approximately $15 million of the estimated costs are attributable to assessment, repair and testing activities and will be expensed as incurred (approximately $7 million expensed in 1998 and $8 million expected to be expensed in 1999). The remaining $10 million represents the estimated cost to replace non-compliant systems and will be capitalized and amortized over a period ranging between five and seven years. The company anticipates that the funds needed to complete the Year 2000 compliance efforts and referenced system replacements will be provided primarily from the company's operating cash flows.</w:t>
      </w:r>
    </w:p>
    <w:p>
      <w:pPr>
        <w:spacing w:after="0" w:line="83" w:lineRule="exact"/>
        <w:rPr>
          <w:sz w:val="20"/>
          <w:szCs w:val="20"/>
          <w:color w:val="auto"/>
        </w:rPr>
      </w:pPr>
    </w:p>
    <w:p>
      <w:pPr>
        <w:ind w:right="3919"/>
        <w:spacing w:after="0" w:line="327" w:lineRule="auto"/>
        <w:rPr>
          <w:sz w:val="20"/>
          <w:szCs w:val="20"/>
          <w:color w:val="auto"/>
        </w:rPr>
      </w:pPr>
      <w:r>
        <w:rPr>
          <w:rFonts w:ascii="Courier New" w:cs="Courier New" w:eastAsia="Courier New" w:hAnsi="Courier New"/>
          <w:sz w:val="15"/>
          <w:szCs w:val="15"/>
          <w:color w:val="auto"/>
        </w:rPr>
        <w:t>Based upon the activities described above, the company does not believe that the Year 2000 problem is likely to have a material adverse effect on the company's business or results of operations.</w:t>
      </w:r>
    </w:p>
    <w:p>
      <w:pPr>
        <w:spacing w:after="0" w:line="39" w:lineRule="exact"/>
        <w:rPr>
          <w:sz w:val="20"/>
          <w:szCs w:val="20"/>
          <w:color w:val="auto"/>
        </w:rPr>
      </w:pPr>
    </w:p>
    <w:p>
      <w:pPr>
        <w:ind w:right="3919"/>
        <w:spacing w:after="0" w:line="261" w:lineRule="auto"/>
        <w:rPr>
          <w:sz w:val="20"/>
          <w:szCs w:val="20"/>
          <w:color w:val="auto"/>
        </w:rPr>
      </w:pPr>
      <w:r>
        <w:rPr>
          <w:rFonts w:ascii="Courier New" w:cs="Courier New" w:eastAsia="Courier New" w:hAnsi="Courier New"/>
          <w:sz w:val="16"/>
          <w:szCs w:val="16"/>
          <w:color w:val="auto"/>
        </w:rPr>
        <w:t>The above discussion contains forward-looking statements that reflect the company's current expectations or beliefs concerning future results and events. These statements are made pursuant to the "safe harbor" provisions of the Private Securities Litigation Reform Act of 1995. Readers are cautioned that forward-looking statements contained in the Year 2000 discussion should be read in conjunction with the following disclosures of the Company.</w:t>
      </w:r>
    </w:p>
    <w:p>
      <w:pPr>
        <w:spacing w:after="0" w:line="87" w:lineRule="exact"/>
        <w:rPr>
          <w:sz w:val="20"/>
          <w:szCs w:val="20"/>
          <w:color w:val="auto"/>
        </w:rPr>
      </w:pPr>
    </w:p>
    <w:p>
      <w:pPr>
        <w:ind w:right="4019"/>
        <w:spacing w:after="0" w:line="265" w:lineRule="auto"/>
        <w:rPr>
          <w:sz w:val="20"/>
          <w:szCs w:val="20"/>
          <w:color w:val="auto"/>
        </w:rPr>
      </w:pPr>
      <w:r>
        <w:rPr>
          <w:rFonts w:ascii="Courier New" w:cs="Courier New" w:eastAsia="Courier New" w:hAnsi="Courier New"/>
          <w:sz w:val="16"/>
          <w:szCs w:val="16"/>
          <w:color w:val="auto"/>
        </w:rPr>
        <w:t>Cautionary Statements Concerning Forward-Looking Statements. Forward-looking statements, which the company believes to be reasonable and are made in good faith, are subject to certain risks and uncertainties that could cause actual results to differ materially from those expressed in any forward-looking statements made by, or on behalf of, the company.</w:t>
      </w:r>
    </w:p>
    <w:p>
      <w:pPr>
        <w:spacing w:after="0" w:line="83" w:lineRule="exact"/>
        <w:rPr>
          <w:sz w:val="20"/>
          <w:szCs w:val="20"/>
          <w:color w:val="auto"/>
        </w:rPr>
      </w:pPr>
    </w:p>
    <w:p>
      <w:pPr>
        <w:ind w:right="4019"/>
        <w:spacing w:after="0" w:line="280" w:lineRule="auto"/>
        <w:rPr>
          <w:sz w:val="20"/>
          <w:szCs w:val="20"/>
          <w:color w:val="auto"/>
        </w:rPr>
      </w:pPr>
      <w:r>
        <w:rPr>
          <w:rFonts w:ascii="Courier New" w:cs="Courier New" w:eastAsia="Courier New" w:hAnsi="Courier New"/>
          <w:sz w:val="16"/>
          <w:szCs w:val="16"/>
          <w:color w:val="auto"/>
        </w:rPr>
        <w:t>Taking into account the foregoing, the following are identified as important risk factors that could cause actual results to differ from those expressed in any forward-looking statement made by, or on behalf of, the company.</w:t>
      </w:r>
    </w:p>
    <w:p>
      <w:pPr>
        <w:sectPr>
          <w:pgSz w:w="11900" w:h="16838" w:orient="portrait"/>
          <w:cols w:equalWidth="0" w:num="1">
            <w:col w:w="10219"/>
          </w:cols>
          <w:pgMar w:left="240" w:top="273" w:right="1440" w:bottom="1440" w:gutter="0" w:footer="0" w:header="0"/>
        </w:sectPr>
      </w:pPr>
    </w:p>
    <w:bookmarkStart w:id="20" w:name="page21"/>
    <w:bookmarkEnd w:id="20"/>
    <w:p>
      <w:pPr>
        <w:ind w:left="100"/>
        <w:spacing w:after="0"/>
        <w:rPr>
          <w:sz w:val="20"/>
          <w:szCs w:val="20"/>
          <w:color w:val="auto"/>
        </w:rPr>
      </w:pPr>
      <w:r>
        <w:rPr>
          <w:rFonts w:ascii="Courier New" w:cs="Courier New" w:eastAsia="Courier New" w:hAnsi="Courier New"/>
          <w:sz w:val="16"/>
          <w:szCs w:val="16"/>
          <w:color w:val="auto"/>
        </w:rPr>
        <w:t>21</w:t>
      </w:r>
    </w:p>
    <w:p>
      <w:pPr>
        <w:spacing w:after="0" w:line="186" w:lineRule="exact"/>
        <w:rPr>
          <w:sz w:val="20"/>
          <w:szCs w:val="20"/>
          <w:color w:val="auto"/>
        </w:rPr>
      </w:pPr>
    </w:p>
    <w:p>
      <w:pPr>
        <w:ind w:right="4019"/>
        <w:spacing w:after="0" w:line="248" w:lineRule="auto"/>
        <w:rPr>
          <w:sz w:val="20"/>
          <w:szCs w:val="20"/>
          <w:color w:val="auto"/>
        </w:rPr>
      </w:pPr>
      <w:r>
        <w:rPr>
          <w:rFonts w:ascii="Courier New" w:cs="Courier New" w:eastAsia="Courier New" w:hAnsi="Courier New"/>
          <w:sz w:val="16"/>
          <w:szCs w:val="16"/>
          <w:color w:val="auto"/>
        </w:rPr>
        <w:t>The dates on which the company believes its Year 2000 readiness project will be completed are based on management's best estimates, which were derived utilizing numerous assumptions of future events, including the continued availability of certain resources, third-party modification plans and other factors. Unanticipated failures by critical vendors, as well as a failure by the company to execute successfully its own remediation efforts, however, could have a material adverse effect on the costs associated with the Year 2000 readiness project and on its completion. Some important factors that might cause differences between the estimates and actual results include, but are not limited to, the availability and cost of personnel trained in these areas, the ability to locate and correct all relevant computer code, the timely and accurate responses to and correction by third-parties and suppliers, the ability to implement interfaces between new systems and the systems not being replaced and similar uncertainties. Due to the general uncertainty inherent in the Year 2000 problem, the company cannot ensure its ability to timely and cost-effectively resolve problems associated with the Year 2000 issue that may affect its operations and business or expose it to third-party liability.</w:t>
      </w:r>
    </w:p>
    <w:p>
      <w:pPr>
        <w:sectPr>
          <w:pgSz w:w="11900" w:h="16838" w:orient="portrait"/>
          <w:cols w:equalWidth="0" w:num="1">
            <w:col w:w="10219"/>
          </w:cols>
          <w:pgMar w:left="240" w:top="273" w:right="1440" w:bottom="1440" w:gutter="0" w:footer="0" w:header="0"/>
        </w:sectPr>
      </w:pPr>
    </w:p>
    <w:bookmarkStart w:id="21" w:name="page22"/>
    <w:bookmarkEnd w:id="21"/>
    <w:p>
      <w:pPr>
        <w:ind w:left="100"/>
        <w:spacing w:after="0"/>
        <w:rPr>
          <w:sz w:val="20"/>
          <w:szCs w:val="20"/>
          <w:color w:val="auto"/>
        </w:rPr>
      </w:pPr>
      <w:r>
        <w:rPr>
          <w:rFonts w:ascii="Courier New" w:cs="Courier New" w:eastAsia="Courier New" w:hAnsi="Courier New"/>
          <w:sz w:val="16"/>
          <w:szCs w:val="16"/>
          <w:color w:val="auto"/>
        </w:rPr>
        <w:t>22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6" w:lineRule="exact"/>
        <w:rPr>
          <w:sz w:val="20"/>
          <w:szCs w:val="20"/>
          <w:color w:val="auto"/>
        </w:rPr>
      </w:pPr>
    </w:p>
    <w:p>
      <w:pPr>
        <w:ind w:right="3919" w:firstLine="477"/>
        <w:spacing w:after="0" w:line="280" w:lineRule="auto"/>
        <w:rPr>
          <w:sz w:val="20"/>
          <w:szCs w:val="20"/>
          <w:color w:val="auto"/>
        </w:rPr>
      </w:pPr>
      <w:r>
        <w:rPr>
          <w:rFonts w:ascii="Courier New" w:cs="Courier New" w:eastAsia="Courier New" w:hAnsi="Courier New"/>
          <w:sz w:val="16"/>
          <w:szCs w:val="16"/>
          <w:color w:val="auto"/>
        </w:rPr>
        <w:t>At the Company's May 13, 1999, Annual Meeting of Stockholders, the stockholders elected each of the nominees to its Board of Directors named in the Company's proxy statement dated March 31, 1999. The voting results are set forth below:</w:t>
      </w:r>
    </w:p>
    <w:p>
      <w:pPr>
        <w:spacing w:after="0" w:line="71"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366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Class A Directors</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9"/>
              </w:rPr>
              <w:t>Votes</w:t>
            </w:r>
          </w:p>
        </w:tc>
        <w:tc>
          <w:tcPr>
            <w:tcW w:w="96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Broker</w:t>
            </w:r>
          </w:p>
        </w:tc>
        <w:tc>
          <w:tcPr>
            <w:tcW w:w="0" w:type="dxa"/>
            <w:vAlign w:val="bottom"/>
          </w:tcPr>
          <w:p>
            <w:pPr>
              <w:spacing w:after="0"/>
              <w:rPr>
                <w:sz w:val="1"/>
                <w:szCs w:val="1"/>
                <w:color w:val="auto"/>
              </w:rPr>
            </w:pPr>
          </w:p>
        </w:tc>
      </w:tr>
      <w:tr>
        <w:trPr>
          <w:trHeight w:val="183"/>
        </w:trPr>
        <w:tc>
          <w:tcPr>
            <w:tcW w:w="23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Nominee</w:t>
            </w:r>
          </w:p>
        </w:tc>
        <w:tc>
          <w:tcPr>
            <w:tcW w:w="1320" w:type="dxa"/>
            <w:vAlign w:val="bottom"/>
          </w:tcPr>
          <w:p>
            <w:pPr>
              <w:jc w:val="center"/>
              <w:ind w:right="321"/>
              <w:spacing w:after="0"/>
              <w:rPr>
                <w:sz w:val="20"/>
                <w:szCs w:val="20"/>
                <w:color w:val="auto"/>
              </w:rPr>
            </w:pPr>
            <w:r>
              <w:rPr>
                <w:rFonts w:ascii="Courier New" w:cs="Courier New" w:eastAsia="Courier New" w:hAnsi="Courier New"/>
                <w:sz w:val="16"/>
                <w:szCs w:val="16"/>
                <w:color w:val="auto"/>
                <w:w w:val="99"/>
              </w:rPr>
              <w:t>Votes</w:t>
            </w:r>
          </w:p>
        </w:tc>
        <w:tc>
          <w:tcPr>
            <w:tcW w:w="11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40" w:type="dxa"/>
            <w:vAlign w:val="bottom"/>
            <w:vMerge w:val="continue"/>
          </w:tcPr>
          <w:p>
            <w:pPr>
              <w:spacing w:after="0"/>
              <w:rPr>
                <w:sz w:val="15"/>
                <w:szCs w:val="15"/>
                <w:color w:val="auto"/>
              </w:rPr>
            </w:pPr>
          </w:p>
        </w:tc>
        <w:tc>
          <w:tcPr>
            <w:tcW w:w="1320" w:type="dxa"/>
            <w:vAlign w:val="bottom"/>
          </w:tcPr>
          <w:p>
            <w:pPr>
              <w:jc w:val="center"/>
              <w:ind w:right="301"/>
              <w:spacing w:after="0"/>
              <w:rPr>
                <w:sz w:val="20"/>
                <w:szCs w:val="20"/>
                <w:color w:val="auto"/>
              </w:rPr>
            </w:pPr>
            <w:r>
              <w:rPr>
                <w:rFonts w:ascii="Courier New" w:cs="Courier New" w:eastAsia="Courier New" w:hAnsi="Courier New"/>
                <w:sz w:val="16"/>
                <w:szCs w:val="16"/>
                <w:color w:val="auto"/>
              </w:rPr>
              <w:t>For</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Withheld</w:t>
            </w: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w w:val="97"/>
              </w:rPr>
              <w:t>Non-Votes</w:t>
            </w:r>
          </w:p>
        </w:tc>
        <w:tc>
          <w:tcPr>
            <w:tcW w:w="0" w:type="dxa"/>
            <w:vAlign w:val="bottom"/>
          </w:tcPr>
          <w:p>
            <w:pPr>
              <w:spacing w:after="0"/>
              <w:rPr>
                <w:sz w:val="1"/>
                <w:szCs w:val="1"/>
                <w:color w:val="auto"/>
              </w:rPr>
            </w:pPr>
          </w:p>
        </w:tc>
      </w:tr>
      <w:tr>
        <w:trPr>
          <w:trHeight w:val="183"/>
        </w:trPr>
        <w:tc>
          <w:tcPr>
            <w:tcW w:w="23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ind w:right="321"/>
              <w:spacing w:after="0"/>
              <w:rPr>
                <w:sz w:val="20"/>
                <w:szCs w:val="20"/>
                <w:color w:val="auto"/>
              </w:rPr>
            </w:pPr>
            <w:r>
              <w:rPr>
                <w:rFonts w:ascii="Courier New" w:cs="Courier New" w:eastAsia="Courier New" w:hAnsi="Courier New"/>
                <w:sz w:val="16"/>
                <w:szCs w:val="16"/>
                <w:color w:val="auto"/>
                <w:w w:val="99"/>
              </w:rPr>
              <w:t>-----</w:t>
            </w:r>
          </w:p>
        </w:tc>
        <w:tc>
          <w:tcPr>
            <w:tcW w:w="11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Warren E. Buffett</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1,739,250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George J. Gillespie III</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1,739,250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Ralph E. Gomory</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1,739,250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Donald E. Graham</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1,739,250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Katharine Graham</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1,739,250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William J. Ruane</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1,739,250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Richard D. Simmons</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1,739,250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Alan G. Spoon</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1,739,250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0"/>
                <w:szCs w:val="20"/>
                <w:color w:val="auto"/>
              </w:rPr>
            </w:pPr>
            <w:r>
              <w:rPr>
                <w:rFonts w:ascii="Courier New" w:cs="Courier New" w:eastAsia="Courier New" w:hAnsi="Courier New"/>
                <w:sz w:val="16"/>
                <w:szCs w:val="16"/>
                <w:color w:val="auto"/>
              </w:rPr>
              <w:t>George W. Wilson</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1,739,250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84"/>
        </w:trPr>
        <w:tc>
          <w:tcPr>
            <w:tcW w:w="366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Class B Directors</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66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9"/>
              </w:rPr>
              <w:t>Votes</w:t>
            </w:r>
          </w:p>
        </w:tc>
        <w:tc>
          <w:tcPr>
            <w:tcW w:w="96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Broker</w:t>
            </w:r>
          </w:p>
        </w:tc>
        <w:tc>
          <w:tcPr>
            <w:tcW w:w="0" w:type="dxa"/>
            <w:vAlign w:val="bottom"/>
          </w:tcPr>
          <w:p>
            <w:pPr>
              <w:spacing w:after="0"/>
              <w:rPr>
                <w:sz w:val="1"/>
                <w:szCs w:val="1"/>
                <w:color w:val="auto"/>
              </w:rPr>
            </w:pPr>
          </w:p>
        </w:tc>
      </w:tr>
      <w:tr>
        <w:trPr>
          <w:trHeight w:val="183"/>
        </w:trPr>
        <w:tc>
          <w:tcPr>
            <w:tcW w:w="23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Nominee</w:t>
            </w:r>
          </w:p>
        </w:tc>
        <w:tc>
          <w:tcPr>
            <w:tcW w:w="1320" w:type="dxa"/>
            <w:vAlign w:val="bottom"/>
          </w:tcPr>
          <w:p>
            <w:pPr>
              <w:jc w:val="center"/>
              <w:ind w:right="321"/>
              <w:spacing w:after="0"/>
              <w:rPr>
                <w:sz w:val="20"/>
                <w:szCs w:val="20"/>
                <w:color w:val="auto"/>
              </w:rPr>
            </w:pPr>
            <w:r>
              <w:rPr>
                <w:rFonts w:ascii="Courier New" w:cs="Courier New" w:eastAsia="Courier New" w:hAnsi="Courier New"/>
                <w:sz w:val="16"/>
                <w:szCs w:val="16"/>
                <w:color w:val="auto"/>
                <w:w w:val="99"/>
              </w:rPr>
              <w:t>Votes</w:t>
            </w:r>
          </w:p>
        </w:tc>
        <w:tc>
          <w:tcPr>
            <w:tcW w:w="11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40" w:type="dxa"/>
            <w:vAlign w:val="bottom"/>
            <w:vMerge w:val="continue"/>
          </w:tcPr>
          <w:p>
            <w:pPr>
              <w:spacing w:after="0"/>
              <w:rPr>
                <w:sz w:val="15"/>
                <w:szCs w:val="15"/>
                <w:color w:val="auto"/>
              </w:rPr>
            </w:pPr>
          </w:p>
        </w:tc>
        <w:tc>
          <w:tcPr>
            <w:tcW w:w="1320" w:type="dxa"/>
            <w:vAlign w:val="bottom"/>
          </w:tcPr>
          <w:p>
            <w:pPr>
              <w:jc w:val="center"/>
              <w:ind w:right="301"/>
              <w:spacing w:after="0"/>
              <w:rPr>
                <w:sz w:val="20"/>
                <w:szCs w:val="20"/>
                <w:color w:val="auto"/>
              </w:rPr>
            </w:pPr>
            <w:r>
              <w:rPr>
                <w:rFonts w:ascii="Courier New" w:cs="Courier New" w:eastAsia="Courier New" w:hAnsi="Courier New"/>
                <w:sz w:val="16"/>
                <w:szCs w:val="16"/>
                <w:color w:val="auto"/>
              </w:rPr>
              <w:t>For</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Withheld</w:t>
            </w: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w w:val="97"/>
              </w:rPr>
              <w:t>Non-Votes</w:t>
            </w:r>
          </w:p>
        </w:tc>
        <w:tc>
          <w:tcPr>
            <w:tcW w:w="0" w:type="dxa"/>
            <w:vAlign w:val="bottom"/>
          </w:tcPr>
          <w:p>
            <w:pPr>
              <w:spacing w:after="0"/>
              <w:rPr>
                <w:sz w:val="1"/>
                <w:szCs w:val="1"/>
                <w:color w:val="auto"/>
              </w:rPr>
            </w:pPr>
          </w:p>
        </w:tc>
      </w:tr>
      <w:tr>
        <w:trPr>
          <w:trHeight w:val="183"/>
        </w:trPr>
        <w:tc>
          <w:tcPr>
            <w:tcW w:w="23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ind w:right="321"/>
              <w:spacing w:after="0"/>
              <w:rPr>
                <w:sz w:val="20"/>
                <w:szCs w:val="20"/>
                <w:color w:val="auto"/>
              </w:rPr>
            </w:pPr>
            <w:r>
              <w:rPr>
                <w:rFonts w:ascii="Courier New" w:cs="Courier New" w:eastAsia="Courier New" w:hAnsi="Courier New"/>
                <w:sz w:val="16"/>
                <w:szCs w:val="16"/>
                <w:color w:val="auto"/>
                <w:w w:val="99"/>
              </w:rPr>
              <w:t>-----</w:t>
            </w:r>
          </w:p>
        </w:tc>
        <w:tc>
          <w:tcPr>
            <w:tcW w:w="11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Daniel B. Burke</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6,800,816</w:t>
            </w:r>
          </w:p>
        </w:tc>
        <w:tc>
          <w:tcPr>
            <w:tcW w:w="1100" w:type="dxa"/>
            <w:vAlign w:val="bottom"/>
          </w:tcPr>
          <w:p>
            <w:pPr>
              <w:jc w:val="center"/>
              <w:ind w:left="81"/>
              <w:spacing w:after="0"/>
              <w:rPr>
                <w:sz w:val="20"/>
                <w:szCs w:val="20"/>
                <w:color w:val="auto"/>
              </w:rPr>
            </w:pPr>
            <w:r>
              <w:rPr>
                <w:rFonts w:ascii="Courier New" w:cs="Courier New" w:eastAsia="Courier New" w:hAnsi="Courier New"/>
                <w:sz w:val="16"/>
                <w:szCs w:val="16"/>
                <w:color w:val="auto"/>
              </w:rPr>
              <w:t>20,740</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James E. Burke</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6,803,751</w:t>
            </w:r>
          </w:p>
        </w:tc>
        <w:tc>
          <w:tcPr>
            <w:tcW w:w="1100" w:type="dxa"/>
            <w:vAlign w:val="bottom"/>
          </w:tcPr>
          <w:p>
            <w:pPr>
              <w:jc w:val="center"/>
              <w:ind w:left="81"/>
              <w:spacing w:after="0"/>
              <w:rPr>
                <w:sz w:val="20"/>
                <w:szCs w:val="20"/>
                <w:color w:val="auto"/>
              </w:rPr>
            </w:pPr>
            <w:r>
              <w:rPr>
                <w:rFonts w:ascii="Courier New" w:cs="Courier New" w:eastAsia="Courier New" w:hAnsi="Courier New"/>
                <w:sz w:val="16"/>
                <w:szCs w:val="16"/>
                <w:color w:val="auto"/>
              </w:rPr>
              <w:t>17,805</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Donald R. Keough</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6,800,786</w:t>
            </w:r>
          </w:p>
        </w:tc>
        <w:tc>
          <w:tcPr>
            <w:tcW w:w="1100" w:type="dxa"/>
            <w:vAlign w:val="bottom"/>
          </w:tcPr>
          <w:p>
            <w:pPr>
              <w:jc w:val="center"/>
              <w:ind w:left="81"/>
              <w:spacing w:after="0"/>
              <w:rPr>
                <w:sz w:val="20"/>
                <w:szCs w:val="20"/>
                <w:color w:val="auto"/>
              </w:rPr>
            </w:pPr>
            <w:r>
              <w:rPr>
                <w:rFonts w:ascii="Courier New" w:cs="Courier New" w:eastAsia="Courier New" w:hAnsi="Courier New"/>
                <w:sz w:val="16"/>
                <w:szCs w:val="16"/>
                <w:color w:val="auto"/>
              </w:rPr>
              <w:t>20,770</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0"/>
                <w:szCs w:val="20"/>
                <w:color w:val="auto"/>
              </w:rPr>
            </w:pPr>
            <w:r>
              <w:rPr>
                <w:rFonts w:ascii="Courier New" w:cs="Courier New" w:eastAsia="Courier New" w:hAnsi="Courier New"/>
                <w:sz w:val="16"/>
                <w:szCs w:val="16"/>
                <w:color w:val="auto"/>
              </w:rPr>
              <w:t>Barbara Scott Preiskel</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6,804,722</w:t>
            </w:r>
          </w:p>
        </w:tc>
        <w:tc>
          <w:tcPr>
            <w:tcW w:w="1100" w:type="dxa"/>
            <w:vAlign w:val="bottom"/>
          </w:tcPr>
          <w:p>
            <w:pPr>
              <w:jc w:val="center"/>
              <w:ind w:left="81"/>
              <w:spacing w:after="0"/>
              <w:rPr>
                <w:sz w:val="20"/>
                <w:szCs w:val="20"/>
                <w:color w:val="auto"/>
              </w:rPr>
            </w:pPr>
            <w:r>
              <w:rPr>
                <w:rFonts w:ascii="Courier New" w:cs="Courier New" w:eastAsia="Courier New" w:hAnsi="Courier New"/>
                <w:sz w:val="16"/>
                <w:szCs w:val="16"/>
                <w:color w:val="auto"/>
              </w:rPr>
              <w:t>16,834</w:t>
            </w: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6"/>
          <w:szCs w:val="16"/>
          <w:color w:val="auto"/>
        </w:rPr>
        <w:t>23</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6" w:lineRule="exact"/>
        <w:rPr>
          <w:sz w:val="20"/>
          <w:szCs w:val="20"/>
          <w:color w:val="auto"/>
        </w:rPr>
      </w:pPr>
    </w:p>
    <w:p>
      <w:pPr>
        <w:ind w:left="1140" w:hanging="570"/>
        <w:spacing w:after="0"/>
        <w:tabs>
          <w:tab w:leader="none" w:pos="11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documents are filed as exhibits to  this</w:t>
      </w:r>
    </w:p>
    <w:p>
      <w:pPr>
        <w:spacing w:after="0" w:line="3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report:</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183"/>
        </w:trPr>
        <w:tc>
          <w:tcPr>
            <w:tcW w:w="206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48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266"/>
        </w:trPr>
        <w:tc>
          <w:tcPr>
            <w:tcW w:w="206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4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2060" w:type="dxa"/>
            <w:vAlign w:val="bottom"/>
          </w:tcPr>
          <w:p>
            <w:pPr>
              <w:ind w:left="200"/>
              <w:spacing w:after="0"/>
              <w:rPr>
                <w:sz w:val="20"/>
                <w:szCs w:val="20"/>
                <w:color w:val="auto"/>
              </w:rPr>
            </w:pPr>
            <w:r>
              <w:rPr>
                <w:rFonts w:ascii="Courier New" w:cs="Courier New" w:eastAsia="Courier New" w:hAnsi="Courier New"/>
                <w:sz w:val="16"/>
                <w:szCs w:val="16"/>
                <w:color w:val="auto"/>
              </w:rPr>
              <w:t>3.1  Certificate of</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Incorporation of the Company as amended</w:t>
            </w:r>
          </w:p>
        </w:tc>
        <w:tc>
          <w:tcPr>
            <w:tcW w:w="0" w:type="dxa"/>
            <w:vAlign w:val="bottom"/>
          </w:tcPr>
          <w:p>
            <w:pPr>
              <w:spacing w:after="0"/>
              <w:rPr>
                <w:sz w:val="1"/>
                <w:szCs w:val="1"/>
                <w:color w:val="auto"/>
              </w:rPr>
            </w:pPr>
          </w:p>
        </w:tc>
      </w:tr>
      <w:tr>
        <w:trPr>
          <w:trHeight w:val="183"/>
        </w:trPr>
        <w:tc>
          <w:tcPr>
            <w:tcW w:w="688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through May 12, 1998, and the Certificate of Designation for the</w:t>
            </w:r>
          </w:p>
        </w:tc>
        <w:tc>
          <w:tcPr>
            <w:tcW w:w="0" w:type="dxa"/>
            <w:vAlign w:val="bottom"/>
          </w:tcPr>
          <w:p>
            <w:pPr>
              <w:spacing w:after="0"/>
              <w:rPr>
                <w:sz w:val="1"/>
                <w:szCs w:val="1"/>
                <w:color w:val="auto"/>
              </w:rPr>
            </w:pPr>
          </w:p>
        </w:tc>
      </w:tr>
      <w:tr>
        <w:trPr>
          <w:trHeight w:val="183"/>
        </w:trPr>
        <w:tc>
          <w:tcPr>
            <w:tcW w:w="688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Company's Series A Preferred Stock filed January 22, 1996</w:t>
            </w:r>
          </w:p>
        </w:tc>
        <w:tc>
          <w:tcPr>
            <w:tcW w:w="0" w:type="dxa"/>
            <w:vAlign w:val="bottom"/>
          </w:tcPr>
          <w:p>
            <w:pPr>
              <w:spacing w:after="0"/>
              <w:rPr>
                <w:sz w:val="1"/>
                <w:szCs w:val="1"/>
                <w:color w:val="auto"/>
              </w:rPr>
            </w:pPr>
          </w:p>
        </w:tc>
      </w:tr>
      <w:tr>
        <w:trPr>
          <w:trHeight w:val="183"/>
        </w:trPr>
        <w:tc>
          <w:tcPr>
            <w:tcW w:w="6880" w:type="dxa"/>
            <w:vAlign w:val="bottom"/>
            <w:gridSpan w:val="2"/>
          </w:tcPr>
          <w:p>
            <w:pPr>
              <w:ind w:left="680"/>
              <w:spacing w:after="0"/>
              <w:rPr>
                <w:sz w:val="20"/>
                <w:szCs w:val="20"/>
                <w:color w:val="auto"/>
              </w:rPr>
            </w:pPr>
            <w:r>
              <w:rPr>
                <w:rFonts w:ascii="Courier New" w:cs="Courier New" w:eastAsia="Courier New" w:hAnsi="Courier New"/>
                <w:sz w:val="16"/>
                <w:szCs w:val="16"/>
                <w:color w:val="auto"/>
                <w:w w:val="99"/>
              </w:rPr>
              <w:t>(incorporated by reference to Exhibit 3.1 to the Company's Annual</w:t>
            </w:r>
          </w:p>
        </w:tc>
        <w:tc>
          <w:tcPr>
            <w:tcW w:w="0" w:type="dxa"/>
            <w:vAlign w:val="bottom"/>
          </w:tcPr>
          <w:p>
            <w:pPr>
              <w:spacing w:after="0"/>
              <w:rPr>
                <w:sz w:val="1"/>
                <w:szCs w:val="1"/>
                <w:color w:val="auto"/>
              </w:rPr>
            </w:pPr>
          </w:p>
        </w:tc>
      </w:tr>
      <w:tr>
        <w:trPr>
          <w:trHeight w:val="266"/>
        </w:trPr>
        <w:tc>
          <w:tcPr>
            <w:tcW w:w="2060" w:type="dxa"/>
            <w:vAlign w:val="bottom"/>
          </w:tcPr>
          <w:p>
            <w:pPr>
              <w:ind w:left="680"/>
              <w:spacing w:after="0"/>
              <w:rPr>
                <w:sz w:val="20"/>
                <w:szCs w:val="20"/>
                <w:color w:val="auto"/>
              </w:rPr>
            </w:pPr>
            <w:r>
              <w:rPr>
                <w:rFonts w:ascii="Courier New" w:cs="Courier New" w:eastAsia="Courier New" w:hAnsi="Courier New"/>
                <w:sz w:val="16"/>
                <w:szCs w:val="16"/>
                <w:color w:val="auto"/>
              </w:rPr>
              <w:t>Report on Form</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w w:val="99"/>
              </w:rPr>
              <w:t>10-K for the fiscal year ended December 31, 1995).</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960" w:right="3359" w:hanging="476"/>
        <w:spacing w:after="0" w:line="280" w:lineRule="auto"/>
        <w:tabs>
          <w:tab w:leader="none" w:pos="940" w:val="left"/>
        </w:tabs>
        <w:rPr>
          <w:sz w:val="20"/>
          <w:szCs w:val="20"/>
          <w:color w:val="auto"/>
        </w:rPr>
      </w:pPr>
      <w:r>
        <w:rPr>
          <w:rFonts w:ascii="Courier New" w:cs="Courier New" w:eastAsia="Courier New" w:hAnsi="Courier New"/>
          <w:sz w:val="16"/>
          <w:szCs w:val="16"/>
          <w:color w:val="auto"/>
        </w:rPr>
        <w:t>3.2</w:t>
        <w:tab/>
        <w:t>By-Laws of the Company as amended through September 9, 1993 (incorporated by reference to Exhibit 3 to the Company's Quarterly Report on Form 10-Q for the quarter ended October 3, 1993).</w:t>
      </w:r>
    </w:p>
    <w:p>
      <w:pPr>
        <w:spacing w:after="0" w:line="71" w:lineRule="exact"/>
        <w:rPr>
          <w:sz w:val="20"/>
          <w:szCs w:val="20"/>
          <w:color w:val="auto"/>
        </w:rPr>
      </w:pPr>
    </w:p>
    <w:p>
      <w:pPr>
        <w:ind w:left="480"/>
        <w:spacing w:after="0"/>
        <w:tabs>
          <w:tab w:leader="none" w:pos="94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Credit Agreement dated as of March 17, 1998 among the</w:t>
      </w:r>
    </w:p>
    <w:p>
      <w:pPr>
        <w:spacing w:after="0" w:line="3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Company, Citibank, N.A., Wachovia Bank of Georgia, N.A., and the</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other Lenders named therein (incorporated by reference to Exhibit</w:t>
      </w:r>
    </w:p>
    <w:p>
      <w:pPr>
        <w:spacing w:after="0" w:line="1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4.1 to the Company's Annual Report on Form 10-K for the fiscal</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year ended December 28, 1997).</w:t>
      </w:r>
    </w:p>
    <w:p>
      <w:pPr>
        <w:spacing w:after="0" w:line="158" w:lineRule="exact"/>
        <w:rPr>
          <w:sz w:val="20"/>
          <w:szCs w:val="20"/>
          <w:color w:val="auto"/>
        </w:rPr>
      </w:pPr>
    </w:p>
    <w:p>
      <w:pPr>
        <w:ind w:left="960" w:right="3839" w:hanging="476"/>
        <w:spacing w:after="0" w:line="265" w:lineRule="auto"/>
        <w:tabs>
          <w:tab w:leader="none" w:pos="940" w:val="left"/>
        </w:tabs>
        <w:rPr>
          <w:sz w:val="20"/>
          <w:szCs w:val="20"/>
          <w:color w:val="auto"/>
        </w:rPr>
      </w:pPr>
      <w:r>
        <w:rPr>
          <w:rFonts w:ascii="Courier New" w:cs="Courier New" w:eastAsia="Courier New" w:hAnsi="Courier New"/>
          <w:sz w:val="16"/>
          <w:szCs w:val="16"/>
          <w:color w:val="auto"/>
        </w:rPr>
        <w:t>4.2</w:t>
        <w:tab/>
        <w:t>Form of the Company's 5.50% Notes due February 15, 2009, issued under the Indenture dated as of February 17, 1999, between the Company and The First National Bank of Chicago, as Trustee (incorporate by reference to Exhibit 4.2 to the Company's Annual Report on Form 10-K for the fiscal year ended January 3, 1999).</w:t>
      </w:r>
    </w:p>
    <w:p>
      <w:pPr>
        <w:spacing w:after="0" w:line="83" w:lineRule="exact"/>
        <w:rPr>
          <w:sz w:val="20"/>
          <w:szCs w:val="20"/>
          <w:color w:val="auto"/>
        </w:rPr>
      </w:pPr>
    </w:p>
    <w:p>
      <w:pPr>
        <w:ind w:left="480"/>
        <w:spacing w:after="0"/>
        <w:tabs>
          <w:tab w:leader="none" w:pos="94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Indenture dated as of February 17, 1999, between the Company</w:t>
      </w:r>
    </w:p>
    <w:p>
      <w:pPr>
        <w:spacing w:after="0" w:line="3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and The First National Bank of Chicago, as Trustee (incorporated</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by reference to Exhibit 4.3 to the Company's Annual Report on</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Form 10-K for the fiscal year ended January 3, 1999).</w:t>
      </w:r>
    </w:p>
    <w:p>
      <w:pPr>
        <w:spacing w:after="0" w:line="158" w:lineRule="exact"/>
        <w:rPr>
          <w:sz w:val="20"/>
          <w:szCs w:val="20"/>
          <w:color w:val="auto"/>
        </w:rPr>
      </w:pPr>
    </w:p>
    <w:p>
      <w:pPr>
        <w:ind w:left="960" w:hanging="485"/>
        <w:spacing w:after="0"/>
        <w:tabs>
          <w:tab w:leader="none" w:pos="9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of Earnings per Share of Common Stock.</w:t>
      </w:r>
    </w:p>
    <w:p>
      <w:pPr>
        <w:spacing w:after="0" w:line="185" w:lineRule="exact"/>
        <w:rPr>
          <w:rFonts w:ascii="Courier New" w:cs="Courier New" w:eastAsia="Courier New" w:hAnsi="Courier New"/>
          <w:sz w:val="16"/>
          <w:szCs w:val="16"/>
          <w:color w:val="auto"/>
        </w:rPr>
      </w:pPr>
    </w:p>
    <w:p>
      <w:pPr>
        <w:ind w:left="480" w:right="5639" w:hanging="5"/>
        <w:spacing w:after="0" w:line="485" w:lineRule="auto"/>
        <w:tabs>
          <w:tab w:leader="none" w:pos="95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 - July 4, 1999 (Electronic filing only).</w:t>
      </w:r>
    </w:p>
    <w:p>
      <w:pPr>
        <w:spacing w:after="0" w:line="1" w:lineRule="exact"/>
        <w:rPr>
          <w:sz w:val="20"/>
          <w:szCs w:val="20"/>
          <w:color w:val="auto"/>
        </w:rPr>
      </w:pPr>
    </w:p>
    <w:p>
      <w:pPr>
        <w:ind w:left="960" w:right="4399" w:hanging="485"/>
        <w:spacing w:after="0" w:line="355"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period covered by this report.</w:t>
      </w:r>
    </w:p>
    <w:p>
      <w:pPr>
        <w:sectPr>
          <w:pgSz w:w="11900" w:h="16838" w:orient="portrait"/>
          <w:cols w:equalWidth="0" w:num="1">
            <w:col w:w="10219"/>
          </w:cols>
          <w:pgMar w:left="240" w:top="273" w:right="1440" w:bottom="1440" w:gutter="0" w:footer="0" w:header="0"/>
        </w:sectPr>
      </w:pPr>
    </w:p>
    <w:bookmarkStart w:id="23" w:name="page24"/>
    <w:bookmarkEnd w:id="23"/>
    <w:p>
      <w:pPr>
        <w:ind w:left="100"/>
        <w:spacing w:after="0"/>
        <w:rPr>
          <w:sz w:val="20"/>
          <w:szCs w:val="20"/>
          <w:color w:val="auto"/>
        </w:rPr>
      </w:pPr>
      <w:r>
        <w:rPr>
          <w:rFonts w:ascii="Courier New" w:cs="Courier New" w:eastAsia="Courier New" w:hAnsi="Courier New"/>
          <w:sz w:val="16"/>
          <w:szCs w:val="16"/>
          <w:color w:val="auto"/>
        </w:rPr>
        <w:t>24</w:t>
      </w:r>
    </w:p>
    <w:p>
      <w:pPr>
        <w:spacing w:after="0" w:line="30"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SIGNATURES</w:t>
      </w:r>
    </w:p>
    <w:p>
      <w:pPr>
        <w:spacing w:after="0" w:line="341" w:lineRule="exact"/>
        <w:rPr>
          <w:sz w:val="20"/>
          <w:szCs w:val="20"/>
          <w:color w:val="auto"/>
        </w:rPr>
      </w:pPr>
    </w:p>
    <w:p>
      <w:pPr>
        <w:ind w:right="3839" w:firstLine="477"/>
        <w:spacing w:after="0" w:line="29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5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THE WASHINGTON POST COMPANY</w:t>
      </w:r>
    </w:p>
    <w:p>
      <w:pPr>
        <w:spacing w:after="0" w:line="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27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both"/>
        <w:spacing w:after="0" w:line="395" w:lineRule="auto"/>
        <w:rPr>
          <w:sz w:val="20"/>
          <w:szCs w:val="20"/>
          <w:color w:val="auto"/>
        </w:rPr>
      </w:pPr>
      <w:r>
        <w:rPr>
          <w:rFonts w:ascii="Courier New" w:cs="Courier New" w:eastAsia="Courier New" w:hAnsi="Courier New"/>
          <w:sz w:val="15"/>
          <w:szCs w:val="15"/>
          <w:color w:val="auto"/>
        </w:rPr>
        <w:t>August 12, 1999 ---------------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 Donald E. Graham</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E. Graham, Chairman &amp;</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3">
            <w:col w:w="480" w:space="180"/>
            <w:col w:w="1440" w:space="660"/>
            <w:col w:w="7459"/>
          </w:cols>
          <w:pgMar w:left="240" w:top="273" w:right="1440"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both"/>
        <w:spacing w:after="0" w:line="395" w:lineRule="auto"/>
        <w:rPr>
          <w:sz w:val="20"/>
          <w:szCs w:val="20"/>
          <w:color w:val="auto"/>
        </w:rPr>
      </w:pPr>
      <w:r>
        <w:rPr>
          <w:rFonts w:ascii="Courier New" w:cs="Courier New" w:eastAsia="Courier New" w:hAnsi="Courier New"/>
          <w:sz w:val="15"/>
          <w:szCs w:val="15"/>
          <w:color w:val="auto"/>
        </w:rPr>
        <w:t>August 12, 1999 ---------------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 John B. Morse, Jr.</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John B. Morse, Jr., Vice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President-Finance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Officer)</w:t>
      </w:r>
    </w:p>
    <w:p>
      <w:pPr>
        <w:sectPr>
          <w:pgSz w:w="11900" w:h="16838" w:orient="portrait"/>
          <w:cols w:equalWidth="0" w:num="3">
            <w:col w:w="480" w:space="180"/>
            <w:col w:w="1440" w:space="660"/>
            <w:col w:w="7459"/>
          </w:cols>
          <w:pgMar w:left="240" w:top="273" w:right="1440"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66"/>
        </w:trPr>
        <w:tc>
          <w:tcPr>
            <w:tcW w:w="2860" w:type="dxa"/>
            <w:vAlign w:val="bottom"/>
          </w:tcPr>
          <w:p>
            <w:pPr>
              <w:ind w:left="180"/>
              <w:spacing w:after="0"/>
              <w:rPr>
                <w:sz w:val="20"/>
                <w:szCs w:val="20"/>
                <w:color w:val="auto"/>
              </w:rPr>
            </w:pPr>
            <w:r>
              <w:rPr>
                <w:rFonts w:ascii="Courier New" w:cs="Courier New" w:eastAsia="Courier New" w:hAnsi="Courier New"/>
                <w:sz w:val="16"/>
                <w:szCs w:val="16"/>
                <w:color w:val="auto"/>
              </w:rPr>
              <w:t>1</w:t>
            </w:r>
          </w:p>
        </w:tc>
        <w:tc>
          <w:tcPr>
            <w:tcW w:w="1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Exhibit 11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2860" w:type="dxa"/>
            <w:vAlign w:val="bottom"/>
          </w:tcPr>
          <w:p>
            <w:pPr>
              <w:spacing w:after="0"/>
              <w:rPr>
                <w:sz w:val="24"/>
                <w:szCs w:val="24"/>
                <w:color w:val="auto"/>
              </w:rPr>
            </w:pPr>
          </w:p>
        </w:tc>
        <w:tc>
          <w:tcPr>
            <w:tcW w:w="25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CALCULATION OF EARNINGS</w:t>
            </w: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2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PER SHARE OF COMMON</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STOCK</w:t>
            </w: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860" w:type="dxa"/>
            <w:vAlign w:val="bottom"/>
          </w:tcPr>
          <w:p>
            <w:pPr>
              <w:spacing w:after="0"/>
              <w:rPr>
                <w:sz w:val="23"/>
                <w:szCs w:val="23"/>
                <w:color w:val="auto"/>
              </w:rPr>
            </w:pPr>
          </w:p>
        </w:tc>
        <w:tc>
          <w:tcPr>
            <w:tcW w:w="25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(In thousands of shares)</w:t>
            </w:r>
          </w:p>
        </w:tc>
        <w:tc>
          <w:tcPr>
            <w:tcW w:w="1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2860" w:type="dxa"/>
            <w:vAlign w:val="bottom"/>
          </w:tcPr>
          <w:p>
            <w:pPr>
              <w:spacing w:after="0"/>
              <w:rPr>
                <w:sz w:val="24"/>
                <w:szCs w:val="24"/>
                <w:color w:val="auto"/>
              </w:rPr>
            </w:pPr>
          </w:p>
        </w:tc>
        <w:tc>
          <w:tcPr>
            <w:tcW w:w="2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Thirteen Weeks Ended</w:t>
            </w:r>
          </w:p>
        </w:tc>
        <w:tc>
          <w:tcPr>
            <w:tcW w:w="580" w:type="dxa"/>
            <w:vAlign w:val="bottom"/>
          </w:tcPr>
          <w:p>
            <w:pPr>
              <w:spacing w:after="0"/>
              <w:rPr>
                <w:sz w:val="24"/>
                <w:szCs w:val="24"/>
                <w:color w:val="auto"/>
              </w:rPr>
            </w:pPr>
          </w:p>
        </w:tc>
        <w:tc>
          <w:tcPr>
            <w:tcW w:w="2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8"/>
              </w:rPr>
              <w:t>Twenty-Six Weeks Ended</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July 4,</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June 28,</w:t>
            </w:r>
          </w:p>
        </w:tc>
        <w:tc>
          <w:tcPr>
            <w:tcW w:w="580" w:type="dxa"/>
            <w:vAlign w:val="bottom"/>
          </w:tcPr>
          <w:p>
            <w:pPr>
              <w:spacing w:after="0"/>
              <w:rPr>
                <w:sz w:val="15"/>
                <w:szCs w:val="15"/>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July 4,</w:t>
            </w: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June 28,</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1999</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c>
          <w:tcPr>
            <w:tcW w:w="580" w:type="dxa"/>
            <w:vAlign w:val="bottom"/>
          </w:tcPr>
          <w:p>
            <w:pPr>
              <w:spacing w:after="0"/>
              <w:rPr>
                <w:sz w:val="15"/>
                <w:szCs w:val="15"/>
                <w:color w:val="auto"/>
              </w:rPr>
            </w:pPr>
          </w:p>
        </w:tc>
        <w:tc>
          <w:tcPr>
            <w:tcW w:w="13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1999</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6"/>
        </w:trPr>
        <w:tc>
          <w:tcPr>
            <w:tcW w:w="2860" w:type="dxa"/>
            <w:vAlign w:val="bottom"/>
          </w:tcPr>
          <w:p>
            <w:pPr>
              <w:spacing w:after="0"/>
              <w:rPr>
                <w:sz w:val="23"/>
                <w:szCs w:val="23"/>
                <w:color w:val="auto"/>
              </w:rPr>
            </w:pPr>
          </w:p>
        </w:tc>
        <w:tc>
          <w:tcPr>
            <w:tcW w:w="2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580" w:type="dxa"/>
            <w:vAlign w:val="bottom"/>
          </w:tcPr>
          <w:p>
            <w:pPr>
              <w:spacing w:after="0"/>
              <w:rPr>
                <w:sz w:val="23"/>
                <w:szCs w:val="23"/>
                <w:color w:val="auto"/>
              </w:rPr>
            </w:pPr>
          </w:p>
        </w:tc>
        <w:tc>
          <w:tcPr>
            <w:tcW w:w="2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0"/>
                <w:szCs w:val="20"/>
                <w:color w:val="auto"/>
              </w:rPr>
            </w:pPr>
            <w:r>
              <w:rPr>
                <w:rFonts w:ascii="Courier New" w:cs="Courier New" w:eastAsia="Courier New" w:hAnsi="Courier New"/>
                <w:sz w:val="16"/>
                <w:szCs w:val="16"/>
                <w:color w:val="auto"/>
              </w:rPr>
              <w:t>Number of shares of</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Class A and Class B</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Common stock outstanding</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at beginning of</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10,099</w:t>
            </w:r>
          </w:p>
        </w:tc>
        <w:tc>
          <w:tcPr>
            <w:tcW w:w="8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10,081</w:t>
            </w:r>
          </w:p>
        </w:tc>
        <w:tc>
          <w:tcPr>
            <w:tcW w:w="580" w:type="dxa"/>
            <w:vAlign w:val="bottom"/>
          </w:tcPr>
          <w:p>
            <w:pPr>
              <w:spacing w:after="0"/>
              <w:rPr>
                <w:sz w:val="15"/>
                <w:szCs w:val="15"/>
                <w:color w:val="auto"/>
              </w:rPr>
            </w:pPr>
          </w:p>
        </w:tc>
        <w:tc>
          <w:tcPr>
            <w:tcW w:w="132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rPr>
              <w:t>10,093</w:t>
            </w:r>
          </w:p>
        </w:tc>
        <w:tc>
          <w:tcPr>
            <w:tcW w:w="8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10,089</w:t>
            </w:r>
          </w:p>
        </w:tc>
        <w:tc>
          <w:tcPr>
            <w:tcW w:w="0" w:type="dxa"/>
            <w:vAlign w:val="bottom"/>
          </w:tcPr>
          <w:p>
            <w:pPr>
              <w:spacing w:after="0"/>
              <w:rPr>
                <w:sz w:val="1"/>
                <w:szCs w:val="1"/>
                <w:color w:val="auto"/>
              </w:rPr>
            </w:pPr>
          </w:p>
        </w:tc>
      </w:tr>
      <w:tr>
        <w:trPr>
          <w:trHeight w:val="266"/>
        </w:trPr>
        <w:tc>
          <w:tcPr>
            <w:tcW w:w="286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114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0"/>
                <w:szCs w:val="20"/>
                <w:color w:val="auto"/>
              </w:rPr>
            </w:pPr>
            <w:r>
              <w:rPr>
                <w:rFonts w:ascii="Courier New" w:cs="Courier New" w:eastAsia="Courier New" w:hAnsi="Courier New"/>
                <w:sz w:val="16"/>
                <w:szCs w:val="16"/>
                <w:color w:val="auto"/>
              </w:rPr>
              <w:t>Issuance of shares of</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Class B common stock</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(weighted), net of</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forfeiture of re-</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w:t>
            </w:r>
          </w:p>
        </w:tc>
        <w:tc>
          <w:tcPr>
            <w:tcW w:w="8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10</w:t>
            </w:r>
          </w:p>
        </w:tc>
        <w:tc>
          <w:tcPr>
            <w:tcW w:w="580" w:type="dxa"/>
            <w:vAlign w:val="bottom"/>
          </w:tcPr>
          <w:p>
            <w:pPr>
              <w:spacing w:after="0"/>
              <w:rPr>
                <w:sz w:val="15"/>
                <w:szCs w:val="15"/>
                <w:color w:val="auto"/>
              </w:rPr>
            </w:pPr>
          </w:p>
        </w:tc>
        <w:tc>
          <w:tcPr>
            <w:tcW w:w="132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rPr>
              <w:t>8</w:t>
            </w:r>
          </w:p>
        </w:tc>
        <w:tc>
          <w:tcPr>
            <w:tcW w:w="8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0" w:type="dxa"/>
            <w:vAlign w:val="bottom"/>
          </w:tcPr>
          <w:p>
            <w:pPr>
              <w:spacing w:after="0"/>
              <w:rPr>
                <w:sz w:val="1"/>
                <w:szCs w:val="1"/>
                <w:color w:val="auto"/>
              </w:rPr>
            </w:pPr>
          </w:p>
        </w:tc>
      </w:tr>
      <w:tr>
        <w:trPr>
          <w:trHeight w:val="266"/>
        </w:trPr>
        <w:tc>
          <w:tcPr>
            <w:tcW w:w="2860" w:type="dxa"/>
            <w:vAlign w:val="bottom"/>
          </w:tcPr>
          <w:p>
            <w:pPr>
              <w:spacing w:after="0"/>
              <w:rPr>
                <w:sz w:val="20"/>
                <w:szCs w:val="20"/>
                <w:color w:val="auto"/>
              </w:rPr>
            </w:pPr>
            <w:r>
              <w:rPr>
                <w:rFonts w:ascii="Courier New" w:cs="Courier New" w:eastAsia="Courier New" w:hAnsi="Courier New"/>
                <w:sz w:val="16"/>
                <w:szCs w:val="16"/>
                <w:color w:val="auto"/>
              </w:rPr>
              <w:t>stricted stock awards</w:t>
            </w:r>
          </w:p>
        </w:tc>
        <w:tc>
          <w:tcPr>
            <w:tcW w:w="114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0"/>
                <w:szCs w:val="20"/>
                <w:color w:val="auto"/>
              </w:rPr>
            </w:pPr>
            <w:r>
              <w:rPr>
                <w:rFonts w:ascii="Courier New" w:cs="Courier New" w:eastAsia="Courier New" w:hAnsi="Courier New"/>
                <w:sz w:val="16"/>
                <w:szCs w:val="16"/>
                <w:color w:val="auto"/>
              </w:rPr>
              <w:t>Repurchase of Class B</w:t>
            </w:r>
          </w:p>
        </w:tc>
        <w:tc>
          <w:tcPr>
            <w:tcW w:w="11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(4)</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w:t>
            </w:r>
          </w:p>
        </w:tc>
        <w:tc>
          <w:tcPr>
            <w:tcW w:w="580" w:type="dxa"/>
            <w:vAlign w:val="bottom"/>
          </w:tcPr>
          <w:p>
            <w:pPr>
              <w:spacing w:after="0"/>
              <w:rPr>
                <w:sz w:val="24"/>
                <w:szCs w:val="24"/>
                <w:color w:val="auto"/>
              </w:rPr>
            </w:pPr>
          </w:p>
        </w:tc>
        <w:tc>
          <w:tcPr>
            <w:tcW w:w="132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(3)</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common stock (weighted)</w:t>
            </w:r>
          </w:p>
        </w:tc>
        <w:tc>
          <w:tcPr>
            <w:tcW w:w="11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860" w:type="dxa"/>
            <w:vAlign w:val="bottom"/>
            <w:vMerge w:val="restart"/>
          </w:tcPr>
          <w:p>
            <w:pPr>
              <w:spacing w:after="0"/>
              <w:rPr>
                <w:sz w:val="20"/>
                <w:szCs w:val="20"/>
                <w:color w:val="auto"/>
              </w:rPr>
            </w:pPr>
            <w:r>
              <w:rPr>
                <w:rFonts w:ascii="Courier New" w:cs="Courier New" w:eastAsia="Courier New" w:hAnsi="Courier New"/>
                <w:sz w:val="16"/>
                <w:szCs w:val="16"/>
                <w:color w:val="auto"/>
                <w:w w:val="98"/>
              </w:rPr>
              <w:t>Shares used in the computation</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3"/>
                <w:szCs w:val="23"/>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2860" w:type="dxa"/>
            <w:vAlign w:val="bottom"/>
            <w:vMerge w:val="continue"/>
          </w:tcPr>
          <w:p>
            <w:pPr>
              <w:spacing w:after="0"/>
              <w:rPr>
                <w:sz w:val="8"/>
                <w:szCs w:val="8"/>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10,098</w:t>
            </w:r>
          </w:p>
        </w:tc>
        <w:tc>
          <w:tcPr>
            <w:tcW w:w="8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10,088</w:t>
            </w:r>
          </w:p>
        </w:tc>
        <w:tc>
          <w:tcPr>
            <w:tcW w:w="580" w:type="dxa"/>
            <w:vAlign w:val="bottom"/>
          </w:tcPr>
          <w:p>
            <w:pPr>
              <w:spacing w:after="0"/>
              <w:rPr>
                <w:sz w:val="8"/>
                <w:szCs w:val="8"/>
                <w:color w:val="auto"/>
              </w:rPr>
            </w:pPr>
          </w:p>
        </w:tc>
        <w:tc>
          <w:tcPr>
            <w:tcW w:w="132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rPr>
              <w:t>10,098</w:t>
            </w:r>
          </w:p>
        </w:tc>
        <w:tc>
          <w:tcPr>
            <w:tcW w:w="8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10,086</w:t>
            </w:r>
          </w:p>
        </w:tc>
        <w:tc>
          <w:tcPr>
            <w:tcW w:w="0" w:type="dxa"/>
            <w:vAlign w:val="bottom"/>
          </w:tcPr>
          <w:p>
            <w:pPr>
              <w:spacing w:after="0"/>
              <w:rPr>
                <w:sz w:val="1"/>
                <w:szCs w:val="1"/>
                <w:color w:val="auto"/>
              </w:rPr>
            </w:pPr>
          </w:p>
        </w:tc>
      </w:tr>
      <w:tr>
        <w:trPr>
          <w:trHeight w:val="266"/>
        </w:trPr>
        <w:tc>
          <w:tcPr>
            <w:tcW w:w="2860" w:type="dxa"/>
            <w:vAlign w:val="bottom"/>
          </w:tcPr>
          <w:p>
            <w:pPr>
              <w:spacing w:after="0"/>
              <w:rPr>
                <w:sz w:val="20"/>
                <w:szCs w:val="20"/>
                <w:color w:val="auto"/>
              </w:rPr>
            </w:pPr>
            <w:r>
              <w:rPr>
                <w:rFonts w:ascii="Courier New" w:cs="Courier New" w:eastAsia="Courier New" w:hAnsi="Courier New"/>
                <w:sz w:val="16"/>
                <w:szCs w:val="16"/>
                <w:color w:val="auto"/>
              </w:rPr>
              <w:t>of basic earnings per share</w:t>
            </w:r>
          </w:p>
        </w:tc>
        <w:tc>
          <w:tcPr>
            <w:tcW w:w="114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0"/>
                <w:szCs w:val="20"/>
                <w:color w:val="auto"/>
              </w:rPr>
            </w:pPr>
            <w:r>
              <w:rPr>
                <w:rFonts w:ascii="Courier New" w:cs="Courier New" w:eastAsia="Courier New" w:hAnsi="Courier New"/>
                <w:sz w:val="16"/>
                <w:szCs w:val="16"/>
                <w:color w:val="auto"/>
              </w:rPr>
              <w:t>Adjustment to reflect</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dilution from common stock</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42</w:t>
            </w:r>
          </w:p>
        </w:tc>
        <w:tc>
          <w:tcPr>
            <w:tcW w:w="8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48</w:t>
            </w:r>
          </w:p>
        </w:tc>
        <w:tc>
          <w:tcPr>
            <w:tcW w:w="580" w:type="dxa"/>
            <w:vAlign w:val="bottom"/>
          </w:tcPr>
          <w:p>
            <w:pPr>
              <w:spacing w:after="0"/>
              <w:rPr>
                <w:sz w:val="15"/>
                <w:szCs w:val="15"/>
                <w:color w:val="auto"/>
              </w:rPr>
            </w:pPr>
          </w:p>
        </w:tc>
        <w:tc>
          <w:tcPr>
            <w:tcW w:w="132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rPr>
              <w:t>43</w:t>
            </w:r>
          </w:p>
        </w:tc>
        <w:tc>
          <w:tcPr>
            <w:tcW w:w="8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46</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equivalents</w:t>
            </w:r>
          </w:p>
        </w:tc>
        <w:tc>
          <w:tcPr>
            <w:tcW w:w="11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860" w:type="dxa"/>
            <w:vAlign w:val="bottom"/>
            <w:vMerge w:val="restart"/>
          </w:tcPr>
          <w:p>
            <w:pPr>
              <w:spacing w:after="0"/>
              <w:rPr>
                <w:sz w:val="20"/>
                <w:szCs w:val="20"/>
                <w:color w:val="auto"/>
              </w:rPr>
            </w:pPr>
            <w:r>
              <w:rPr>
                <w:rFonts w:ascii="Courier New" w:cs="Courier New" w:eastAsia="Courier New" w:hAnsi="Courier New"/>
                <w:sz w:val="16"/>
                <w:szCs w:val="16"/>
                <w:color w:val="auto"/>
                <w:w w:val="98"/>
              </w:rPr>
              <w:t>Shares used in the computation</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3"/>
                <w:szCs w:val="23"/>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2860" w:type="dxa"/>
            <w:vAlign w:val="bottom"/>
            <w:vMerge w:val="continue"/>
          </w:tcPr>
          <w:p>
            <w:pPr>
              <w:spacing w:after="0"/>
              <w:rPr>
                <w:sz w:val="8"/>
                <w:szCs w:val="8"/>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10,140</w:t>
            </w:r>
          </w:p>
        </w:tc>
        <w:tc>
          <w:tcPr>
            <w:tcW w:w="8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10,136</w:t>
            </w:r>
          </w:p>
        </w:tc>
        <w:tc>
          <w:tcPr>
            <w:tcW w:w="580" w:type="dxa"/>
            <w:vAlign w:val="bottom"/>
          </w:tcPr>
          <w:p>
            <w:pPr>
              <w:spacing w:after="0"/>
              <w:rPr>
                <w:sz w:val="8"/>
                <w:szCs w:val="8"/>
                <w:color w:val="auto"/>
              </w:rPr>
            </w:pPr>
          </w:p>
        </w:tc>
        <w:tc>
          <w:tcPr>
            <w:tcW w:w="132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rPr>
              <w:t>10,141</w:t>
            </w:r>
          </w:p>
        </w:tc>
        <w:tc>
          <w:tcPr>
            <w:tcW w:w="8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10,132</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Of diluted earnings per share</w:t>
            </w:r>
          </w:p>
        </w:tc>
        <w:tc>
          <w:tcPr>
            <w:tcW w:w="11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86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available for</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3"/>
                <w:szCs w:val="23"/>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2860" w:type="dxa"/>
            <w:vAlign w:val="bottom"/>
            <w:vMerge w:val="continue"/>
          </w:tcPr>
          <w:p>
            <w:pPr>
              <w:spacing w:after="0"/>
              <w:rPr>
                <w:sz w:val="8"/>
                <w:szCs w:val="8"/>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$67,672</w:t>
            </w:r>
          </w:p>
        </w:tc>
        <w:tc>
          <w:tcPr>
            <w:tcW w:w="8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$63,543</w:t>
            </w:r>
          </w:p>
        </w:tc>
        <w:tc>
          <w:tcPr>
            <w:tcW w:w="580" w:type="dxa"/>
            <w:vAlign w:val="bottom"/>
          </w:tcPr>
          <w:p>
            <w:pPr>
              <w:spacing w:after="0"/>
              <w:rPr>
                <w:sz w:val="8"/>
                <w:szCs w:val="8"/>
                <w:color w:val="auto"/>
              </w:rPr>
            </w:pPr>
          </w:p>
        </w:tc>
        <w:tc>
          <w:tcPr>
            <w:tcW w:w="132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w w:val="96"/>
              </w:rPr>
              <w:t>$112,386</w:t>
            </w:r>
          </w:p>
        </w:tc>
        <w:tc>
          <w:tcPr>
            <w:tcW w:w="8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w w:val="98"/>
              </w:rPr>
              <w:t>$270,940</w:t>
            </w:r>
          </w:p>
        </w:tc>
        <w:tc>
          <w:tcPr>
            <w:tcW w:w="0" w:type="dxa"/>
            <w:vAlign w:val="bottom"/>
          </w:tcPr>
          <w:p>
            <w:pPr>
              <w:spacing w:after="0"/>
              <w:rPr>
                <w:sz w:val="1"/>
                <w:szCs w:val="1"/>
                <w:color w:val="auto"/>
              </w:rPr>
            </w:pPr>
          </w:p>
        </w:tc>
      </w:tr>
      <w:tr>
        <w:trPr>
          <w:trHeight w:val="266"/>
        </w:trPr>
        <w:tc>
          <w:tcPr>
            <w:tcW w:w="2860" w:type="dxa"/>
            <w:vAlign w:val="bottom"/>
          </w:tcPr>
          <w:p>
            <w:pPr>
              <w:spacing w:after="0"/>
              <w:rPr>
                <w:sz w:val="20"/>
                <w:szCs w:val="20"/>
                <w:color w:val="auto"/>
              </w:rPr>
            </w:pPr>
            <w:r>
              <w:rPr>
                <w:rFonts w:ascii="Courier New" w:cs="Courier New" w:eastAsia="Courier New" w:hAnsi="Courier New"/>
                <w:sz w:val="16"/>
                <w:szCs w:val="16"/>
                <w:color w:val="auto"/>
              </w:rPr>
              <w:t>common shares</w:t>
            </w:r>
          </w:p>
        </w:tc>
        <w:tc>
          <w:tcPr>
            <w:tcW w:w="114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0"/>
                <w:szCs w:val="20"/>
                <w:color w:val="auto"/>
              </w:rPr>
            </w:pPr>
            <w:r>
              <w:rPr>
                <w:rFonts w:ascii="Courier New" w:cs="Courier New" w:eastAsia="Courier New" w:hAnsi="Courier New"/>
                <w:sz w:val="16"/>
                <w:szCs w:val="16"/>
                <w:color w:val="auto"/>
              </w:rPr>
              <w:t>Basic earnings per common</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$6.70</w:t>
            </w:r>
          </w:p>
        </w:tc>
        <w:tc>
          <w:tcPr>
            <w:tcW w:w="8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$6.30</w:t>
            </w:r>
          </w:p>
        </w:tc>
        <w:tc>
          <w:tcPr>
            <w:tcW w:w="580" w:type="dxa"/>
            <w:vAlign w:val="bottom"/>
          </w:tcPr>
          <w:p>
            <w:pPr>
              <w:spacing w:after="0"/>
              <w:rPr>
                <w:sz w:val="24"/>
                <w:szCs w:val="24"/>
                <w:color w:val="auto"/>
              </w:rPr>
            </w:pPr>
          </w:p>
        </w:tc>
        <w:tc>
          <w:tcPr>
            <w:tcW w:w="132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rPr>
              <w:t>$11.13</w:t>
            </w:r>
          </w:p>
        </w:tc>
        <w:tc>
          <w:tcPr>
            <w:tcW w:w="8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$26.86</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11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860" w:type="dxa"/>
            <w:vAlign w:val="bottom"/>
            <w:vMerge w:val="restart"/>
          </w:tcPr>
          <w:p>
            <w:pPr>
              <w:spacing w:after="0"/>
              <w:rPr>
                <w:sz w:val="20"/>
                <w:szCs w:val="20"/>
                <w:color w:val="auto"/>
              </w:rPr>
            </w:pPr>
            <w:r>
              <w:rPr>
                <w:rFonts w:ascii="Courier New" w:cs="Courier New" w:eastAsia="Courier New" w:hAnsi="Courier New"/>
                <w:sz w:val="16"/>
                <w:szCs w:val="16"/>
                <w:color w:val="auto"/>
              </w:rPr>
              <w:t>Diluted earnings</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3"/>
                <w:szCs w:val="23"/>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2860" w:type="dxa"/>
            <w:vAlign w:val="bottom"/>
            <w:vMerge w:val="continue"/>
          </w:tcPr>
          <w:p>
            <w:pPr>
              <w:spacing w:after="0"/>
              <w:rPr>
                <w:sz w:val="8"/>
                <w:szCs w:val="8"/>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$6.67</w:t>
            </w:r>
          </w:p>
        </w:tc>
        <w:tc>
          <w:tcPr>
            <w:tcW w:w="8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$6.27</w:t>
            </w:r>
          </w:p>
        </w:tc>
        <w:tc>
          <w:tcPr>
            <w:tcW w:w="580" w:type="dxa"/>
            <w:vAlign w:val="bottom"/>
          </w:tcPr>
          <w:p>
            <w:pPr>
              <w:spacing w:after="0"/>
              <w:rPr>
                <w:sz w:val="8"/>
                <w:szCs w:val="8"/>
                <w:color w:val="auto"/>
              </w:rPr>
            </w:pPr>
          </w:p>
        </w:tc>
        <w:tc>
          <w:tcPr>
            <w:tcW w:w="132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rPr>
              <w:t>$11.08</w:t>
            </w:r>
          </w:p>
        </w:tc>
        <w:tc>
          <w:tcPr>
            <w:tcW w:w="8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$26.74</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per common share</w:t>
            </w:r>
          </w:p>
        </w:tc>
        <w:tc>
          <w:tcPr>
            <w:tcW w:w="11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580" w:type="dxa"/>
            <w:vAlign w:val="bottom"/>
            <w:vMerge w:val="restart"/>
          </w:tcPr>
          <w:p>
            <w:pPr>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860" w:type="dxa"/>
            <w:vAlign w:val="bottom"/>
          </w:tcPr>
          <w:p>
            <w:pPr>
              <w:ind w:left="2280"/>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23"/>
                <w:szCs w:val="23"/>
                <w:color w:val="auto"/>
              </w:rPr>
            </w:pPr>
          </w:p>
        </w:tc>
        <w:tc>
          <w:tcPr>
            <w:tcW w:w="580" w:type="dxa"/>
            <w:vAlign w:val="bottom"/>
            <w:vMerge w:val="continue"/>
          </w:tcPr>
          <w:p>
            <w:pPr>
              <w:spacing w:after="0"/>
              <w:rPr>
                <w:sz w:val="23"/>
                <w:szCs w:val="23"/>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6" w:right="1440" w:bottom="1440" w:gutter="0" w:footer="0" w:header="0"/>
        </w:sectPr>
      </w:pPr>
    </w:p>
    <w:bookmarkStart w:id="25" w:name="page26"/>
    <w:bookmarkEnd w:id="25"/>
    <w:p>
      <w:pPr>
        <w:ind w:left="18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right="4659"/>
        <w:spacing w:after="0" w:line="265"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Condensed Consolidated Statement of Income for the twenty-six weeks ended July 4, 1999 and the Condensed Consolidated Balance Sheet as of July 4, 1999 and is qualified in its entirety by reference to such financial statements.</w:t>
      </w:r>
    </w:p>
    <w:p>
      <w:pPr>
        <w:spacing w:after="0" w:line="83"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6-MOS</w:t>
      </w:r>
    </w:p>
    <w:p>
      <w:pPr>
        <w:spacing w:after="0" w:line="30"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Jan-02-2000</w:t>
      </w:r>
    </w:p>
    <w:p>
      <w:pPr>
        <w:spacing w:after="0" w:line="2"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Jul-4-1999</w:t>
      </w:r>
    </w:p>
    <w:p>
      <w:pPr>
        <w:spacing w:after="0" w:line="2" w:lineRule="exact"/>
        <w:rPr>
          <w:sz w:val="20"/>
          <w:szCs w:val="20"/>
          <w:color w:val="auto"/>
        </w:rPr>
      </w:pPr>
    </w:p>
    <w:p>
      <w:pPr>
        <w:ind w:left="6280"/>
        <w:spacing w:after="0"/>
        <w:rPr>
          <w:sz w:val="20"/>
          <w:szCs w:val="20"/>
          <w:color w:val="auto"/>
        </w:rPr>
      </w:pPr>
      <w:r>
        <w:rPr>
          <w:rFonts w:ascii="Courier New" w:cs="Courier New" w:eastAsia="Courier New" w:hAnsi="Courier New"/>
          <w:sz w:val="16"/>
          <w:szCs w:val="16"/>
          <w:color w:val="auto"/>
        </w:rPr>
        <w:t>17,707</w:t>
      </w:r>
    </w:p>
    <w:p>
      <w:pPr>
        <w:spacing w:after="0" w:line="2"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239,913</w:t>
      </w:r>
    </w:p>
    <w:p>
      <w:pPr>
        <w:spacing w:after="0" w:line="2" w:lineRule="exact"/>
        <w:rPr>
          <w:sz w:val="20"/>
          <w:szCs w:val="20"/>
          <w:color w:val="auto"/>
        </w:rPr>
      </w:pPr>
    </w:p>
    <w:p>
      <w:pPr>
        <w:ind w:left="5500"/>
        <w:spacing w:after="0"/>
        <w:rPr>
          <w:sz w:val="20"/>
          <w:szCs w:val="20"/>
          <w:color w:val="auto"/>
        </w:rPr>
      </w:pPr>
      <w:r>
        <w:rPr>
          <w:rFonts w:ascii="Courier New" w:cs="Courier New" w:eastAsia="Courier New" w:hAnsi="Courier New"/>
          <w:sz w:val="16"/>
          <w:szCs w:val="16"/>
          <w:color w:val="auto"/>
        </w:rPr>
        <w:t>317,450</w:t>
      </w:r>
    </w:p>
    <w:p>
      <w:pPr>
        <w:spacing w:after="0" w:line="2"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57,884</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21,270</w:t>
      </w:r>
    </w:p>
    <w:p>
      <w:pPr>
        <w:spacing w:after="0" w:line="2" w:lineRule="exact"/>
        <w:rPr>
          <w:sz w:val="20"/>
          <w:szCs w:val="20"/>
          <w:color w:val="auto"/>
        </w:rPr>
      </w:pPr>
    </w:p>
    <w:p>
      <w:pPr>
        <w:ind w:left="5220"/>
        <w:spacing w:after="0"/>
        <w:rPr>
          <w:sz w:val="20"/>
          <w:szCs w:val="20"/>
          <w:color w:val="auto"/>
        </w:rPr>
      </w:pPr>
      <w:r>
        <w:rPr>
          <w:rFonts w:ascii="Courier New" w:cs="Courier New" w:eastAsia="Courier New" w:hAnsi="Courier New"/>
          <w:sz w:val="16"/>
          <w:szCs w:val="16"/>
          <w:color w:val="auto"/>
        </w:rPr>
        <w:t>411,723</w:t>
      </w:r>
    </w:p>
    <w:p>
      <w:pPr>
        <w:spacing w:after="0" w:line="2" w:lineRule="exact"/>
        <w:rPr>
          <w:sz w:val="20"/>
          <w:szCs w:val="20"/>
          <w:color w:val="auto"/>
        </w:rPr>
      </w:pPr>
    </w:p>
    <w:p>
      <w:pPr>
        <w:ind w:left="5980"/>
        <w:spacing w:after="0"/>
        <w:rPr>
          <w:sz w:val="20"/>
          <w:szCs w:val="20"/>
          <w:color w:val="auto"/>
        </w:rPr>
      </w:pPr>
      <w:r>
        <w:rPr>
          <w:rFonts w:ascii="Courier New" w:cs="Courier New" w:eastAsia="Courier New" w:hAnsi="Courier New"/>
          <w:sz w:val="16"/>
          <w:szCs w:val="16"/>
          <w:color w:val="auto"/>
        </w:rPr>
        <w:t>1,458,158</w:t>
      </w:r>
    </w:p>
    <w:p>
      <w:pPr>
        <w:spacing w:after="0" w:line="2"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602,058</w:t>
      </w:r>
    </w:p>
    <w:p>
      <w:pPr>
        <w:spacing w:after="0" w:line="2" w:lineRule="exact"/>
        <w:rPr>
          <w:sz w:val="20"/>
          <w:szCs w:val="20"/>
          <w:color w:val="auto"/>
        </w:rPr>
      </w:pPr>
    </w:p>
    <w:p>
      <w:pPr>
        <w:ind w:left="5220"/>
        <w:spacing w:after="0"/>
        <w:rPr>
          <w:sz w:val="20"/>
          <w:szCs w:val="20"/>
          <w:color w:val="auto"/>
        </w:rPr>
      </w:pPr>
      <w:r>
        <w:rPr>
          <w:rFonts w:ascii="Courier New" w:cs="Courier New" w:eastAsia="Courier New" w:hAnsi="Courier New"/>
          <w:sz w:val="16"/>
          <w:szCs w:val="16"/>
          <w:color w:val="auto"/>
        </w:rPr>
        <w:t>2,798,350</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393,850</w:t>
      </w:r>
    </w:p>
    <w:p>
      <w:pPr>
        <w:spacing w:after="0" w:line="2" w:lineRule="exact"/>
        <w:rPr>
          <w:sz w:val="20"/>
          <w:szCs w:val="20"/>
          <w:color w:val="auto"/>
        </w:rPr>
      </w:pPr>
    </w:p>
    <w:p>
      <w:pPr>
        <w:ind w:left="6080"/>
        <w:spacing w:after="0"/>
        <w:rPr>
          <w:sz w:val="20"/>
          <w:szCs w:val="20"/>
          <w:color w:val="auto"/>
        </w:rPr>
      </w:pPr>
      <w:r>
        <w:rPr>
          <w:rFonts w:ascii="Courier New" w:cs="Courier New" w:eastAsia="Courier New" w:hAnsi="Courier New"/>
          <w:sz w:val="16"/>
          <w:szCs w:val="16"/>
          <w:color w:val="auto"/>
        </w:rPr>
        <w:t>397,490</w:t>
      </w:r>
    </w:p>
    <w:p>
      <w:pPr>
        <w:spacing w:after="0" w:line="2"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11,873</w:t>
      </w:r>
    </w:p>
    <w:p>
      <w:pPr>
        <w:spacing w:after="0" w:line="2" w:lineRule="exact"/>
        <w:rPr>
          <w:sz w:val="20"/>
          <w:szCs w:val="20"/>
          <w:color w:val="auto"/>
        </w:rPr>
      </w:pPr>
    </w:p>
    <w:p>
      <w:pPr>
        <w:ind w:left="62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6080"/>
        <w:spacing w:after="0"/>
        <w:rPr>
          <w:sz w:val="20"/>
          <w:szCs w:val="20"/>
          <w:color w:val="auto"/>
        </w:rPr>
      </w:pPr>
      <w:r>
        <w:rPr>
          <w:rFonts w:ascii="Courier New" w:cs="Courier New" w:eastAsia="Courier New" w:hAnsi="Courier New"/>
          <w:sz w:val="16"/>
          <w:szCs w:val="16"/>
          <w:color w:val="auto"/>
        </w:rPr>
        <w:t>20,000</w:t>
      </w:r>
    </w:p>
    <w:p>
      <w:pPr>
        <w:spacing w:after="0" w:line="2"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1,621,405</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2,798,350</w:t>
      </w:r>
    </w:p>
    <w:p>
      <w:pPr>
        <w:spacing w:after="0" w:line="2" w:lineRule="exact"/>
        <w:rPr>
          <w:sz w:val="20"/>
          <w:szCs w:val="20"/>
          <w:color w:val="auto"/>
        </w:rPr>
      </w:pPr>
    </w:p>
    <w:p>
      <w:pPr>
        <w:ind w:left="666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1,077,592</w:t>
      </w:r>
    </w:p>
    <w:p>
      <w:pPr>
        <w:spacing w:after="0" w:line="2"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5500"/>
        <w:spacing w:after="0"/>
        <w:rPr>
          <w:sz w:val="20"/>
          <w:szCs w:val="20"/>
          <w:color w:val="auto"/>
        </w:rPr>
      </w:pPr>
      <w:r>
        <w:rPr>
          <w:rFonts w:ascii="Courier New" w:cs="Courier New" w:eastAsia="Courier New" w:hAnsi="Courier New"/>
          <w:sz w:val="16"/>
          <w:szCs w:val="16"/>
          <w:color w:val="auto"/>
        </w:rPr>
        <w:t>580,756</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34,855</w:t>
      </w:r>
    </w:p>
    <w:p>
      <w:pPr>
        <w:spacing w:after="0" w:line="2"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12,254</w:t>
      </w:r>
    </w:p>
    <w:p>
      <w:pPr>
        <w:spacing w:after="0" w:line="2"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185,998</w:t>
      </w:r>
    </w:p>
    <w:p>
      <w:pPr>
        <w:spacing w:after="0" w:line="2"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72,900</w:t>
      </w:r>
    </w:p>
    <w:p>
      <w:pPr>
        <w:spacing w:after="0" w:line="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113,098</w:t>
      </w:r>
    </w:p>
    <w:p>
      <w:pPr>
        <w:spacing w:after="0" w:line="2" w:lineRule="exact"/>
        <w:rPr>
          <w:sz w:val="20"/>
          <w:szCs w:val="20"/>
          <w:color w:val="auto"/>
        </w:rPr>
      </w:pPr>
    </w:p>
    <w:p>
      <w:pPr>
        <w:ind w:left="59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646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jc w:val="center"/>
        <w:ind w:left="500"/>
        <w:spacing w:after="0"/>
        <w:rPr>
          <w:sz w:val="20"/>
          <w:szCs w:val="20"/>
          <w:color w:val="auto"/>
        </w:rPr>
      </w:pPr>
      <w:r>
        <w:rPr>
          <w:rFonts w:ascii="Courier New" w:cs="Courier New" w:eastAsia="Courier New" w:hAnsi="Courier New"/>
          <w:sz w:val="16"/>
          <w:szCs w:val="16"/>
          <w:color w:val="auto"/>
        </w:rPr>
        <w:t>113,098</w:t>
      </w:r>
    </w:p>
    <w:p>
      <w:pPr>
        <w:spacing w:after="0" w:line="2" w:lineRule="exact"/>
        <w:rPr>
          <w:sz w:val="20"/>
          <w:szCs w:val="20"/>
          <w:color w:val="auto"/>
        </w:rPr>
      </w:pPr>
    </w:p>
    <w:p>
      <w:pPr>
        <w:jc w:val="center"/>
        <w:ind w:left="500"/>
        <w:spacing w:after="0"/>
        <w:rPr>
          <w:sz w:val="20"/>
          <w:szCs w:val="20"/>
          <w:color w:val="auto"/>
        </w:rPr>
      </w:pPr>
      <w:r>
        <w:rPr>
          <w:rFonts w:ascii="Courier New" w:cs="Courier New" w:eastAsia="Courier New" w:hAnsi="Courier New"/>
          <w:sz w:val="16"/>
          <w:szCs w:val="16"/>
          <w:color w:val="auto"/>
        </w:rPr>
        <w:t>11.13</w:t>
      </w:r>
    </w:p>
    <w:p>
      <w:pPr>
        <w:spacing w:after="0" w:line="2" w:lineRule="exact"/>
        <w:rPr>
          <w:sz w:val="20"/>
          <w:szCs w:val="20"/>
          <w:color w:val="auto"/>
        </w:rPr>
      </w:pPr>
    </w:p>
    <w:p>
      <w:pPr>
        <w:jc w:val="center"/>
        <w:ind w:left="500"/>
        <w:spacing w:after="0"/>
        <w:rPr>
          <w:sz w:val="20"/>
          <w:szCs w:val="20"/>
          <w:color w:val="auto"/>
        </w:rPr>
      </w:pPr>
      <w:r>
        <w:rPr>
          <w:rFonts w:ascii="Courier New" w:cs="Courier New" w:eastAsia="Courier New" w:hAnsi="Courier New"/>
          <w:sz w:val="16"/>
          <w:szCs w:val="16"/>
          <w:color w:val="auto"/>
        </w:rPr>
        <w:t>11.08</w:t>
      </w:r>
    </w:p>
    <w:sectPr>
      <w:pgSz w:w="11900" w:h="16838" w:orient="portrait"/>
      <w:cols w:equalWidth="0" w:num="1">
        <w:col w:w="10199"/>
      </w:cols>
      <w:pgMar w:left="260" w:top="6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decimal"/>
      <w:start w:val="11"/>
    </w:lvl>
  </w:abstractNum>
  <w:abstractNum w:abstractNumId="2">
    <w:nsid w:val="2AE8944A"/>
    <w:multiLevelType w:val="hybridMultilevel"/>
    <w:lvl w:ilvl="0">
      <w:lvlJc w:val="left"/>
      <w:lvlText w:val="%1"/>
      <w:numFmt w:val="decimal"/>
      <w:start w:val="27"/>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2020-02-22T14:35:42Z</dcterms:created>
  <dcterms:modified xsi:type="dcterms:W3CDTF">2020-02-22T14:35:42Z</dcterms:modified>
</cp:coreProperties>
</file>