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800735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766445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160020</wp:posOffset>
            </wp:positionV>
            <wp:extent cx="48691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35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209550</wp:posOffset>
            </wp:positionV>
            <wp:extent cx="48691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86918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3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Date of Report (Date of earliest event reported) </w:t>
      </w:r>
      <w:r>
        <w:rPr>
          <w:rFonts w:ascii="Arial" w:cs="Arial" w:eastAsia="Arial" w:hAnsi="Arial"/>
          <w:sz w:val="22"/>
          <w:szCs w:val="22"/>
          <w:b w:val="1"/>
          <w:bCs w:val="1"/>
          <w:u w:val="single" w:color="auto"/>
          <w:color w:val="auto"/>
        </w:rPr>
        <w:t>August 5, 2020</w:t>
      </w:r>
    </w:p>
    <w:p>
      <w:pPr>
        <w:spacing w:after="0" w:line="15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GRAHAM HOLDINGS COMPANY</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20" w:lineRule="exact"/>
        <w:rPr>
          <w:sz w:val="24"/>
          <w:szCs w:val="24"/>
          <w:color w:val="auto"/>
        </w:rPr>
      </w:pPr>
    </w:p>
    <w:tbl>
      <w:tblPr>
        <w:tblLayout w:type="fixed"/>
        <w:tblInd w:w="920" w:type="dxa"/>
        <w:tblCellMar>
          <w:top w:w="0" w:type="dxa"/>
          <w:left w:w="0" w:type="dxa"/>
          <w:bottom w:w="0" w:type="dxa"/>
          <w:right w:w="0" w:type="dxa"/>
        </w:tblCellMar>
      </w:tblPr>
      <w:tr>
        <w:trPr>
          <w:trHeight w:val="239"/>
        </w:trPr>
        <w:tc>
          <w:tcPr>
            <w:tcW w:w="3820" w:type="dxa"/>
            <w:vAlign w:val="bottom"/>
          </w:tcPr>
          <w:p>
            <w:pPr>
              <w:jc w:val="center"/>
              <w:ind w:right="201"/>
              <w:spacing w:after="0"/>
              <w:rPr>
                <w:sz w:val="20"/>
                <w:szCs w:val="20"/>
                <w:color w:val="auto"/>
              </w:rPr>
            </w:pPr>
            <w:r>
              <w:rPr>
                <w:rFonts w:ascii="Arial" w:cs="Arial" w:eastAsia="Arial" w:hAnsi="Arial"/>
                <w:sz w:val="18"/>
                <w:szCs w:val="18"/>
                <w:b w:val="1"/>
                <w:bCs w:val="1"/>
                <w:color w:val="auto"/>
                <w:w w:val="98"/>
              </w:rPr>
              <w:t>Delaware</w:t>
            </w:r>
          </w:p>
        </w:tc>
        <w:tc>
          <w:tcPr>
            <w:tcW w:w="2780" w:type="dxa"/>
            <w:vAlign w:val="bottom"/>
          </w:tcPr>
          <w:p>
            <w:pPr>
              <w:jc w:val="center"/>
              <w:spacing w:after="0"/>
              <w:rPr>
                <w:sz w:val="20"/>
                <w:szCs w:val="20"/>
                <w:color w:val="auto"/>
              </w:rPr>
            </w:pPr>
            <w:r>
              <w:rPr>
                <w:rFonts w:ascii="Arial" w:cs="Arial" w:eastAsia="Arial" w:hAnsi="Arial"/>
                <w:sz w:val="18"/>
                <w:szCs w:val="18"/>
                <w:b w:val="1"/>
                <w:bCs w:val="1"/>
                <w:color w:val="auto"/>
                <w:w w:val="99"/>
              </w:rPr>
              <w:t>001-06714</w:t>
            </w:r>
          </w:p>
        </w:tc>
        <w:tc>
          <w:tcPr>
            <w:tcW w:w="214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r>
      <w:tr>
        <w:trPr>
          <w:trHeight w:val="189"/>
        </w:trPr>
        <w:tc>
          <w:tcPr>
            <w:tcW w:w="3820" w:type="dxa"/>
            <w:vAlign w:val="bottom"/>
          </w:tcPr>
          <w:p>
            <w:pPr>
              <w:jc w:val="center"/>
              <w:ind w:right="201"/>
              <w:spacing w:after="0"/>
              <w:rPr>
                <w:sz w:val="20"/>
                <w:szCs w:val="20"/>
                <w:color w:val="auto"/>
              </w:rPr>
            </w:pPr>
            <w:r>
              <w:rPr>
                <w:rFonts w:ascii="Arial" w:cs="Arial" w:eastAsia="Arial" w:hAnsi="Arial"/>
                <w:sz w:val="14"/>
                <w:szCs w:val="14"/>
                <w:b w:val="1"/>
                <w:bCs w:val="1"/>
                <w:color w:val="auto"/>
              </w:rPr>
              <w:t>(State or other jurisdiction of</w:t>
            </w:r>
          </w:p>
        </w:tc>
        <w:tc>
          <w:tcPr>
            <w:tcW w:w="2780" w:type="dxa"/>
            <w:vAlign w:val="bottom"/>
          </w:tcPr>
          <w:p>
            <w:pPr>
              <w:jc w:val="center"/>
              <w:spacing w:after="0"/>
              <w:rPr>
                <w:sz w:val="20"/>
                <w:szCs w:val="20"/>
                <w:color w:val="auto"/>
              </w:rPr>
            </w:pPr>
            <w:r>
              <w:rPr>
                <w:rFonts w:ascii="Arial" w:cs="Arial" w:eastAsia="Arial" w:hAnsi="Arial"/>
                <w:sz w:val="14"/>
                <w:szCs w:val="14"/>
                <w:b w:val="1"/>
                <w:bCs w:val="1"/>
                <w:color w:val="auto"/>
              </w:rPr>
              <w:t>(Commission</w:t>
            </w: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3820" w:type="dxa"/>
            <w:vAlign w:val="bottom"/>
          </w:tcPr>
          <w:p>
            <w:pPr>
              <w:jc w:val="center"/>
              <w:ind w:right="201"/>
              <w:spacing w:after="0"/>
              <w:rPr>
                <w:sz w:val="20"/>
                <w:szCs w:val="20"/>
                <w:color w:val="auto"/>
              </w:rPr>
            </w:pPr>
            <w:r>
              <w:rPr>
                <w:rFonts w:ascii="Arial" w:cs="Arial" w:eastAsia="Arial" w:hAnsi="Arial"/>
                <w:sz w:val="14"/>
                <w:szCs w:val="14"/>
                <w:b w:val="1"/>
                <w:bCs w:val="1"/>
                <w:color w:val="auto"/>
              </w:rPr>
              <w:t>incorporation)</w:t>
            </w:r>
          </w:p>
        </w:tc>
        <w:tc>
          <w:tcPr>
            <w:tcW w:w="2780" w:type="dxa"/>
            <w:vAlign w:val="bottom"/>
          </w:tcPr>
          <w:p>
            <w:pPr>
              <w:jc w:val="center"/>
              <w:spacing w:after="0"/>
              <w:rPr>
                <w:sz w:val="20"/>
                <w:szCs w:val="20"/>
                <w:color w:val="auto"/>
              </w:rPr>
            </w:pPr>
            <w:r>
              <w:rPr>
                <w:rFonts w:ascii="Arial" w:cs="Arial" w:eastAsia="Arial" w:hAnsi="Arial"/>
                <w:sz w:val="14"/>
                <w:szCs w:val="14"/>
                <w:b w:val="1"/>
                <w:bCs w:val="1"/>
                <w:color w:val="auto"/>
              </w:rPr>
              <w:t>File Number)</w:t>
            </w: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Identification No.)</w:t>
            </w:r>
          </w:p>
        </w:tc>
      </w:tr>
      <w:tr>
        <w:trPr>
          <w:trHeight w:val="512"/>
        </w:trPr>
        <w:tc>
          <w:tcPr>
            <w:tcW w:w="3820" w:type="dxa"/>
            <w:vAlign w:val="bottom"/>
          </w:tcPr>
          <w:p>
            <w:pPr>
              <w:jc w:val="center"/>
              <w:ind w:right="181"/>
              <w:spacing w:after="0"/>
              <w:rPr>
                <w:sz w:val="20"/>
                <w:szCs w:val="20"/>
                <w:color w:val="auto"/>
              </w:rPr>
            </w:pPr>
            <w:r>
              <w:rPr>
                <w:rFonts w:ascii="Arial" w:cs="Arial" w:eastAsia="Arial" w:hAnsi="Arial"/>
                <w:sz w:val="18"/>
                <w:szCs w:val="18"/>
                <w:b w:val="1"/>
                <w:bCs w:val="1"/>
                <w:color w:val="auto"/>
                <w:w w:val="99"/>
              </w:rPr>
              <w:t>1300 North 17th Street, Arlington, Virginia</w:t>
            </w:r>
          </w:p>
        </w:tc>
        <w:tc>
          <w:tcPr>
            <w:tcW w:w="2780" w:type="dxa"/>
            <w:vAlign w:val="bottom"/>
          </w:tcPr>
          <w:p>
            <w:pPr>
              <w:spacing w:after="0"/>
              <w:rPr>
                <w:sz w:val="24"/>
                <w:szCs w:val="24"/>
                <w:color w:val="auto"/>
              </w:rPr>
            </w:pPr>
          </w:p>
        </w:tc>
        <w:tc>
          <w:tcPr>
            <w:tcW w:w="2140" w:type="dxa"/>
            <w:vAlign w:val="bottom"/>
          </w:tcPr>
          <w:p>
            <w:pPr>
              <w:jc w:val="right"/>
              <w:ind w:right="281"/>
              <w:spacing w:after="0"/>
              <w:rPr>
                <w:sz w:val="20"/>
                <w:szCs w:val="20"/>
                <w:color w:val="auto"/>
              </w:rPr>
            </w:pPr>
            <w:r>
              <w:rPr>
                <w:rFonts w:ascii="Arial" w:cs="Arial" w:eastAsia="Arial" w:hAnsi="Arial"/>
                <w:sz w:val="18"/>
                <w:szCs w:val="18"/>
                <w:b w:val="1"/>
                <w:bCs w:val="1"/>
                <w:color w:val="auto"/>
              </w:rPr>
              <w:t>22209</w:t>
            </w:r>
          </w:p>
        </w:tc>
      </w:tr>
      <w:tr>
        <w:trPr>
          <w:trHeight w:val="218"/>
        </w:trPr>
        <w:tc>
          <w:tcPr>
            <w:tcW w:w="3820" w:type="dxa"/>
            <w:vAlign w:val="bottom"/>
          </w:tcPr>
          <w:p>
            <w:pPr>
              <w:jc w:val="center"/>
              <w:ind w:right="181"/>
              <w:spacing w:after="0"/>
              <w:rPr>
                <w:sz w:val="20"/>
                <w:szCs w:val="20"/>
                <w:color w:val="auto"/>
              </w:rPr>
            </w:pPr>
            <w:r>
              <w:rPr>
                <w:rFonts w:ascii="Arial" w:cs="Arial" w:eastAsia="Arial" w:hAnsi="Arial"/>
                <w:sz w:val="14"/>
                <w:szCs w:val="14"/>
                <w:b w:val="1"/>
                <w:bCs w:val="1"/>
                <w:color w:val="auto"/>
              </w:rPr>
              <w:t>(Address of principal executive offices)</w:t>
            </w:r>
          </w:p>
        </w:tc>
        <w:tc>
          <w:tcPr>
            <w:tcW w:w="2780" w:type="dxa"/>
            <w:vAlign w:val="bottom"/>
          </w:tcPr>
          <w:p>
            <w:pPr>
              <w:spacing w:after="0"/>
              <w:rPr>
                <w:sz w:val="18"/>
                <w:szCs w:val="18"/>
                <w:color w:val="auto"/>
              </w:rPr>
            </w:pP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(Zip Code)</w:t>
            </w:r>
          </w:p>
        </w:tc>
      </w:tr>
      <w:tr>
        <w:trPr>
          <w:trHeight w:val="430"/>
        </w:trPr>
        <w:tc>
          <w:tcPr>
            <w:tcW w:w="3820" w:type="dxa"/>
            <w:vAlign w:val="bottom"/>
          </w:tcPr>
          <w:p>
            <w:pPr>
              <w:spacing w:after="0"/>
              <w:rPr>
                <w:sz w:val="24"/>
                <w:szCs w:val="24"/>
                <w:color w:val="auto"/>
              </w:rPr>
            </w:pPr>
          </w:p>
        </w:tc>
        <w:tc>
          <w:tcPr>
            <w:tcW w:w="2780" w:type="dxa"/>
            <w:vAlign w:val="bottom"/>
          </w:tcPr>
          <w:p>
            <w:pPr>
              <w:jc w:val="right"/>
              <w:ind w:right="1199"/>
              <w:spacing w:after="0"/>
              <w:rPr>
                <w:sz w:val="20"/>
                <w:szCs w:val="20"/>
                <w:color w:val="auto"/>
              </w:rPr>
            </w:pPr>
            <w:r>
              <w:rPr>
                <w:rFonts w:ascii="Arial" w:cs="Arial" w:eastAsia="Arial" w:hAnsi="Arial"/>
                <w:sz w:val="18"/>
                <w:szCs w:val="18"/>
                <w:b w:val="1"/>
                <w:bCs w:val="1"/>
                <w:color w:val="auto"/>
              </w:rPr>
              <w:t>(703) 345-6300</w:t>
            </w:r>
          </w:p>
        </w:tc>
        <w:tc>
          <w:tcPr>
            <w:tcW w:w="2140" w:type="dxa"/>
            <w:vAlign w:val="bottom"/>
          </w:tcPr>
          <w:p>
            <w:pPr>
              <w:spacing w:after="0"/>
              <w:rPr>
                <w:sz w:val="24"/>
                <w:szCs w:val="24"/>
                <w:color w:val="auto"/>
              </w:rPr>
            </w:pPr>
          </w:p>
        </w:tc>
      </w:tr>
    </w:tbl>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128905</wp:posOffset>
            </wp:positionV>
            <wp:extent cx="48691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388" w:lineRule="exact"/>
        <w:rPr>
          <w:sz w:val="24"/>
          <w:szCs w:val="24"/>
          <w:color w:val="auto"/>
        </w:rPr>
      </w:pPr>
    </w:p>
    <w:p>
      <w:pPr>
        <w:ind w:right="280"/>
        <w:spacing w:after="0" w:line="242"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371" w:lineRule="exact"/>
        <w:rPr>
          <w:sz w:val="24"/>
          <w:szCs w:val="24"/>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378"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4860" w:type="dxa"/>
            <w:vAlign w:val="bottom"/>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060" w:type="dxa"/>
            <w:vAlign w:val="bottom"/>
          </w:tcPr>
          <w:p>
            <w:pPr>
              <w:spacing w:after="0"/>
              <w:rPr>
                <w:sz w:val="16"/>
                <w:szCs w:val="16"/>
                <w:color w:val="auto"/>
              </w:rPr>
            </w:pPr>
          </w:p>
        </w:tc>
        <w:tc>
          <w:tcPr>
            <w:tcW w:w="4300" w:type="dxa"/>
            <w:vAlign w:val="bottom"/>
          </w:tcPr>
          <w:p>
            <w:pPr>
              <w:spacing w:after="0"/>
              <w:rPr>
                <w:sz w:val="16"/>
                <w:szCs w:val="16"/>
                <w:color w:val="auto"/>
              </w:rPr>
            </w:pPr>
          </w:p>
        </w:tc>
      </w:tr>
      <w:tr>
        <w:trPr>
          <w:trHeight w:val="431"/>
        </w:trPr>
        <w:tc>
          <w:tcPr>
            <w:tcW w:w="4860" w:type="dxa"/>
            <w:vAlign w:val="bottom"/>
            <w:tcBorders>
              <w:bottom w:val="single" w:sz="8" w:color="auto"/>
            </w:tcBorders>
          </w:tcPr>
          <w:p>
            <w:pPr>
              <w:jc w:val="center"/>
              <w:ind w:left="159"/>
              <w:spacing w:after="0"/>
              <w:rPr>
                <w:sz w:val="20"/>
                <w:szCs w:val="20"/>
                <w:color w:val="auto"/>
              </w:rPr>
            </w:pPr>
            <w:r>
              <w:rPr>
                <w:rFonts w:ascii="Arial" w:cs="Arial" w:eastAsia="Arial" w:hAnsi="Arial"/>
                <w:sz w:val="16"/>
                <w:szCs w:val="16"/>
                <w:color w:val="auto"/>
              </w:rPr>
              <w:t>Title of each class</w:t>
            </w: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Trading symbol</w:t>
            </w:r>
          </w:p>
        </w:tc>
        <w:tc>
          <w:tcPr>
            <w:tcW w:w="430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color w:val="auto"/>
              </w:rPr>
              <w:t>Name of each exchange on which registered</w:t>
            </w:r>
          </w:p>
        </w:tc>
      </w:tr>
      <w:tr>
        <w:trPr>
          <w:trHeight w:val="224"/>
        </w:trPr>
        <w:tc>
          <w:tcPr>
            <w:tcW w:w="4860" w:type="dxa"/>
            <w:vAlign w:val="bottom"/>
          </w:tcPr>
          <w:p>
            <w:pPr>
              <w:jc w:val="center"/>
              <w:ind w:left="159"/>
              <w:spacing w:after="0"/>
              <w:rPr>
                <w:sz w:val="20"/>
                <w:szCs w:val="20"/>
                <w:color w:val="auto"/>
              </w:rPr>
            </w:pPr>
            <w:r>
              <w:rPr>
                <w:rFonts w:ascii="Arial" w:cs="Arial" w:eastAsia="Arial" w:hAnsi="Arial"/>
                <w:sz w:val="16"/>
                <w:szCs w:val="16"/>
                <w:color w:val="auto"/>
              </w:rPr>
              <w:t>Class B Common Stock, par value $1.00 per share</w:t>
            </w:r>
          </w:p>
        </w:tc>
        <w:tc>
          <w:tcPr>
            <w:tcW w:w="2060" w:type="dxa"/>
            <w:vAlign w:val="bottom"/>
          </w:tcPr>
          <w:p>
            <w:pPr>
              <w:jc w:val="center"/>
              <w:spacing w:after="0"/>
              <w:rPr>
                <w:sz w:val="20"/>
                <w:szCs w:val="20"/>
                <w:color w:val="auto"/>
              </w:rPr>
            </w:pPr>
            <w:r>
              <w:rPr>
                <w:rFonts w:ascii="Arial" w:cs="Arial" w:eastAsia="Arial" w:hAnsi="Arial"/>
                <w:sz w:val="16"/>
                <w:szCs w:val="16"/>
                <w:color w:val="auto"/>
              </w:rPr>
              <w:t>GHC</w:t>
            </w:r>
          </w:p>
        </w:tc>
        <w:tc>
          <w:tcPr>
            <w:tcW w:w="4300" w:type="dxa"/>
            <w:vAlign w:val="bottom"/>
          </w:tcPr>
          <w:p>
            <w:pPr>
              <w:jc w:val="center"/>
              <w:ind w:right="119"/>
              <w:spacing w:after="0"/>
              <w:rPr>
                <w:sz w:val="20"/>
                <w:szCs w:val="20"/>
                <w:color w:val="auto"/>
              </w:rPr>
            </w:pPr>
            <w:r>
              <w:rPr>
                <w:rFonts w:ascii="Arial" w:cs="Arial" w:eastAsia="Arial" w:hAnsi="Arial"/>
                <w:sz w:val="16"/>
                <w:szCs w:val="16"/>
                <w:color w:val="auto"/>
              </w:rPr>
              <w:t>New York Stock Exchange</w:t>
            </w:r>
          </w:p>
        </w:tc>
      </w:tr>
    </w:tbl>
    <w:p>
      <w:pPr>
        <w:spacing w:after="0" w:line="224" w:lineRule="exact"/>
        <w:rPr>
          <w:sz w:val="24"/>
          <w:szCs w:val="24"/>
          <w:color w:val="auto"/>
        </w:rPr>
      </w:pPr>
    </w:p>
    <w:p>
      <w:pPr>
        <w:ind w:right="580"/>
        <w:spacing w:after="0" w:line="242"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(§240.12b-2 of this chapter).</w:t>
      </w:r>
    </w:p>
    <w:p>
      <w:pPr>
        <w:spacing w:after="0" w:line="262" w:lineRule="exact"/>
        <w:rPr>
          <w:sz w:val="24"/>
          <w:szCs w:val="24"/>
          <w:color w:val="auto"/>
        </w:rPr>
      </w:pPr>
    </w:p>
    <w:p>
      <w:pPr>
        <w:ind w:left="20"/>
        <w:spacing w:after="0" w:line="184" w:lineRule="exact"/>
        <w:tabs>
          <w:tab w:leader="none" w:pos="356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76" w:lineRule="exact"/>
        <w:rPr>
          <w:sz w:val="24"/>
          <w:szCs w:val="24"/>
          <w:color w:val="auto"/>
        </w:rPr>
      </w:pPr>
    </w:p>
    <w:p>
      <w:pPr>
        <w:ind w:right="120"/>
        <w:spacing w:after="0" w:line="205"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784860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18" w:right="359" w:bottom="1440" w:gutter="0" w:footer="0" w:header="0"/>
        </w:sectPr>
      </w:pPr>
    </w:p>
    <w:bookmarkStart w:id="1" w:name="page2"/>
    <w:bookmarkEnd w:id="1"/>
    <w:p>
      <w:pPr>
        <w:spacing w:after="0"/>
        <w:tabs>
          <w:tab w:leader="none" w:pos="12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89140" cy="8255"/>
                    </a:xfrm>
                    <a:prstGeom prst="rect">
                      <a:avLst/>
                    </a:prstGeom>
                    <a:noFill/>
                  </pic:spPr>
                </pic:pic>
              </a:graphicData>
            </a:graphic>
          </wp:anchor>
        </w:drawing>
        <w:t>Item 2.02</w:t>
      </w:r>
      <w:r>
        <w:rPr>
          <w:sz w:val="20"/>
          <w:szCs w:val="20"/>
          <w:color w:val="auto"/>
        </w:rPr>
        <w:tab/>
      </w:r>
      <w:r>
        <w:rPr>
          <w:rFonts w:ascii="Arial" w:cs="Arial" w:eastAsia="Arial" w:hAnsi="Arial"/>
          <w:sz w:val="17"/>
          <w:szCs w:val="17"/>
          <w:b w:val="1"/>
          <w:bCs w:val="1"/>
          <w:color w:val="auto"/>
        </w:rPr>
        <w:t>Results of Operations and Financial Condition.</w:t>
      </w:r>
    </w:p>
    <w:p>
      <w:pPr>
        <w:spacing w:after="0" w:line="28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On August 5, 2020, Graham Holdings Company issued a press release announcing the Company’s earnings for the second quarter ended June 30, 2020. A copy of this press release is furnished with this report as an exhibit to this Form 8-K.</w:t>
      </w:r>
    </w:p>
    <w:p>
      <w:pPr>
        <w:spacing w:after="0" w:line="200" w:lineRule="exact"/>
        <w:rPr>
          <w:sz w:val="20"/>
          <w:szCs w:val="20"/>
          <w:color w:val="auto"/>
        </w:rPr>
      </w:pPr>
    </w:p>
    <w:p>
      <w:pPr>
        <w:spacing w:after="0" w:line="273"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Exhibit 99.1 Graham Holdings Company Earnings Release Dated August 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546100</wp:posOffset>
            </wp:positionV>
            <wp:extent cx="7089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1089" w:right="5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255"/>
                    </a:xfrm>
                    <a:prstGeom prst="rect">
                      <a:avLst/>
                    </a:prstGeom>
                    <a:noFill/>
                  </pic:spPr>
                </pic:pic>
              </a:graphicData>
            </a:graphic>
          </wp:anchor>
        </w:drawing>
        <w:t>Exhibit Index</w:t>
      </w:r>
    </w:p>
    <w:p>
      <w:pPr>
        <w:spacing w:after="0" w:line="200" w:lineRule="exact"/>
        <w:rPr>
          <w:sz w:val="20"/>
          <w:szCs w:val="20"/>
          <w:color w:val="auto"/>
        </w:rPr>
      </w:pPr>
    </w:p>
    <w:p>
      <w:pPr>
        <w:spacing w:after="0" w:line="263" w:lineRule="exact"/>
        <w:rPr>
          <w:sz w:val="20"/>
          <w:szCs w:val="20"/>
          <w:color w:val="auto"/>
        </w:rPr>
      </w:pPr>
    </w:p>
    <w:p>
      <w:pPr>
        <w:spacing w:after="0"/>
        <w:tabs>
          <w:tab w:leader="none" w:pos="1120" w:val="left"/>
        </w:tabs>
        <w:rPr>
          <w:rFonts w:ascii="Arial" w:cs="Arial" w:eastAsia="Arial" w:hAnsi="Arial"/>
          <w:sz w:val="17"/>
          <w:szCs w:val="17"/>
          <w:u w:val="single" w:color="auto"/>
          <w:color w:val="0000FF"/>
        </w:rPr>
      </w:pPr>
      <w:r>
        <w:rPr>
          <w:rFonts w:ascii="Arial" w:cs="Arial" w:eastAsia="Arial" w:hAnsi="Arial"/>
          <w:sz w:val="18"/>
          <w:szCs w:val="18"/>
          <w:color w:val="auto"/>
        </w:rPr>
        <w:t>Exhibit 99.1</w:t>
      </w:r>
      <w:r>
        <w:rPr>
          <w:sz w:val="20"/>
          <w:szCs w:val="20"/>
          <w:color w:val="auto"/>
        </w:rPr>
        <w:tab/>
      </w:r>
      <w:hyperlink w:anchor="page5">
        <w:r>
          <w:rPr>
            <w:rFonts w:ascii="Arial" w:cs="Arial" w:eastAsia="Arial" w:hAnsi="Arial"/>
            <w:sz w:val="17"/>
            <w:szCs w:val="17"/>
            <w:u w:val="single" w:color="auto"/>
            <w:color w:val="0000FF"/>
          </w:rPr>
          <w:t>Graham Holdings Company Earnings Release dated August 5, 2020.</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Exhibit 104 Cover Page Interactive Data File, formatted in Inline XBRL and included as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391795</wp:posOffset>
            </wp:positionV>
            <wp:extent cx="70891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089" w:right="1440"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9140" cy="8255"/>
                    </a:xfrm>
                    <a:prstGeom prst="rect">
                      <a:avLst/>
                    </a:prstGeom>
                    <a:noFill/>
                  </pic:spPr>
                </pic:pic>
              </a:graphicData>
            </a:graphic>
          </wp:anchor>
        </w:drawing>
        <w:t>SIGNATURE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62" w:lineRule="exact"/>
        <w:rPr>
          <w:sz w:val="20"/>
          <w:szCs w:val="20"/>
          <w:color w:val="auto"/>
        </w:rPr>
      </w:pPr>
    </w:p>
    <w:p>
      <w:pPr>
        <w:jc w:val="center"/>
        <w:ind w:left="7140"/>
        <w:spacing w:after="0"/>
        <w:rPr>
          <w:sz w:val="20"/>
          <w:szCs w:val="20"/>
          <w:color w:val="auto"/>
        </w:rPr>
      </w:pPr>
      <w:r>
        <w:rPr>
          <w:rFonts w:ascii="Arial" w:cs="Arial" w:eastAsia="Arial" w:hAnsi="Arial"/>
          <w:sz w:val="18"/>
          <w:szCs w:val="18"/>
          <w:color w:val="auto"/>
        </w:rPr>
        <w:t>Graham Holdings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14605</wp:posOffset>
            </wp:positionV>
            <wp:extent cx="25457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43" w:lineRule="exact"/>
        <w:rPr>
          <w:sz w:val="20"/>
          <w:szCs w:val="20"/>
          <w:color w:val="auto"/>
        </w:rPr>
      </w:pPr>
    </w:p>
    <w:p>
      <w:pPr>
        <w:jc w:val="center"/>
        <w:ind w:left="714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63" w:lineRule="exact"/>
        <w:rPr>
          <w:sz w:val="20"/>
          <w:szCs w:val="20"/>
          <w:color w:val="auto"/>
        </w:rPr>
      </w:pPr>
    </w:p>
    <w:p>
      <w:pPr>
        <w:ind w:left="20"/>
        <w:spacing w:after="0"/>
        <w:tabs>
          <w:tab w:leader="none" w:pos="8280" w:val="left"/>
        </w:tabs>
        <w:rPr>
          <w:sz w:val="20"/>
          <w:szCs w:val="20"/>
          <w:color w:val="auto"/>
        </w:rPr>
      </w:pPr>
      <w:r>
        <w:rPr>
          <w:rFonts w:ascii="Arial" w:cs="Arial" w:eastAsia="Arial" w:hAnsi="Arial"/>
          <w:sz w:val="18"/>
          <w:szCs w:val="18"/>
          <w:color w:val="auto"/>
        </w:rPr>
        <w:t>Date: August 5, 2020</w:t>
      </w:r>
      <w:r>
        <w:rPr>
          <w:sz w:val="20"/>
          <w:szCs w:val="20"/>
          <w:color w:val="auto"/>
        </w:rPr>
        <w:tab/>
      </w:r>
      <w:r>
        <w:rPr>
          <w:rFonts w:ascii="Arial" w:cs="Arial" w:eastAsia="Arial" w:hAnsi="Arial"/>
          <w:sz w:val="17"/>
          <w:szCs w:val="17"/>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14605</wp:posOffset>
            </wp:positionV>
            <wp:extent cx="25457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39" w:lineRule="exact"/>
        <w:rPr>
          <w:sz w:val="20"/>
          <w:szCs w:val="20"/>
          <w:color w:val="auto"/>
        </w:rPr>
      </w:pPr>
    </w:p>
    <w:p>
      <w:pPr>
        <w:jc w:val="center"/>
        <w:ind w:left="7140"/>
        <w:spacing w:after="0"/>
        <w:rPr>
          <w:sz w:val="20"/>
          <w:szCs w:val="20"/>
          <w:color w:val="auto"/>
        </w:rPr>
      </w:pPr>
      <w:r>
        <w:rPr>
          <w:rFonts w:ascii="Arial" w:cs="Arial" w:eastAsia="Arial" w:hAnsi="Arial"/>
          <w:sz w:val="18"/>
          <w:szCs w:val="18"/>
          <w:color w:val="auto"/>
        </w:rPr>
        <w:t>Wallace R. Cooney,</w:t>
      </w:r>
    </w:p>
    <w:p>
      <w:pPr>
        <w:jc w:val="center"/>
        <w:ind w:left="714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jc w:val="center"/>
        <w:ind w:left="714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1035050</wp:posOffset>
            </wp:positionV>
            <wp:extent cx="70891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320" w:top="1089" w:right="379" w:bottom="1440" w:gutter="0" w:footer="0" w:header="0"/>
        </w:sectPr>
      </w:pPr>
    </w:p>
    <w:bookmarkStart w:id="4" w:name="page5"/>
    <w:bookmarkEnd w:id="4"/>
    <w:p>
      <w:pPr>
        <w:jc w:val="right"/>
        <w:spacing w:after="0"/>
        <w:rPr>
          <w:sz w:val="20"/>
          <w:szCs w:val="20"/>
          <w:color w:val="auto"/>
        </w:rPr>
      </w:pPr>
      <w:r>
        <w:rPr>
          <w:rFonts w:ascii="Arial" w:cs="Arial" w:eastAsia="Arial" w:hAnsi="Arial"/>
          <w:sz w:val="17"/>
          <w:szCs w:val="17"/>
          <w:b w:val="1"/>
          <w:bCs w:val="1"/>
          <w:color w:val="auto"/>
        </w:rPr>
        <w:t>Exhibit 99.1</w:t>
      </w:r>
    </w:p>
    <w:p>
      <w:pPr>
        <w:sectPr>
          <w:pgSz w:w="11900" w:h="16838" w:orient="portrait"/>
          <w:cols w:equalWidth="0" w:num="1">
            <w:col w:w="11240"/>
          </w:cols>
          <w:pgMar w:left="320" w:top="10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Contact: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color w:val="auto"/>
        </w:rPr>
        <w:t>Wallace R. Cooney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color w:val="auto"/>
        </w:rPr>
        <w:t>For Immediate Release</w:t>
      </w:r>
    </w:p>
    <w:p>
      <w:pPr>
        <w:spacing w:after="0" w:line="61" w:lineRule="exact"/>
        <w:rPr>
          <w:sz w:val="20"/>
          <w:szCs w:val="20"/>
          <w:color w:val="auto"/>
        </w:rPr>
      </w:pPr>
    </w:p>
    <w:p>
      <w:pPr>
        <w:sectPr>
          <w:pgSz w:w="11900" w:h="16838" w:orient="portrait"/>
          <w:cols w:equalWidth="0" w:num="3">
            <w:col w:w="820" w:space="720"/>
            <w:col w:w="6520" w:space="720"/>
            <w:col w:w="2460"/>
          </w:cols>
          <w:pgMar w:left="320" w:top="1035" w:right="339" w:bottom="1440" w:gutter="0" w:footer="0" w:header="0"/>
          <w:type w:val="continuous"/>
        </w:sectPr>
      </w:pPr>
    </w:p>
    <w:p>
      <w:pPr>
        <w:ind w:left="1540"/>
        <w:spacing w:after="0"/>
        <w:rPr>
          <w:sz w:val="20"/>
          <w:szCs w:val="20"/>
          <w:color w:val="auto"/>
        </w:rPr>
      </w:pPr>
      <w:r>
        <w:rPr>
          <w:rFonts w:ascii="Arial" w:cs="Arial" w:eastAsia="Arial" w:hAnsi="Arial"/>
          <w:sz w:val="17"/>
          <w:szCs w:val="17"/>
          <w:color w:val="auto"/>
        </w:rPr>
        <w:t>(703) 345-6470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August 5, 2020</w:t>
      </w:r>
    </w:p>
    <w:p>
      <w:pPr>
        <w:spacing w:after="0" w:line="200" w:lineRule="exact"/>
        <w:rPr>
          <w:sz w:val="20"/>
          <w:szCs w:val="20"/>
          <w:color w:val="auto"/>
        </w:rPr>
      </w:pPr>
    </w:p>
    <w:p>
      <w:pPr>
        <w:sectPr>
          <w:pgSz w:w="11900" w:h="16838" w:orient="portrait"/>
          <w:cols w:equalWidth="0" w:num="2">
            <w:col w:w="8060" w:space="720"/>
            <w:col w:w="2460"/>
          </w:cols>
          <w:pgMar w:left="320" w:top="1035" w:right="339" w:bottom="1440" w:gutter="0" w:footer="0" w:header="0"/>
          <w:type w:val="continuous"/>
        </w:sectPr>
      </w:pPr>
    </w:p>
    <w:p>
      <w:pPr>
        <w:spacing w:after="0" w:line="13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GRAHAM HOLDINGS COMPANY REPORTS</w:t>
      </w:r>
    </w:p>
    <w:p>
      <w:pPr>
        <w:spacing w:after="0" w:line="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SECOND QUARTER EARNINGS</w:t>
      </w:r>
    </w:p>
    <w:p>
      <w:pPr>
        <w:sectPr>
          <w:pgSz w:w="11900" w:h="16838" w:orient="portrait"/>
          <w:cols w:equalWidth="0" w:num="1">
            <w:col w:w="11240"/>
          </w:cols>
          <w:pgMar w:left="320" w:top="1035" w:right="339" w:bottom="1440" w:gutter="0" w:footer="0" w:header="0"/>
          <w:type w:val="continuous"/>
        </w:sectPr>
      </w:pPr>
    </w:p>
    <w:p>
      <w:pPr>
        <w:spacing w:after="0" w:line="266" w:lineRule="exact"/>
        <w:rPr>
          <w:sz w:val="20"/>
          <w:szCs w:val="20"/>
          <w:color w:val="auto"/>
        </w:rPr>
      </w:pPr>
    </w:p>
    <w:p>
      <w:pPr>
        <w:ind w:right="400"/>
        <w:spacing w:after="0" w:line="235" w:lineRule="auto"/>
        <w:rPr>
          <w:sz w:val="20"/>
          <w:szCs w:val="20"/>
          <w:color w:val="auto"/>
        </w:rPr>
      </w:pPr>
      <w:r>
        <w:rPr>
          <w:rFonts w:ascii="Arial" w:cs="Arial" w:eastAsia="Arial" w:hAnsi="Arial"/>
          <w:sz w:val="18"/>
          <w:szCs w:val="18"/>
          <w:color w:val="auto"/>
        </w:rPr>
        <w:t>ARLINGTON, VA – Graham Holdings Company (NYSE: GHC) today reported net income attributable to common shares of $18.9 million ($3.60 per share) for the second quarter of 2020, compared to $57.1 million ($10.65 per share) for the second quarter of 2019.</w:t>
      </w:r>
    </w:p>
    <w:p>
      <w:pPr>
        <w:spacing w:after="0" w:line="135" w:lineRule="exact"/>
        <w:rPr>
          <w:sz w:val="20"/>
          <w:szCs w:val="20"/>
          <w:color w:val="auto"/>
        </w:rPr>
      </w:pPr>
    </w:p>
    <w:p>
      <w:pPr>
        <w:ind w:right="140"/>
        <w:spacing w:after="0" w:line="224" w:lineRule="auto"/>
        <w:rPr>
          <w:sz w:val="20"/>
          <w:szCs w:val="20"/>
          <w:color w:val="auto"/>
        </w:rPr>
      </w:pPr>
      <w:r>
        <w:rPr>
          <w:rFonts w:ascii="Arial" w:cs="Arial" w:eastAsia="Arial" w:hAnsi="Arial"/>
          <w:sz w:val="18"/>
          <w:szCs w:val="18"/>
          <w:color w:val="auto"/>
        </w:rPr>
        <w:t>The novel coronavirus (COVID-19) pandemic and measures taken to prevent its spread, such as travel restrictions, shelter in place orders and mandatory closures, significantly impacted the Company’s results for the first six months of 2020, largely from reduced demand for the Company’s products and services. This significant adverse impact is expected to continue in the second half of 2020. The Company’s management is taking a variety of measures to reduce costs and capital expenditures. The Company cannot predict the severity or duration of the pandemic, the extent to which demand for the Company’s products and services will be adversely affected or the degree to which financial and operating results will be negatively impacted.</w:t>
      </w:r>
    </w:p>
    <w:p>
      <w:pPr>
        <w:spacing w:after="0" w:line="137" w:lineRule="exact"/>
        <w:rPr>
          <w:sz w:val="20"/>
          <w:szCs w:val="20"/>
          <w:color w:val="auto"/>
        </w:rPr>
      </w:pPr>
    </w:p>
    <w:p>
      <w:pPr>
        <w:ind w:right="120"/>
        <w:spacing w:after="0" w:line="225" w:lineRule="auto"/>
        <w:rPr>
          <w:sz w:val="20"/>
          <w:szCs w:val="20"/>
          <w:color w:val="auto"/>
        </w:rPr>
      </w:pPr>
      <w:r>
        <w:rPr>
          <w:rFonts w:ascii="Arial" w:cs="Arial" w:eastAsia="Arial" w:hAnsi="Arial"/>
          <w:sz w:val="18"/>
          <w:szCs w:val="18"/>
          <w:color w:val="auto"/>
        </w:rPr>
        <w:t>The results for the second quarter of 2020 and 2019 were also affected by a number of items as described in the following paragraphs. Including these items, income before income taxes was $60.8 million for the second quarter of 2020, compared to $73.9 million for the second quarter of 2019. Excluding these items, income before income taxes was $40.0 million for the second quarter of 2020, compared to $64.8 million for the second quarter of 2019. (Refer to the Non-GAAP Financial Information schedule at the end of this release for additional details.)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before income taxes for the second quarter of 2020:</w:t>
      </w:r>
    </w:p>
    <w:p>
      <w:pPr>
        <w:spacing w:after="0" w:line="144" w:lineRule="exact"/>
        <w:rPr>
          <w:sz w:val="20"/>
          <w:szCs w:val="20"/>
          <w:color w:val="auto"/>
        </w:rPr>
      </w:pPr>
    </w:p>
    <w:p>
      <w:pPr>
        <w:ind w:left="160" w:hanging="152"/>
        <w:spacing w:after="0"/>
        <w:tabs>
          <w:tab w:leader="none" w:pos="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$9.3 million in long-lived asset impairment charges;</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$10.2 million in restructuring charges at the education division;</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$2.8 million in accelerated depreciation at other businesses;</w:t>
      </w:r>
    </w:p>
    <w:p>
      <w:pPr>
        <w:spacing w:after="0" w:line="144" w:lineRule="exact"/>
        <w:rPr>
          <w:rFonts w:ascii="Arial" w:cs="Arial" w:eastAsia="Arial" w:hAnsi="Arial"/>
          <w:sz w:val="18"/>
          <w:szCs w:val="18"/>
          <w:color w:val="auto"/>
        </w:rPr>
      </w:pPr>
    </w:p>
    <w:p>
      <w:pPr>
        <w:ind w:left="180" w:right="680" w:hanging="172"/>
        <w:spacing w:after="0" w:line="235" w:lineRule="auto"/>
        <w:tabs>
          <w:tab w:leader="none" w:pos="175" w:val="left"/>
        </w:tabs>
        <w:numPr>
          <w:ilvl w:val="0"/>
          <w:numId w:val="2"/>
        </w:numPr>
        <w:rPr>
          <w:rFonts w:ascii="Arial" w:cs="Arial" w:eastAsia="Arial" w:hAnsi="Arial"/>
          <w:sz w:val="18"/>
          <w:szCs w:val="18"/>
          <w:color w:val="auto"/>
        </w:rPr>
      </w:pPr>
      <w:r>
        <w:rPr>
          <w:rFonts w:ascii="Arial" w:cs="Arial" w:eastAsia="Arial" w:hAnsi="Arial"/>
          <w:sz w:val="18"/>
          <w:szCs w:val="18"/>
          <w:color w:val="auto"/>
        </w:rPr>
        <w:t>a $1.1 million reduction to operating expenses from property, plant and equipment gains in connection with the spectrum repacking mandate of the FCC;</w:t>
      </w:r>
    </w:p>
    <w:p>
      <w:pPr>
        <w:spacing w:after="0" w:line="134" w:lineRule="exact"/>
        <w:rPr>
          <w:rFonts w:ascii="Arial" w:cs="Arial" w:eastAsia="Arial" w:hAnsi="Arial"/>
          <w:sz w:val="18"/>
          <w:szCs w:val="18"/>
          <w:color w:val="auto"/>
        </w:rPr>
      </w:pPr>
    </w:p>
    <w:p>
      <w:pPr>
        <w:ind w:left="160" w:hanging="152"/>
        <w:spacing w:after="0"/>
        <w:tabs>
          <w:tab w:leader="none" w:pos="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$4.6 million in expenses related to non-operating Separation Incentive Programs at the education division and SocialCode;</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$39.9 million in net gains on marketable equity securities;</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non-operating gains of $7.8 million from write-ups and sales of cost and equity method investments; and</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$1.1 million in non-operating foreign currency losses.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before income taxes for the second quarter of 2019:</w:t>
      </w:r>
    </w:p>
    <w:p>
      <w:pPr>
        <w:spacing w:after="0" w:line="144" w:lineRule="exact"/>
        <w:rPr>
          <w:sz w:val="20"/>
          <w:szCs w:val="20"/>
          <w:color w:val="auto"/>
        </w:rPr>
      </w:pPr>
    </w:p>
    <w:p>
      <w:pPr>
        <w:ind w:left="180" w:right="680" w:hanging="172"/>
        <w:spacing w:after="0" w:line="235" w:lineRule="auto"/>
        <w:tabs>
          <w:tab w:leader="none" w:pos="175" w:val="left"/>
        </w:tabs>
        <w:numPr>
          <w:ilvl w:val="0"/>
          <w:numId w:val="3"/>
        </w:numPr>
        <w:rPr>
          <w:rFonts w:ascii="Arial" w:cs="Arial" w:eastAsia="Arial" w:hAnsi="Arial"/>
          <w:sz w:val="18"/>
          <w:szCs w:val="18"/>
          <w:color w:val="auto"/>
        </w:rPr>
      </w:pPr>
      <w:r>
        <w:rPr>
          <w:rFonts w:ascii="Arial" w:cs="Arial" w:eastAsia="Arial" w:hAnsi="Arial"/>
          <w:sz w:val="18"/>
          <w:szCs w:val="18"/>
          <w:color w:val="auto"/>
        </w:rPr>
        <w:t>a $7.8 million reduction to operating expenses from property, plant and equipment gains in connection with the spectrum repacking mandate of the FCC;</w:t>
      </w:r>
    </w:p>
    <w:p>
      <w:pPr>
        <w:spacing w:after="0" w:line="134"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$6.6 million in expenses related to a non-operating Separation Incentive Program at the education division;</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$7.8 million in net gains on marketable equity securities; and</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$0.1 million in non-operating foreign currency gains.</w:t>
      </w:r>
    </w:p>
    <w:p>
      <w:pPr>
        <w:spacing w:after="0" w:line="144" w:lineRule="exact"/>
        <w:rPr>
          <w:sz w:val="20"/>
          <w:szCs w:val="20"/>
          <w:color w:val="auto"/>
        </w:rPr>
      </w:pPr>
    </w:p>
    <w:p>
      <w:pPr>
        <w:ind w:right="140"/>
        <w:spacing w:after="0" w:line="227" w:lineRule="auto"/>
        <w:rPr>
          <w:sz w:val="20"/>
          <w:szCs w:val="20"/>
          <w:color w:val="auto"/>
        </w:rPr>
      </w:pPr>
      <w:r>
        <w:rPr>
          <w:rFonts w:ascii="Arial" w:cs="Arial" w:eastAsia="Arial" w:hAnsi="Arial"/>
          <w:sz w:val="18"/>
          <w:szCs w:val="18"/>
          <w:color w:val="auto"/>
        </w:rPr>
        <w:t>Revenue for the second quarter of 2020 was $652.9 million, down 11% from $737.6 million in the second quarter of 2019, largely due to the impact of COVID-19. Revenues declined at education, television broadcasting, manufacturing, SocialCode and other businesses, partially offset by an increase at healthcare. The Company reported operating income of $5.9 million for the second quarter of 2020, compared to $58.0 million for the second</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035" w:right="339" w:bottom="1440" w:gutter="0" w:footer="0" w:header="0"/>
          <w:type w:val="continuous"/>
        </w:sectPr>
      </w:pPr>
    </w:p>
    <w:bookmarkStart w:id="5" w:name="page6"/>
    <w:bookmarkEnd w:id="5"/>
    <w:p>
      <w:pPr>
        <w:ind w:right="120"/>
        <w:spacing w:after="0" w:line="235" w:lineRule="auto"/>
        <w:rPr>
          <w:sz w:val="20"/>
          <w:szCs w:val="20"/>
          <w:color w:val="auto"/>
        </w:rPr>
      </w:pPr>
      <w:r>
        <w:rPr>
          <w:rFonts w:ascii="Arial" w:cs="Arial" w:eastAsia="Arial" w:hAnsi="Arial"/>
          <w:sz w:val="18"/>
          <w:szCs w:val="18"/>
          <w:color w:val="auto"/>
        </w:rPr>
        <w:t>quarter of 2019. The operating income decline is driven by lower earnings in education, television broadcasting, manufacturing, SocialCode and other businesses, partially offset by an improvement at healthcare.</w:t>
      </w:r>
    </w:p>
    <w:p>
      <w:pPr>
        <w:spacing w:after="0" w:line="135"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For the first six months of 2020, the Company reported a net loss attributable to common shares of $14.4 million ($2.77 per share) compared to net income attributable to common shares of $138.8 million ($25.91 per share) for the first six months of 2019. The results for the first six months of 2020 and 2019 were affected by a number of items as described in the following paragraphs. Including these items, loss before income taxes was $18.5 million for the first six months of 2020, compared to income before income taxes of $ 183.2 million for the first six months of 2019. Excluding these items, income before income taxes was $79.1 million for the first six months of 2020, compared to $117.3 million for the first six months of 2019. (Refer to the Non-GAAP Financial Information schedule at the end of this release for additional details.)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loss before income taxes for the six months of 2020:</w:t>
      </w:r>
    </w:p>
    <w:p>
      <w:pPr>
        <w:spacing w:after="0" w:line="144" w:lineRule="exact"/>
        <w:rPr>
          <w:sz w:val="20"/>
          <w:szCs w:val="20"/>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$25.7 million in goodwill and other long-lived asset impairment charges;</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$10.2 million in restructuring charges at the education division;</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$2.8 million in accelerated depreciation at other businesses;</w:t>
      </w:r>
    </w:p>
    <w:p>
      <w:pPr>
        <w:spacing w:after="0" w:line="144" w:lineRule="exact"/>
        <w:rPr>
          <w:rFonts w:ascii="Arial" w:cs="Arial" w:eastAsia="Arial" w:hAnsi="Arial"/>
          <w:sz w:val="18"/>
          <w:szCs w:val="18"/>
          <w:color w:val="auto"/>
        </w:rPr>
      </w:pPr>
    </w:p>
    <w:p>
      <w:pPr>
        <w:ind w:left="180" w:right="640" w:hanging="172"/>
        <w:spacing w:after="0" w:line="235" w:lineRule="auto"/>
        <w:tabs>
          <w:tab w:leader="none" w:pos="175" w:val="left"/>
        </w:tabs>
        <w:numPr>
          <w:ilvl w:val="0"/>
          <w:numId w:val="4"/>
        </w:numPr>
        <w:rPr>
          <w:rFonts w:ascii="Arial" w:cs="Arial" w:eastAsia="Arial" w:hAnsi="Arial"/>
          <w:sz w:val="18"/>
          <w:szCs w:val="18"/>
          <w:color w:val="auto"/>
        </w:rPr>
      </w:pPr>
      <w:r>
        <w:rPr>
          <w:rFonts w:ascii="Arial" w:cs="Arial" w:eastAsia="Arial" w:hAnsi="Arial"/>
          <w:sz w:val="18"/>
          <w:szCs w:val="18"/>
          <w:color w:val="auto"/>
        </w:rPr>
        <w:t>a $1.4 million reduction to operating expenses from property, plant and equipment gains in connection with the spectrum repacking mandate of the FCC;</w:t>
      </w:r>
    </w:p>
    <w:p>
      <w:pPr>
        <w:spacing w:after="0" w:line="134" w:lineRule="exact"/>
        <w:rPr>
          <w:rFonts w:ascii="Arial" w:cs="Arial" w:eastAsia="Arial" w:hAnsi="Arial"/>
          <w:sz w:val="18"/>
          <w:szCs w:val="18"/>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$4.6 million in expenses related to non-operating Separation Incentive Programs at the education division and SocialCode;</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$60.5 million in net losses on marketable equity securities;</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non-operating gain, net, of $1.6 million from write-ups, sales and impairments of cost and equity method investments; and</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$3.2 million in non-operating foreign currency gains.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before income taxes for the six months of 2019:</w:t>
      </w:r>
    </w:p>
    <w:p>
      <w:pPr>
        <w:spacing w:after="0" w:line="144" w:lineRule="exact"/>
        <w:rPr>
          <w:sz w:val="20"/>
          <w:szCs w:val="20"/>
          <w:color w:val="auto"/>
        </w:rPr>
      </w:pPr>
    </w:p>
    <w:p>
      <w:pPr>
        <w:ind w:left="180" w:right="640" w:hanging="172"/>
        <w:spacing w:after="0" w:line="235" w:lineRule="auto"/>
        <w:tabs>
          <w:tab w:leader="none" w:pos="175" w:val="left"/>
        </w:tabs>
        <w:numPr>
          <w:ilvl w:val="0"/>
          <w:numId w:val="5"/>
        </w:numPr>
        <w:rPr>
          <w:rFonts w:ascii="Arial" w:cs="Arial" w:eastAsia="Arial" w:hAnsi="Arial"/>
          <w:sz w:val="18"/>
          <w:szCs w:val="18"/>
          <w:color w:val="auto"/>
        </w:rPr>
      </w:pPr>
      <w:r>
        <w:rPr>
          <w:rFonts w:ascii="Arial" w:cs="Arial" w:eastAsia="Arial" w:hAnsi="Arial"/>
          <w:sz w:val="18"/>
          <w:szCs w:val="18"/>
          <w:color w:val="auto"/>
        </w:rPr>
        <w:t>a $9.6 million reduction to operating expenses from property, plant and equipment gains in connection with the spectrum repacking mandate of the FCC;</w:t>
      </w:r>
    </w:p>
    <w:p>
      <w:pPr>
        <w:spacing w:after="0" w:line="134" w:lineRule="exact"/>
        <w:rPr>
          <w:rFonts w:ascii="Arial" w:cs="Arial" w:eastAsia="Arial" w:hAnsi="Arial"/>
          <w:sz w:val="18"/>
          <w:szCs w:val="18"/>
          <w:color w:val="auto"/>
        </w:rPr>
      </w:pPr>
    </w:p>
    <w:p>
      <w:pPr>
        <w:ind w:left="160" w:hanging="152"/>
        <w:spacing w:after="0"/>
        <w:tabs>
          <w:tab w:leader="none" w:pos="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$6.6 million in expenses related to a non-operating Separation Incentive Program at the education division;</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$31.9 million in net gains on marketable equity securities;</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$29.0 million gain from the sale of Gimlet Media;</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non-operating gain of $1.4 million from the write-up of cost method investments; and</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$0.6 million in non-operating foreign currency gains.</w:t>
      </w:r>
    </w:p>
    <w:p>
      <w:pPr>
        <w:spacing w:after="0" w:line="144" w:lineRule="exact"/>
        <w:rPr>
          <w:sz w:val="20"/>
          <w:szCs w:val="20"/>
          <w:color w:val="auto"/>
        </w:rPr>
      </w:pPr>
    </w:p>
    <w:p>
      <w:pPr>
        <w:ind w:right="200"/>
        <w:spacing w:after="0" w:line="225" w:lineRule="auto"/>
        <w:rPr>
          <w:sz w:val="20"/>
          <w:szCs w:val="20"/>
          <w:color w:val="auto"/>
        </w:rPr>
      </w:pPr>
      <w:r>
        <w:rPr>
          <w:rFonts w:ascii="Arial" w:cs="Arial" w:eastAsia="Arial" w:hAnsi="Arial"/>
          <w:sz w:val="18"/>
          <w:szCs w:val="18"/>
          <w:color w:val="auto"/>
        </w:rPr>
        <w:t>Revenue for the first six months of 2020 was $1,385.1 million, down 3% from $1,429.8 million in the first six months of 2019, largely due to the impact of COVID-19. Revenues declined at education, television broadcasting, manufacturing and SocialCode, partially offset by increases at healthcare and other businesses. The Company reported operating income of $14.0 million for the first six months of 2020, compared to $98.0 million for the first six months of 2019. Operating results declined in education, television broadcasting, manufacturing, SocialCode and other businesses, partially offset by an improvement at healthcare.</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-more-</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320" w:top="1057" w:right="3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t>Division Results</w:t>
      </w:r>
    </w:p>
    <w:p>
      <w:pPr>
        <w:spacing w:after="0" w:line="14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i w:val="1"/>
          <w:iCs w:val="1"/>
          <w:color w:val="auto"/>
        </w:rPr>
        <w:t xml:space="preserve">Education </w:t>
      </w:r>
      <w:r>
        <w:rPr>
          <w:rFonts w:ascii="Arial" w:cs="Arial" w:eastAsia="Arial" w:hAnsi="Arial"/>
          <w:sz w:val="18"/>
          <w:szCs w:val="18"/>
          <w:color w:val="auto"/>
        </w:rPr>
        <w:t>The COVID-19 pandemic adversely impacted Kaplan’s operating results in the second quarter and first six months of 2020.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impact began in February and continued through the first half of 2020.</w:t>
      </w:r>
    </w:p>
    <w:p>
      <w:pPr>
        <w:spacing w:after="0" w:line="120"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Kaplan serves a significant number of students who travel to other countries to study a second language, prepare for licensure, or pursue a higher education degree. Government-imposed travel restrictions and school closures arising from COVID-19 had a negative impact on the ability of international students to travel and attend Kaplan’s programs, particularly Kaplan International’s Language programs. In addition, most licensing bodies and administrators of standardized exams postponed or canceled scheduled examinations due to COVID-19, resulting in a significant number of students deciding to defer their studies. In these instances, Kaplan extended the life of its courses to be responsive to the changes in study needs of its students. These program modifications resulted in longer revenue recognition periods, adversely affecting the timing of revenue recognition at Kaplan’s Test Preparation and Professional education divisions. Overall, this is expected to continue to adversely impact Kaplan's revenues and operating results for the remainder of 2020, particularly at Kaplan International Languages.</w:t>
      </w:r>
    </w:p>
    <w:p>
      <w:pPr>
        <w:spacing w:after="0" w:line="140"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Most of Kaplan Higher Education’s (KHE) services are delivered online by staff who have historically worked both virtually and in office locations. In response to COVID-19 necessitated “stay-at-home” protocols, KHE transitioned its entire staff to virtual work arrangements. KHE did not experience any disruption in its service delivery and Purdue Global has experienced an increase in program demand in the first half of 2020.</w:t>
      </w:r>
    </w:p>
    <w:p>
      <w:pPr>
        <w:spacing w:after="0" w:line="135" w:lineRule="exact"/>
        <w:rPr>
          <w:sz w:val="20"/>
          <w:szCs w:val="20"/>
          <w:color w:val="auto"/>
        </w:rPr>
      </w:pPr>
    </w:p>
    <w:p>
      <w:pPr>
        <w:ind w:right="20"/>
        <w:spacing w:after="0" w:line="221" w:lineRule="auto"/>
        <w:rPr>
          <w:sz w:val="20"/>
          <w:szCs w:val="20"/>
          <w:color w:val="auto"/>
        </w:rPr>
      </w:pPr>
      <w:r>
        <w:rPr>
          <w:rFonts w:ascii="Arial" w:cs="Arial" w:eastAsia="Arial" w:hAnsi="Arial"/>
          <w:sz w:val="18"/>
          <w:szCs w:val="18"/>
          <w:color w:val="auto"/>
        </w:rPr>
        <w:t>To help mitigate the negative revenue impact arising from the COVID-19 disruption, and to re-align its program offerings to better pursue opportunities arising from the disruption, Kaplan management developed and implemented a number of initiatives across its businesses, including: employee salary and work-hour reductions; temporary furlough and other employee reductions; reduced discretionary spending; facility restructuring; reduced capital expenditures; and accelerated development and promotion of various online programs and solutions. The facility restructuring plan undertaken by Kaplan was developed to align classroom and office space at International Languages and Higher Education with future business requirements, and was premised on the decision at Kaplan Test Prep and Kaplan Professional (U.S.) to substantially reduce location-based in person course offerings in step with shifting consumer preferences for online programs. In the second quarter and first six months of 2020, Kaplan recorded $10.5 million and $12.5 million in lease restructuring costs, respectively; and $1.2 million in second quarter 2020 severance restructuring costs. The lease restructuring costs included $3.4 million in accelerated depreciation expense in the second quarter and first six months of 2020. Kaplan also recorded a $10.0 million lease impairment charge in connection with these restructuring plans in the second quarter of 2020; this impairment charge included $2.0 million in property, plant and equipment write-downs. Also in the second quarter of 2020, the Company approved a Separation Incentive Program (SIP) that reduced the number of employees at Kaplan International, Higher Education, Kaplan Professional (U.S.) and Kaplan corporate, resulting in $5.0 million in non-operating pension expense in the second quarter of 2020. Additional restructuring and cost reduction plans are under development at Kaplan to be implemented in the second half of 2020.</w:t>
      </w:r>
    </w:p>
    <w:p>
      <w:pPr>
        <w:spacing w:after="0" w:line="138"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In June 2020, Kaplan announced a plan to combine its three primary divisions based in the United States (Kaplan Test Prep, Kaplan Professional, and Kaplan Higher Education) into one business known as Kaplan North America (KNA). The plan for this combination is under development and is designed to create and reinforce Kaplan’s competitiveness in each market and new markets into which Kaplan extends.</w:t>
      </w:r>
    </w:p>
    <w:p>
      <w:pPr>
        <w:spacing w:after="0" w:line="130" w:lineRule="exact"/>
        <w:rPr>
          <w:sz w:val="20"/>
          <w:szCs w:val="20"/>
          <w:color w:val="auto"/>
        </w:rPr>
      </w:pPr>
    </w:p>
    <w:p>
      <w:pPr>
        <w:jc w:val="both"/>
        <w:ind w:right="40"/>
        <w:spacing w:after="0" w:line="229" w:lineRule="auto"/>
        <w:rPr>
          <w:sz w:val="20"/>
          <w:szCs w:val="20"/>
          <w:color w:val="auto"/>
        </w:rPr>
      </w:pPr>
      <w:r>
        <w:rPr>
          <w:rFonts w:ascii="Arial" w:cs="Arial" w:eastAsia="Arial" w:hAnsi="Arial"/>
          <w:sz w:val="18"/>
          <w:szCs w:val="18"/>
          <w:color w:val="auto"/>
        </w:rPr>
        <w:t>Education division revenue totaled $333.2 million for the second quarter of 2020, down 9% from $367.8 million for the same period of 2019. Kaplan reported operating income of $12.3 million for the second quarter of 2020, a 53% decline from $26.3 million for the second quarter of 2019.</w:t>
      </w:r>
    </w:p>
    <w:p>
      <w:pPr>
        <w:spacing w:after="0" w:line="137" w:lineRule="exact"/>
        <w:rPr>
          <w:sz w:val="20"/>
          <w:szCs w:val="20"/>
          <w:color w:val="auto"/>
        </w:rPr>
      </w:pPr>
    </w:p>
    <w:p>
      <w:pPr>
        <w:ind w:right="240"/>
        <w:spacing w:after="0" w:line="229" w:lineRule="auto"/>
        <w:rPr>
          <w:sz w:val="20"/>
          <w:szCs w:val="20"/>
          <w:color w:val="auto"/>
        </w:rPr>
      </w:pPr>
      <w:r>
        <w:rPr>
          <w:rFonts w:ascii="Arial" w:cs="Arial" w:eastAsia="Arial" w:hAnsi="Arial"/>
          <w:sz w:val="18"/>
          <w:szCs w:val="18"/>
          <w:color w:val="auto"/>
        </w:rPr>
        <w:t>For the first six months of 2020, education division revenue totaled $689.6 million, down 7% from revenue of $740.2 million for the same period of 2019. Kaplan reported operating income of $16.9 million for the first six months of 2020, a 67% decline from $51.9 million for the first six months of 2019.</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-more-</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320" w:top="1035" w:right="37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A summary of Kaplan’s operating results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Three Months Ended</w:t>
            </w: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4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Six Months Ended</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4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color w:val="auto"/>
              </w:rPr>
              <w:t>2019</w:t>
            </w:r>
          </w:p>
        </w:tc>
        <w:tc>
          <w:tcPr>
            <w:tcW w:w="116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color w:val="auto"/>
              </w:rPr>
              <w:t>% Change</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2019</w:t>
            </w:r>
          </w:p>
        </w:tc>
        <w:tc>
          <w:tcPr>
            <w:tcW w:w="106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23"/>
        </w:trPr>
        <w:tc>
          <w:tcPr>
            <w:tcW w:w="4480" w:type="dxa"/>
            <w:vAlign w:val="bottom"/>
          </w:tcPr>
          <w:p>
            <w:pPr>
              <w:ind w:left="20"/>
              <w:spacing w:after="0"/>
              <w:rPr>
                <w:sz w:val="20"/>
                <w:szCs w:val="20"/>
                <w:color w:val="auto"/>
              </w:rPr>
            </w:pPr>
            <w:r>
              <w:rPr>
                <w:rFonts w:ascii="Arial" w:cs="Arial" w:eastAsia="Arial" w:hAnsi="Arial"/>
                <w:sz w:val="16"/>
                <w:szCs w:val="16"/>
                <w:b w:val="1"/>
                <w:bCs w:val="1"/>
                <w:color w:val="auto"/>
              </w:rPr>
              <w:t>Revenue</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120"/>
              <w:spacing w:after="0"/>
              <w:rPr>
                <w:sz w:val="20"/>
                <w:szCs w:val="20"/>
                <w:color w:val="auto"/>
              </w:rPr>
            </w:pPr>
            <w:r>
              <w:rPr>
                <w:rFonts w:ascii="Arial" w:cs="Arial" w:eastAsia="Arial" w:hAnsi="Arial"/>
                <w:sz w:val="16"/>
                <w:szCs w:val="16"/>
                <w:color w:val="auto"/>
              </w:rPr>
              <w:t>Kaplan international</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100"/>
              <w:spacing w:after="0"/>
              <w:rPr>
                <w:sz w:val="20"/>
                <w:szCs w:val="20"/>
                <w:color w:val="auto"/>
              </w:rPr>
            </w:pPr>
            <w:r>
              <w:rPr>
                <w:rFonts w:ascii="Arial" w:cs="Arial" w:eastAsia="Arial" w:hAnsi="Arial"/>
                <w:sz w:val="16"/>
                <w:szCs w:val="16"/>
                <w:b w:val="1"/>
                <w:bCs w:val="1"/>
                <w:color w:val="auto"/>
              </w:rPr>
              <w:t>164,713</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188,580</w:t>
            </w:r>
          </w:p>
        </w:tc>
        <w:tc>
          <w:tcPr>
            <w:tcW w:w="1160" w:type="dxa"/>
            <w:vAlign w:val="bottom"/>
          </w:tcPr>
          <w:p>
            <w:pPr>
              <w:jc w:val="right"/>
              <w:ind w:right="140"/>
              <w:spacing w:after="0"/>
              <w:rPr>
                <w:sz w:val="20"/>
                <w:szCs w:val="20"/>
                <w:color w:val="auto"/>
              </w:rPr>
            </w:pPr>
            <w:r>
              <w:rPr>
                <w:rFonts w:ascii="Arial" w:cs="Arial" w:eastAsia="Arial" w:hAnsi="Arial"/>
                <w:sz w:val="16"/>
                <w:szCs w:val="16"/>
                <w:color w:val="auto"/>
              </w:rPr>
              <w:t>(13)</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80"/>
              <w:spacing w:after="0"/>
              <w:rPr>
                <w:sz w:val="20"/>
                <w:szCs w:val="20"/>
                <w:color w:val="auto"/>
              </w:rPr>
            </w:pPr>
            <w:r>
              <w:rPr>
                <w:rFonts w:ascii="Arial" w:cs="Arial" w:eastAsia="Arial" w:hAnsi="Arial"/>
                <w:sz w:val="16"/>
                <w:szCs w:val="16"/>
                <w:b w:val="1"/>
                <w:bCs w:val="1"/>
                <w:color w:val="auto"/>
              </w:rPr>
              <w:t>364,328</w:t>
            </w:r>
          </w:p>
        </w:tc>
        <w:tc>
          <w:tcPr>
            <w:tcW w:w="4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374,336</w:t>
            </w: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43"/>
        </w:trPr>
        <w:tc>
          <w:tcPr>
            <w:tcW w:w="4480" w:type="dxa"/>
            <w:vAlign w:val="bottom"/>
          </w:tcPr>
          <w:p>
            <w:pPr>
              <w:ind w:left="120"/>
              <w:spacing w:after="0"/>
              <w:rPr>
                <w:sz w:val="20"/>
                <w:szCs w:val="20"/>
                <w:color w:val="auto"/>
              </w:rPr>
            </w:pPr>
            <w:r>
              <w:rPr>
                <w:rFonts w:ascii="Arial" w:cs="Arial" w:eastAsia="Arial" w:hAnsi="Arial"/>
                <w:sz w:val="16"/>
                <w:szCs w:val="16"/>
                <w:color w:val="auto"/>
              </w:rPr>
              <w:t>Higher education</w:t>
            </w:r>
          </w:p>
        </w:tc>
        <w:tc>
          <w:tcPr>
            <w:tcW w:w="200" w:type="dxa"/>
            <w:vAlign w:val="bottom"/>
          </w:tcPr>
          <w:p>
            <w:pPr>
              <w:spacing w:after="0"/>
              <w:rPr>
                <w:sz w:val="21"/>
                <w:szCs w:val="21"/>
                <w:color w:val="auto"/>
              </w:rPr>
            </w:pPr>
          </w:p>
        </w:tc>
        <w:tc>
          <w:tcPr>
            <w:tcW w:w="840" w:type="dxa"/>
            <w:vAlign w:val="bottom"/>
          </w:tcPr>
          <w:p>
            <w:pPr>
              <w:jc w:val="right"/>
              <w:ind w:right="100"/>
              <w:spacing w:after="0"/>
              <w:rPr>
                <w:sz w:val="20"/>
                <w:szCs w:val="20"/>
                <w:color w:val="auto"/>
              </w:rPr>
            </w:pPr>
            <w:r>
              <w:rPr>
                <w:rFonts w:ascii="Arial" w:cs="Arial" w:eastAsia="Arial" w:hAnsi="Arial"/>
                <w:sz w:val="16"/>
                <w:szCs w:val="16"/>
                <w:b w:val="1"/>
                <w:bCs w:val="1"/>
                <w:color w:val="auto"/>
              </w:rPr>
              <w:t>86,453</w:t>
            </w:r>
          </w:p>
        </w:tc>
        <w:tc>
          <w:tcPr>
            <w:tcW w:w="340" w:type="dxa"/>
            <w:vAlign w:val="bottom"/>
          </w:tcPr>
          <w:p>
            <w:pPr>
              <w:spacing w:after="0"/>
              <w:rPr>
                <w:sz w:val="21"/>
                <w:szCs w:val="21"/>
                <w:color w:val="auto"/>
              </w:rPr>
            </w:pP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76,288</w:t>
            </w:r>
          </w:p>
        </w:tc>
        <w:tc>
          <w:tcPr>
            <w:tcW w:w="1160" w:type="dxa"/>
            <w:vAlign w:val="bottom"/>
          </w:tcPr>
          <w:p>
            <w:pPr>
              <w:jc w:val="right"/>
              <w:ind w:right="180"/>
              <w:spacing w:after="0"/>
              <w:rPr>
                <w:sz w:val="20"/>
                <w:szCs w:val="20"/>
                <w:color w:val="auto"/>
              </w:rPr>
            </w:pPr>
            <w:r>
              <w:rPr>
                <w:rFonts w:ascii="Arial" w:cs="Arial" w:eastAsia="Arial" w:hAnsi="Arial"/>
                <w:sz w:val="16"/>
                <w:szCs w:val="16"/>
                <w:color w:val="auto"/>
              </w:rPr>
              <w:t>13</w:t>
            </w:r>
          </w:p>
        </w:tc>
        <w:tc>
          <w:tcPr>
            <w:tcW w:w="260" w:type="dxa"/>
            <w:vAlign w:val="bottom"/>
          </w:tcPr>
          <w:p>
            <w:pPr>
              <w:spacing w:after="0"/>
              <w:rPr>
                <w:sz w:val="21"/>
                <w:szCs w:val="21"/>
                <w:color w:val="auto"/>
              </w:rPr>
            </w:pPr>
          </w:p>
        </w:tc>
        <w:tc>
          <w:tcPr>
            <w:tcW w:w="880" w:type="dxa"/>
            <w:vAlign w:val="bottom"/>
          </w:tcPr>
          <w:p>
            <w:pPr>
              <w:jc w:val="right"/>
              <w:ind w:right="80"/>
              <w:spacing w:after="0"/>
              <w:rPr>
                <w:sz w:val="20"/>
                <w:szCs w:val="20"/>
                <w:color w:val="auto"/>
              </w:rPr>
            </w:pPr>
            <w:r>
              <w:rPr>
                <w:rFonts w:ascii="Arial" w:cs="Arial" w:eastAsia="Arial" w:hAnsi="Arial"/>
                <w:sz w:val="16"/>
                <w:szCs w:val="16"/>
                <w:b w:val="1"/>
                <w:bCs w:val="1"/>
                <w:color w:val="auto"/>
              </w:rPr>
              <w:t>159,990</w:t>
            </w:r>
          </w:p>
        </w:tc>
        <w:tc>
          <w:tcPr>
            <w:tcW w:w="420" w:type="dxa"/>
            <w:vAlign w:val="bottom"/>
          </w:tcPr>
          <w:p>
            <w:pPr>
              <w:spacing w:after="0"/>
              <w:rPr>
                <w:sz w:val="21"/>
                <w:szCs w:val="21"/>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159,068</w:t>
            </w: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43"/>
        </w:trPr>
        <w:tc>
          <w:tcPr>
            <w:tcW w:w="4480" w:type="dxa"/>
            <w:vAlign w:val="bottom"/>
          </w:tcPr>
          <w:p>
            <w:pPr>
              <w:ind w:left="120"/>
              <w:spacing w:after="0"/>
              <w:rPr>
                <w:sz w:val="20"/>
                <w:szCs w:val="20"/>
                <w:color w:val="auto"/>
              </w:rPr>
            </w:pPr>
            <w:r>
              <w:rPr>
                <w:rFonts w:ascii="Arial" w:cs="Arial" w:eastAsia="Arial" w:hAnsi="Arial"/>
                <w:sz w:val="16"/>
                <w:szCs w:val="16"/>
                <w:color w:val="auto"/>
              </w:rPr>
              <w:t>Test preparation</w:t>
            </w:r>
          </w:p>
        </w:tc>
        <w:tc>
          <w:tcPr>
            <w:tcW w:w="200" w:type="dxa"/>
            <w:vAlign w:val="bottom"/>
          </w:tcPr>
          <w:p>
            <w:pPr>
              <w:spacing w:after="0"/>
              <w:rPr>
                <w:sz w:val="21"/>
                <w:szCs w:val="21"/>
                <w:color w:val="auto"/>
              </w:rPr>
            </w:pPr>
          </w:p>
        </w:tc>
        <w:tc>
          <w:tcPr>
            <w:tcW w:w="840" w:type="dxa"/>
            <w:vAlign w:val="bottom"/>
          </w:tcPr>
          <w:p>
            <w:pPr>
              <w:jc w:val="right"/>
              <w:ind w:right="100"/>
              <w:spacing w:after="0"/>
              <w:rPr>
                <w:sz w:val="20"/>
                <w:szCs w:val="20"/>
                <w:color w:val="auto"/>
              </w:rPr>
            </w:pPr>
            <w:r>
              <w:rPr>
                <w:rFonts w:ascii="Arial" w:cs="Arial" w:eastAsia="Arial" w:hAnsi="Arial"/>
                <w:sz w:val="16"/>
                <w:szCs w:val="16"/>
                <w:b w:val="1"/>
                <w:bCs w:val="1"/>
                <w:color w:val="auto"/>
              </w:rPr>
              <w:t>51,111</w:t>
            </w:r>
          </w:p>
        </w:tc>
        <w:tc>
          <w:tcPr>
            <w:tcW w:w="340" w:type="dxa"/>
            <w:vAlign w:val="bottom"/>
          </w:tcPr>
          <w:p>
            <w:pPr>
              <w:spacing w:after="0"/>
              <w:rPr>
                <w:sz w:val="21"/>
                <w:szCs w:val="21"/>
                <w:color w:val="auto"/>
              </w:rPr>
            </w:pP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65,673</w:t>
            </w:r>
          </w:p>
        </w:tc>
        <w:tc>
          <w:tcPr>
            <w:tcW w:w="1160" w:type="dxa"/>
            <w:vAlign w:val="bottom"/>
          </w:tcPr>
          <w:p>
            <w:pPr>
              <w:jc w:val="right"/>
              <w:ind w:right="140"/>
              <w:spacing w:after="0"/>
              <w:rPr>
                <w:sz w:val="20"/>
                <w:szCs w:val="20"/>
                <w:color w:val="auto"/>
              </w:rPr>
            </w:pPr>
            <w:r>
              <w:rPr>
                <w:rFonts w:ascii="Arial" w:cs="Arial" w:eastAsia="Arial" w:hAnsi="Arial"/>
                <w:sz w:val="16"/>
                <w:szCs w:val="16"/>
                <w:color w:val="auto"/>
              </w:rPr>
              <w:t>(22)</w:t>
            </w:r>
          </w:p>
        </w:tc>
        <w:tc>
          <w:tcPr>
            <w:tcW w:w="260" w:type="dxa"/>
            <w:vAlign w:val="bottom"/>
          </w:tcPr>
          <w:p>
            <w:pPr>
              <w:spacing w:after="0"/>
              <w:rPr>
                <w:sz w:val="21"/>
                <w:szCs w:val="21"/>
                <w:color w:val="auto"/>
              </w:rPr>
            </w:pPr>
          </w:p>
        </w:tc>
        <w:tc>
          <w:tcPr>
            <w:tcW w:w="880" w:type="dxa"/>
            <w:vAlign w:val="bottom"/>
          </w:tcPr>
          <w:p>
            <w:pPr>
              <w:jc w:val="right"/>
              <w:ind w:right="80"/>
              <w:spacing w:after="0"/>
              <w:rPr>
                <w:sz w:val="20"/>
                <w:szCs w:val="20"/>
                <w:color w:val="auto"/>
              </w:rPr>
            </w:pPr>
            <w:r>
              <w:rPr>
                <w:rFonts w:ascii="Arial" w:cs="Arial" w:eastAsia="Arial" w:hAnsi="Arial"/>
                <w:sz w:val="16"/>
                <w:szCs w:val="16"/>
                <w:b w:val="1"/>
                <w:bCs w:val="1"/>
                <w:color w:val="auto"/>
              </w:rPr>
              <w:t>93,950</w:t>
            </w:r>
          </w:p>
        </w:tc>
        <w:tc>
          <w:tcPr>
            <w:tcW w:w="420" w:type="dxa"/>
            <w:vAlign w:val="bottom"/>
          </w:tcPr>
          <w:p>
            <w:pPr>
              <w:spacing w:after="0"/>
              <w:rPr>
                <w:sz w:val="21"/>
                <w:szCs w:val="21"/>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126,823</w:t>
            </w: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43"/>
        </w:trPr>
        <w:tc>
          <w:tcPr>
            <w:tcW w:w="4480" w:type="dxa"/>
            <w:vAlign w:val="bottom"/>
          </w:tcPr>
          <w:p>
            <w:pPr>
              <w:ind w:left="120"/>
              <w:spacing w:after="0"/>
              <w:rPr>
                <w:sz w:val="20"/>
                <w:szCs w:val="20"/>
                <w:color w:val="auto"/>
              </w:rPr>
            </w:pPr>
            <w:r>
              <w:rPr>
                <w:rFonts w:ascii="Arial" w:cs="Arial" w:eastAsia="Arial" w:hAnsi="Arial"/>
                <w:sz w:val="16"/>
                <w:szCs w:val="16"/>
                <w:color w:val="auto"/>
              </w:rPr>
              <w:t>Professional (U.S.)</w:t>
            </w:r>
          </w:p>
        </w:tc>
        <w:tc>
          <w:tcPr>
            <w:tcW w:w="200" w:type="dxa"/>
            <w:vAlign w:val="bottom"/>
          </w:tcPr>
          <w:p>
            <w:pPr>
              <w:spacing w:after="0"/>
              <w:rPr>
                <w:sz w:val="21"/>
                <w:szCs w:val="21"/>
                <w:color w:val="auto"/>
              </w:rPr>
            </w:pPr>
          </w:p>
        </w:tc>
        <w:tc>
          <w:tcPr>
            <w:tcW w:w="840" w:type="dxa"/>
            <w:vAlign w:val="bottom"/>
          </w:tcPr>
          <w:p>
            <w:pPr>
              <w:jc w:val="right"/>
              <w:ind w:right="100"/>
              <w:spacing w:after="0"/>
              <w:rPr>
                <w:sz w:val="20"/>
                <w:szCs w:val="20"/>
                <w:color w:val="auto"/>
              </w:rPr>
            </w:pPr>
            <w:r>
              <w:rPr>
                <w:rFonts w:ascii="Arial" w:cs="Arial" w:eastAsia="Arial" w:hAnsi="Arial"/>
                <w:sz w:val="16"/>
                <w:szCs w:val="16"/>
                <w:b w:val="1"/>
                <w:bCs w:val="1"/>
                <w:color w:val="auto"/>
              </w:rPr>
              <w:t>28,674</w:t>
            </w:r>
          </w:p>
        </w:tc>
        <w:tc>
          <w:tcPr>
            <w:tcW w:w="340" w:type="dxa"/>
            <w:vAlign w:val="bottom"/>
          </w:tcPr>
          <w:p>
            <w:pPr>
              <w:spacing w:after="0"/>
              <w:rPr>
                <w:sz w:val="21"/>
                <w:szCs w:val="21"/>
                <w:color w:val="auto"/>
              </w:rPr>
            </w:pP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35,147</w:t>
            </w:r>
          </w:p>
        </w:tc>
        <w:tc>
          <w:tcPr>
            <w:tcW w:w="1160" w:type="dxa"/>
            <w:vAlign w:val="bottom"/>
          </w:tcPr>
          <w:p>
            <w:pPr>
              <w:jc w:val="right"/>
              <w:ind w:right="140"/>
              <w:spacing w:after="0"/>
              <w:rPr>
                <w:sz w:val="20"/>
                <w:szCs w:val="20"/>
                <w:color w:val="auto"/>
              </w:rPr>
            </w:pPr>
            <w:r>
              <w:rPr>
                <w:rFonts w:ascii="Arial" w:cs="Arial" w:eastAsia="Arial" w:hAnsi="Arial"/>
                <w:sz w:val="16"/>
                <w:szCs w:val="16"/>
                <w:color w:val="auto"/>
              </w:rPr>
              <w:t>(18)</w:t>
            </w:r>
          </w:p>
        </w:tc>
        <w:tc>
          <w:tcPr>
            <w:tcW w:w="260" w:type="dxa"/>
            <w:vAlign w:val="bottom"/>
          </w:tcPr>
          <w:p>
            <w:pPr>
              <w:spacing w:after="0"/>
              <w:rPr>
                <w:sz w:val="21"/>
                <w:szCs w:val="21"/>
                <w:color w:val="auto"/>
              </w:rPr>
            </w:pPr>
          </w:p>
        </w:tc>
        <w:tc>
          <w:tcPr>
            <w:tcW w:w="880" w:type="dxa"/>
            <w:vAlign w:val="bottom"/>
          </w:tcPr>
          <w:p>
            <w:pPr>
              <w:jc w:val="right"/>
              <w:ind w:right="80"/>
              <w:spacing w:after="0"/>
              <w:rPr>
                <w:sz w:val="20"/>
                <w:szCs w:val="20"/>
                <w:color w:val="auto"/>
              </w:rPr>
            </w:pPr>
            <w:r>
              <w:rPr>
                <w:rFonts w:ascii="Arial" w:cs="Arial" w:eastAsia="Arial" w:hAnsi="Arial"/>
                <w:sz w:val="16"/>
                <w:szCs w:val="16"/>
                <w:b w:val="1"/>
                <w:bCs w:val="1"/>
                <w:color w:val="auto"/>
              </w:rPr>
              <w:t>67,123</w:t>
            </w:r>
          </w:p>
        </w:tc>
        <w:tc>
          <w:tcPr>
            <w:tcW w:w="420" w:type="dxa"/>
            <w:vAlign w:val="bottom"/>
          </w:tcPr>
          <w:p>
            <w:pPr>
              <w:spacing w:after="0"/>
              <w:rPr>
                <w:sz w:val="21"/>
                <w:szCs w:val="21"/>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76,361</w:t>
            </w: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43"/>
        </w:trPr>
        <w:tc>
          <w:tcPr>
            <w:tcW w:w="4480" w:type="dxa"/>
            <w:vAlign w:val="bottom"/>
          </w:tcPr>
          <w:p>
            <w:pPr>
              <w:ind w:left="120"/>
              <w:spacing w:after="0"/>
              <w:rPr>
                <w:sz w:val="20"/>
                <w:szCs w:val="20"/>
                <w:color w:val="auto"/>
              </w:rPr>
            </w:pPr>
            <w:r>
              <w:rPr>
                <w:rFonts w:ascii="Arial" w:cs="Arial" w:eastAsia="Arial" w:hAnsi="Arial"/>
                <w:sz w:val="16"/>
                <w:szCs w:val="16"/>
                <w:color w:val="auto"/>
              </w:rPr>
              <w:t>Kaplan corporate and other</w:t>
            </w:r>
          </w:p>
        </w:tc>
        <w:tc>
          <w:tcPr>
            <w:tcW w:w="200" w:type="dxa"/>
            <w:vAlign w:val="bottom"/>
          </w:tcPr>
          <w:p>
            <w:pPr>
              <w:spacing w:after="0"/>
              <w:rPr>
                <w:sz w:val="21"/>
                <w:szCs w:val="21"/>
                <w:color w:val="auto"/>
              </w:rPr>
            </w:pPr>
          </w:p>
        </w:tc>
        <w:tc>
          <w:tcPr>
            <w:tcW w:w="840" w:type="dxa"/>
            <w:vAlign w:val="bottom"/>
          </w:tcPr>
          <w:p>
            <w:pPr>
              <w:jc w:val="right"/>
              <w:ind w:right="100"/>
              <w:spacing w:after="0"/>
              <w:rPr>
                <w:sz w:val="20"/>
                <w:szCs w:val="20"/>
                <w:color w:val="auto"/>
              </w:rPr>
            </w:pPr>
            <w:r>
              <w:rPr>
                <w:rFonts w:ascii="Arial" w:cs="Arial" w:eastAsia="Arial" w:hAnsi="Arial"/>
                <w:sz w:val="16"/>
                <w:szCs w:val="16"/>
                <w:b w:val="1"/>
                <w:bCs w:val="1"/>
                <w:color w:val="auto"/>
              </w:rPr>
              <w:t>3,039</w:t>
            </w:r>
          </w:p>
        </w:tc>
        <w:tc>
          <w:tcPr>
            <w:tcW w:w="340" w:type="dxa"/>
            <w:vAlign w:val="bottom"/>
          </w:tcPr>
          <w:p>
            <w:pPr>
              <w:spacing w:after="0"/>
              <w:rPr>
                <w:sz w:val="21"/>
                <w:szCs w:val="21"/>
                <w:color w:val="auto"/>
              </w:rPr>
            </w:pP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2,369</w:t>
            </w:r>
          </w:p>
        </w:tc>
        <w:tc>
          <w:tcPr>
            <w:tcW w:w="1160" w:type="dxa"/>
            <w:vAlign w:val="bottom"/>
          </w:tcPr>
          <w:p>
            <w:pPr>
              <w:jc w:val="right"/>
              <w:ind w:right="180"/>
              <w:spacing w:after="0"/>
              <w:rPr>
                <w:sz w:val="20"/>
                <w:szCs w:val="20"/>
                <w:color w:val="auto"/>
              </w:rPr>
            </w:pPr>
            <w:r>
              <w:rPr>
                <w:rFonts w:ascii="Arial" w:cs="Arial" w:eastAsia="Arial" w:hAnsi="Arial"/>
                <w:sz w:val="16"/>
                <w:szCs w:val="16"/>
                <w:color w:val="auto"/>
              </w:rPr>
              <w:t>28</w:t>
            </w:r>
          </w:p>
        </w:tc>
        <w:tc>
          <w:tcPr>
            <w:tcW w:w="260" w:type="dxa"/>
            <w:vAlign w:val="bottom"/>
          </w:tcPr>
          <w:p>
            <w:pPr>
              <w:spacing w:after="0"/>
              <w:rPr>
                <w:sz w:val="21"/>
                <w:szCs w:val="21"/>
                <w:color w:val="auto"/>
              </w:rPr>
            </w:pPr>
          </w:p>
        </w:tc>
        <w:tc>
          <w:tcPr>
            <w:tcW w:w="880" w:type="dxa"/>
            <w:vAlign w:val="bottom"/>
          </w:tcPr>
          <w:p>
            <w:pPr>
              <w:jc w:val="right"/>
              <w:ind w:right="80"/>
              <w:spacing w:after="0"/>
              <w:rPr>
                <w:sz w:val="20"/>
                <w:szCs w:val="20"/>
                <w:color w:val="auto"/>
              </w:rPr>
            </w:pPr>
            <w:r>
              <w:rPr>
                <w:rFonts w:ascii="Arial" w:cs="Arial" w:eastAsia="Arial" w:hAnsi="Arial"/>
                <w:sz w:val="16"/>
                <w:szCs w:val="16"/>
                <w:b w:val="1"/>
                <w:bCs w:val="1"/>
                <w:color w:val="auto"/>
              </w:rPr>
              <w:t>6,244</w:t>
            </w:r>
          </w:p>
        </w:tc>
        <w:tc>
          <w:tcPr>
            <w:tcW w:w="420" w:type="dxa"/>
            <w:vAlign w:val="bottom"/>
          </w:tcPr>
          <w:p>
            <w:pPr>
              <w:spacing w:after="0"/>
              <w:rPr>
                <w:sz w:val="21"/>
                <w:szCs w:val="21"/>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4,671</w:t>
            </w: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56"/>
        </w:trPr>
        <w:tc>
          <w:tcPr>
            <w:tcW w:w="4480" w:type="dxa"/>
            <w:vAlign w:val="bottom"/>
          </w:tcPr>
          <w:p>
            <w:pPr>
              <w:ind w:left="120"/>
              <w:spacing w:after="0"/>
              <w:rPr>
                <w:sz w:val="20"/>
                <w:szCs w:val="20"/>
                <w:color w:val="auto"/>
              </w:rPr>
            </w:pPr>
            <w:r>
              <w:rPr>
                <w:rFonts w:ascii="Arial" w:cs="Arial" w:eastAsia="Arial" w:hAnsi="Arial"/>
                <w:sz w:val="16"/>
                <w:szCs w:val="16"/>
                <w:color w:val="auto"/>
              </w:rPr>
              <w:t>Intersegment elimination</w:t>
            </w: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(815)</w:t>
            </w: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(294)</w:t>
            </w:r>
          </w:p>
        </w:tc>
        <w:tc>
          <w:tcPr>
            <w:tcW w:w="116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(2,082)</w:t>
            </w: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(1,042)</w:t>
            </w: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448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333,175</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367,763</w:t>
            </w:r>
          </w:p>
        </w:tc>
        <w:tc>
          <w:tcPr>
            <w:tcW w:w="1160" w:type="dxa"/>
            <w:vAlign w:val="bottom"/>
          </w:tcPr>
          <w:p>
            <w:pPr>
              <w:jc w:val="right"/>
              <w:ind w:right="140"/>
              <w:spacing w:after="0"/>
              <w:rPr>
                <w:sz w:val="20"/>
                <w:szCs w:val="20"/>
                <w:color w:val="auto"/>
              </w:rPr>
            </w:pPr>
            <w:r>
              <w:rPr>
                <w:rFonts w:ascii="Arial" w:cs="Arial" w:eastAsia="Arial" w:hAnsi="Arial"/>
                <w:sz w:val="16"/>
                <w:szCs w:val="16"/>
                <w:color w:val="auto"/>
              </w:rPr>
              <w:t>(9)</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689,553</w:t>
            </w:r>
          </w:p>
        </w:tc>
        <w:tc>
          <w:tcPr>
            <w:tcW w:w="4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740,217</w:t>
            </w: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
        </w:trPr>
        <w:tc>
          <w:tcPr>
            <w:tcW w:w="44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44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120"/>
              <w:spacing w:after="0"/>
              <w:rPr>
                <w:sz w:val="20"/>
                <w:szCs w:val="20"/>
                <w:color w:val="auto"/>
              </w:rPr>
            </w:pPr>
            <w:r>
              <w:rPr>
                <w:rFonts w:ascii="Arial" w:cs="Arial" w:eastAsia="Arial" w:hAnsi="Arial"/>
                <w:sz w:val="16"/>
                <w:szCs w:val="16"/>
                <w:color w:val="auto"/>
              </w:rPr>
              <w:t>Kaplan international</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100"/>
              <w:spacing w:after="0"/>
              <w:rPr>
                <w:sz w:val="20"/>
                <w:szCs w:val="20"/>
                <w:color w:val="auto"/>
              </w:rPr>
            </w:pPr>
            <w:r>
              <w:rPr>
                <w:rFonts w:ascii="Arial" w:cs="Arial" w:eastAsia="Arial" w:hAnsi="Arial"/>
                <w:sz w:val="16"/>
                <w:szCs w:val="16"/>
                <w:b w:val="1"/>
                <w:bCs w:val="1"/>
                <w:color w:val="auto"/>
              </w:rPr>
              <w:t>16,035</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25,537</w:t>
            </w:r>
          </w:p>
        </w:tc>
        <w:tc>
          <w:tcPr>
            <w:tcW w:w="1160" w:type="dxa"/>
            <w:vAlign w:val="bottom"/>
          </w:tcPr>
          <w:p>
            <w:pPr>
              <w:jc w:val="right"/>
              <w:ind w:right="140"/>
              <w:spacing w:after="0"/>
              <w:rPr>
                <w:sz w:val="20"/>
                <w:szCs w:val="20"/>
                <w:color w:val="auto"/>
              </w:rPr>
            </w:pPr>
            <w:r>
              <w:rPr>
                <w:rFonts w:ascii="Arial" w:cs="Arial" w:eastAsia="Arial" w:hAnsi="Arial"/>
                <w:sz w:val="16"/>
                <w:szCs w:val="16"/>
                <w:color w:val="auto"/>
              </w:rPr>
              <w:t>(37)</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80"/>
              <w:spacing w:after="0"/>
              <w:rPr>
                <w:sz w:val="20"/>
                <w:szCs w:val="20"/>
                <w:color w:val="auto"/>
              </w:rPr>
            </w:pPr>
            <w:r>
              <w:rPr>
                <w:rFonts w:ascii="Arial" w:cs="Arial" w:eastAsia="Arial" w:hAnsi="Arial"/>
                <w:sz w:val="16"/>
                <w:szCs w:val="16"/>
                <w:b w:val="1"/>
                <w:bCs w:val="1"/>
                <w:color w:val="auto"/>
              </w:rPr>
              <w:t>35,015</w:t>
            </w:r>
          </w:p>
        </w:tc>
        <w:tc>
          <w:tcPr>
            <w:tcW w:w="4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49,822</w:t>
            </w: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43"/>
        </w:trPr>
        <w:tc>
          <w:tcPr>
            <w:tcW w:w="4480" w:type="dxa"/>
            <w:vAlign w:val="bottom"/>
          </w:tcPr>
          <w:p>
            <w:pPr>
              <w:ind w:left="120"/>
              <w:spacing w:after="0"/>
              <w:rPr>
                <w:sz w:val="20"/>
                <w:szCs w:val="20"/>
                <w:color w:val="auto"/>
              </w:rPr>
            </w:pPr>
            <w:r>
              <w:rPr>
                <w:rFonts w:ascii="Arial" w:cs="Arial" w:eastAsia="Arial" w:hAnsi="Arial"/>
                <w:sz w:val="16"/>
                <w:szCs w:val="16"/>
                <w:color w:val="auto"/>
              </w:rPr>
              <w:t>Higher education</w:t>
            </w:r>
          </w:p>
        </w:tc>
        <w:tc>
          <w:tcPr>
            <w:tcW w:w="200" w:type="dxa"/>
            <w:vAlign w:val="bottom"/>
          </w:tcPr>
          <w:p>
            <w:pPr>
              <w:spacing w:after="0"/>
              <w:rPr>
                <w:sz w:val="21"/>
                <w:szCs w:val="21"/>
                <w:color w:val="auto"/>
              </w:rPr>
            </w:pPr>
          </w:p>
        </w:tc>
        <w:tc>
          <w:tcPr>
            <w:tcW w:w="840" w:type="dxa"/>
            <w:vAlign w:val="bottom"/>
          </w:tcPr>
          <w:p>
            <w:pPr>
              <w:jc w:val="right"/>
              <w:ind w:right="100"/>
              <w:spacing w:after="0"/>
              <w:rPr>
                <w:sz w:val="20"/>
                <w:szCs w:val="20"/>
                <w:color w:val="auto"/>
              </w:rPr>
            </w:pPr>
            <w:r>
              <w:rPr>
                <w:rFonts w:ascii="Arial" w:cs="Arial" w:eastAsia="Arial" w:hAnsi="Arial"/>
                <w:sz w:val="16"/>
                <w:szCs w:val="16"/>
                <w:b w:val="1"/>
                <w:bCs w:val="1"/>
                <w:color w:val="auto"/>
              </w:rPr>
              <w:t>17,050</w:t>
            </w:r>
          </w:p>
        </w:tc>
        <w:tc>
          <w:tcPr>
            <w:tcW w:w="340" w:type="dxa"/>
            <w:vAlign w:val="bottom"/>
          </w:tcPr>
          <w:p>
            <w:pPr>
              <w:spacing w:after="0"/>
              <w:rPr>
                <w:sz w:val="21"/>
                <w:szCs w:val="21"/>
                <w:color w:val="auto"/>
              </w:rPr>
            </w:pP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2,721</w:t>
            </w:r>
          </w:p>
        </w:tc>
        <w:tc>
          <w:tcPr>
            <w:tcW w:w="116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880" w:type="dxa"/>
            <w:vAlign w:val="bottom"/>
          </w:tcPr>
          <w:p>
            <w:pPr>
              <w:jc w:val="right"/>
              <w:ind w:right="80"/>
              <w:spacing w:after="0"/>
              <w:rPr>
                <w:sz w:val="20"/>
                <w:szCs w:val="20"/>
                <w:color w:val="auto"/>
              </w:rPr>
            </w:pPr>
            <w:r>
              <w:rPr>
                <w:rFonts w:ascii="Arial" w:cs="Arial" w:eastAsia="Arial" w:hAnsi="Arial"/>
                <w:sz w:val="16"/>
                <w:szCs w:val="16"/>
                <w:b w:val="1"/>
                <w:bCs w:val="1"/>
                <w:color w:val="auto"/>
              </w:rPr>
              <w:t>15,030</w:t>
            </w:r>
          </w:p>
        </w:tc>
        <w:tc>
          <w:tcPr>
            <w:tcW w:w="420" w:type="dxa"/>
            <w:vAlign w:val="bottom"/>
          </w:tcPr>
          <w:p>
            <w:pPr>
              <w:spacing w:after="0"/>
              <w:rPr>
                <w:sz w:val="21"/>
                <w:szCs w:val="21"/>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4,636</w:t>
            </w: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4480" w:type="dxa"/>
            <w:vAlign w:val="bottom"/>
          </w:tcPr>
          <w:p>
            <w:pPr>
              <w:ind w:left="120"/>
              <w:spacing w:after="0"/>
              <w:rPr>
                <w:sz w:val="20"/>
                <w:szCs w:val="20"/>
                <w:color w:val="auto"/>
              </w:rPr>
            </w:pPr>
            <w:r>
              <w:rPr>
                <w:rFonts w:ascii="Arial" w:cs="Arial" w:eastAsia="Arial" w:hAnsi="Arial"/>
                <w:sz w:val="16"/>
                <w:szCs w:val="16"/>
                <w:color w:val="auto"/>
              </w:rPr>
              <w:t>Test preparation</w:t>
            </w:r>
          </w:p>
        </w:tc>
        <w:tc>
          <w:tcPr>
            <w:tcW w:w="200" w:type="dxa"/>
            <w:vAlign w:val="bottom"/>
          </w:tcPr>
          <w:p>
            <w:pPr>
              <w:spacing w:after="0"/>
              <w:rPr>
                <w:sz w:val="21"/>
                <w:szCs w:val="21"/>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b w:val="1"/>
                <w:bCs w:val="1"/>
                <w:color w:val="auto"/>
              </w:rPr>
              <w:t>(1,048)</w:t>
            </w:r>
          </w:p>
        </w:tc>
        <w:tc>
          <w:tcPr>
            <w:tcW w:w="340" w:type="dxa"/>
            <w:vAlign w:val="bottom"/>
          </w:tcPr>
          <w:p>
            <w:pPr>
              <w:spacing w:after="0"/>
              <w:rPr>
                <w:sz w:val="21"/>
                <w:szCs w:val="21"/>
                <w:color w:val="auto"/>
              </w:rPr>
            </w:pP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4,289</w:t>
            </w:r>
          </w:p>
        </w:tc>
        <w:tc>
          <w:tcPr>
            <w:tcW w:w="116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b w:val="1"/>
                <w:bCs w:val="1"/>
                <w:color w:val="auto"/>
              </w:rPr>
              <w:t>(13,724)</w:t>
            </w:r>
          </w:p>
        </w:tc>
        <w:tc>
          <w:tcPr>
            <w:tcW w:w="420" w:type="dxa"/>
            <w:vAlign w:val="bottom"/>
          </w:tcPr>
          <w:p>
            <w:pPr>
              <w:spacing w:after="0"/>
              <w:rPr>
                <w:sz w:val="21"/>
                <w:szCs w:val="21"/>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3,835</w:t>
            </w: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4480" w:type="dxa"/>
            <w:vAlign w:val="bottom"/>
          </w:tcPr>
          <w:p>
            <w:pPr>
              <w:ind w:left="120"/>
              <w:spacing w:after="0"/>
              <w:rPr>
                <w:sz w:val="20"/>
                <w:szCs w:val="20"/>
                <w:color w:val="auto"/>
              </w:rPr>
            </w:pPr>
            <w:r>
              <w:rPr>
                <w:rFonts w:ascii="Arial" w:cs="Arial" w:eastAsia="Arial" w:hAnsi="Arial"/>
                <w:sz w:val="16"/>
                <w:szCs w:val="16"/>
                <w:color w:val="auto"/>
              </w:rPr>
              <w:t>Professional (U.S.)</w:t>
            </w:r>
          </w:p>
        </w:tc>
        <w:tc>
          <w:tcPr>
            <w:tcW w:w="200" w:type="dxa"/>
            <w:vAlign w:val="bottom"/>
          </w:tcPr>
          <w:p>
            <w:pPr>
              <w:spacing w:after="0"/>
              <w:rPr>
                <w:sz w:val="21"/>
                <w:szCs w:val="21"/>
                <w:color w:val="auto"/>
              </w:rPr>
            </w:pPr>
          </w:p>
        </w:tc>
        <w:tc>
          <w:tcPr>
            <w:tcW w:w="840" w:type="dxa"/>
            <w:vAlign w:val="bottom"/>
          </w:tcPr>
          <w:p>
            <w:pPr>
              <w:jc w:val="right"/>
              <w:ind w:right="100"/>
              <w:spacing w:after="0"/>
              <w:rPr>
                <w:sz w:val="20"/>
                <w:szCs w:val="20"/>
                <w:color w:val="auto"/>
              </w:rPr>
            </w:pPr>
            <w:r>
              <w:rPr>
                <w:rFonts w:ascii="Arial" w:cs="Arial" w:eastAsia="Arial" w:hAnsi="Arial"/>
                <w:sz w:val="16"/>
                <w:szCs w:val="16"/>
                <w:b w:val="1"/>
                <w:bCs w:val="1"/>
                <w:color w:val="auto"/>
              </w:rPr>
              <w:t>1,378</w:t>
            </w:r>
          </w:p>
        </w:tc>
        <w:tc>
          <w:tcPr>
            <w:tcW w:w="340" w:type="dxa"/>
            <w:vAlign w:val="bottom"/>
          </w:tcPr>
          <w:p>
            <w:pPr>
              <w:spacing w:after="0"/>
              <w:rPr>
                <w:sz w:val="21"/>
                <w:szCs w:val="21"/>
                <w:color w:val="auto"/>
              </w:rPr>
            </w:pP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4,745</w:t>
            </w:r>
          </w:p>
        </w:tc>
        <w:tc>
          <w:tcPr>
            <w:tcW w:w="1160" w:type="dxa"/>
            <w:vAlign w:val="bottom"/>
          </w:tcPr>
          <w:p>
            <w:pPr>
              <w:jc w:val="right"/>
              <w:ind w:right="140"/>
              <w:spacing w:after="0"/>
              <w:rPr>
                <w:sz w:val="20"/>
                <w:szCs w:val="20"/>
                <w:color w:val="auto"/>
              </w:rPr>
            </w:pPr>
            <w:r>
              <w:rPr>
                <w:rFonts w:ascii="Arial" w:cs="Arial" w:eastAsia="Arial" w:hAnsi="Arial"/>
                <w:sz w:val="16"/>
                <w:szCs w:val="16"/>
                <w:color w:val="auto"/>
              </w:rPr>
              <w:t>(71)</w:t>
            </w:r>
          </w:p>
        </w:tc>
        <w:tc>
          <w:tcPr>
            <w:tcW w:w="260" w:type="dxa"/>
            <w:vAlign w:val="bottom"/>
          </w:tcPr>
          <w:p>
            <w:pPr>
              <w:spacing w:after="0"/>
              <w:rPr>
                <w:sz w:val="21"/>
                <w:szCs w:val="21"/>
                <w:color w:val="auto"/>
              </w:rPr>
            </w:pPr>
          </w:p>
        </w:tc>
        <w:tc>
          <w:tcPr>
            <w:tcW w:w="880" w:type="dxa"/>
            <w:vAlign w:val="bottom"/>
          </w:tcPr>
          <w:p>
            <w:pPr>
              <w:jc w:val="right"/>
              <w:ind w:right="80"/>
              <w:spacing w:after="0"/>
              <w:rPr>
                <w:sz w:val="20"/>
                <w:szCs w:val="20"/>
                <w:color w:val="auto"/>
              </w:rPr>
            </w:pPr>
            <w:r>
              <w:rPr>
                <w:rFonts w:ascii="Arial" w:cs="Arial" w:eastAsia="Arial" w:hAnsi="Arial"/>
                <w:sz w:val="16"/>
                <w:szCs w:val="16"/>
                <w:b w:val="1"/>
                <w:bCs w:val="1"/>
                <w:color w:val="auto"/>
              </w:rPr>
              <w:t>7,504</w:t>
            </w:r>
          </w:p>
        </w:tc>
        <w:tc>
          <w:tcPr>
            <w:tcW w:w="420" w:type="dxa"/>
            <w:vAlign w:val="bottom"/>
          </w:tcPr>
          <w:p>
            <w:pPr>
              <w:spacing w:after="0"/>
              <w:rPr>
                <w:sz w:val="21"/>
                <w:szCs w:val="21"/>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16,004</w:t>
            </w: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43"/>
        </w:trPr>
        <w:tc>
          <w:tcPr>
            <w:tcW w:w="4480" w:type="dxa"/>
            <w:vAlign w:val="bottom"/>
          </w:tcPr>
          <w:p>
            <w:pPr>
              <w:ind w:left="120"/>
              <w:spacing w:after="0"/>
              <w:rPr>
                <w:sz w:val="20"/>
                <w:szCs w:val="20"/>
                <w:color w:val="auto"/>
              </w:rPr>
            </w:pPr>
            <w:r>
              <w:rPr>
                <w:rFonts w:ascii="Arial" w:cs="Arial" w:eastAsia="Arial" w:hAnsi="Arial"/>
                <w:sz w:val="16"/>
                <w:szCs w:val="16"/>
                <w:color w:val="auto"/>
              </w:rPr>
              <w:t>Kaplan corporate and other</w:t>
            </w:r>
          </w:p>
        </w:tc>
        <w:tc>
          <w:tcPr>
            <w:tcW w:w="200" w:type="dxa"/>
            <w:vAlign w:val="bottom"/>
          </w:tcPr>
          <w:p>
            <w:pPr>
              <w:spacing w:after="0"/>
              <w:rPr>
                <w:sz w:val="21"/>
                <w:szCs w:val="21"/>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b w:val="1"/>
                <w:bCs w:val="1"/>
                <w:color w:val="auto"/>
              </w:rPr>
              <w:t>(6,870)</w:t>
            </w:r>
          </w:p>
        </w:tc>
        <w:tc>
          <w:tcPr>
            <w:tcW w:w="340" w:type="dxa"/>
            <w:vAlign w:val="bottom"/>
          </w:tcPr>
          <w:p>
            <w:pPr>
              <w:spacing w:after="0"/>
              <w:rPr>
                <w:sz w:val="21"/>
                <w:szCs w:val="21"/>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(6,920)</w:t>
            </w:r>
          </w:p>
        </w:tc>
        <w:tc>
          <w:tcPr>
            <w:tcW w:w="1160" w:type="dxa"/>
            <w:vAlign w:val="bottom"/>
          </w:tcPr>
          <w:p>
            <w:pPr>
              <w:jc w:val="right"/>
              <w:ind w:right="180"/>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21"/>
                <w:szCs w:val="21"/>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b w:val="1"/>
                <w:bCs w:val="1"/>
                <w:color w:val="auto"/>
              </w:rPr>
              <w:t>(8,392)</w:t>
            </w:r>
          </w:p>
        </w:tc>
        <w:tc>
          <w:tcPr>
            <w:tcW w:w="420" w:type="dxa"/>
            <w:vAlign w:val="bottom"/>
          </w:tcPr>
          <w:p>
            <w:pPr>
              <w:spacing w:after="0"/>
              <w:rPr>
                <w:sz w:val="21"/>
                <w:szCs w:val="21"/>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(14,757)</w:t>
            </w: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43"/>
        </w:trPr>
        <w:tc>
          <w:tcPr>
            <w:tcW w:w="4480" w:type="dxa"/>
            <w:vAlign w:val="bottom"/>
          </w:tcPr>
          <w:p>
            <w:pPr>
              <w:ind w:left="120"/>
              <w:spacing w:after="0"/>
              <w:rPr>
                <w:sz w:val="20"/>
                <w:szCs w:val="20"/>
                <w:color w:val="auto"/>
              </w:rPr>
            </w:pPr>
            <w:r>
              <w:rPr>
                <w:rFonts w:ascii="Arial" w:cs="Arial" w:eastAsia="Arial" w:hAnsi="Arial"/>
                <w:sz w:val="16"/>
                <w:szCs w:val="16"/>
                <w:color w:val="auto"/>
              </w:rPr>
              <w:t>Amortization of intangible assets</w:t>
            </w:r>
          </w:p>
        </w:tc>
        <w:tc>
          <w:tcPr>
            <w:tcW w:w="200" w:type="dxa"/>
            <w:vAlign w:val="bottom"/>
          </w:tcPr>
          <w:p>
            <w:pPr>
              <w:spacing w:after="0"/>
              <w:rPr>
                <w:sz w:val="21"/>
                <w:szCs w:val="21"/>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b w:val="1"/>
                <w:bCs w:val="1"/>
                <w:color w:val="auto"/>
              </w:rPr>
              <w:t>(4,271)</w:t>
            </w:r>
          </w:p>
        </w:tc>
        <w:tc>
          <w:tcPr>
            <w:tcW w:w="340" w:type="dxa"/>
            <w:vAlign w:val="bottom"/>
          </w:tcPr>
          <w:p>
            <w:pPr>
              <w:spacing w:after="0"/>
              <w:rPr>
                <w:sz w:val="21"/>
                <w:szCs w:val="21"/>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(3,377)</w:t>
            </w:r>
          </w:p>
        </w:tc>
        <w:tc>
          <w:tcPr>
            <w:tcW w:w="1160" w:type="dxa"/>
            <w:vAlign w:val="bottom"/>
          </w:tcPr>
          <w:p>
            <w:pPr>
              <w:jc w:val="right"/>
              <w:ind w:right="140"/>
              <w:spacing w:after="0"/>
              <w:rPr>
                <w:sz w:val="20"/>
                <w:szCs w:val="20"/>
                <w:color w:val="auto"/>
              </w:rPr>
            </w:pPr>
            <w:r>
              <w:rPr>
                <w:rFonts w:ascii="Arial" w:cs="Arial" w:eastAsia="Arial" w:hAnsi="Arial"/>
                <w:sz w:val="16"/>
                <w:szCs w:val="16"/>
                <w:color w:val="auto"/>
              </w:rPr>
              <w:t>(26)</w:t>
            </w:r>
          </w:p>
        </w:tc>
        <w:tc>
          <w:tcPr>
            <w:tcW w:w="260" w:type="dxa"/>
            <w:vAlign w:val="bottom"/>
          </w:tcPr>
          <w:p>
            <w:pPr>
              <w:spacing w:after="0"/>
              <w:rPr>
                <w:sz w:val="21"/>
                <w:szCs w:val="21"/>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b w:val="1"/>
                <w:bCs w:val="1"/>
                <w:color w:val="auto"/>
              </w:rPr>
              <w:t>(8,472)</w:t>
            </w:r>
          </w:p>
        </w:tc>
        <w:tc>
          <w:tcPr>
            <w:tcW w:w="420" w:type="dxa"/>
            <w:vAlign w:val="bottom"/>
          </w:tcPr>
          <w:p>
            <w:pPr>
              <w:spacing w:after="0"/>
              <w:rPr>
                <w:sz w:val="21"/>
                <w:szCs w:val="21"/>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(6,944)</w:t>
            </w: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43"/>
        </w:trPr>
        <w:tc>
          <w:tcPr>
            <w:tcW w:w="4480" w:type="dxa"/>
            <w:vAlign w:val="bottom"/>
          </w:tcPr>
          <w:p>
            <w:pPr>
              <w:ind w:left="120"/>
              <w:spacing w:after="0"/>
              <w:rPr>
                <w:sz w:val="20"/>
                <w:szCs w:val="20"/>
                <w:color w:val="auto"/>
              </w:rPr>
            </w:pPr>
            <w:r>
              <w:rPr>
                <w:rFonts w:ascii="Arial" w:cs="Arial" w:eastAsia="Arial" w:hAnsi="Arial"/>
                <w:sz w:val="16"/>
                <w:szCs w:val="16"/>
                <w:color w:val="auto"/>
              </w:rPr>
              <w:t>Impairment of long-lived assets</w:t>
            </w:r>
          </w:p>
        </w:tc>
        <w:tc>
          <w:tcPr>
            <w:tcW w:w="200" w:type="dxa"/>
            <w:vAlign w:val="bottom"/>
          </w:tcPr>
          <w:p>
            <w:pPr>
              <w:spacing w:after="0"/>
              <w:rPr>
                <w:sz w:val="21"/>
                <w:szCs w:val="21"/>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b w:val="1"/>
                <w:bCs w:val="1"/>
                <w:color w:val="auto"/>
              </w:rPr>
              <w:t>(10,020)</w:t>
            </w:r>
          </w:p>
        </w:tc>
        <w:tc>
          <w:tcPr>
            <w:tcW w:w="340" w:type="dxa"/>
            <w:vAlign w:val="bottom"/>
          </w:tcPr>
          <w:p>
            <w:pPr>
              <w:spacing w:after="0"/>
              <w:rPr>
                <w:sz w:val="21"/>
                <w:szCs w:val="21"/>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(693)</w:t>
            </w:r>
          </w:p>
        </w:tc>
        <w:tc>
          <w:tcPr>
            <w:tcW w:w="116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b w:val="1"/>
                <w:bCs w:val="1"/>
                <w:color w:val="auto"/>
              </w:rPr>
              <w:t>(10,020)</w:t>
            </w:r>
          </w:p>
        </w:tc>
        <w:tc>
          <w:tcPr>
            <w:tcW w:w="420" w:type="dxa"/>
            <w:vAlign w:val="bottom"/>
          </w:tcPr>
          <w:p>
            <w:pPr>
              <w:spacing w:after="0"/>
              <w:rPr>
                <w:sz w:val="21"/>
                <w:szCs w:val="21"/>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(693)</w:t>
            </w: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6"/>
        </w:trPr>
        <w:tc>
          <w:tcPr>
            <w:tcW w:w="4480" w:type="dxa"/>
            <w:vAlign w:val="bottom"/>
          </w:tcPr>
          <w:p>
            <w:pPr>
              <w:ind w:left="120"/>
              <w:spacing w:after="0"/>
              <w:rPr>
                <w:sz w:val="20"/>
                <w:szCs w:val="20"/>
                <w:color w:val="auto"/>
              </w:rPr>
            </w:pPr>
            <w:r>
              <w:rPr>
                <w:rFonts w:ascii="Arial" w:cs="Arial" w:eastAsia="Arial" w:hAnsi="Arial"/>
                <w:sz w:val="16"/>
                <w:szCs w:val="16"/>
                <w:color w:val="auto"/>
              </w:rPr>
              <w:t>Intersegment elimination</w:t>
            </w: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w:t>
            </w:r>
          </w:p>
        </w:tc>
        <w:tc>
          <w:tcPr>
            <w:tcW w:w="116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5</w:t>
            </w: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w:t>
            </w: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448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12,254</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26,305</w:t>
            </w:r>
          </w:p>
        </w:tc>
        <w:tc>
          <w:tcPr>
            <w:tcW w:w="1160" w:type="dxa"/>
            <w:vAlign w:val="bottom"/>
          </w:tcPr>
          <w:p>
            <w:pPr>
              <w:jc w:val="right"/>
              <w:ind w:right="140"/>
              <w:spacing w:after="0"/>
              <w:rPr>
                <w:sz w:val="20"/>
                <w:szCs w:val="20"/>
                <w:color w:val="auto"/>
              </w:rPr>
            </w:pPr>
            <w:r>
              <w:rPr>
                <w:rFonts w:ascii="Arial" w:cs="Arial" w:eastAsia="Arial" w:hAnsi="Arial"/>
                <w:sz w:val="16"/>
                <w:szCs w:val="16"/>
                <w:color w:val="auto"/>
              </w:rPr>
              <w:t>(53)</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16,946</w:t>
            </w:r>
          </w:p>
        </w:tc>
        <w:tc>
          <w:tcPr>
            <w:tcW w:w="4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51,900</w:t>
            </w: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1"/>
        </w:trPr>
        <w:tc>
          <w:tcPr>
            <w:tcW w:w="4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line="220" w:lineRule="auto"/>
        <w:rPr>
          <w:sz w:val="20"/>
          <w:szCs w:val="20"/>
          <w:color w:val="auto"/>
        </w:rPr>
      </w:pPr>
      <w:r>
        <w:rPr>
          <w:rFonts w:ascii="Arial" w:cs="Arial" w:eastAsia="Arial" w:hAnsi="Arial"/>
          <w:sz w:val="18"/>
          <w:szCs w:val="18"/>
          <w:color w:val="auto"/>
        </w:rPr>
        <w:t>Kaplan International includes English-language programs, and postsecondary education and professional training businesses largely outside the United States. In July 2019, Kaplan acquired Heverald, the owner of ESL Education, Europe’s largest language-travel agency and Alpadia, a chain of German and French language schools and junior summer camps. Kaplan International revenue decreased 13% and 3% for the second quarter and first six months of 2020, respectively. Excluding acquisitions, Kaplan International revenue decreased 13% and 4% in the second quarter and first six months of 2020, respectively. On a constant currency basis, revenue decreased 9% and remained flat for the second quarter and first six months of 2020, respectively. The revenue decreases were due to declines at Languages, Singapore, and UK Professional, partially offset by growth at UK Pathways and Australia and the Heverald acquisition. Kaplan International reported operating income of $16.0 million in the second quarter of 2020, compared to $25.5 million in the second quarter of 2019. Operating income decreased to $35.0 million in the first six months of 2020, compared to $49.8 million in the first six months of 2019. The decline in operating results in the second quarter and first six months of 2020 is due to declines at Languages, UK Professional and Singapore, partially offset by improved results in UK Pathways and Australia. Kaplan International Languages 2020 results were negatively impacted by COVID-19 travel restrictions and UK Professional results were negatively impacted by postponements of standardized exam dates. In addition, Kaplan International recorded $3.9 million of lease restructuring costs and $1.2 million of severance restructuring costs at Languages in the second quarter of 2020; the lease restructuring costs included $1.5 million in accelerated depreciation expense. Due to travel restrictions imposed as a result of COVID-19, management expects significant challenges in Languages’ operating environment for at least the remainder of 2020. In June 2020, UK Visas and Immigration announced that a mixed mode of online and face to face teaching would be permitted to continue for the duration of the entire academic year from July 1, 2020 to June 30, 2021; this will provide flexibility and confidence for students enrolling in UK Pathways programs.</w:t>
      </w:r>
    </w:p>
    <w:p>
      <w:pPr>
        <w:spacing w:after="0" w:line="149" w:lineRule="exact"/>
        <w:rPr>
          <w:sz w:val="20"/>
          <w:szCs w:val="20"/>
          <w:color w:val="auto"/>
        </w:rPr>
      </w:pPr>
    </w:p>
    <w:p>
      <w:pPr>
        <w:ind w:right="20"/>
        <w:spacing w:after="0" w:line="222" w:lineRule="auto"/>
        <w:rPr>
          <w:sz w:val="20"/>
          <w:szCs w:val="20"/>
          <w:color w:val="auto"/>
        </w:rPr>
      </w:pPr>
      <w:r>
        <w:rPr>
          <w:rFonts w:ascii="Arial" w:cs="Arial" w:eastAsia="Arial" w:hAnsi="Arial"/>
          <w:sz w:val="18"/>
          <w:szCs w:val="18"/>
          <w:color w:val="auto"/>
        </w:rPr>
        <w:t>The Higher Education division primarily includes the results of Kaplan as a service provider to higher education institutions. In the second quarter and first six months of 2020, Higher Education revenue was up 13% and 1%, respectively, due primarily to an increase in the Purdue University Global fee, offset by a reduction in expenses incurred by Kaplan Higher Education as service provider to Purdue Global. In the first quarter of 2020, the Company did not record an additional fee with Purdue Global based on an assessment of its collectability under the TOSA. In the second quarter of 2020, the Company recorded a portion of the fee with Purdue Global based on an assessment of its collectability under the TOSA. Purdue Global experienced increased enrollments and higher retention rates in the first half of 2020, which resulted in improved Higher Education results for the second quarter and first six months of 2020. The Company will continue to assess the collectability of the fee with Purdue Global on a quarterly basis to make a determination as to whether to record all or part of the fee in the future. For the second quarter and first six months of 2020, Kaplan Higher Education recorded $1.5 million and $3.5 million, respectively, in lease restructuring costs, of which $0.1 million was accelerated depreciation expense.</w:t>
      </w:r>
    </w:p>
    <w:p>
      <w:pPr>
        <w:spacing w:after="0" w:line="137" w:lineRule="exact"/>
        <w:rPr>
          <w:sz w:val="20"/>
          <w:szCs w:val="20"/>
          <w:color w:val="auto"/>
        </w:rPr>
      </w:pPr>
    </w:p>
    <w:p>
      <w:pPr>
        <w:ind w:right="180"/>
        <w:spacing w:after="0" w:line="227" w:lineRule="auto"/>
        <w:rPr>
          <w:sz w:val="20"/>
          <w:szCs w:val="20"/>
          <w:color w:val="auto"/>
        </w:rPr>
      </w:pPr>
      <w:r>
        <w:rPr>
          <w:rFonts w:ascii="Arial" w:cs="Arial" w:eastAsia="Arial" w:hAnsi="Arial"/>
          <w:sz w:val="18"/>
          <w:szCs w:val="18"/>
          <w:color w:val="auto"/>
        </w:rPr>
        <w:t>Kaplan Test Preparation includes Kaplan’s standardized test preparation programs. KTP revenue decreased 22% and 26% for the second quarter and first six months of 2020, respectively, due to reduced demand for KTP’s retail comprehensive test preparation programs and product-life extensions related to the postponement of various standardized test dates due to the COVID-19 pandemic. Overall, product-life extensions have resulted in lower</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240"/>
          </w:cols>
          <w:pgMar w:left="320" w:top="1057" w:right="339" w:bottom="1440" w:gutter="0" w:footer="0" w:header="0"/>
        </w:sectPr>
      </w:pP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320" w:top="1057" w:right="339" w:bottom="1440" w:gutter="0" w:footer="0" w:header="0"/>
          <w:type w:val="continuous"/>
        </w:sectPr>
      </w:pPr>
    </w:p>
    <w:bookmarkStart w:id="8" w:name="page9"/>
    <w:bookmarkEnd w:id="8"/>
    <w:p>
      <w:pPr>
        <w:ind w:right="580"/>
        <w:spacing w:after="0" w:line="229" w:lineRule="auto"/>
        <w:rPr>
          <w:sz w:val="20"/>
          <w:szCs w:val="20"/>
          <w:color w:val="auto"/>
        </w:rPr>
      </w:pPr>
      <w:r>
        <w:rPr>
          <w:rFonts w:ascii="Arial" w:cs="Arial" w:eastAsia="Arial" w:hAnsi="Arial"/>
          <w:sz w:val="18"/>
          <w:szCs w:val="18"/>
          <w:color w:val="auto"/>
        </w:rPr>
        <w:t>revenue being recognized in the first half of 2020; however, substantially all of this will be recognized over the remainder of 2020. KTP operating results declined in the second quarter and first six months of 2020 due to these revenue declines and $4.5 million of lease restructuring costs, of which $1.8 million was accelerated depreciation expense.</w:t>
      </w:r>
    </w:p>
    <w:p>
      <w:pPr>
        <w:spacing w:after="0" w:line="137" w:lineRule="exact"/>
        <w:rPr>
          <w:sz w:val="20"/>
          <w:szCs w:val="20"/>
          <w:color w:val="auto"/>
        </w:rPr>
      </w:pPr>
    </w:p>
    <w:p>
      <w:pPr>
        <w:ind w:right="280"/>
        <w:spacing w:after="0" w:line="227" w:lineRule="auto"/>
        <w:rPr>
          <w:sz w:val="20"/>
          <w:szCs w:val="20"/>
          <w:color w:val="auto"/>
        </w:rPr>
      </w:pPr>
      <w:r>
        <w:rPr>
          <w:rFonts w:ascii="Arial" w:cs="Arial" w:eastAsia="Arial" w:hAnsi="Arial"/>
          <w:sz w:val="18"/>
          <w:szCs w:val="18"/>
          <w:color w:val="auto"/>
        </w:rPr>
        <w:t>Kaplan Professional (U.S.) includes the domestic professional and other continuing education businesses. Kaplan Professional (U.S.) revenue in the second quarter and first six months of 2020 declined 18% and 12%, respectively, due to declines in CFA, real estate and accountancy programs, partly due to the postponement of certification exams. Kaplan Professional (U.S.) operating results declined in the second quarter and first six months of 2020, primarily due to the revenue declines and $0.6 million in lease restructuring costs.</w:t>
      </w:r>
    </w:p>
    <w:p>
      <w:pPr>
        <w:spacing w:after="0" w:line="135"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Kaplan corporate and other represents unallocated expenses of Kaplan, Inc.’s corporate office, other minor businesses and certain shared activities. Overall, Kaplan corporate and other expenses declined in the first six months of 2020 due to lower compensation costs.</w:t>
      </w:r>
    </w:p>
    <w:p>
      <w:pPr>
        <w:spacing w:after="0" w:line="135" w:lineRule="exact"/>
        <w:rPr>
          <w:sz w:val="20"/>
          <w:szCs w:val="20"/>
          <w:color w:val="auto"/>
        </w:rPr>
      </w:pPr>
    </w:p>
    <w:p>
      <w:pPr>
        <w:ind w:right="120"/>
        <w:spacing w:after="0" w:line="227" w:lineRule="auto"/>
        <w:rPr>
          <w:sz w:val="20"/>
          <w:szCs w:val="20"/>
          <w:color w:val="auto"/>
        </w:rPr>
      </w:pPr>
      <w:r>
        <w:rPr>
          <w:rFonts w:ascii="Arial" w:cs="Arial" w:eastAsia="Arial" w:hAnsi="Arial"/>
          <w:sz w:val="18"/>
          <w:szCs w:val="18"/>
          <w:color w:val="auto"/>
        </w:rPr>
        <w:t>In the second quarter of 2020, the Company approved a Separation Incentive Program (SIP) that reduced the number of employees at Kaplan International, Higher Education, Kaplan Professional (U.S.) and Kaplan corporate, resulting in $5.0 million in non-operating pension expense in the second quarter of 2020. In the second quarter of 2019, the Company approved a SIP that reduced the number of employees at KTP and Higher Education, resulting in $6.6 million in non-operating pension expense in the second quarter of 2019.</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Television Broadcasting</w:t>
      </w:r>
    </w:p>
    <w:p>
      <w:pPr>
        <w:spacing w:after="0" w:line="166"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Revenue at the television broadcasting division decreased 14% to $100.8 million in the second quarter of 2020, from $116.6 million in the same period of 2019. The revenue decline is due to reduced advertising demand related to the COVID-19 pandemic, partially offset by a $3.7 million increase in political advertising revenue and a $3.5 million increase in retransmission revenues. In the second quarter of 2020 and 2019, the television broadcasting division recorded $1.1 million and $7.8 million, respectively, in reductions to operating expenses related to property, plant and equipment gains due to new equipment received at no cost in connection with the spectrum repacking mandate of the FCC. Operating income for the second quarter of 2020 decreased 47% to $23.6 million, from $44.5 million in the same period of 2019, due to revenue declines, higher network fees and a reduction in property, plant and equipment gains. While revenue and operating results were adversely impacted by the COVID-19 pandemic in the second quarter of 2020, both revenue and operating results improved steadily throughout the quarter.</w:t>
      </w:r>
    </w:p>
    <w:p>
      <w:pPr>
        <w:spacing w:after="0" w:line="140"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Revenue at the television broadcasting division decreased 4% to $216.2 million in the first six months of 2020, from $ 224.9 million in the same period of 2019. The revenue decline is due to reduced advertising demand related to the COVID-19 pandemic, partially offset by a $13.5 million increase in political advertising revenue and $4.1 million in higher retransmission revenues. In the first six months of 2020 and 2019, the television broadcasting division recorded $1.4 million and $9.6 million, respectively, in reductions to operating expenses related to property, plant and equipment gains due to new equipment received at no cost in connection with the spectrum repacking mandate of the FCC. Operating income for the first six months of 2020 decreased 26% to $59.4 million, from $80.0 million in the same period of 2019, due to revenue declines, higher network fees and a reduction in property, plant and equipment gains.</w:t>
      </w:r>
    </w:p>
    <w:p>
      <w:pPr>
        <w:spacing w:after="0" w:line="139" w:lineRule="exact"/>
        <w:rPr>
          <w:sz w:val="20"/>
          <w:szCs w:val="20"/>
          <w:color w:val="auto"/>
        </w:rPr>
      </w:pPr>
    </w:p>
    <w:p>
      <w:pPr>
        <w:ind w:right="80"/>
        <w:spacing w:after="0" w:line="229" w:lineRule="auto"/>
        <w:rPr>
          <w:sz w:val="20"/>
          <w:szCs w:val="20"/>
          <w:color w:val="auto"/>
        </w:rPr>
      </w:pPr>
      <w:r>
        <w:rPr>
          <w:rFonts w:ascii="Arial" w:cs="Arial" w:eastAsia="Arial" w:hAnsi="Arial"/>
          <w:sz w:val="18"/>
          <w:szCs w:val="18"/>
          <w:color w:val="auto"/>
        </w:rPr>
        <w:t>The postponement of the 2020 summer Olympics, the reduction and uncertainty surrounding broadcast sporting events, and overall reduced advertising demand related to the COVID-19 pandemic are expected to negatively impact advertising revenue and the operating results at the television broadcasting division for the remainder of 2020.</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w:t>
      </w:r>
    </w:p>
    <w:p>
      <w:pPr>
        <w:spacing w:after="0" w:line="166"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Manufacturing includes four businesses: Hoover, a supplier of pressure impregnated kiln-dried lumber and plywood products for fire retardant and preservative applications; Dekko, a manufacturer of electrical workspace solutions, architectural lighting and electrical components and assemblies; Joyce/Dayton, a manufacturer of screw jacks and other linear motion systems; and Forney, a global supplier of products and systems that control and monitor combustion processes in electric utility and industrial applications.</w:t>
      </w:r>
    </w:p>
    <w:p>
      <w:pPr>
        <w:spacing w:after="0" w:line="135" w:lineRule="exact"/>
        <w:rPr>
          <w:sz w:val="20"/>
          <w:szCs w:val="20"/>
          <w:color w:val="auto"/>
        </w:rPr>
      </w:pPr>
    </w:p>
    <w:p>
      <w:pPr>
        <w:ind w:right="200"/>
        <w:spacing w:after="0" w:line="219" w:lineRule="auto"/>
        <w:rPr>
          <w:sz w:val="20"/>
          <w:szCs w:val="20"/>
          <w:color w:val="auto"/>
        </w:rPr>
      </w:pPr>
      <w:r>
        <w:rPr>
          <w:rFonts w:ascii="Arial" w:cs="Arial" w:eastAsia="Arial" w:hAnsi="Arial"/>
          <w:sz w:val="18"/>
          <w:szCs w:val="18"/>
          <w:color w:val="auto"/>
        </w:rPr>
        <w:t>Manufacturing revenues declined 28% and 14% in the second quarter and first six months of 2020, respectively. The revenue declines are due primarily to a significant reduction in product demand at Dekko, particularly in the hospitality, household appliance and transportation sectors, as well as lower product demand at Hoover, partially offset by higher wood prices at Hoover in the second quarter of 2020. Manufacturing operating results declined in the second quarter and first six months of 2020, due to a significant decline in Dekko results for the second quarter of 2020 from lower revenues, partially offset by improved results at Hoover from reduced operating costs and gains on inventory sales.</w:t>
      </w:r>
    </w:p>
    <w:p>
      <w:pPr>
        <w:spacing w:after="0" w:line="1" w:lineRule="exact"/>
        <w:rPr>
          <w:sz w:val="20"/>
          <w:szCs w:val="20"/>
          <w:color w:val="auto"/>
        </w:rPr>
      </w:pPr>
    </w:p>
    <w:p>
      <w:pPr>
        <w:ind w:right="280"/>
        <w:spacing w:after="0" w:line="235" w:lineRule="auto"/>
        <w:rPr>
          <w:sz w:val="20"/>
          <w:szCs w:val="20"/>
          <w:color w:val="auto"/>
        </w:rPr>
      </w:pPr>
      <w:r>
        <w:rPr>
          <w:rFonts w:ascii="Arial" w:cs="Arial" w:eastAsia="Arial" w:hAnsi="Arial"/>
          <w:sz w:val="18"/>
          <w:szCs w:val="18"/>
          <w:color w:val="auto"/>
        </w:rPr>
        <w:t>Starting in the second half of March 2020, certain of Dekko, Joyce/Dayton and Hoover’s manufacturing plants began operating at reduced levels due to lower product demand and other jurisdictional factors related to the</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057" w:right="339" w:bottom="1440" w:gutter="0" w:footer="0" w:header="0"/>
        </w:sectPr>
      </w:pPr>
    </w:p>
    <w:bookmarkStart w:id="9" w:name="page10"/>
    <w:bookmarkEnd w:id="9"/>
    <w:p>
      <w:pPr>
        <w:jc w:val="both"/>
        <w:ind w:right="100"/>
        <w:spacing w:after="0" w:line="229" w:lineRule="auto"/>
        <w:rPr>
          <w:sz w:val="20"/>
          <w:szCs w:val="20"/>
          <w:color w:val="auto"/>
        </w:rPr>
      </w:pPr>
      <w:r>
        <w:rPr>
          <w:rFonts w:ascii="Arial" w:cs="Arial" w:eastAsia="Arial" w:hAnsi="Arial"/>
          <w:sz w:val="18"/>
          <w:szCs w:val="18"/>
          <w:color w:val="auto"/>
        </w:rPr>
        <w:t>COVID-19 pandemic. The manufacturing businesses are tightly managing expenses and continuing with cost reduction plans to mitigate the impact of lower product demand. Overall, this is expected to continue to adversely impact manufacturing revenues and operating results for the remainder of 2020.</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w:t>
      </w:r>
    </w:p>
    <w:p>
      <w:pPr>
        <w:spacing w:after="0" w:line="166"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The Graham Healthcare Group (GHG) provides home health and hospice services in three states. In December 2019, GHG acquired a 75% interest in CSI Pharmacy Holding Company, LLC (CSI), a Wake Village, TX-based company, which coordinates the prescriptions and nursing care for patients receiving in-home infusion treatments. Healthcare revenues increased 21% for the second quarter and first six months of 2020, due to the CSI acquisition, offset by revenue declines from home health services due to lower patient volumes.</w:t>
      </w:r>
    </w:p>
    <w:p>
      <w:pPr>
        <w:spacing w:after="0" w:line="135"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In the second quarter of 2020, GHG received $7.4 million from the Federal CARES Act Provider Relief Fund. GHG did not apply for these funds; they were disbursed to GHG as a Medicare provider under the CARES Act. Under the Department of Health and Human Services guidelines, these funds may be used to offset revenue reductions and expenses incurred in connection with the COVID-19 pandemic. Of this amount, GHG recorded $5.5 million in revenue in the second quarter to partially offset the impact of revenue reductions due to the COVID-19 pandemic from the curtailment of elective procedures by health systems and other factors. GHG recorded $1.7 million as a credit to operating costs to partially offset the impact of costs incurred to procure personal protective equipment for GHG employees and other COVID-19 related costs. The improvement in GHG operating results in the second quarter and first six months of 2020 is due to improved results from home health and hospice services and operating income from the CSI acquisition. The Company expects home health care revenues for the remainder of 2020 to continue to be down from 2019, due to the effects of COVID-19.</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SocialCode</w:t>
      </w:r>
    </w:p>
    <w:p>
      <w:pPr>
        <w:spacing w:after="0" w:line="166" w:lineRule="exact"/>
        <w:rPr>
          <w:sz w:val="20"/>
          <w:szCs w:val="20"/>
          <w:color w:val="auto"/>
        </w:rPr>
      </w:pPr>
    </w:p>
    <w:p>
      <w:pPr>
        <w:ind w:right="40"/>
        <w:spacing w:after="0" w:line="221" w:lineRule="auto"/>
        <w:rPr>
          <w:sz w:val="20"/>
          <w:szCs w:val="20"/>
          <w:color w:val="auto"/>
        </w:rPr>
      </w:pPr>
      <w:r>
        <w:rPr>
          <w:rFonts w:ascii="Arial" w:cs="Arial" w:eastAsia="Arial" w:hAnsi="Arial"/>
          <w:sz w:val="18"/>
          <w:szCs w:val="18"/>
          <w:color w:val="auto"/>
        </w:rPr>
        <w:t>SocialCode is a provider of marketing solutions managing data, creative, media and marketplaces to accelerate client growth. SocialCode’s revenue decreased 36% and 25% in the second quarter and first six months of 2020, respectively, due to reduced marketing spending by advertising clients as a result of the recessionary environment from the COVID-19 pandemic. SocialCode also has some significant CPG industry clients and has experienced the adverse impact of brand boycotts. SocialCode reported operating losses of $3.0 million and $ 6.8 million in the second quarter and first six months of 2020, respectively, compared to $1.0 million and $5.0 million in the second quarter and first six months of 2019, respectively. In July 2020, SocialCode announced it will be splitting into two separate companies. SocialCode’s agency business will continue as a leading digital marketing agency and the Audience Intelligence Platform (AIP) will be a separate software company, operating under the new name, Decile. Decile uses first party customer data to deliver business intelligence and customer insights to its customers. In the second quarter of 2020, SocialCode recorded a $1.5 million lease impairment charge (including $0.1 million in property, plant and equipment write-downs) in connection with a restructuring plan that included other cost reduction initiatives to mitigate the adverse impact of COVID-19 on advertising demand, which is expected to continue for the remainder of 2020. These initiatives included the approval of a Separation Incentive Program (SIP) that reduced the number of employees at SocialCode, resulting in $1.0 million in non-operating pension expense in the second quarter of 2020.</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Businesses</w:t>
      </w:r>
    </w:p>
    <w:p>
      <w:pPr>
        <w:spacing w:after="0" w:line="166" w:lineRule="exact"/>
        <w:rPr>
          <w:sz w:val="20"/>
          <w:szCs w:val="20"/>
          <w:color w:val="auto"/>
        </w:rPr>
      </w:pPr>
    </w:p>
    <w:p>
      <w:pPr>
        <w:ind w:right="60"/>
        <w:spacing w:after="0" w:line="229" w:lineRule="auto"/>
        <w:rPr>
          <w:sz w:val="20"/>
          <w:szCs w:val="20"/>
          <w:color w:val="auto"/>
        </w:rPr>
      </w:pPr>
      <w:r>
        <w:rPr>
          <w:rFonts w:ascii="Arial" w:cs="Arial" w:eastAsia="Arial" w:hAnsi="Arial"/>
          <w:sz w:val="18"/>
          <w:szCs w:val="18"/>
          <w:color w:val="auto"/>
        </w:rPr>
        <w:t>On May 15, 2020, the Company acquired Framebridge, Inc., a custom framing service company, headquartered in Washington, DC, with two retail locations in the metropolitan area and a manufacturing facility in Richmond, KY. The Company previously disclosed a minority investment interest in Framebridge.</w:t>
      </w:r>
    </w:p>
    <w:p>
      <w:pPr>
        <w:spacing w:after="0" w:line="137" w:lineRule="exact"/>
        <w:rPr>
          <w:sz w:val="20"/>
          <w:szCs w:val="20"/>
          <w:color w:val="auto"/>
        </w:rPr>
      </w:pPr>
    </w:p>
    <w:p>
      <w:pPr>
        <w:ind w:right="100"/>
        <w:spacing w:after="0" w:line="223" w:lineRule="auto"/>
        <w:rPr>
          <w:sz w:val="20"/>
          <w:szCs w:val="20"/>
          <w:color w:val="auto"/>
        </w:rPr>
      </w:pPr>
      <w:r>
        <w:rPr>
          <w:rFonts w:ascii="Arial" w:cs="Arial" w:eastAsia="Arial" w:hAnsi="Arial"/>
          <w:sz w:val="18"/>
          <w:szCs w:val="18"/>
          <w:color w:val="auto"/>
        </w:rPr>
        <w:t>On July 31, 2019, the Company acquired Clyde’s Restaurant Group (CRG). CRG owns and operates twelve restaurants and entertainment venues in the Washington, DC metropolitan area, including Old Ebbitt Grill and The Hamilton, two of the top twenty highest grossing independent restaurants in the United States. As a result of the COVID-19 pandemic, CRG temporarily closed all of its restaurants and venues in the second half of March 2020, pursuant to government orders, maintaining limited operations for delivery and pickup. At the time, CRG had temporarily laid off many of its employees due to the uncertainty as to the timing, safety and other details regarding reopening. Given the uncertain and challenging operating environment for the restaurant industry, the Company completed a goodwill and other long-lived assets impairment review of CRG in the first quarter of 2020, resulting in a $9.7 million goodwill and intangible assets impairment charge.</w:t>
      </w:r>
    </w:p>
    <w:p>
      <w:pPr>
        <w:spacing w:after="0" w:line="135"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color w:val="auto"/>
        </w:rPr>
        <w:t>In the second half of May 2020, CRG began limited outdoor dining services at most of its restaurants, and in the second half of June 2020, CRG began limited indoor dining services at most of its restaurants. While many of CRG’s laid-off employees were rehired, CRG is uncertain as to the timing and other details regarding a full reopening. In June 2020, CRG made the decision to close its restaurant and entertainment venue in Columbia, MD effective July 19, 2020, resulting in accelerated depreciation of property, plant and equipment totaling $2.8 million in the second quarter of 2020; an additional $2.8 million in accelerated depreciation will be recorded in the third quarter of 2020. CRG incurred a significant loss in the second quarter of 2020 due to limited revenues and costs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057" w:right="339" w:bottom="1440" w:gutter="0" w:footer="0" w:header="0"/>
        </w:sectPr>
      </w:pPr>
    </w:p>
    <w:bookmarkStart w:id="10" w:name="page11"/>
    <w:bookmarkEnd w:id="10"/>
    <w:p>
      <w:pPr>
        <w:ind w:right="60"/>
        <w:spacing w:after="0" w:line="229" w:lineRule="auto"/>
        <w:rPr>
          <w:sz w:val="20"/>
          <w:szCs w:val="20"/>
          <w:color w:val="auto"/>
        </w:rPr>
      </w:pPr>
      <w:r>
        <w:rPr>
          <w:rFonts w:ascii="Arial" w:cs="Arial" w:eastAsia="Arial" w:hAnsi="Arial"/>
          <w:sz w:val="18"/>
          <w:szCs w:val="18"/>
          <w:color w:val="auto"/>
        </w:rPr>
        <w:t>incurred to support its employees and to reopen the restaurants for limited outdoor and indoor services. CRG continues to develop cost reduction plans to mitigate the impact of COVID-19. The pandemic is expected to continue to adversely impact CRG revenues and operating results for the remainder of 2020.</w:t>
      </w:r>
    </w:p>
    <w:p>
      <w:pPr>
        <w:spacing w:after="0" w:line="137"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On January 31, 2019, the Company acquired two automotive dealerships, Lexus of Rockville and Honda of Tysons Corner, from Sonic Automotive. The Company also announced it had entered into an agreement with Christopher J. Ourisman, a member of the Ourisman Automotive Group family of dealerships. In the fourth quarter of 2019, the Company and Mr. Ourisman commenced operations at a new Jeep automotive dealership, which began generating sales in January 2020 as Ourisman Jeep of Bethesda. Mr. Ourisman and his team of industry professionals operate and manage the dealerships. Graham Holdings Company holds a 90% stake in all three dealerships. As a result of the COVID-19 pandemic and the related recessionary conditions, the Company’s automotive dealerships experienced reduced demand for sales and service beginning in March 2020. Given the uncertain and challenging operating environment for automotive dealerships, the Company completed a goodwill and other long-lived assets impairment review of its automotive dealerships in the first quarter of 2020, resulting in a $6.7 million intangible assets impairment charge. Revenue and operating results at the automotive dealerships continued to be adversely impacted in the second quarter of 2020; however, results improved steadily throughout the quarter. While the impact of the pandemic is uncertain, the Company expects improved operating results in the second half of 2020, compared to the first half of 2020.</w:t>
      </w:r>
    </w:p>
    <w:p>
      <w:pPr>
        <w:spacing w:after="0" w:line="136"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Other businesses include an investment stage business, Megaphone, which provides podcast technology for publishers and advertisers through the Megaphone platform and Megaphone Targeted Marketplace (MTM). Megaphone’s revenues increased significantly in the first six months of 2020, as both advertising and platform sales experienced rapid growth during the period.</w:t>
      </w:r>
    </w:p>
    <w:p>
      <w:pPr>
        <w:spacing w:after="0" w:line="137"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Overall, for the first half of 2020, operating revenues for other businesses increased due largely to the CRG, Framebridge and automotive dealership acquisitions and growth at Megaphone. Revenues from other businesses decreased in the second quarter of 2020, due largely to declines at the automotive dealerships, offset by revenues from the CRG and Framebridge acquisitions and growth at Megaphone. CRG and the automotive dealerships incurred losses in the second quarter and first six months of 2020 due to the challenging operating conditions that began in March 2020 and the goodwill and other long-lived asset impairment charges. As investment stage businesses, Megaphone and Framebridge also reported operating losses in the second quarter and first six months of 2020.</w:t>
      </w:r>
    </w:p>
    <w:p>
      <w:pPr>
        <w:spacing w:after="0" w:line="137" w:lineRule="exact"/>
        <w:rPr>
          <w:sz w:val="20"/>
          <w:szCs w:val="20"/>
          <w:color w:val="auto"/>
        </w:rPr>
      </w:pPr>
    </w:p>
    <w:p>
      <w:pPr>
        <w:ind w:right="220"/>
        <w:spacing w:after="0" w:line="229" w:lineRule="auto"/>
        <w:rPr>
          <w:sz w:val="20"/>
          <w:szCs w:val="20"/>
          <w:color w:val="auto"/>
        </w:rPr>
      </w:pPr>
      <w:r>
        <w:rPr>
          <w:rFonts w:ascii="Arial" w:cs="Arial" w:eastAsia="Arial" w:hAnsi="Arial"/>
          <w:sz w:val="18"/>
          <w:szCs w:val="18"/>
          <w:color w:val="auto"/>
        </w:rPr>
        <w:t>Other businesses also include Slate and Foreign Policy, which publish online and print magazines and websites; and two investment stage businesses, Pinna and CyberVista. Foreign Policy, CyberVista and Pinna also reported revenue increases in the first six months of 2020. Losses from each of these four businesses in the first six months of 2020 adversely affected operating results.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Office</w:t>
      </w:r>
    </w:p>
    <w:p>
      <w:pPr>
        <w:spacing w:after="0" w:line="166" w:lineRule="exact"/>
        <w:rPr>
          <w:sz w:val="20"/>
          <w:szCs w:val="20"/>
          <w:color w:val="auto"/>
        </w:rPr>
      </w:pPr>
    </w:p>
    <w:p>
      <w:pPr>
        <w:ind w:right="700"/>
        <w:spacing w:after="0" w:line="258" w:lineRule="auto"/>
        <w:rPr>
          <w:sz w:val="20"/>
          <w:szCs w:val="20"/>
          <w:color w:val="auto"/>
        </w:rPr>
      </w:pPr>
      <w:r>
        <w:rPr>
          <w:rFonts w:ascii="Arial" w:cs="Arial" w:eastAsia="Arial" w:hAnsi="Arial"/>
          <w:sz w:val="17"/>
          <w:szCs w:val="17"/>
          <w:color w:val="auto"/>
        </w:rPr>
        <w:t>Corporate office includes the expenses of the Company’s corporate office and certain continuing obligations related to prior business dispositions. Corporate office expenses declined in the first six months of 2020 due primarily to lower incentive compensation costs.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in (Losses) Earnings of Affiliates</w:t>
      </w:r>
    </w:p>
    <w:p>
      <w:pPr>
        <w:spacing w:after="0" w:line="166" w:lineRule="exact"/>
        <w:rPr>
          <w:sz w:val="20"/>
          <w:szCs w:val="20"/>
          <w:color w:val="auto"/>
        </w:rPr>
      </w:pPr>
    </w:p>
    <w:p>
      <w:pPr>
        <w:ind w:right="100"/>
        <w:spacing w:after="0" w:line="223" w:lineRule="auto"/>
        <w:rPr>
          <w:sz w:val="20"/>
          <w:szCs w:val="20"/>
          <w:color w:val="auto"/>
        </w:rPr>
      </w:pPr>
      <w:r>
        <w:rPr>
          <w:rFonts w:ascii="Arial" w:cs="Arial" w:eastAsia="Arial" w:hAnsi="Arial"/>
          <w:sz w:val="18"/>
          <w:szCs w:val="18"/>
          <w:color w:val="auto"/>
        </w:rPr>
        <w:t>At June 30, 2020, the Company held an approximate 12% interest in Intersection Holdings, LLC, a company that provides digital marketing and advertising services and products for cities, transit systems, airports, and other public and private spaces. The Company also holds interests in a number of home health and hospice joint ventures, and several other affiliates. The Company recorded equity in earnings of affiliates of $1.2 million for the second quarter of 2020, compared to $1.5 million for the second quarter of 2019. The Company recorded equity in losses of affiliates of $0.4 million for the first six months of 2020, compared to earnings of $ 3.1 million for the first six months of 2019. The Company recorded $3.6 million in write-downs in equity in earnings of affiliates related to two of its investments in the first quarter of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Interest Expense and Related Balances</w:t>
      </w:r>
    </w:p>
    <w:p>
      <w:pPr>
        <w:spacing w:after="0" w:line="166" w:lineRule="exact"/>
        <w:rPr>
          <w:sz w:val="20"/>
          <w:szCs w:val="20"/>
          <w:color w:val="auto"/>
        </w:rPr>
      </w:pPr>
    </w:p>
    <w:p>
      <w:pPr>
        <w:ind w:right="620"/>
        <w:spacing w:after="0" w:line="235" w:lineRule="auto"/>
        <w:rPr>
          <w:sz w:val="20"/>
          <w:szCs w:val="20"/>
          <w:color w:val="auto"/>
        </w:rPr>
      </w:pPr>
      <w:r>
        <w:rPr>
          <w:rFonts w:ascii="Arial" w:cs="Arial" w:eastAsia="Arial" w:hAnsi="Arial"/>
          <w:sz w:val="18"/>
          <w:szCs w:val="18"/>
          <w:color w:val="auto"/>
        </w:rPr>
        <w:t>On June 30, 2020, the Company repaid the £60 million borrowings due under the Kaplan Credit Agreement, financed by a £60 million drawdown on the Company’s $300 million revolving credit facility.</w:t>
      </w:r>
    </w:p>
    <w:p>
      <w:pPr>
        <w:spacing w:after="0" w:line="135"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In connection with the auto dealership acquisition that closed on January 31, 2019, a subsidiary of the Company borrowed $30 million to finance a portion of the acquisition and entered into an interest rate swap to fix the interest rate on the debt at 4.7% per annum. The subsidiary is required to repay the loan over a 10-year period by making monthly installment payments. In connection with the CSI acquisition that closed in December 2019, a subsidiary of GHG borrowed $ 11.25 million to finance a portion of the acquisition. The debt bears interest at 4.35% per annum. The GHG subsidiary is required to repay the loan over a five-year period by making monthly installment payments.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057" w:right="339" w:bottom="1440" w:gutter="0" w:footer="0" w:header="0"/>
        </w:sectPr>
      </w:pPr>
    </w:p>
    <w:bookmarkStart w:id="11" w:name="page12"/>
    <w:bookmarkEnd w:id="11"/>
    <w:p>
      <w:pPr>
        <w:spacing w:after="0" w:line="235" w:lineRule="auto"/>
        <w:rPr>
          <w:sz w:val="20"/>
          <w:szCs w:val="20"/>
          <w:color w:val="auto"/>
        </w:rPr>
      </w:pPr>
      <w:r>
        <w:rPr>
          <w:rFonts w:ascii="Arial" w:cs="Arial" w:eastAsia="Arial" w:hAnsi="Arial"/>
          <w:sz w:val="18"/>
          <w:szCs w:val="18"/>
          <w:color w:val="auto"/>
        </w:rPr>
        <w:t>The Company incurred net interest expense of $6.4 million and $13.0 million for the second quarter and first six months of 2020, respectively; compared to $6.8 million and $12.5 million for the second quarter and first six months of 2019, respectively.</w:t>
      </w:r>
    </w:p>
    <w:p>
      <w:pPr>
        <w:spacing w:after="0" w:line="135" w:lineRule="exact"/>
        <w:rPr>
          <w:sz w:val="20"/>
          <w:szCs w:val="20"/>
          <w:color w:val="auto"/>
        </w:rPr>
      </w:pPr>
    </w:p>
    <w:p>
      <w:pPr>
        <w:ind w:right="220"/>
        <w:spacing w:after="0" w:line="225" w:lineRule="auto"/>
        <w:rPr>
          <w:sz w:val="20"/>
          <w:szCs w:val="20"/>
          <w:color w:val="auto"/>
        </w:rPr>
      </w:pPr>
      <w:r>
        <w:rPr>
          <w:rFonts w:ascii="Arial" w:cs="Arial" w:eastAsia="Arial" w:hAnsi="Arial"/>
          <w:sz w:val="18"/>
          <w:szCs w:val="18"/>
          <w:color w:val="auto"/>
        </w:rPr>
        <w:t>At June 30, 2020, the Company had $511.5 million in borrowings outstanding at an average interest rate of 5.1% and cash, marketable equity securities and other investments of $723.8 million. At June 30, 2020, the Company had £60 million ($73.9 million) outstanding on its $300 million revolving credit facility, in connection with the refinancing of the debt repaid under the Kaplan Credit Agreement. In management’s opinion, the Company will have sufficient financial resources to meet its business requirements in the next twelve months, including working capital requirements, capital expenditures, interest payments and dividends.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Pension and Postretirement Benefit Income, net</w:t>
      </w:r>
    </w:p>
    <w:p>
      <w:pPr>
        <w:spacing w:after="0" w:line="166" w:lineRule="exact"/>
        <w:rPr>
          <w:sz w:val="20"/>
          <w:szCs w:val="20"/>
          <w:color w:val="auto"/>
        </w:rPr>
      </w:pPr>
    </w:p>
    <w:p>
      <w:pPr>
        <w:ind w:right="180"/>
        <w:spacing w:after="0" w:line="229" w:lineRule="auto"/>
        <w:rPr>
          <w:sz w:val="20"/>
          <w:szCs w:val="20"/>
          <w:color w:val="auto"/>
        </w:rPr>
      </w:pPr>
      <w:r>
        <w:rPr>
          <w:rFonts w:ascii="Arial" w:cs="Arial" w:eastAsia="Arial" w:hAnsi="Arial"/>
          <w:sz w:val="18"/>
          <w:szCs w:val="18"/>
          <w:color w:val="auto"/>
        </w:rPr>
        <w:t>The Company recorded net non-operating pension and postretirement benefit income of $12.1 million and $30.5 million for the second quarter and first six months of 2020, respectively; compared to $12.3 million and $32.2 million for the second quarter and first six months of 2019, respectively.</w:t>
      </w:r>
    </w:p>
    <w:p>
      <w:pPr>
        <w:spacing w:after="0" w:line="137" w:lineRule="exact"/>
        <w:rPr>
          <w:sz w:val="20"/>
          <w:szCs w:val="20"/>
          <w:color w:val="auto"/>
        </w:rPr>
      </w:pPr>
    </w:p>
    <w:p>
      <w:pPr>
        <w:ind w:right="300"/>
        <w:spacing w:after="0" w:line="229" w:lineRule="auto"/>
        <w:rPr>
          <w:sz w:val="20"/>
          <w:szCs w:val="20"/>
          <w:color w:val="auto"/>
        </w:rPr>
      </w:pPr>
      <w:r>
        <w:rPr>
          <w:rFonts w:ascii="Arial" w:cs="Arial" w:eastAsia="Arial" w:hAnsi="Arial"/>
          <w:sz w:val="18"/>
          <w:szCs w:val="18"/>
          <w:color w:val="auto"/>
        </w:rPr>
        <w:t>In the second quarter of 2020, the Company recorded $6.0 million in expenses related to non-operating Separation Incentive Programs at the education division and SocialCode. In the second quarter of 2019, the Company recorded $6.6 million in expenses related to a non-operating Separation Incentive Program at the education division.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Gain (Loss) on Marketable Equity Securities, net</w:t>
      </w:r>
    </w:p>
    <w:p>
      <w:pPr>
        <w:spacing w:after="0" w:line="166" w:lineRule="exact"/>
        <w:rPr>
          <w:sz w:val="20"/>
          <w:szCs w:val="20"/>
          <w:color w:val="auto"/>
        </w:rPr>
      </w:pPr>
    </w:p>
    <w:p>
      <w:pPr>
        <w:ind w:right="200"/>
        <w:spacing w:after="0" w:line="229" w:lineRule="auto"/>
        <w:rPr>
          <w:sz w:val="20"/>
          <w:szCs w:val="20"/>
          <w:color w:val="auto"/>
        </w:rPr>
      </w:pPr>
      <w:r>
        <w:rPr>
          <w:rFonts w:ascii="Arial" w:cs="Arial" w:eastAsia="Arial" w:hAnsi="Arial"/>
          <w:sz w:val="18"/>
          <w:szCs w:val="18"/>
          <w:color w:val="auto"/>
        </w:rPr>
        <w:t>Overall, the Company recognized $39.9 million in net gains and $60.5 million in net losses on marketable equity securities in the second quarter and first six months of 2020, respectively; compared to $7.8 million and $31.9 million in net gains on marketable equity securities in the second quarter and first six months of 2019, respectively.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Non-Operating Income</w:t>
      </w:r>
    </w:p>
    <w:p>
      <w:pPr>
        <w:spacing w:after="0" w:line="166" w:lineRule="exact"/>
        <w:rPr>
          <w:sz w:val="20"/>
          <w:szCs w:val="20"/>
          <w:color w:val="auto"/>
        </w:rPr>
      </w:pPr>
    </w:p>
    <w:p>
      <w:pPr>
        <w:jc w:val="both"/>
        <w:ind w:right="60"/>
        <w:spacing w:after="0" w:line="227" w:lineRule="auto"/>
        <w:rPr>
          <w:sz w:val="20"/>
          <w:szCs w:val="20"/>
          <w:color w:val="auto"/>
        </w:rPr>
      </w:pPr>
      <w:r>
        <w:rPr>
          <w:rFonts w:ascii="Arial" w:cs="Arial" w:eastAsia="Arial" w:hAnsi="Arial"/>
          <w:sz w:val="18"/>
          <w:szCs w:val="18"/>
          <w:color w:val="auto"/>
        </w:rPr>
        <w:t>The Company recorded total other non-operating income, net, of $8.1 million for the second quarter of 2020, compared to $1.2 million for the second quarter of 2019. The 2020 amounts included a $3.7 million gain on acquiring a controlling interest in an equity affiliate; a $2.6 million gain on a cost method investment; a $1.5 million gain on sale of an equity affiliate, and other items; offset by $1.1 million in foreign currency losses. The 2019 amounts included $0.1 million in foreign currency gains and other items.</w:t>
      </w:r>
    </w:p>
    <w:p>
      <w:pPr>
        <w:spacing w:after="0" w:line="135" w:lineRule="exact"/>
        <w:rPr>
          <w:sz w:val="20"/>
          <w:szCs w:val="20"/>
          <w:color w:val="auto"/>
        </w:rPr>
      </w:pPr>
    </w:p>
    <w:p>
      <w:pPr>
        <w:ind w:right="160"/>
        <w:spacing w:after="0" w:line="224" w:lineRule="auto"/>
        <w:rPr>
          <w:sz w:val="20"/>
          <w:szCs w:val="20"/>
          <w:color w:val="auto"/>
        </w:rPr>
      </w:pPr>
      <w:r>
        <w:rPr>
          <w:rFonts w:ascii="Arial" w:cs="Arial" w:eastAsia="Arial" w:hAnsi="Arial"/>
          <w:sz w:val="18"/>
          <w:szCs w:val="18"/>
          <w:color w:val="auto"/>
        </w:rPr>
        <w:t>The Company recorded total other non-operating income, net, of $10.8 million for the first six months of 2020, compared to $30.6 million for the first six months of 2019. The 2020 amounts included a $3.7 million gain on acquiring a controlling interest in an equity affiliate; $3.2 million in foreign currency gains; a $2.6 million gain on a cost method investment; a $1.4 million net gain on sales of equity affiliates, and other items; partially offset by $2.6 million in impairments on cost method investments. The 2019 amounts included a $29.0 million gain on the sale of the Company’s interest in Gimlet Media; a $1.4 million gain on sale of cost method investments; $0.6 million in foreign currency gains and other items.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(Benefit from) Provision for Income Taxes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Company’s effective tax rate for the first six months of 2020 was 18.9%.</w:t>
      </w:r>
    </w:p>
    <w:p>
      <w:pPr>
        <w:spacing w:after="0" w:line="144"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The Company’s effective tax rate for the first six months of 2019 was 24.2%. In the first quarter of 2019, the Company recorded income tax benefits related to stock compensation of $1.7 million.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(Losses) Per Share</w:t>
      </w:r>
    </w:p>
    <w:p>
      <w:pPr>
        <w:spacing w:after="0" w:line="166" w:lineRule="exact"/>
        <w:rPr>
          <w:sz w:val="20"/>
          <w:szCs w:val="20"/>
          <w:color w:val="auto"/>
        </w:rPr>
      </w:pPr>
    </w:p>
    <w:p>
      <w:pPr>
        <w:ind w:right="120"/>
        <w:spacing w:after="0" w:line="225" w:lineRule="auto"/>
        <w:rPr>
          <w:sz w:val="20"/>
          <w:szCs w:val="20"/>
          <w:color w:val="auto"/>
        </w:rPr>
      </w:pPr>
      <w:r>
        <w:rPr>
          <w:rFonts w:ascii="Arial" w:cs="Arial" w:eastAsia="Arial" w:hAnsi="Arial"/>
          <w:sz w:val="18"/>
          <w:szCs w:val="18"/>
          <w:color w:val="auto"/>
        </w:rPr>
        <w:t>The calculation of diluted earnings (losses) per share for the second quarter and first six months of 2020 was based on 5,201,101 and 5,234,809 weighted average shares outstanding, compared to 5,328,252 and 5,327,369 for the second quarter and first six months of 2019. At June 30, 2020, there were 5,159,370 shares outstanding. On November 9, 2017, the Board of Directors authorized the Company to acquire up to 500,000 shares of its Class B common stock; the Company has remaining authorization for 100,996 shares as of June 30, 2020.</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05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66"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All public statements made by the Company and its representatives that are not statements of historical fact, including certain statements in this press release, in the Company’s Annual Report on Form 10-K and in the Company’s 2019 Annual Report to Stockholders, are “forward-looking statements” within the meaning of the Private Securities Litigation Reform Act of 1995. Actual results may differ materially from those projected as a result of certain risks and uncertainties, including but not limited to the duration and severity of the COVID-19 pandemic and its effects on the Company’s operations, financial results, liquidity and cash flows. Other forward-looking statements include comments about expectations related to acquisitions or dispositions or related business activities, including the TOSA, the Company’s business strategies and objectives, anticipated results of license renewal applications, the prospects for growth in the Company’s various business operations and the Company’s future financial performance. As with any projection or forecast, forward-looking statements are subject to various risks and uncertainties, including the risks and uncertainties described in Item 1A of the Company’s Annual Report on Form 10-K, that could cause actual results or events to differ materially from those anticipated in such statements. Accordingly, undue reliance should not be placed on any forward-looking statement made by or on behalf of the Company. The Company assumes no obligation to update any forward-looking statement after the date on which such statement is made, even if new information subsequently becomes available.</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-more-</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00"/>
          </w:cols>
          <w:pgMar w:left="320" w:top="1035" w:right="37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OPERATIONS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40" w:type="dxa"/>
            <w:vAlign w:val="bottom"/>
            <w:gridSpan w:val="3"/>
          </w:tcPr>
          <w:p>
            <w:pPr>
              <w:jc w:val="right"/>
              <w:ind w:right="279"/>
              <w:spacing w:after="0"/>
              <w:rPr>
                <w:sz w:val="20"/>
                <w:szCs w:val="20"/>
                <w:color w:val="auto"/>
              </w:rPr>
            </w:pPr>
            <w:r>
              <w:rPr>
                <w:rFonts w:ascii="Arial" w:cs="Arial" w:eastAsia="Arial" w:hAnsi="Arial"/>
                <w:sz w:val="14"/>
                <w:szCs w:val="14"/>
                <w:b w:val="1"/>
                <w:bCs w:val="1"/>
                <w:color w:val="auto"/>
              </w:rPr>
              <w:t>Three Months Ended</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9"/>
                <w:szCs w:val="19"/>
                <w:color w:val="auto"/>
              </w:rPr>
            </w:pPr>
          </w:p>
        </w:tc>
        <w:tc>
          <w:tcPr>
            <w:tcW w:w="740" w:type="dxa"/>
            <w:vAlign w:val="bottom"/>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83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color w:val="auto"/>
              </w:rPr>
              <w:t>2019</w:t>
            </w:r>
          </w:p>
        </w:tc>
        <w:tc>
          <w:tcPr>
            <w:tcW w:w="74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23"/>
        </w:trPr>
        <w:tc>
          <w:tcPr>
            <w:tcW w:w="8340" w:type="dxa"/>
            <w:vAlign w:val="bottom"/>
          </w:tcPr>
          <w:p>
            <w:pPr>
              <w:ind w:left="20"/>
              <w:spacing w:after="0"/>
              <w:rPr>
                <w:sz w:val="20"/>
                <w:szCs w:val="20"/>
                <w:color w:val="auto"/>
              </w:rPr>
            </w:pPr>
            <w:r>
              <w:rPr>
                <w:rFonts w:ascii="Arial" w:cs="Arial" w:eastAsia="Arial" w:hAnsi="Arial"/>
                <w:sz w:val="16"/>
                <w:szCs w:val="16"/>
                <w:color w:val="auto"/>
              </w:rPr>
              <w:t>Operating revenues</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652,871</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737,602</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43"/>
        </w:trPr>
        <w:tc>
          <w:tcPr>
            <w:tcW w:w="834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180" w:type="dxa"/>
            <w:vAlign w:val="bottom"/>
          </w:tcPr>
          <w:p>
            <w:pPr>
              <w:spacing w:after="0"/>
              <w:rPr>
                <w:sz w:val="21"/>
                <w:szCs w:val="21"/>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598,243</w:t>
            </w:r>
          </w:p>
        </w:tc>
        <w:tc>
          <w:tcPr>
            <w:tcW w:w="320" w:type="dxa"/>
            <w:vAlign w:val="bottom"/>
          </w:tcPr>
          <w:p>
            <w:pPr>
              <w:spacing w:after="0"/>
              <w:rPr>
                <w:sz w:val="21"/>
                <w:szCs w:val="21"/>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652,182</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43"/>
        </w:trPr>
        <w:tc>
          <w:tcPr>
            <w:tcW w:w="8340" w:type="dxa"/>
            <w:vAlign w:val="bottom"/>
          </w:tcPr>
          <w:p>
            <w:pPr>
              <w:ind w:left="20"/>
              <w:spacing w:after="0"/>
              <w:rPr>
                <w:sz w:val="20"/>
                <w:szCs w:val="20"/>
                <w:color w:val="auto"/>
              </w:rPr>
            </w:pPr>
            <w:r>
              <w:rPr>
                <w:rFonts w:ascii="Arial" w:cs="Arial" w:eastAsia="Arial" w:hAnsi="Arial"/>
                <w:sz w:val="16"/>
                <w:szCs w:val="16"/>
                <w:color w:val="auto"/>
              </w:rPr>
              <w:t>Depreciation of property, plant and equipment</w:t>
            </w:r>
          </w:p>
        </w:tc>
        <w:tc>
          <w:tcPr>
            <w:tcW w:w="180" w:type="dxa"/>
            <w:vAlign w:val="bottom"/>
          </w:tcPr>
          <w:p>
            <w:pPr>
              <w:spacing w:after="0"/>
              <w:rPr>
                <w:sz w:val="21"/>
                <w:szCs w:val="21"/>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22,913</w:t>
            </w:r>
          </w:p>
        </w:tc>
        <w:tc>
          <w:tcPr>
            <w:tcW w:w="320" w:type="dxa"/>
            <w:vAlign w:val="bottom"/>
          </w:tcPr>
          <w:p>
            <w:pPr>
              <w:spacing w:after="0"/>
              <w:rPr>
                <w:sz w:val="21"/>
                <w:szCs w:val="21"/>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13,884</w:t>
            </w: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43"/>
        </w:trPr>
        <w:tc>
          <w:tcPr>
            <w:tcW w:w="834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180" w:type="dxa"/>
            <w:vAlign w:val="bottom"/>
          </w:tcPr>
          <w:p>
            <w:pPr>
              <w:spacing w:after="0"/>
              <w:rPr>
                <w:sz w:val="21"/>
                <w:szCs w:val="21"/>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14,327</w:t>
            </w:r>
          </w:p>
        </w:tc>
        <w:tc>
          <w:tcPr>
            <w:tcW w:w="320" w:type="dxa"/>
            <w:vAlign w:val="bottom"/>
          </w:tcPr>
          <w:p>
            <w:pPr>
              <w:spacing w:after="0"/>
              <w:rPr>
                <w:sz w:val="21"/>
                <w:szCs w:val="21"/>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12,880</w:t>
            </w: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56"/>
        </w:trPr>
        <w:tc>
          <w:tcPr>
            <w:tcW w:w="8340" w:type="dxa"/>
            <w:vAlign w:val="bottom"/>
          </w:tcPr>
          <w:p>
            <w:pPr>
              <w:ind w:left="20"/>
              <w:spacing w:after="0"/>
              <w:rPr>
                <w:sz w:val="20"/>
                <w:szCs w:val="20"/>
                <w:color w:val="auto"/>
              </w:rPr>
            </w:pPr>
            <w:r>
              <w:rPr>
                <w:rFonts w:ascii="Arial" w:cs="Arial" w:eastAsia="Arial" w:hAnsi="Arial"/>
                <w:sz w:val="16"/>
                <w:szCs w:val="16"/>
                <w:color w:val="auto"/>
              </w:rPr>
              <w:t>Impairment of long-lived assets</w:t>
            </w: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11,511</w:t>
            </w: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693</w:t>
            </w: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Operating income</w:t>
            </w:r>
          </w:p>
        </w:tc>
        <w:tc>
          <w:tcPr>
            <w:tcW w:w="180" w:type="dxa"/>
            <w:vAlign w:val="bottom"/>
          </w:tcPr>
          <w:p>
            <w:pPr>
              <w:spacing w:after="0"/>
              <w:rPr>
                <w:sz w:val="19"/>
                <w:szCs w:val="19"/>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5,877</w:t>
            </w:r>
          </w:p>
        </w:tc>
        <w:tc>
          <w:tcPr>
            <w:tcW w:w="320" w:type="dxa"/>
            <w:vAlign w:val="bottom"/>
          </w:tcPr>
          <w:p>
            <w:pPr>
              <w:spacing w:after="0"/>
              <w:rPr>
                <w:sz w:val="19"/>
                <w:szCs w:val="19"/>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57,963</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43"/>
        </w:trPr>
        <w:tc>
          <w:tcPr>
            <w:tcW w:w="8340" w:type="dxa"/>
            <w:vAlign w:val="bottom"/>
          </w:tcPr>
          <w:p>
            <w:pPr>
              <w:ind w:left="200"/>
              <w:spacing w:after="0"/>
              <w:rPr>
                <w:sz w:val="20"/>
                <w:szCs w:val="20"/>
                <w:color w:val="auto"/>
              </w:rPr>
            </w:pPr>
            <w:r>
              <w:rPr>
                <w:rFonts w:ascii="Arial" w:cs="Arial" w:eastAsia="Arial" w:hAnsi="Arial"/>
                <w:sz w:val="16"/>
                <w:szCs w:val="16"/>
                <w:color w:val="auto"/>
              </w:rPr>
              <w:t>Equity in earnings of affiliates, net</w:t>
            </w:r>
          </w:p>
        </w:tc>
        <w:tc>
          <w:tcPr>
            <w:tcW w:w="180" w:type="dxa"/>
            <w:vAlign w:val="bottom"/>
          </w:tcPr>
          <w:p>
            <w:pPr>
              <w:spacing w:after="0"/>
              <w:rPr>
                <w:sz w:val="21"/>
                <w:szCs w:val="21"/>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1,182</w:t>
            </w:r>
          </w:p>
        </w:tc>
        <w:tc>
          <w:tcPr>
            <w:tcW w:w="320" w:type="dxa"/>
            <w:vAlign w:val="bottom"/>
          </w:tcPr>
          <w:p>
            <w:pPr>
              <w:spacing w:after="0"/>
              <w:rPr>
                <w:sz w:val="21"/>
                <w:szCs w:val="21"/>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1,467</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43"/>
        </w:trPr>
        <w:tc>
          <w:tcPr>
            <w:tcW w:w="8340" w:type="dxa"/>
            <w:vAlign w:val="bottom"/>
          </w:tcPr>
          <w:p>
            <w:pPr>
              <w:ind w:left="200"/>
              <w:spacing w:after="0"/>
              <w:rPr>
                <w:sz w:val="20"/>
                <w:szCs w:val="20"/>
                <w:color w:val="auto"/>
              </w:rPr>
            </w:pPr>
            <w:r>
              <w:rPr>
                <w:rFonts w:ascii="Arial" w:cs="Arial" w:eastAsia="Arial" w:hAnsi="Arial"/>
                <w:sz w:val="16"/>
                <w:szCs w:val="16"/>
                <w:color w:val="auto"/>
              </w:rPr>
              <w:t>Interest income</w:t>
            </w:r>
          </w:p>
        </w:tc>
        <w:tc>
          <w:tcPr>
            <w:tcW w:w="180" w:type="dxa"/>
            <w:vAlign w:val="bottom"/>
          </w:tcPr>
          <w:p>
            <w:pPr>
              <w:spacing w:after="0"/>
              <w:rPr>
                <w:sz w:val="21"/>
                <w:szCs w:val="21"/>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954</w:t>
            </w:r>
          </w:p>
        </w:tc>
        <w:tc>
          <w:tcPr>
            <w:tcW w:w="320" w:type="dxa"/>
            <w:vAlign w:val="bottom"/>
          </w:tcPr>
          <w:p>
            <w:pPr>
              <w:spacing w:after="0"/>
              <w:rPr>
                <w:sz w:val="21"/>
                <w:szCs w:val="21"/>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1,579</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43"/>
        </w:trPr>
        <w:tc>
          <w:tcPr>
            <w:tcW w:w="8340" w:type="dxa"/>
            <w:vAlign w:val="bottom"/>
          </w:tcPr>
          <w:p>
            <w:pPr>
              <w:ind w:left="20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21"/>
                <w:szCs w:val="21"/>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b w:val="1"/>
                <w:bCs w:val="1"/>
                <w:color w:val="auto"/>
              </w:rPr>
              <w:t>(7,377)</w:t>
            </w:r>
          </w:p>
        </w:tc>
        <w:tc>
          <w:tcPr>
            <w:tcW w:w="320" w:type="dxa"/>
            <w:vAlign w:val="bottom"/>
          </w:tcPr>
          <w:p>
            <w:pPr>
              <w:spacing w:after="0"/>
              <w:rPr>
                <w:sz w:val="21"/>
                <w:szCs w:val="21"/>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(8,386)</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43"/>
        </w:trPr>
        <w:tc>
          <w:tcPr>
            <w:tcW w:w="8340" w:type="dxa"/>
            <w:vAlign w:val="bottom"/>
          </w:tcPr>
          <w:p>
            <w:pPr>
              <w:ind w:left="200"/>
              <w:spacing w:after="0"/>
              <w:rPr>
                <w:sz w:val="20"/>
                <w:szCs w:val="20"/>
                <w:color w:val="auto"/>
              </w:rPr>
            </w:pPr>
            <w:r>
              <w:rPr>
                <w:rFonts w:ascii="Arial" w:cs="Arial" w:eastAsia="Arial" w:hAnsi="Arial"/>
                <w:sz w:val="16"/>
                <w:szCs w:val="16"/>
                <w:color w:val="auto"/>
              </w:rPr>
              <w:t>Non-operating pension and postretirement benefit income, net</w:t>
            </w:r>
          </w:p>
        </w:tc>
        <w:tc>
          <w:tcPr>
            <w:tcW w:w="180" w:type="dxa"/>
            <w:vAlign w:val="bottom"/>
          </w:tcPr>
          <w:p>
            <w:pPr>
              <w:spacing w:after="0"/>
              <w:rPr>
                <w:sz w:val="21"/>
                <w:szCs w:val="21"/>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12,136</w:t>
            </w:r>
          </w:p>
        </w:tc>
        <w:tc>
          <w:tcPr>
            <w:tcW w:w="320" w:type="dxa"/>
            <w:vAlign w:val="bottom"/>
          </w:tcPr>
          <w:p>
            <w:pPr>
              <w:spacing w:after="0"/>
              <w:rPr>
                <w:sz w:val="21"/>
                <w:szCs w:val="21"/>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12,253</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43"/>
        </w:trPr>
        <w:tc>
          <w:tcPr>
            <w:tcW w:w="8340" w:type="dxa"/>
            <w:vAlign w:val="bottom"/>
          </w:tcPr>
          <w:p>
            <w:pPr>
              <w:ind w:left="200"/>
              <w:spacing w:after="0"/>
              <w:rPr>
                <w:sz w:val="20"/>
                <w:szCs w:val="20"/>
                <w:color w:val="auto"/>
              </w:rPr>
            </w:pPr>
            <w:r>
              <w:rPr>
                <w:rFonts w:ascii="Arial" w:cs="Arial" w:eastAsia="Arial" w:hAnsi="Arial"/>
                <w:sz w:val="16"/>
                <w:szCs w:val="16"/>
                <w:color w:val="auto"/>
              </w:rPr>
              <w:t>Gain on marketable equity securities, net</w:t>
            </w:r>
          </w:p>
        </w:tc>
        <w:tc>
          <w:tcPr>
            <w:tcW w:w="180" w:type="dxa"/>
            <w:vAlign w:val="bottom"/>
          </w:tcPr>
          <w:p>
            <w:pPr>
              <w:spacing w:after="0"/>
              <w:rPr>
                <w:sz w:val="21"/>
                <w:szCs w:val="21"/>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39,890</w:t>
            </w:r>
          </w:p>
        </w:tc>
        <w:tc>
          <w:tcPr>
            <w:tcW w:w="320" w:type="dxa"/>
            <w:vAlign w:val="bottom"/>
          </w:tcPr>
          <w:p>
            <w:pPr>
              <w:spacing w:after="0"/>
              <w:rPr>
                <w:sz w:val="21"/>
                <w:szCs w:val="21"/>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7,791</w:t>
            </w: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6"/>
        </w:trPr>
        <w:tc>
          <w:tcPr>
            <w:tcW w:w="8340" w:type="dxa"/>
            <w:vAlign w:val="bottom"/>
          </w:tcPr>
          <w:p>
            <w:pPr>
              <w:ind w:left="200"/>
              <w:spacing w:after="0"/>
              <w:rPr>
                <w:sz w:val="20"/>
                <w:szCs w:val="20"/>
                <w:color w:val="auto"/>
              </w:rPr>
            </w:pPr>
            <w:r>
              <w:rPr>
                <w:rFonts w:ascii="Arial" w:cs="Arial" w:eastAsia="Arial" w:hAnsi="Arial"/>
                <w:sz w:val="16"/>
                <w:szCs w:val="16"/>
                <w:color w:val="auto"/>
              </w:rPr>
              <w:t>Other income, net</w:t>
            </w: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8,100</w:t>
            </w: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1,228</w:t>
            </w: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180" w:type="dxa"/>
            <w:vAlign w:val="bottom"/>
          </w:tcPr>
          <w:p>
            <w:pPr>
              <w:spacing w:after="0"/>
              <w:rPr>
                <w:sz w:val="19"/>
                <w:szCs w:val="19"/>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60,762</w:t>
            </w:r>
          </w:p>
        </w:tc>
        <w:tc>
          <w:tcPr>
            <w:tcW w:w="320" w:type="dxa"/>
            <w:vAlign w:val="bottom"/>
          </w:tcPr>
          <w:p>
            <w:pPr>
              <w:spacing w:after="0"/>
              <w:rPr>
                <w:sz w:val="19"/>
                <w:szCs w:val="19"/>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73,895</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56"/>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Provision for income taxes</w:t>
            </w: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41,900</w:t>
            </w: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16,700</w:t>
            </w: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180" w:type="dxa"/>
            <w:vAlign w:val="bottom"/>
          </w:tcPr>
          <w:p>
            <w:pPr>
              <w:spacing w:after="0"/>
              <w:rPr>
                <w:sz w:val="19"/>
                <w:szCs w:val="19"/>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18,862</w:t>
            </w:r>
          </w:p>
        </w:tc>
        <w:tc>
          <w:tcPr>
            <w:tcW w:w="320" w:type="dxa"/>
            <w:vAlign w:val="bottom"/>
          </w:tcPr>
          <w:p>
            <w:pPr>
              <w:spacing w:after="0"/>
              <w:rPr>
                <w:sz w:val="19"/>
                <w:szCs w:val="19"/>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57,195</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56"/>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noncontrolling interests</w:t>
            </w: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w:t>
            </w: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(114)</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16"/>
        </w:trPr>
        <w:tc>
          <w:tcPr>
            <w:tcW w:w="8340" w:type="dxa"/>
            <w:vAlign w:val="bottom"/>
          </w:tcPr>
          <w:p>
            <w:pPr>
              <w:ind w:left="160"/>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18,854</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57,081</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83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200"/>
              <w:spacing w:after="0"/>
              <w:rPr>
                <w:sz w:val="20"/>
                <w:szCs w:val="20"/>
                <w:color w:val="auto"/>
              </w:rPr>
            </w:pPr>
            <w:r>
              <w:rPr>
                <w:rFonts w:ascii="Arial" w:cs="Arial" w:eastAsia="Arial" w:hAnsi="Arial"/>
                <w:sz w:val="16"/>
                <w:szCs w:val="16"/>
                <w:color w:val="auto"/>
              </w:rPr>
              <w:t>Basic net income per common share</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3.61</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10.74</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43"/>
        </w:trPr>
        <w:tc>
          <w:tcPr>
            <w:tcW w:w="8340" w:type="dxa"/>
            <w:vAlign w:val="bottom"/>
          </w:tcPr>
          <w:p>
            <w:pPr>
              <w:ind w:left="200"/>
              <w:spacing w:after="0"/>
              <w:rPr>
                <w:sz w:val="20"/>
                <w:szCs w:val="20"/>
                <w:color w:val="auto"/>
              </w:rPr>
            </w:pPr>
            <w:r>
              <w:rPr>
                <w:rFonts w:ascii="Arial" w:cs="Arial" w:eastAsia="Arial" w:hAnsi="Arial"/>
                <w:sz w:val="16"/>
                <w:szCs w:val="16"/>
                <w:color w:val="auto"/>
              </w:rPr>
              <w:t>Basic average number of common shares outstanding</w:t>
            </w:r>
          </w:p>
        </w:tc>
        <w:tc>
          <w:tcPr>
            <w:tcW w:w="180" w:type="dxa"/>
            <w:vAlign w:val="bottom"/>
          </w:tcPr>
          <w:p>
            <w:pPr>
              <w:spacing w:after="0"/>
              <w:rPr>
                <w:sz w:val="21"/>
                <w:szCs w:val="21"/>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5,196</w:t>
            </w:r>
          </w:p>
        </w:tc>
        <w:tc>
          <w:tcPr>
            <w:tcW w:w="320" w:type="dxa"/>
            <w:vAlign w:val="bottom"/>
          </w:tcPr>
          <w:p>
            <w:pPr>
              <w:spacing w:after="0"/>
              <w:rPr>
                <w:sz w:val="21"/>
                <w:szCs w:val="21"/>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5,285</w:t>
            </w: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200"/>
              <w:spacing w:after="0"/>
              <w:rPr>
                <w:sz w:val="20"/>
                <w:szCs w:val="20"/>
                <w:color w:val="auto"/>
              </w:rPr>
            </w:pPr>
            <w:r>
              <w:rPr>
                <w:rFonts w:ascii="Arial" w:cs="Arial" w:eastAsia="Arial" w:hAnsi="Arial"/>
                <w:sz w:val="16"/>
                <w:szCs w:val="16"/>
                <w:color w:val="auto"/>
              </w:rPr>
              <w:t>Diluted net income per common share</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3.60</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10.65</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43"/>
        </w:trPr>
        <w:tc>
          <w:tcPr>
            <w:tcW w:w="8340" w:type="dxa"/>
            <w:vAlign w:val="bottom"/>
          </w:tcPr>
          <w:p>
            <w:pPr>
              <w:ind w:left="200"/>
              <w:spacing w:after="0"/>
              <w:rPr>
                <w:sz w:val="20"/>
                <w:szCs w:val="20"/>
                <w:color w:val="auto"/>
              </w:rPr>
            </w:pPr>
            <w:r>
              <w:rPr>
                <w:rFonts w:ascii="Arial" w:cs="Arial" w:eastAsia="Arial" w:hAnsi="Arial"/>
                <w:sz w:val="16"/>
                <w:szCs w:val="16"/>
                <w:color w:val="auto"/>
              </w:rPr>
              <w:t>Diluted average number of common shares outstanding</w:t>
            </w:r>
          </w:p>
        </w:tc>
        <w:tc>
          <w:tcPr>
            <w:tcW w:w="180" w:type="dxa"/>
            <w:vAlign w:val="bottom"/>
          </w:tcPr>
          <w:p>
            <w:pPr>
              <w:spacing w:after="0"/>
              <w:rPr>
                <w:sz w:val="21"/>
                <w:szCs w:val="21"/>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5,201</w:t>
            </w:r>
          </w:p>
        </w:tc>
        <w:tc>
          <w:tcPr>
            <w:tcW w:w="320" w:type="dxa"/>
            <w:vAlign w:val="bottom"/>
          </w:tcPr>
          <w:p>
            <w:pPr>
              <w:spacing w:after="0"/>
              <w:rPr>
                <w:sz w:val="21"/>
                <w:szCs w:val="21"/>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5,329</w:t>
            </w: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00"/>
          </w:cols>
          <w:pgMar w:left="340" w:top="1124" w:right="359" w:bottom="1440" w:gutter="0" w:footer="0" w:header="0"/>
        </w:sectPr>
      </w:pPr>
    </w:p>
    <w:bookmarkStart w:id="14" w:name="page15"/>
    <w:bookmarkEnd w:id="14"/>
    <w:p>
      <w:pPr>
        <w:jc w:val="center"/>
        <w:ind w:right="760"/>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ind w:right="760"/>
        <w:spacing w:after="0"/>
        <w:rPr>
          <w:sz w:val="20"/>
          <w:szCs w:val="20"/>
          <w:color w:val="auto"/>
        </w:rPr>
      </w:pPr>
      <w:r>
        <w:rPr>
          <w:rFonts w:ascii="Arial" w:cs="Arial" w:eastAsia="Arial" w:hAnsi="Arial"/>
          <w:sz w:val="18"/>
          <w:szCs w:val="18"/>
          <w:u w:val="single" w:color="auto"/>
          <w:color w:val="auto"/>
        </w:rPr>
        <w:t>CONSOLIDATED STATEMENTS OF OPERATIONS</w:t>
      </w:r>
    </w:p>
    <w:p>
      <w:pPr>
        <w:spacing w:after="0" w:line="50" w:lineRule="exact"/>
        <w:rPr>
          <w:sz w:val="20"/>
          <w:szCs w:val="20"/>
          <w:color w:val="auto"/>
        </w:rPr>
      </w:pPr>
    </w:p>
    <w:p>
      <w:pPr>
        <w:jc w:val="center"/>
        <w:ind w:right="760"/>
        <w:spacing w:after="0"/>
        <w:rPr>
          <w:sz w:val="20"/>
          <w:szCs w:val="20"/>
          <w:color w:val="auto"/>
        </w:rPr>
      </w:pPr>
      <w:r>
        <w:rPr>
          <w:rFonts w:ascii="Arial" w:cs="Arial" w:eastAsia="Arial" w:hAnsi="Arial"/>
          <w:sz w:val="18"/>
          <w:szCs w:val="18"/>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0" w:type="dxa"/>
            <w:vAlign w:val="bottom"/>
            <w:gridSpan w:val="3"/>
          </w:tcPr>
          <w:p>
            <w:pPr>
              <w:jc w:val="right"/>
              <w:ind w:right="479"/>
              <w:spacing w:after="0"/>
              <w:rPr>
                <w:sz w:val="20"/>
                <w:szCs w:val="20"/>
                <w:color w:val="auto"/>
              </w:rPr>
            </w:pPr>
            <w:r>
              <w:rPr>
                <w:rFonts w:ascii="Arial" w:cs="Arial" w:eastAsia="Arial" w:hAnsi="Arial"/>
                <w:sz w:val="14"/>
                <w:szCs w:val="14"/>
                <w:b w:val="1"/>
                <w:bCs w:val="1"/>
                <w:color w:val="auto"/>
              </w:rPr>
              <w:t>Six Months Ended</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0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9"/>
                <w:szCs w:val="19"/>
                <w:color w:val="auto"/>
              </w:rPr>
            </w:pPr>
          </w:p>
        </w:tc>
        <w:tc>
          <w:tcPr>
            <w:tcW w:w="760" w:type="dxa"/>
            <w:vAlign w:val="bottom"/>
          </w:tcPr>
          <w:p>
            <w:pPr>
              <w:jc w:val="right"/>
              <w:ind w:right="2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8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2019</w:t>
            </w:r>
          </w:p>
        </w:tc>
        <w:tc>
          <w:tcPr>
            <w:tcW w:w="76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23"/>
        </w:trPr>
        <w:tc>
          <w:tcPr>
            <w:tcW w:w="8080" w:type="dxa"/>
            <w:vAlign w:val="bottom"/>
          </w:tcPr>
          <w:p>
            <w:pPr>
              <w:ind w:left="20"/>
              <w:spacing w:after="0"/>
              <w:rPr>
                <w:sz w:val="20"/>
                <w:szCs w:val="20"/>
                <w:color w:val="auto"/>
              </w:rPr>
            </w:pPr>
            <w:r>
              <w:rPr>
                <w:rFonts w:ascii="Arial" w:cs="Arial" w:eastAsia="Arial" w:hAnsi="Arial"/>
                <w:sz w:val="16"/>
                <w:szCs w:val="16"/>
                <w:color w:val="auto"/>
              </w:rPr>
              <w:t>Operating revenues</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1,385,128</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1,429,801</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43"/>
        </w:trPr>
        <w:tc>
          <w:tcPr>
            <w:tcW w:w="808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180" w:type="dxa"/>
            <w:vAlign w:val="bottom"/>
          </w:tcPr>
          <w:p>
            <w:pPr>
              <w:spacing w:after="0"/>
              <w:rPr>
                <w:sz w:val="21"/>
                <w:szCs w:val="21"/>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1,275,145</w:t>
            </w:r>
          </w:p>
        </w:tc>
        <w:tc>
          <w:tcPr>
            <w:tcW w:w="340" w:type="dxa"/>
            <w:vAlign w:val="bottom"/>
          </w:tcPr>
          <w:p>
            <w:pPr>
              <w:spacing w:after="0"/>
              <w:rPr>
                <w:sz w:val="21"/>
                <w:szCs w:val="21"/>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1,277,795</w:t>
            </w: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43"/>
        </w:trPr>
        <w:tc>
          <w:tcPr>
            <w:tcW w:w="8080" w:type="dxa"/>
            <w:vAlign w:val="bottom"/>
          </w:tcPr>
          <w:p>
            <w:pPr>
              <w:ind w:left="20"/>
              <w:spacing w:after="0"/>
              <w:rPr>
                <w:sz w:val="20"/>
                <w:szCs w:val="20"/>
                <w:color w:val="auto"/>
              </w:rPr>
            </w:pPr>
            <w:r>
              <w:rPr>
                <w:rFonts w:ascii="Arial" w:cs="Arial" w:eastAsia="Arial" w:hAnsi="Arial"/>
                <w:sz w:val="16"/>
                <w:szCs w:val="16"/>
                <w:color w:val="auto"/>
              </w:rPr>
              <w:t>Depreciation of property, plant and equipment</w:t>
            </w:r>
          </w:p>
        </w:tc>
        <w:tc>
          <w:tcPr>
            <w:tcW w:w="180" w:type="dxa"/>
            <w:vAlign w:val="bottom"/>
          </w:tcPr>
          <w:p>
            <w:pPr>
              <w:spacing w:after="0"/>
              <w:rPr>
                <w:sz w:val="21"/>
                <w:szCs w:val="21"/>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39,617</w:t>
            </w:r>
          </w:p>
        </w:tc>
        <w:tc>
          <w:tcPr>
            <w:tcW w:w="340" w:type="dxa"/>
            <w:vAlign w:val="bottom"/>
          </w:tcPr>
          <w:p>
            <w:pPr>
              <w:spacing w:after="0"/>
              <w:rPr>
                <w:sz w:val="21"/>
                <w:szCs w:val="21"/>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27,407</w:t>
            </w: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43"/>
        </w:trPr>
        <w:tc>
          <w:tcPr>
            <w:tcW w:w="808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180" w:type="dxa"/>
            <w:vAlign w:val="bottom"/>
          </w:tcPr>
          <w:p>
            <w:pPr>
              <w:spacing w:after="0"/>
              <w:rPr>
                <w:sz w:val="21"/>
                <w:szCs w:val="21"/>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28,492</w:t>
            </w:r>
          </w:p>
        </w:tc>
        <w:tc>
          <w:tcPr>
            <w:tcW w:w="340" w:type="dxa"/>
            <w:vAlign w:val="bottom"/>
          </w:tcPr>
          <w:p>
            <w:pPr>
              <w:spacing w:after="0"/>
              <w:rPr>
                <w:sz w:val="21"/>
                <w:szCs w:val="21"/>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25,940</w:t>
            </w: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56"/>
        </w:trPr>
        <w:tc>
          <w:tcPr>
            <w:tcW w:w="8080" w:type="dxa"/>
            <w:vAlign w:val="bottom"/>
          </w:tcPr>
          <w:p>
            <w:pPr>
              <w:ind w:left="20"/>
              <w:spacing w:after="0"/>
              <w:rPr>
                <w:sz w:val="20"/>
                <w:szCs w:val="20"/>
                <w:color w:val="auto"/>
              </w:rPr>
            </w:pPr>
            <w:r>
              <w:rPr>
                <w:rFonts w:ascii="Arial" w:cs="Arial" w:eastAsia="Arial" w:hAnsi="Arial"/>
                <w:sz w:val="16"/>
                <w:szCs w:val="16"/>
                <w:color w:val="auto"/>
              </w:rPr>
              <w:t>Impairment of goodwill and other long-lived assets</w:t>
            </w: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27,912</w:t>
            </w: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693</w:t>
            </w: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Operating income</w:t>
            </w:r>
          </w:p>
        </w:tc>
        <w:tc>
          <w:tcPr>
            <w:tcW w:w="180" w:type="dxa"/>
            <w:vAlign w:val="bottom"/>
          </w:tcPr>
          <w:p>
            <w:pPr>
              <w:spacing w:after="0"/>
              <w:rPr>
                <w:sz w:val="19"/>
                <w:szCs w:val="19"/>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13,962</w:t>
            </w:r>
          </w:p>
        </w:tc>
        <w:tc>
          <w:tcPr>
            <w:tcW w:w="340" w:type="dxa"/>
            <w:vAlign w:val="bottom"/>
          </w:tcPr>
          <w:p>
            <w:pPr>
              <w:spacing w:after="0"/>
              <w:rPr>
                <w:sz w:val="19"/>
                <w:szCs w:val="19"/>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97,966</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43"/>
        </w:trPr>
        <w:tc>
          <w:tcPr>
            <w:tcW w:w="8080" w:type="dxa"/>
            <w:vAlign w:val="bottom"/>
          </w:tcPr>
          <w:p>
            <w:pPr>
              <w:ind w:left="220"/>
              <w:spacing w:after="0"/>
              <w:rPr>
                <w:sz w:val="20"/>
                <w:szCs w:val="20"/>
                <w:color w:val="auto"/>
              </w:rPr>
            </w:pPr>
            <w:r>
              <w:rPr>
                <w:rFonts w:ascii="Arial" w:cs="Arial" w:eastAsia="Arial" w:hAnsi="Arial"/>
                <w:sz w:val="16"/>
                <w:szCs w:val="16"/>
                <w:color w:val="auto"/>
              </w:rPr>
              <w:t>Equity in (losses) earnings of affiliates, net</w:t>
            </w:r>
          </w:p>
        </w:tc>
        <w:tc>
          <w:tcPr>
            <w:tcW w:w="18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(365)</w:t>
            </w:r>
          </w:p>
        </w:tc>
        <w:tc>
          <w:tcPr>
            <w:tcW w:w="340" w:type="dxa"/>
            <w:vAlign w:val="bottom"/>
          </w:tcPr>
          <w:p>
            <w:pPr>
              <w:spacing w:after="0"/>
              <w:rPr>
                <w:sz w:val="21"/>
                <w:szCs w:val="21"/>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3,146</w:t>
            </w: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808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180" w:type="dxa"/>
            <w:vAlign w:val="bottom"/>
          </w:tcPr>
          <w:p>
            <w:pPr>
              <w:spacing w:after="0"/>
              <w:rPr>
                <w:sz w:val="21"/>
                <w:szCs w:val="21"/>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2,105</w:t>
            </w:r>
          </w:p>
        </w:tc>
        <w:tc>
          <w:tcPr>
            <w:tcW w:w="340" w:type="dxa"/>
            <w:vAlign w:val="bottom"/>
          </w:tcPr>
          <w:p>
            <w:pPr>
              <w:spacing w:after="0"/>
              <w:rPr>
                <w:sz w:val="21"/>
                <w:szCs w:val="21"/>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3,279</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43"/>
        </w:trPr>
        <w:tc>
          <w:tcPr>
            <w:tcW w:w="808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(15,055)</w:t>
            </w:r>
          </w:p>
        </w:tc>
        <w:tc>
          <w:tcPr>
            <w:tcW w:w="340" w:type="dxa"/>
            <w:vAlign w:val="bottom"/>
          </w:tcPr>
          <w:p>
            <w:pPr>
              <w:spacing w:after="0"/>
              <w:rPr>
                <w:sz w:val="21"/>
                <w:szCs w:val="21"/>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(15,811)</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43"/>
        </w:trPr>
        <w:tc>
          <w:tcPr>
            <w:tcW w:w="8080" w:type="dxa"/>
            <w:vAlign w:val="bottom"/>
          </w:tcPr>
          <w:p>
            <w:pPr>
              <w:ind w:left="220"/>
              <w:spacing w:after="0"/>
              <w:rPr>
                <w:sz w:val="20"/>
                <w:szCs w:val="20"/>
                <w:color w:val="auto"/>
              </w:rPr>
            </w:pPr>
            <w:r>
              <w:rPr>
                <w:rFonts w:ascii="Arial" w:cs="Arial" w:eastAsia="Arial" w:hAnsi="Arial"/>
                <w:sz w:val="16"/>
                <w:szCs w:val="16"/>
                <w:color w:val="auto"/>
              </w:rPr>
              <w:t>Non-operating pension and postretirement benefit income, net</w:t>
            </w:r>
          </w:p>
        </w:tc>
        <w:tc>
          <w:tcPr>
            <w:tcW w:w="180" w:type="dxa"/>
            <w:vAlign w:val="bottom"/>
          </w:tcPr>
          <w:p>
            <w:pPr>
              <w:spacing w:after="0"/>
              <w:rPr>
                <w:sz w:val="21"/>
                <w:szCs w:val="21"/>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30,539</w:t>
            </w:r>
          </w:p>
        </w:tc>
        <w:tc>
          <w:tcPr>
            <w:tcW w:w="340" w:type="dxa"/>
            <w:vAlign w:val="bottom"/>
          </w:tcPr>
          <w:p>
            <w:pPr>
              <w:spacing w:after="0"/>
              <w:rPr>
                <w:sz w:val="21"/>
                <w:szCs w:val="21"/>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32,181</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43"/>
        </w:trPr>
        <w:tc>
          <w:tcPr>
            <w:tcW w:w="8080" w:type="dxa"/>
            <w:vAlign w:val="bottom"/>
          </w:tcPr>
          <w:p>
            <w:pPr>
              <w:ind w:left="220"/>
              <w:spacing w:after="0"/>
              <w:rPr>
                <w:sz w:val="20"/>
                <w:szCs w:val="20"/>
                <w:color w:val="auto"/>
              </w:rPr>
            </w:pPr>
            <w:r>
              <w:rPr>
                <w:rFonts w:ascii="Arial" w:cs="Arial" w:eastAsia="Arial" w:hAnsi="Arial"/>
                <w:sz w:val="16"/>
                <w:szCs w:val="16"/>
                <w:color w:val="auto"/>
              </w:rPr>
              <w:t>(Loss) gain on marketable equity securities, net</w:t>
            </w:r>
          </w:p>
        </w:tc>
        <w:tc>
          <w:tcPr>
            <w:tcW w:w="18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(60,503)</w:t>
            </w:r>
          </w:p>
        </w:tc>
        <w:tc>
          <w:tcPr>
            <w:tcW w:w="340" w:type="dxa"/>
            <w:vAlign w:val="bottom"/>
          </w:tcPr>
          <w:p>
            <w:pPr>
              <w:spacing w:after="0"/>
              <w:rPr>
                <w:sz w:val="21"/>
                <w:szCs w:val="21"/>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31,857</w:t>
            </w: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6"/>
        </w:trPr>
        <w:tc>
          <w:tcPr>
            <w:tcW w:w="8080" w:type="dxa"/>
            <w:vAlign w:val="bottom"/>
          </w:tcPr>
          <w:p>
            <w:pPr>
              <w:ind w:left="220"/>
              <w:spacing w:after="0"/>
              <w:rPr>
                <w:sz w:val="20"/>
                <w:szCs w:val="20"/>
                <w:color w:val="auto"/>
              </w:rPr>
            </w:pPr>
            <w:r>
              <w:rPr>
                <w:rFonts w:ascii="Arial" w:cs="Arial" w:eastAsia="Arial" w:hAnsi="Arial"/>
                <w:sz w:val="16"/>
                <w:szCs w:val="16"/>
                <w:color w:val="auto"/>
              </w:rPr>
              <w:t>Other income, net</w:t>
            </w: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10,788</w:t>
            </w: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30,579</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23"/>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(Loss) income before income taxes</w:t>
            </w:r>
          </w:p>
        </w:tc>
        <w:tc>
          <w:tcPr>
            <w:tcW w:w="18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(18,529)</w:t>
            </w:r>
          </w:p>
        </w:tc>
        <w:tc>
          <w:tcPr>
            <w:tcW w:w="340" w:type="dxa"/>
            <w:vAlign w:val="bottom"/>
          </w:tcPr>
          <w:p>
            <w:pPr>
              <w:spacing w:after="0"/>
              <w:rPr>
                <w:sz w:val="19"/>
                <w:szCs w:val="19"/>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183,197</w:t>
            </w: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6"/>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(Benefit from) provision for income taxes</w:t>
            </w: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(3,500)</w:t>
            </w: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44,300</w:t>
            </w: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Net (loss) income</w:t>
            </w:r>
          </w:p>
        </w:tc>
        <w:tc>
          <w:tcPr>
            <w:tcW w:w="18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(15,029)</w:t>
            </w:r>
          </w:p>
        </w:tc>
        <w:tc>
          <w:tcPr>
            <w:tcW w:w="340" w:type="dxa"/>
            <w:vAlign w:val="bottom"/>
          </w:tcPr>
          <w:p>
            <w:pPr>
              <w:spacing w:after="0"/>
              <w:rPr>
                <w:sz w:val="19"/>
                <w:szCs w:val="19"/>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138,897</w:t>
            </w: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6"/>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Net loss (income) attributable to noncontrolling interests</w:t>
            </w: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638</w:t>
            </w: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(68)</w:t>
            </w: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Net (Loss) Income Attributable to Graham Holdings Company Common Stockholders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(14,391)</w:t>
            </w:r>
          </w:p>
        </w:tc>
        <w:tc>
          <w:tcPr>
            <w:tcW w:w="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138,829</w:t>
            </w: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0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80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080" w:type="dxa"/>
            <w:vAlign w:val="bottom"/>
          </w:tcPr>
          <w:p>
            <w:pPr>
              <w:ind w:left="220"/>
              <w:spacing w:after="0"/>
              <w:rPr>
                <w:sz w:val="20"/>
                <w:szCs w:val="20"/>
                <w:color w:val="auto"/>
              </w:rPr>
            </w:pPr>
            <w:r>
              <w:rPr>
                <w:rFonts w:ascii="Arial" w:cs="Arial" w:eastAsia="Arial" w:hAnsi="Arial"/>
                <w:sz w:val="16"/>
                <w:szCs w:val="16"/>
                <w:color w:val="auto"/>
              </w:rPr>
              <w:t>Basic net (loss) income per common share</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(2.77)</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26.12</w:t>
            </w: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8080" w:type="dxa"/>
            <w:vAlign w:val="bottom"/>
          </w:tcPr>
          <w:p>
            <w:pPr>
              <w:ind w:left="220"/>
              <w:spacing w:after="0"/>
              <w:rPr>
                <w:sz w:val="20"/>
                <w:szCs w:val="20"/>
                <w:color w:val="auto"/>
              </w:rPr>
            </w:pPr>
            <w:r>
              <w:rPr>
                <w:rFonts w:ascii="Arial" w:cs="Arial" w:eastAsia="Arial" w:hAnsi="Arial"/>
                <w:sz w:val="16"/>
                <w:szCs w:val="16"/>
                <w:color w:val="auto"/>
              </w:rPr>
              <w:t>Basic average number of common shares outstanding</w:t>
            </w:r>
          </w:p>
        </w:tc>
        <w:tc>
          <w:tcPr>
            <w:tcW w:w="180" w:type="dxa"/>
            <w:vAlign w:val="bottom"/>
          </w:tcPr>
          <w:p>
            <w:pPr>
              <w:spacing w:after="0"/>
              <w:rPr>
                <w:sz w:val="21"/>
                <w:szCs w:val="21"/>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5,235</w:t>
            </w:r>
          </w:p>
        </w:tc>
        <w:tc>
          <w:tcPr>
            <w:tcW w:w="340" w:type="dxa"/>
            <w:vAlign w:val="bottom"/>
          </w:tcPr>
          <w:p>
            <w:pPr>
              <w:spacing w:after="0"/>
              <w:rPr>
                <w:sz w:val="21"/>
                <w:szCs w:val="21"/>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5,285</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80" w:type="dxa"/>
            <w:vAlign w:val="bottom"/>
          </w:tcPr>
          <w:p>
            <w:pPr>
              <w:ind w:left="220"/>
              <w:spacing w:after="0"/>
              <w:rPr>
                <w:sz w:val="20"/>
                <w:szCs w:val="20"/>
                <w:color w:val="auto"/>
              </w:rPr>
            </w:pPr>
            <w:r>
              <w:rPr>
                <w:rFonts w:ascii="Arial" w:cs="Arial" w:eastAsia="Arial" w:hAnsi="Arial"/>
                <w:sz w:val="16"/>
                <w:szCs w:val="16"/>
                <w:color w:val="auto"/>
              </w:rPr>
              <w:t>Diluted net (loss) income per common share</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(2.77)</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25.91</w:t>
            </w: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8080" w:type="dxa"/>
            <w:vAlign w:val="bottom"/>
          </w:tcPr>
          <w:p>
            <w:pPr>
              <w:ind w:left="220"/>
              <w:spacing w:after="0"/>
              <w:rPr>
                <w:sz w:val="20"/>
                <w:szCs w:val="20"/>
                <w:color w:val="auto"/>
              </w:rPr>
            </w:pPr>
            <w:r>
              <w:rPr>
                <w:rFonts w:ascii="Arial" w:cs="Arial" w:eastAsia="Arial" w:hAnsi="Arial"/>
                <w:sz w:val="16"/>
                <w:szCs w:val="16"/>
                <w:color w:val="auto"/>
              </w:rPr>
              <w:t>Diluted average number of common shares outstanding</w:t>
            </w:r>
          </w:p>
        </w:tc>
        <w:tc>
          <w:tcPr>
            <w:tcW w:w="180" w:type="dxa"/>
            <w:vAlign w:val="bottom"/>
          </w:tcPr>
          <w:p>
            <w:pPr>
              <w:spacing w:after="0"/>
              <w:rPr>
                <w:sz w:val="21"/>
                <w:szCs w:val="21"/>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5,235</w:t>
            </w:r>
          </w:p>
        </w:tc>
        <w:tc>
          <w:tcPr>
            <w:tcW w:w="340" w:type="dxa"/>
            <w:vAlign w:val="bottom"/>
          </w:tcPr>
          <w:p>
            <w:pPr>
              <w:spacing w:after="0"/>
              <w:rPr>
                <w:sz w:val="21"/>
                <w:szCs w:val="21"/>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5,328</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320" w:top="1124" w:right="359" w:bottom="1440" w:gutter="0" w:footer="0" w:header="0"/>
        </w:sectPr>
      </w:pPr>
    </w:p>
    <w:bookmarkStart w:id="15" w:name="page16"/>
    <w:bookmarkEnd w:id="15"/>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BUSINESS DIVISION INFORMATION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20" w:type="dxa"/>
            <w:vAlign w:val="bottom"/>
            <w:gridSpan w:val="3"/>
          </w:tcPr>
          <w:p>
            <w:pPr>
              <w:jc w:val="right"/>
              <w:ind w:right="259"/>
              <w:spacing w:after="0"/>
              <w:rPr>
                <w:sz w:val="20"/>
                <w:szCs w:val="20"/>
                <w:color w:val="auto"/>
              </w:rPr>
            </w:pPr>
            <w:r>
              <w:rPr>
                <w:rFonts w:ascii="Arial" w:cs="Arial" w:eastAsia="Arial" w:hAnsi="Arial"/>
                <w:sz w:val="14"/>
                <w:szCs w:val="14"/>
                <w:b w:val="1"/>
                <w:bCs w:val="1"/>
                <w:color w:val="auto"/>
              </w:rPr>
              <w:t>Three Months Ended</w:t>
            </w: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0" w:type="dxa"/>
            <w:vAlign w:val="bottom"/>
            <w:gridSpan w:val="3"/>
          </w:tcPr>
          <w:p>
            <w:pPr>
              <w:jc w:val="right"/>
              <w:ind w:right="359"/>
              <w:spacing w:after="0"/>
              <w:rPr>
                <w:sz w:val="20"/>
                <w:szCs w:val="20"/>
                <w:color w:val="auto"/>
              </w:rPr>
            </w:pPr>
            <w:r>
              <w:rPr>
                <w:rFonts w:ascii="Arial" w:cs="Arial" w:eastAsia="Arial" w:hAnsi="Arial"/>
                <w:sz w:val="14"/>
                <w:szCs w:val="14"/>
                <w:b w:val="1"/>
                <w:bCs w:val="1"/>
                <w:color w:val="auto"/>
              </w:rPr>
              <w:t>Six Months Ended</w:t>
            </w:r>
          </w:p>
        </w:tc>
        <w:tc>
          <w:tcPr>
            <w:tcW w:w="940" w:type="dxa"/>
            <w:vAlign w:val="bottom"/>
          </w:tcPr>
          <w:p>
            <w:pPr>
              <w:spacing w:after="0"/>
              <w:rPr>
                <w:sz w:val="16"/>
                <w:szCs w:val="16"/>
                <w:color w:val="auto"/>
              </w:rPr>
            </w:pPr>
          </w:p>
        </w:tc>
      </w:tr>
      <w:tr>
        <w:trPr>
          <w:trHeight w:val="222"/>
        </w:trPr>
        <w:tc>
          <w:tcPr>
            <w:tcW w:w="50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9"/>
                <w:szCs w:val="19"/>
                <w:color w:val="auto"/>
              </w:rPr>
            </w:pPr>
          </w:p>
        </w:tc>
        <w:tc>
          <w:tcPr>
            <w:tcW w:w="1060" w:type="dxa"/>
            <w:vAlign w:val="bottom"/>
          </w:tcPr>
          <w:p>
            <w:pPr>
              <w:jc w:val="right"/>
              <w:ind w:right="37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3"/>
          </w:tcPr>
          <w:p>
            <w:pPr>
              <w:jc w:val="right"/>
              <w:ind w:right="719"/>
              <w:spacing w:after="0"/>
              <w:rPr>
                <w:sz w:val="20"/>
                <w:szCs w:val="20"/>
                <w:color w:val="auto"/>
              </w:rPr>
            </w:pPr>
            <w:r>
              <w:rPr>
                <w:rFonts w:ascii="Arial" w:cs="Arial" w:eastAsia="Arial" w:hAnsi="Arial"/>
                <w:sz w:val="14"/>
                <w:szCs w:val="14"/>
                <w:b w:val="1"/>
                <w:bCs w:val="1"/>
                <w:color w:val="auto"/>
              </w:rPr>
              <w:t>June 30</w:t>
            </w:r>
          </w:p>
        </w:tc>
        <w:tc>
          <w:tcPr>
            <w:tcW w:w="940" w:type="dxa"/>
            <w:vAlign w:val="bottom"/>
          </w:tcPr>
          <w:p>
            <w:pPr>
              <w:jc w:val="right"/>
              <w:ind w:right="279"/>
              <w:spacing w:after="0"/>
              <w:rPr>
                <w:sz w:val="20"/>
                <w:szCs w:val="20"/>
                <w:color w:val="auto"/>
              </w:rPr>
            </w:pPr>
            <w:r>
              <w:rPr>
                <w:rFonts w:ascii="Arial" w:cs="Arial" w:eastAsia="Arial" w:hAnsi="Arial"/>
                <w:sz w:val="14"/>
                <w:szCs w:val="14"/>
                <w:color w:val="auto"/>
              </w:rPr>
              <w:t>%</w:t>
            </w:r>
          </w:p>
        </w:tc>
      </w:tr>
      <w:tr>
        <w:trPr>
          <w:trHeight w:val="209"/>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color w:val="auto"/>
              </w:rPr>
              <w:t>2019</w:t>
            </w:r>
          </w:p>
        </w:tc>
        <w:tc>
          <w:tcPr>
            <w:tcW w:w="10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color w:val="auto"/>
              </w:rPr>
              <w:t>Change</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color w:val="auto"/>
              </w:rPr>
              <w:t>2019</w:t>
            </w: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color w:val="auto"/>
              </w:rPr>
              <w:t>Change</w:t>
            </w:r>
          </w:p>
        </w:tc>
      </w:tr>
      <w:tr>
        <w:trPr>
          <w:trHeight w:val="223"/>
        </w:trPr>
        <w:tc>
          <w:tcPr>
            <w:tcW w:w="500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43"/>
        </w:trPr>
        <w:tc>
          <w:tcPr>
            <w:tcW w:w="5000" w:type="dxa"/>
            <w:vAlign w:val="bottom"/>
          </w:tcPr>
          <w:p>
            <w:pPr>
              <w:ind w:left="120"/>
              <w:spacing w:after="0"/>
              <w:rPr>
                <w:sz w:val="20"/>
                <w:szCs w:val="20"/>
                <w:color w:val="auto"/>
              </w:rPr>
            </w:pPr>
            <w:r>
              <w:rPr>
                <w:rFonts w:ascii="Arial" w:cs="Arial" w:eastAsia="Arial" w:hAnsi="Arial"/>
                <w:sz w:val="16"/>
                <w:szCs w:val="16"/>
                <w:color w:val="auto"/>
              </w:rPr>
              <w:t>Education</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80"/>
              <w:spacing w:after="0"/>
              <w:rPr>
                <w:sz w:val="20"/>
                <w:szCs w:val="20"/>
                <w:color w:val="auto"/>
              </w:rPr>
            </w:pPr>
            <w:r>
              <w:rPr>
                <w:rFonts w:ascii="Arial" w:cs="Arial" w:eastAsia="Arial" w:hAnsi="Arial"/>
                <w:sz w:val="16"/>
                <w:szCs w:val="16"/>
                <w:b w:val="1"/>
                <w:bCs w:val="1"/>
                <w:color w:val="auto"/>
              </w:rPr>
              <w:t>333,175</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367,763</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(9)</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b w:val="1"/>
                <w:bCs w:val="1"/>
                <w:color w:val="auto"/>
              </w:rPr>
              <w:t>689,553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740,217</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w:t>
            </w:r>
          </w:p>
        </w:tc>
      </w:tr>
      <w:tr>
        <w:trPr>
          <w:trHeight w:val="243"/>
        </w:trPr>
        <w:tc>
          <w:tcPr>
            <w:tcW w:w="5000" w:type="dxa"/>
            <w:vAlign w:val="bottom"/>
          </w:tcPr>
          <w:p>
            <w:pPr>
              <w:ind w:left="120"/>
              <w:spacing w:after="0"/>
              <w:rPr>
                <w:sz w:val="20"/>
                <w:szCs w:val="20"/>
                <w:color w:val="auto"/>
              </w:rPr>
            </w:pPr>
            <w:r>
              <w:rPr>
                <w:rFonts w:ascii="Arial" w:cs="Arial" w:eastAsia="Arial" w:hAnsi="Arial"/>
                <w:sz w:val="16"/>
                <w:szCs w:val="16"/>
                <w:color w:val="auto"/>
              </w:rPr>
              <w:t>Television broadcasting</w:t>
            </w:r>
          </w:p>
        </w:tc>
        <w:tc>
          <w:tcPr>
            <w:tcW w:w="180" w:type="dxa"/>
            <w:vAlign w:val="bottom"/>
          </w:tcPr>
          <w:p>
            <w:pPr>
              <w:spacing w:after="0"/>
              <w:rPr>
                <w:sz w:val="21"/>
                <w:szCs w:val="21"/>
                <w:color w:val="auto"/>
              </w:rPr>
            </w:pPr>
          </w:p>
        </w:tc>
        <w:tc>
          <w:tcPr>
            <w:tcW w:w="820" w:type="dxa"/>
            <w:vAlign w:val="bottom"/>
          </w:tcPr>
          <w:p>
            <w:pPr>
              <w:jc w:val="right"/>
              <w:ind w:right="80"/>
              <w:spacing w:after="0"/>
              <w:rPr>
                <w:sz w:val="20"/>
                <w:szCs w:val="20"/>
                <w:color w:val="auto"/>
              </w:rPr>
            </w:pPr>
            <w:r>
              <w:rPr>
                <w:rFonts w:ascii="Arial" w:cs="Arial" w:eastAsia="Arial" w:hAnsi="Arial"/>
                <w:sz w:val="16"/>
                <w:szCs w:val="16"/>
                <w:b w:val="1"/>
                <w:bCs w:val="1"/>
                <w:color w:val="auto"/>
              </w:rPr>
              <w:t>100,762</w:t>
            </w:r>
          </w:p>
        </w:tc>
        <w:tc>
          <w:tcPr>
            <w:tcW w:w="340" w:type="dxa"/>
            <w:vAlign w:val="bottom"/>
          </w:tcPr>
          <w:p>
            <w:pPr>
              <w:spacing w:after="0"/>
              <w:rPr>
                <w:sz w:val="21"/>
                <w:szCs w:val="21"/>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116,628</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(14)</w:t>
            </w:r>
          </w:p>
        </w:tc>
        <w:tc>
          <w:tcPr>
            <w:tcW w:w="140" w:type="dxa"/>
            <w:vAlign w:val="bottom"/>
          </w:tcPr>
          <w:p>
            <w:pPr>
              <w:spacing w:after="0"/>
              <w:rPr>
                <w:sz w:val="21"/>
                <w:szCs w:val="21"/>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b w:val="1"/>
                <w:bCs w:val="1"/>
                <w:color w:val="auto"/>
              </w:rPr>
              <w:t>216,210</w:t>
            </w:r>
          </w:p>
        </w:tc>
        <w:tc>
          <w:tcPr>
            <w:tcW w:w="220" w:type="dxa"/>
            <w:vAlign w:val="bottom"/>
          </w:tcPr>
          <w:p>
            <w:pPr>
              <w:spacing w:after="0"/>
              <w:rPr>
                <w:sz w:val="21"/>
                <w:szCs w:val="21"/>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224,851</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w:t>
            </w:r>
          </w:p>
        </w:tc>
      </w:tr>
      <w:tr>
        <w:trPr>
          <w:trHeight w:val="243"/>
        </w:trPr>
        <w:tc>
          <w:tcPr>
            <w:tcW w:w="5000" w:type="dxa"/>
            <w:vAlign w:val="bottom"/>
          </w:tcPr>
          <w:p>
            <w:pPr>
              <w:ind w:left="120"/>
              <w:spacing w:after="0"/>
              <w:rPr>
                <w:sz w:val="20"/>
                <w:szCs w:val="20"/>
                <w:color w:val="auto"/>
              </w:rPr>
            </w:pPr>
            <w:r>
              <w:rPr>
                <w:rFonts w:ascii="Arial" w:cs="Arial" w:eastAsia="Arial" w:hAnsi="Arial"/>
                <w:sz w:val="16"/>
                <w:szCs w:val="16"/>
                <w:color w:val="auto"/>
              </w:rPr>
              <w:t>Manufacturing</w:t>
            </w:r>
          </w:p>
        </w:tc>
        <w:tc>
          <w:tcPr>
            <w:tcW w:w="180" w:type="dxa"/>
            <w:vAlign w:val="bottom"/>
          </w:tcPr>
          <w:p>
            <w:pPr>
              <w:spacing w:after="0"/>
              <w:rPr>
                <w:sz w:val="21"/>
                <w:szCs w:val="21"/>
                <w:color w:val="auto"/>
              </w:rPr>
            </w:pPr>
          </w:p>
        </w:tc>
        <w:tc>
          <w:tcPr>
            <w:tcW w:w="820" w:type="dxa"/>
            <w:vAlign w:val="bottom"/>
          </w:tcPr>
          <w:p>
            <w:pPr>
              <w:jc w:val="right"/>
              <w:ind w:right="80"/>
              <w:spacing w:after="0"/>
              <w:rPr>
                <w:sz w:val="20"/>
                <w:szCs w:val="20"/>
                <w:color w:val="auto"/>
              </w:rPr>
            </w:pPr>
            <w:r>
              <w:rPr>
                <w:rFonts w:ascii="Arial" w:cs="Arial" w:eastAsia="Arial" w:hAnsi="Arial"/>
                <w:sz w:val="16"/>
                <w:szCs w:val="16"/>
                <w:b w:val="1"/>
                <w:bCs w:val="1"/>
                <w:color w:val="auto"/>
              </w:rPr>
              <w:t>83,239</w:t>
            </w:r>
          </w:p>
        </w:tc>
        <w:tc>
          <w:tcPr>
            <w:tcW w:w="340" w:type="dxa"/>
            <w:vAlign w:val="bottom"/>
          </w:tcPr>
          <w:p>
            <w:pPr>
              <w:spacing w:after="0"/>
              <w:rPr>
                <w:sz w:val="21"/>
                <w:szCs w:val="21"/>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114,873</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(28)</w:t>
            </w:r>
          </w:p>
        </w:tc>
        <w:tc>
          <w:tcPr>
            <w:tcW w:w="140" w:type="dxa"/>
            <w:vAlign w:val="bottom"/>
          </w:tcPr>
          <w:p>
            <w:pPr>
              <w:spacing w:after="0"/>
              <w:rPr>
                <w:sz w:val="21"/>
                <w:szCs w:val="21"/>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b w:val="1"/>
                <w:bCs w:val="1"/>
                <w:color w:val="auto"/>
              </w:rPr>
              <w:t>196,697</w:t>
            </w:r>
          </w:p>
        </w:tc>
        <w:tc>
          <w:tcPr>
            <w:tcW w:w="220" w:type="dxa"/>
            <w:vAlign w:val="bottom"/>
          </w:tcPr>
          <w:p>
            <w:pPr>
              <w:spacing w:after="0"/>
              <w:rPr>
                <w:sz w:val="21"/>
                <w:szCs w:val="21"/>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230,030</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(14)</w:t>
            </w:r>
          </w:p>
        </w:tc>
      </w:tr>
      <w:tr>
        <w:trPr>
          <w:trHeight w:val="243"/>
        </w:trPr>
        <w:tc>
          <w:tcPr>
            <w:tcW w:w="5000" w:type="dxa"/>
            <w:vAlign w:val="bottom"/>
          </w:tcPr>
          <w:p>
            <w:pPr>
              <w:ind w:left="120"/>
              <w:spacing w:after="0"/>
              <w:rPr>
                <w:sz w:val="20"/>
                <w:szCs w:val="20"/>
                <w:color w:val="auto"/>
              </w:rPr>
            </w:pPr>
            <w:r>
              <w:rPr>
                <w:rFonts w:ascii="Arial" w:cs="Arial" w:eastAsia="Arial" w:hAnsi="Arial"/>
                <w:sz w:val="16"/>
                <w:szCs w:val="16"/>
                <w:color w:val="auto"/>
              </w:rPr>
              <w:t>Healthcare</w:t>
            </w:r>
          </w:p>
        </w:tc>
        <w:tc>
          <w:tcPr>
            <w:tcW w:w="180" w:type="dxa"/>
            <w:vAlign w:val="bottom"/>
          </w:tcPr>
          <w:p>
            <w:pPr>
              <w:spacing w:after="0"/>
              <w:rPr>
                <w:sz w:val="21"/>
                <w:szCs w:val="21"/>
                <w:color w:val="auto"/>
              </w:rPr>
            </w:pPr>
          </w:p>
        </w:tc>
        <w:tc>
          <w:tcPr>
            <w:tcW w:w="820" w:type="dxa"/>
            <w:vAlign w:val="bottom"/>
          </w:tcPr>
          <w:p>
            <w:pPr>
              <w:jc w:val="right"/>
              <w:ind w:right="80"/>
              <w:spacing w:after="0"/>
              <w:rPr>
                <w:sz w:val="20"/>
                <w:szCs w:val="20"/>
                <w:color w:val="auto"/>
              </w:rPr>
            </w:pPr>
            <w:r>
              <w:rPr>
                <w:rFonts w:ascii="Arial" w:cs="Arial" w:eastAsia="Arial" w:hAnsi="Arial"/>
                <w:sz w:val="16"/>
                <w:szCs w:val="16"/>
                <w:b w:val="1"/>
                <w:bCs w:val="1"/>
                <w:color w:val="auto"/>
              </w:rPr>
              <w:t>49,181</w:t>
            </w:r>
          </w:p>
        </w:tc>
        <w:tc>
          <w:tcPr>
            <w:tcW w:w="340" w:type="dxa"/>
            <w:vAlign w:val="bottom"/>
          </w:tcPr>
          <w:p>
            <w:pPr>
              <w:spacing w:after="0"/>
              <w:rPr>
                <w:sz w:val="21"/>
                <w:szCs w:val="21"/>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40,641</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21</w:t>
            </w:r>
          </w:p>
        </w:tc>
        <w:tc>
          <w:tcPr>
            <w:tcW w:w="140" w:type="dxa"/>
            <w:vAlign w:val="bottom"/>
          </w:tcPr>
          <w:p>
            <w:pPr>
              <w:spacing w:after="0"/>
              <w:rPr>
                <w:sz w:val="21"/>
                <w:szCs w:val="21"/>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b w:val="1"/>
                <w:bCs w:val="1"/>
                <w:color w:val="auto"/>
              </w:rPr>
              <w:t>95,175</w:t>
            </w:r>
          </w:p>
        </w:tc>
        <w:tc>
          <w:tcPr>
            <w:tcW w:w="220" w:type="dxa"/>
            <w:vAlign w:val="bottom"/>
          </w:tcPr>
          <w:p>
            <w:pPr>
              <w:spacing w:after="0"/>
              <w:rPr>
                <w:sz w:val="21"/>
                <w:szCs w:val="21"/>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78,369</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21</w:t>
            </w:r>
          </w:p>
        </w:tc>
      </w:tr>
      <w:tr>
        <w:trPr>
          <w:trHeight w:val="243"/>
        </w:trPr>
        <w:tc>
          <w:tcPr>
            <w:tcW w:w="5000" w:type="dxa"/>
            <w:vAlign w:val="bottom"/>
          </w:tcPr>
          <w:p>
            <w:pPr>
              <w:ind w:left="120"/>
              <w:spacing w:after="0"/>
              <w:rPr>
                <w:sz w:val="20"/>
                <w:szCs w:val="20"/>
                <w:color w:val="auto"/>
              </w:rPr>
            </w:pPr>
            <w:r>
              <w:rPr>
                <w:rFonts w:ascii="Arial" w:cs="Arial" w:eastAsia="Arial" w:hAnsi="Arial"/>
                <w:sz w:val="16"/>
                <w:szCs w:val="16"/>
                <w:color w:val="auto"/>
              </w:rPr>
              <w:t>SocialCode</w:t>
            </w:r>
          </w:p>
        </w:tc>
        <w:tc>
          <w:tcPr>
            <w:tcW w:w="180" w:type="dxa"/>
            <w:vAlign w:val="bottom"/>
          </w:tcPr>
          <w:p>
            <w:pPr>
              <w:spacing w:after="0"/>
              <w:rPr>
                <w:sz w:val="21"/>
                <w:szCs w:val="21"/>
                <w:color w:val="auto"/>
              </w:rPr>
            </w:pPr>
          </w:p>
        </w:tc>
        <w:tc>
          <w:tcPr>
            <w:tcW w:w="820" w:type="dxa"/>
            <w:vAlign w:val="bottom"/>
          </w:tcPr>
          <w:p>
            <w:pPr>
              <w:jc w:val="right"/>
              <w:ind w:right="80"/>
              <w:spacing w:after="0"/>
              <w:rPr>
                <w:sz w:val="20"/>
                <w:szCs w:val="20"/>
                <w:color w:val="auto"/>
              </w:rPr>
            </w:pPr>
            <w:r>
              <w:rPr>
                <w:rFonts w:ascii="Arial" w:cs="Arial" w:eastAsia="Arial" w:hAnsi="Arial"/>
                <w:sz w:val="16"/>
                <w:szCs w:val="16"/>
                <w:b w:val="1"/>
                <w:bCs w:val="1"/>
                <w:color w:val="auto"/>
              </w:rPr>
              <w:t>10,483</w:t>
            </w:r>
          </w:p>
        </w:tc>
        <w:tc>
          <w:tcPr>
            <w:tcW w:w="340" w:type="dxa"/>
            <w:vAlign w:val="bottom"/>
          </w:tcPr>
          <w:p>
            <w:pPr>
              <w:spacing w:after="0"/>
              <w:rPr>
                <w:sz w:val="21"/>
                <w:szCs w:val="21"/>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16,382</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(36)</w:t>
            </w:r>
          </w:p>
        </w:tc>
        <w:tc>
          <w:tcPr>
            <w:tcW w:w="140" w:type="dxa"/>
            <w:vAlign w:val="bottom"/>
          </w:tcPr>
          <w:p>
            <w:pPr>
              <w:spacing w:after="0"/>
              <w:rPr>
                <w:sz w:val="21"/>
                <w:szCs w:val="21"/>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b w:val="1"/>
                <w:bCs w:val="1"/>
                <w:color w:val="auto"/>
              </w:rPr>
              <w:t>22,506</w:t>
            </w:r>
          </w:p>
        </w:tc>
        <w:tc>
          <w:tcPr>
            <w:tcW w:w="220" w:type="dxa"/>
            <w:vAlign w:val="bottom"/>
          </w:tcPr>
          <w:p>
            <w:pPr>
              <w:spacing w:after="0"/>
              <w:rPr>
                <w:sz w:val="21"/>
                <w:szCs w:val="21"/>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29,829</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(25)</w:t>
            </w:r>
          </w:p>
        </w:tc>
      </w:tr>
      <w:tr>
        <w:trPr>
          <w:trHeight w:val="243"/>
        </w:trPr>
        <w:tc>
          <w:tcPr>
            <w:tcW w:w="5000" w:type="dxa"/>
            <w:vAlign w:val="bottom"/>
          </w:tcPr>
          <w:p>
            <w:pPr>
              <w:ind w:left="120"/>
              <w:spacing w:after="0"/>
              <w:rPr>
                <w:sz w:val="20"/>
                <w:szCs w:val="20"/>
                <w:color w:val="auto"/>
              </w:rPr>
            </w:pPr>
            <w:r>
              <w:rPr>
                <w:rFonts w:ascii="Arial" w:cs="Arial" w:eastAsia="Arial" w:hAnsi="Arial"/>
                <w:sz w:val="16"/>
                <w:szCs w:val="16"/>
                <w:color w:val="auto"/>
              </w:rPr>
              <w:t>Other businesses</w:t>
            </w:r>
          </w:p>
        </w:tc>
        <w:tc>
          <w:tcPr>
            <w:tcW w:w="180" w:type="dxa"/>
            <w:vAlign w:val="bottom"/>
          </w:tcPr>
          <w:p>
            <w:pPr>
              <w:spacing w:after="0"/>
              <w:rPr>
                <w:sz w:val="21"/>
                <w:szCs w:val="21"/>
                <w:color w:val="auto"/>
              </w:rPr>
            </w:pPr>
          </w:p>
        </w:tc>
        <w:tc>
          <w:tcPr>
            <w:tcW w:w="820" w:type="dxa"/>
            <w:vAlign w:val="bottom"/>
          </w:tcPr>
          <w:p>
            <w:pPr>
              <w:jc w:val="right"/>
              <w:ind w:right="80"/>
              <w:spacing w:after="0"/>
              <w:rPr>
                <w:sz w:val="20"/>
                <w:szCs w:val="20"/>
                <w:color w:val="auto"/>
              </w:rPr>
            </w:pPr>
            <w:r>
              <w:rPr>
                <w:rFonts w:ascii="Arial" w:cs="Arial" w:eastAsia="Arial" w:hAnsi="Arial"/>
                <w:sz w:val="16"/>
                <w:szCs w:val="16"/>
                <w:b w:val="1"/>
                <w:bCs w:val="1"/>
                <w:color w:val="auto"/>
              </w:rPr>
              <w:t>76,380</w:t>
            </w:r>
          </w:p>
        </w:tc>
        <w:tc>
          <w:tcPr>
            <w:tcW w:w="340" w:type="dxa"/>
            <w:vAlign w:val="bottom"/>
          </w:tcPr>
          <w:p>
            <w:pPr>
              <w:spacing w:after="0"/>
              <w:rPr>
                <w:sz w:val="21"/>
                <w:szCs w:val="21"/>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81,359</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(6)</w:t>
            </w:r>
          </w:p>
        </w:tc>
        <w:tc>
          <w:tcPr>
            <w:tcW w:w="140" w:type="dxa"/>
            <w:vAlign w:val="bottom"/>
          </w:tcPr>
          <w:p>
            <w:pPr>
              <w:spacing w:after="0"/>
              <w:rPr>
                <w:sz w:val="21"/>
                <w:szCs w:val="21"/>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b w:val="1"/>
                <w:bCs w:val="1"/>
                <w:color w:val="auto"/>
              </w:rPr>
              <w:t>165,648</w:t>
            </w:r>
          </w:p>
        </w:tc>
        <w:tc>
          <w:tcPr>
            <w:tcW w:w="220" w:type="dxa"/>
            <w:vAlign w:val="bottom"/>
          </w:tcPr>
          <w:p>
            <w:pPr>
              <w:spacing w:after="0"/>
              <w:rPr>
                <w:sz w:val="21"/>
                <w:szCs w:val="21"/>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126,589</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31</w:t>
            </w:r>
          </w:p>
        </w:tc>
      </w:tr>
      <w:tr>
        <w:trPr>
          <w:trHeight w:val="243"/>
        </w:trPr>
        <w:tc>
          <w:tcPr>
            <w:tcW w:w="5000" w:type="dxa"/>
            <w:vAlign w:val="bottom"/>
          </w:tcPr>
          <w:p>
            <w:pPr>
              <w:ind w:left="120"/>
              <w:spacing w:after="0"/>
              <w:rPr>
                <w:sz w:val="20"/>
                <w:szCs w:val="20"/>
                <w:color w:val="auto"/>
              </w:rPr>
            </w:pPr>
            <w:r>
              <w:rPr>
                <w:rFonts w:ascii="Arial" w:cs="Arial" w:eastAsia="Arial" w:hAnsi="Arial"/>
                <w:sz w:val="16"/>
                <w:szCs w:val="16"/>
                <w:color w:val="auto"/>
              </w:rPr>
              <w:t>Corporate office</w:t>
            </w:r>
          </w:p>
        </w:tc>
        <w:tc>
          <w:tcPr>
            <w:tcW w:w="180" w:type="dxa"/>
            <w:vAlign w:val="bottom"/>
          </w:tcPr>
          <w:p>
            <w:pPr>
              <w:spacing w:after="0"/>
              <w:rPr>
                <w:sz w:val="21"/>
                <w:szCs w:val="21"/>
                <w:color w:val="auto"/>
              </w:rPr>
            </w:pPr>
          </w:p>
        </w:tc>
        <w:tc>
          <w:tcPr>
            <w:tcW w:w="82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1"/>
                <w:szCs w:val="21"/>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1"/>
                <w:szCs w:val="21"/>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56"/>
        </w:trPr>
        <w:tc>
          <w:tcPr>
            <w:tcW w:w="5000" w:type="dxa"/>
            <w:vAlign w:val="bottom"/>
          </w:tcPr>
          <w:p>
            <w:pPr>
              <w:ind w:left="120"/>
              <w:spacing w:after="0"/>
              <w:rPr>
                <w:sz w:val="20"/>
                <w:szCs w:val="20"/>
                <w:color w:val="auto"/>
              </w:rPr>
            </w:pPr>
            <w:r>
              <w:rPr>
                <w:rFonts w:ascii="Arial" w:cs="Arial" w:eastAsia="Arial" w:hAnsi="Arial"/>
                <w:sz w:val="16"/>
                <w:szCs w:val="16"/>
                <w:color w:val="auto"/>
              </w:rPr>
              <w:t>Intersegment elimination</w:t>
            </w: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(349)</w:t>
            </w: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(44)</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(661)</w:t>
            </w: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(84)</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37"/>
        </w:trPr>
        <w:tc>
          <w:tcPr>
            <w:tcW w:w="50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652,871</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737,602</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(11)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1,385,128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1,429,801</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224"/>
        </w:trPr>
        <w:tc>
          <w:tcPr>
            <w:tcW w:w="500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43"/>
        </w:trPr>
        <w:tc>
          <w:tcPr>
            <w:tcW w:w="5000" w:type="dxa"/>
            <w:vAlign w:val="bottom"/>
          </w:tcPr>
          <w:p>
            <w:pPr>
              <w:ind w:left="120"/>
              <w:spacing w:after="0"/>
              <w:rPr>
                <w:sz w:val="20"/>
                <w:szCs w:val="20"/>
                <w:color w:val="auto"/>
              </w:rPr>
            </w:pPr>
            <w:r>
              <w:rPr>
                <w:rFonts w:ascii="Arial" w:cs="Arial" w:eastAsia="Arial" w:hAnsi="Arial"/>
                <w:sz w:val="16"/>
                <w:szCs w:val="16"/>
                <w:color w:val="auto"/>
              </w:rPr>
              <w:t>Education</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80"/>
              <w:spacing w:after="0"/>
              <w:rPr>
                <w:sz w:val="20"/>
                <w:szCs w:val="20"/>
                <w:color w:val="auto"/>
              </w:rPr>
            </w:pPr>
            <w:r>
              <w:rPr>
                <w:rFonts w:ascii="Arial" w:cs="Arial" w:eastAsia="Arial" w:hAnsi="Arial"/>
                <w:sz w:val="16"/>
                <w:szCs w:val="16"/>
                <w:b w:val="1"/>
                <w:bCs w:val="1"/>
                <w:color w:val="auto"/>
              </w:rPr>
              <w:t>320,921</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341,458</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(6)</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b w:val="1"/>
                <w:bCs w:val="1"/>
                <w:color w:val="auto"/>
              </w:rPr>
              <w:t>672,607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688,317</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w:t>
            </w:r>
          </w:p>
        </w:tc>
      </w:tr>
      <w:tr>
        <w:trPr>
          <w:trHeight w:val="243"/>
        </w:trPr>
        <w:tc>
          <w:tcPr>
            <w:tcW w:w="5000" w:type="dxa"/>
            <w:vAlign w:val="bottom"/>
          </w:tcPr>
          <w:p>
            <w:pPr>
              <w:ind w:left="120"/>
              <w:spacing w:after="0"/>
              <w:rPr>
                <w:sz w:val="20"/>
                <w:szCs w:val="20"/>
                <w:color w:val="auto"/>
              </w:rPr>
            </w:pPr>
            <w:r>
              <w:rPr>
                <w:rFonts w:ascii="Arial" w:cs="Arial" w:eastAsia="Arial" w:hAnsi="Arial"/>
                <w:sz w:val="16"/>
                <w:szCs w:val="16"/>
                <w:color w:val="auto"/>
              </w:rPr>
              <w:t>Television broadcasting</w:t>
            </w:r>
          </w:p>
        </w:tc>
        <w:tc>
          <w:tcPr>
            <w:tcW w:w="180" w:type="dxa"/>
            <w:vAlign w:val="bottom"/>
          </w:tcPr>
          <w:p>
            <w:pPr>
              <w:spacing w:after="0"/>
              <w:rPr>
                <w:sz w:val="21"/>
                <w:szCs w:val="21"/>
                <w:color w:val="auto"/>
              </w:rPr>
            </w:pPr>
          </w:p>
        </w:tc>
        <w:tc>
          <w:tcPr>
            <w:tcW w:w="820" w:type="dxa"/>
            <w:vAlign w:val="bottom"/>
          </w:tcPr>
          <w:p>
            <w:pPr>
              <w:jc w:val="right"/>
              <w:ind w:right="80"/>
              <w:spacing w:after="0"/>
              <w:rPr>
                <w:sz w:val="20"/>
                <w:szCs w:val="20"/>
                <w:color w:val="auto"/>
              </w:rPr>
            </w:pPr>
            <w:r>
              <w:rPr>
                <w:rFonts w:ascii="Arial" w:cs="Arial" w:eastAsia="Arial" w:hAnsi="Arial"/>
                <w:sz w:val="16"/>
                <w:szCs w:val="16"/>
                <w:b w:val="1"/>
                <w:bCs w:val="1"/>
                <w:color w:val="auto"/>
              </w:rPr>
              <w:t>77,135</w:t>
            </w:r>
          </w:p>
        </w:tc>
        <w:tc>
          <w:tcPr>
            <w:tcW w:w="340" w:type="dxa"/>
            <w:vAlign w:val="bottom"/>
          </w:tcPr>
          <w:p>
            <w:pPr>
              <w:spacing w:after="0"/>
              <w:rPr>
                <w:sz w:val="21"/>
                <w:szCs w:val="21"/>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72,134</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7</w:t>
            </w:r>
          </w:p>
        </w:tc>
        <w:tc>
          <w:tcPr>
            <w:tcW w:w="140" w:type="dxa"/>
            <w:vAlign w:val="bottom"/>
          </w:tcPr>
          <w:p>
            <w:pPr>
              <w:spacing w:after="0"/>
              <w:rPr>
                <w:sz w:val="21"/>
                <w:szCs w:val="21"/>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b w:val="1"/>
                <w:bCs w:val="1"/>
                <w:color w:val="auto"/>
              </w:rPr>
              <w:t>156,807</w:t>
            </w:r>
          </w:p>
        </w:tc>
        <w:tc>
          <w:tcPr>
            <w:tcW w:w="220" w:type="dxa"/>
            <w:vAlign w:val="bottom"/>
          </w:tcPr>
          <w:p>
            <w:pPr>
              <w:spacing w:after="0"/>
              <w:rPr>
                <w:sz w:val="21"/>
                <w:szCs w:val="21"/>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144,817</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8</w:t>
            </w:r>
          </w:p>
        </w:tc>
      </w:tr>
      <w:tr>
        <w:trPr>
          <w:trHeight w:val="243"/>
        </w:trPr>
        <w:tc>
          <w:tcPr>
            <w:tcW w:w="5000" w:type="dxa"/>
            <w:vAlign w:val="bottom"/>
          </w:tcPr>
          <w:p>
            <w:pPr>
              <w:ind w:left="120"/>
              <w:spacing w:after="0"/>
              <w:rPr>
                <w:sz w:val="20"/>
                <w:szCs w:val="20"/>
                <w:color w:val="auto"/>
              </w:rPr>
            </w:pPr>
            <w:r>
              <w:rPr>
                <w:rFonts w:ascii="Arial" w:cs="Arial" w:eastAsia="Arial" w:hAnsi="Arial"/>
                <w:sz w:val="16"/>
                <w:szCs w:val="16"/>
                <w:color w:val="auto"/>
              </w:rPr>
              <w:t>Manufacturing</w:t>
            </w:r>
          </w:p>
        </w:tc>
        <w:tc>
          <w:tcPr>
            <w:tcW w:w="180" w:type="dxa"/>
            <w:vAlign w:val="bottom"/>
          </w:tcPr>
          <w:p>
            <w:pPr>
              <w:spacing w:after="0"/>
              <w:rPr>
                <w:sz w:val="21"/>
                <w:szCs w:val="21"/>
                <w:color w:val="auto"/>
              </w:rPr>
            </w:pPr>
          </w:p>
        </w:tc>
        <w:tc>
          <w:tcPr>
            <w:tcW w:w="820" w:type="dxa"/>
            <w:vAlign w:val="bottom"/>
          </w:tcPr>
          <w:p>
            <w:pPr>
              <w:jc w:val="right"/>
              <w:ind w:right="80"/>
              <w:spacing w:after="0"/>
              <w:rPr>
                <w:sz w:val="20"/>
                <w:szCs w:val="20"/>
                <w:color w:val="auto"/>
              </w:rPr>
            </w:pPr>
            <w:r>
              <w:rPr>
                <w:rFonts w:ascii="Arial" w:cs="Arial" w:eastAsia="Arial" w:hAnsi="Arial"/>
                <w:sz w:val="16"/>
                <w:szCs w:val="16"/>
                <w:b w:val="1"/>
                <w:bCs w:val="1"/>
                <w:color w:val="auto"/>
              </w:rPr>
              <w:t>84,721</w:t>
            </w:r>
          </w:p>
        </w:tc>
        <w:tc>
          <w:tcPr>
            <w:tcW w:w="340" w:type="dxa"/>
            <w:vAlign w:val="bottom"/>
          </w:tcPr>
          <w:p>
            <w:pPr>
              <w:spacing w:after="0"/>
              <w:rPr>
                <w:sz w:val="21"/>
                <w:szCs w:val="21"/>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110,181</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(23)</w:t>
            </w:r>
          </w:p>
        </w:tc>
        <w:tc>
          <w:tcPr>
            <w:tcW w:w="140" w:type="dxa"/>
            <w:vAlign w:val="bottom"/>
          </w:tcPr>
          <w:p>
            <w:pPr>
              <w:spacing w:after="0"/>
              <w:rPr>
                <w:sz w:val="21"/>
                <w:szCs w:val="21"/>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b w:val="1"/>
                <w:bCs w:val="1"/>
                <w:color w:val="auto"/>
              </w:rPr>
              <w:t>191,678</w:t>
            </w:r>
          </w:p>
        </w:tc>
        <w:tc>
          <w:tcPr>
            <w:tcW w:w="220" w:type="dxa"/>
            <w:vAlign w:val="bottom"/>
          </w:tcPr>
          <w:p>
            <w:pPr>
              <w:spacing w:after="0"/>
              <w:rPr>
                <w:sz w:val="21"/>
                <w:szCs w:val="21"/>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222,064</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(14)</w:t>
            </w:r>
          </w:p>
        </w:tc>
      </w:tr>
      <w:tr>
        <w:trPr>
          <w:trHeight w:val="243"/>
        </w:trPr>
        <w:tc>
          <w:tcPr>
            <w:tcW w:w="5000" w:type="dxa"/>
            <w:vAlign w:val="bottom"/>
          </w:tcPr>
          <w:p>
            <w:pPr>
              <w:ind w:left="120"/>
              <w:spacing w:after="0"/>
              <w:rPr>
                <w:sz w:val="20"/>
                <w:szCs w:val="20"/>
                <w:color w:val="auto"/>
              </w:rPr>
            </w:pPr>
            <w:r>
              <w:rPr>
                <w:rFonts w:ascii="Arial" w:cs="Arial" w:eastAsia="Arial" w:hAnsi="Arial"/>
                <w:sz w:val="16"/>
                <w:szCs w:val="16"/>
                <w:color w:val="auto"/>
              </w:rPr>
              <w:t>Healthcare</w:t>
            </w:r>
          </w:p>
        </w:tc>
        <w:tc>
          <w:tcPr>
            <w:tcW w:w="180" w:type="dxa"/>
            <w:vAlign w:val="bottom"/>
          </w:tcPr>
          <w:p>
            <w:pPr>
              <w:spacing w:after="0"/>
              <w:rPr>
                <w:sz w:val="21"/>
                <w:szCs w:val="21"/>
                <w:color w:val="auto"/>
              </w:rPr>
            </w:pPr>
          </w:p>
        </w:tc>
        <w:tc>
          <w:tcPr>
            <w:tcW w:w="820" w:type="dxa"/>
            <w:vAlign w:val="bottom"/>
          </w:tcPr>
          <w:p>
            <w:pPr>
              <w:jc w:val="right"/>
              <w:ind w:right="80"/>
              <w:spacing w:after="0"/>
              <w:rPr>
                <w:sz w:val="20"/>
                <w:szCs w:val="20"/>
                <w:color w:val="auto"/>
              </w:rPr>
            </w:pPr>
            <w:r>
              <w:rPr>
                <w:rFonts w:ascii="Arial" w:cs="Arial" w:eastAsia="Arial" w:hAnsi="Arial"/>
                <w:sz w:val="16"/>
                <w:szCs w:val="16"/>
                <w:b w:val="1"/>
                <w:bCs w:val="1"/>
                <w:color w:val="auto"/>
              </w:rPr>
              <w:t>40,363</w:t>
            </w:r>
          </w:p>
        </w:tc>
        <w:tc>
          <w:tcPr>
            <w:tcW w:w="340" w:type="dxa"/>
            <w:vAlign w:val="bottom"/>
          </w:tcPr>
          <w:p>
            <w:pPr>
              <w:spacing w:after="0"/>
              <w:rPr>
                <w:sz w:val="21"/>
                <w:szCs w:val="21"/>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38,043</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6</w:t>
            </w:r>
          </w:p>
        </w:tc>
        <w:tc>
          <w:tcPr>
            <w:tcW w:w="140" w:type="dxa"/>
            <w:vAlign w:val="bottom"/>
          </w:tcPr>
          <w:p>
            <w:pPr>
              <w:spacing w:after="0"/>
              <w:rPr>
                <w:sz w:val="21"/>
                <w:szCs w:val="21"/>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b w:val="1"/>
                <w:bCs w:val="1"/>
                <w:color w:val="auto"/>
              </w:rPr>
              <w:t>83,188</w:t>
            </w:r>
          </w:p>
        </w:tc>
        <w:tc>
          <w:tcPr>
            <w:tcW w:w="220" w:type="dxa"/>
            <w:vAlign w:val="bottom"/>
          </w:tcPr>
          <w:p>
            <w:pPr>
              <w:spacing w:after="0"/>
              <w:rPr>
                <w:sz w:val="21"/>
                <w:szCs w:val="21"/>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73,442</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13</w:t>
            </w:r>
          </w:p>
        </w:tc>
      </w:tr>
      <w:tr>
        <w:trPr>
          <w:trHeight w:val="243"/>
        </w:trPr>
        <w:tc>
          <w:tcPr>
            <w:tcW w:w="5000" w:type="dxa"/>
            <w:vAlign w:val="bottom"/>
          </w:tcPr>
          <w:p>
            <w:pPr>
              <w:ind w:left="120"/>
              <w:spacing w:after="0"/>
              <w:rPr>
                <w:sz w:val="20"/>
                <w:szCs w:val="20"/>
                <w:color w:val="auto"/>
              </w:rPr>
            </w:pPr>
            <w:r>
              <w:rPr>
                <w:rFonts w:ascii="Arial" w:cs="Arial" w:eastAsia="Arial" w:hAnsi="Arial"/>
                <w:sz w:val="16"/>
                <w:szCs w:val="16"/>
                <w:color w:val="auto"/>
              </w:rPr>
              <w:t>SocialCode</w:t>
            </w:r>
          </w:p>
        </w:tc>
        <w:tc>
          <w:tcPr>
            <w:tcW w:w="180" w:type="dxa"/>
            <w:vAlign w:val="bottom"/>
          </w:tcPr>
          <w:p>
            <w:pPr>
              <w:spacing w:after="0"/>
              <w:rPr>
                <w:sz w:val="21"/>
                <w:szCs w:val="21"/>
                <w:color w:val="auto"/>
              </w:rPr>
            </w:pPr>
          </w:p>
        </w:tc>
        <w:tc>
          <w:tcPr>
            <w:tcW w:w="820" w:type="dxa"/>
            <w:vAlign w:val="bottom"/>
          </w:tcPr>
          <w:p>
            <w:pPr>
              <w:jc w:val="right"/>
              <w:ind w:right="80"/>
              <w:spacing w:after="0"/>
              <w:rPr>
                <w:sz w:val="20"/>
                <w:szCs w:val="20"/>
                <w:color w:val="auto"/>
              </w:rPr>
            </w:pPr>
            <w:r>
              <w:rPr>
                <w:rFonts w:ascii="Arial" w:cs="Arial" w:eastAsia="Arial" w:hAnsi="Arial"/>
                <w:sz w:val="16"/>
                <w:szCs w:val="16"/>
                <w:b w:val="1"/>
                <w:bCs w:val="1"/>
                <w:color w:val="auto"/>
              </w:rPr>
              <w:t>13,487</w:t>
            </w:r>
          </w:p>
        </w:tc>
        <w:tc>
          <w:tcPr>
            <w:tcW w:w="340" w:type="dxa"/>
            <w:vAlign w:val="bottom"/>
          </w:tcPr>
          <w:p>
            <w:pPr>
              <w:spacing w:after="0"/>
              <w:rPr>
                <w:sz w:val="21"/>
                <w:szCs w:val="21"/>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17,357</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(22)</w:t>
            </w:r>
          </w:p>
        </w:tc>
        <w:tc>
          <w:tcPr>
            <w:tcW w:w="140" w:type="dxa"/>
            <w:vAlign w:val="bottom"/>
          </w:tcPr>
          <w:p>
            <w:pPr>
              <w:spacing w:after="0"/>
              <w:rPr>
                <w:sz w:val="21"/>
                <w:szCs w:val="21"/>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b w:val="1"/>
                <w:bCs w:val="1"/>
                <w:color w:val="auto"/>
              </w:rPr>
              <w:t>29,299</w:t>
            </w:r>
          </w:p>
        </w:tc>
        <w:tc>
          <w:tcPr>
            <w:tcW w:w="220" w:type="dxa"/>
            <w:vAlign w:val="bottom"/>
          </w:tcPr>
          <w:p>
            <w:pPr>
              <w:spacing w:after="0"/>
              <w:rPr>
                <w:sz w:val="21"/>
                <w:szCs w:val="21"/>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34,822</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(16)</w:t>
            </w:r>
          </w:p>
        </w:tc>
      </w:tr>
      <w:tr>
        <w:trPr>
          <w:trHeight w:val="243"/>
        </w:trPr>
        <w:tc>
          <w:tcPr>
            <w:tcW w:w="5000" w:type="dxa"/>
            <w:vAlign w:val="bottom"/>
          </w:tcPr>
          <w:p>
            <w:pPr>
              <w:ind w:left="120"/>
              <w:spacing w:after="0"/>
              <w:rPr>
                <w:sz w:val="20"/>
                <w:szCs w:val="20"/>
                <w:color w:val="auto"/>
              </w:rPr>
            </w:pPr>
            <w:r>
              <w:rPr>
                <w:rFonts w:ascii="Arial" w:cs="Arial" w:eastAsia="Arial" w:hAnsi="Arial"/>
                <w:sz w:val="16"/>
                <w:szCs w:val="16"/>
                <w:color w:val="auto"/>
              </w:rPr>
              <w:t>Other businesses</w:t>
            </w:r>
          </w:p>
        </w:tc>
        <w:tc>
          <w:tcPr>
            <w:tcW w:w="180" w:type="dxa"/>
            <w:vAlign w:val="bottom"/>
          </w:tcPr>
          <w:p>
            <w:pPr>
              <w:spacing w:after="0"/>
              <w:rPr>
                <w:sz w:val="21"/>
                <w:szCs w:val="21"/>
                <w:color w:val="auto"/>
              </w:rPr>
            </w:pPr>
          </w:p>
        </w:tc>
        <w:tc>
          <w:tcPr>
            <w:tcW w:w="820" w:type="dxa"/>
            <w:vAlign w:val="bottom"/>
          </w:tcPr>
          <w:p>
            <w:pPr>
              <w:jc w:val="right"/>
              <w:ind w:right="80"/>
              <w:spacing w:after="0"/>
              <w:rPr>
                <w:sz w:val="20"/>
                <w:szCs w:val="20"/>
                <w:color w:val="auto"/>
              </w:rPr>
            </w:pPr>
            <w:r>
              <w:rPr>
                <w:rFonts w:ascii="Arial" w:cs="Arial" w:eastAsia="Arial" w:hAnsi="Arial"/>
                <w:sz w:val="16"/>
                <w:szCs w:val="16"/>
                <w:b w:val="1"/>
                <w:bCs w:val="1"/>
                <w:color w:val="auto"/>
              </w:rPr>
              <w:t>97,696</w:t>
            </w:r>
          </w:p>
        </w:tc>
        <w:tc>
          <w:tcPr>
            <w:tcW w:w="340" w:type="dxa"/>
            <w:vAlign w:val="bottom"/>
          </w:tcPr>
          <w:p>
            <w:pPr>
              <w:spacing w:after="0"/>
              <w:rPr>
                <w:sz w:val="21"/>
                <w:szCs w:val="21"/>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87,272</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12</w:t>
            </w:r>
          </w:p>
        </w:tc>
        <w:tc>
          <w:tcPr>
            <w:tcW w:w="140" w:type="dxa"/>
            <w:vAlign w:val="bottom"/>
          </w:tcPr>
          <w:p>
            <w:pPr>
              <w:spacing w:after="0"/>
              <w:rPr>
                <w:sz w:val="21"/>
                <w:szCs w:val="21"/>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b w:val="1"/>
                <w:bCs w:val="1"/>
                <w:color w:val="auto"/>
              </w:rPr>
              <w:t>216,656</w:t>
            </w:r>
          </w:p>
        </w:tc>
        <w:tc>
          <w:tcPr>
            <w:tcW w:w="220" w:type="dxa"/>
            <w:vAlign w:val="bottom"/>
          </w:tcPr>
          <w:p>
            <w:pPr>
              <w:spacing w:after="0"/>
              <w:rPr>
                <w:sz w:val="21"/>
                <w:szCs w:val="21"/>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140,995</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54</w:t>
            </w:r>
          </w:p>
        </w:tc>
      </w:tr>
      <w:tr>
        <w:trPr>
          <w:trHeight w:val="243"/>
        </w:trPr>
        <w:tc>
          <w:tcPr>
            <w:tcW w:w="5000" w:type="dxa"/>
            <w:vAlign w:val="bottom"/>
          </w:tcPr>
          <w:p>
            <w:pPr>
              <w:ind w:left="120"/>
              <w:spacing w:after="0"/>
              <w:rPr>
                <w:sz w:val="20"/>
                <w:szCs w:val="20"/>
                <w:color w:val="auto"/>
              </w:rPr>
            </w:pPr>
            <w:r>
              <w:rPr>
                <w:rFonts w:ascii="Arial" w:cs="Arial" w:eastAsia="Arial" w:hAnsi="Arial"/>
                <w:sz w:val="16"/>
                <w:szCs w:val="16"/>
                <w:color w:val="auto"/>
              </w:rPr>
              <w:t>Corporate office</w:t>
            </w:r>
          </w:p>
        </w:tc>
        <w:tc>
          <w:tcPr>
            <w:tcW w:w="180" w:type="dxa"/>
            <w:vAlign w:val="bottom"/>
          </w:tcPr>
          <w:p>
            <w:pPr>
              <w:spacing w:after="0"/>
              <w:rPr>
                <w:sz w:val="21"/>
                <w:szCs w:val="21"/>
                <w:color w:val="auto"/>
              </w:rPr>
            </w:pPr>
          </w:p>
        </w:tc>
        <w:tc>
          <w:tcPr>
            <w:tcW w:w="820" w:type="dxa"/>
            <w:vAlign w:val="bottom"/>
          </w:tcPr>
          <w:p>
            <w:pPr>
              <w:jc w:val="right"/>
              <w:ind w:right="80"/>
              <w:spacing w:after="0"/>
              <w:rPr>
                <w:sz w:val="20"/>
                <w:szCs w:val="20"/>
                <w:color w:val="auto"/>
              </w:rPr>
            </w:pPr>
            <w:r>
              <w:rPr>
                <w:rFonts w:ascii="Arial" w:cs="Arial" w:eastAsia="Arial" w:hAnsi="Arial"/>
                <w:sz w:val="16"/>
                <w:szCs w:val="16"/>
                <w:b w:val="1"/>
                <w:bCs w:val="1"/>
                <w:color w:val="auto"/>
              </w:rPr>
              <w:t>13,020</w:t>
            </w:r>
          </w:p>
        </w:tc>
        <w:tc>
          <w:tcPr>
            <w:tcW w:w="340" w:type="dxa"/>
            <w:vAlign w:val="bottom"/>
          </w:tcPr>
          <w:p>
            <w:pPr>
              <w:spacing w:after="0"/>
              <w:rPr>
                <w:sz w:val="21"/>
                <w:szCs w:val="21"/>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13,238</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21"/>
                <w:szCs w:val="21"/>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b w:val="1"/>
                <w:bCs w:val="1"/>
                <w:color w:val="auto"/>
              </w:rPr>
              <w:t>21,592</w:t>
            </w:r>
          </w:p>
        </w:tc>
        <w:tc>
          <w:tcPr>
            <w:tcW w:w="220" w:type="dxa"/>
            <w:vAlign w:val="bottom"/>
          </w:tcPr>
          <w:p>
            <w:pPr>
              <w:spacing w:after="0"/>
              <w:rPr>
                <w:sz w:val="21"/>
                <w:szCs w:val="21"/>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27,462</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(21)</w:t>
            </w:r>
          </w:p>
        </w:tc>
      </w:tr>
      <w:tr>
        <w:trPr>
          <w:trHeight w:val="256"/>
        </w:trPr>
        <w:tc>
          <w:tcPr>
            <w:tcW w:w="5000" w:type="dxa"/>
            <w:vAlign w:val="bottom"/>
          </w:tcPr>
          <w:p>
            <w:pPr>
              <w:ind w:left="120"/>
              <w:spacing w:after="0"/>
              <w:rPr>
                <w:sz w:val="20"/>
                <w:szCs w:val="20"/>
                <w:color w:val="auto"/>
              </w:rPr>
            </w:pPr>
            <w:r>
              <w:rPr>
                <w:rFonts w:ascii="Arial" w:cs="Arial" w:eastAsia="Arial" w:hAnsi="Arial"/>
                <w:sz w:val="16"/>
                <w:szCs w:val="16"/>
                <w:color w:val="auto"/>
              </w:rPr>
              <w:t>Intersegment elimination</w:t>
            </w: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(349)</w:t>
            </w: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(44)</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(661)</w:t>
            </w: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(84)</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37"/>
        </w:trPr>
        <w:tc>
          <w:tcPr>
            <w:tcW w:w="50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646,994</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679,639</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1,371,166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1,331,835</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3</w:t>
            </w:r>
          </w:p>
        </w:tc>
      </w:tr>
      <w:tr>
        <w:trPr>
          <w:trHeight w:val="223"/>
        </w:trPr>
        <w:tc>
          <w:tcPr>
            <w:tcW w:w="5000" w:type="dxa"/>
            <w:vAlign w:val="bottom"/>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43"/>
        </w:trPr>
        <w:tc>
          <w:tcPr>
            <w:tcW w:w="5000" w:type="dxa"/>
            <w:vAlign w:val="bottom"/>
          </w:tcPr>
          <w:p>
            <w:pPr>
              <w:ind w:left="120"/>
              <w:spacing w:after="0"/>
              <w:rPr>
                <w:sz w:val="20"/>
                <w:szCs w:val="20"/>
                <w:color w:val="auto"/>
              </w:rPr>
            </w:pPr>
            <w:r>
              <w:rPr>
                <w:rFonts w:ascii="Arial" w:cs="Arial" w:eastAsia="Arial" w:hAnsi="Arial"/>
                <w:sz w:val="16"/>
                <w:szCs w:val="16"/>
                <w:color w:val="auto"/>
              </w:rPr>
              <w:t>Education</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80"/>
              <w:spacing w:after="0"/>
              <w:rPr>
                <w:sz w:val="20"/>
                <w:szCs w:val="20"/>
                <w:color w:val="auto"/>
              </w:rPr>
            </w:pPr>
            <w:r>
              <w:rPr>
                <w:rFonts w:ascii="Arial" w:cs="Arial" w:eastAsia="Arial" w:hAnsi="Arial"/>
                <w:sz w:val="16"/>
                <w:szCs w:val="16"/>
                <w:b w:val="1"/>
                <w:bCs w:val="1"/>
                <w:color w:val="auto"/>
              </w:rPr>
              <w:t>12,254</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26,305</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(53)</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b w:val="1"/>
                <w:bCs w:val="1"/>
                <w:color w:val="auto"/>
              </w:rPr>
              <w:t>16,946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51,900</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(67)</w:t>
            </w:r>
          </w:p>
        </w:tc>
      </w:tr>
      <w:tr>
        <w:trPr>
          <w:trHeight w:val="243"/>
        </w:trPr>
        <w:tc>
          <w:tcPr>
            <w:tcW w:w="5000" w:type="dxa"/>
            <w:vAlign w:val="bottom"/>
          </w:tcPr>
          <w:p>
            <w:pPr>
              <w:ind w:left="120"/>
              <w:spacing w:after="0"/>
              <w:rPr>
                <w:sz w:val="20"/>
                <w:szCs w:val="20"/>
                <w:color w:val="auto"/>
              </w:rPr>
            </w:pPr>
            <w:r>
              <w:rPr>
                <w:rFonts w:ascii="Arial" w:cs="Arial" w:eastAsia="Arial" w:hAnsi="Arial"/>
                <w:sz w:val="16"/>
                <w:szCs w:val="16"/>
                <w:color w:val="auto"/>
              </w:rPr>
              <w:t>Television broadcasting</w:t>
            </w:r>
          </w:p>
        </w:tc>
        <w:tc>
          <w:tcPr>
            <w:tcW w:w="180" w:type="dxa"/>
            <w:vAlign w:val="bottom"/>
          </w:tcPr>
          <w:p>
            <w:pPr>
              <w:spacing w:after="0"/>
              <w:rPr>
                <w:sz w:val="21"/>
                <w:szCs w:val="21"/>
                <w:color w:val="auto"/>
              </w:rPr>
            </w:pPr>
          </w:p>
        </w:tc>
        <w:tc>
          <w:tcPr>
            <w:tcW w:w="820" w:type="dxa"/>
            <w:vAlign w:val="bottom"/>
          </w:tcPr>
          <w:p>
            <w:pPr>
              <w:jc w:val="right"/>
              <w:ind w:right="80"/>
              <w:spacing w:after="0"/>
              <w:rPr>
                <w:sz w:val="20"/>
                <w:szCs w:val="20"/>
                <w:color w:val="auto"/>
              </w:rPr>
            </w:pPr>
            <w:r>
              <w:rPr>
                <w:rFonts w:ascii="Arial" w:cs="Arial" w:eastAsia="Arial" w:hAnsi="Arial"/>
                <w:sz w:val="16"/>
                <w:szCs w:val="16"/>
                <w:b w:val="1"/>
                <w:bCs w:val="1"/>
                <w:color w:val="auto"/>
              </w:rPr>
              <w:t>23,627</w:t>
            </w:r>
          </w:p>
        </w:tc>
        <w:tc>
          <w:tcPr>
            <w:tcW w:w="340" w:type="dxa"/>
            <w:vAlign w:val="bottom"/>
          </w:tcPr>
          <w:p>
            <w:pPr>
              <w:spacing w:after="0"/>
              <w:rPr>
                <w:sz w:val="21"/>
                <w:szCs w:val="21"/>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44,494</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(47)</w:t>
            </w:r>
          </w:p>
        </w:tc>
        <w:tc>
          <w:tcPr>
            <w:tcW w:w="140" w:type="dxa"/>
            <w:vAlign w:val="bottom"/>
          </w:tcPr>
          <w:p>
            <w:pPr>
              <w:spacing w:after="0"/>
              <w:rPr>
                <w:sz w:val="21"/>
                <w:szCs w:val="21"/>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b w:val="1"/>
                <w:bCs w:val="1"/>
                <w:color w:val="auto"/>
              </w:rPr>
              <w:t>59,403</w:t>
            </w:r>
          </w:p>
        </w:tc>
        <w:tc>
          <w:tcPr>
            <w:tcW w:w="220" w:type="dxa"/>
            <w:vAlign w:val="bottom"/>
          </w:tcPr>
          <w:p>
            <w:pPr>
              <w:spacing w:after="0"/>
              <w:rPr>
                <w:sz w:val="21"/>
                <w:szCs w:val="21"/>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80,034</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(26)</w:t>
            </w:r>
          </w:p>
        </w:tc>
      </w:tr>
      <w:tr>
        <w:trPr>
          <w:trHeight w:val="243"/>
        </w:trPr>
        <w:tc>
          <w:tcPr>
            <w:tcW w:w="5000" w:type="dxa"/>
            <w:vAlign w:val="bottom"/>
          </w:tcPr>
          <w:p>
            <w:pPr>
              <w:ind w:left="120"/>
              <w:spacing w:after="0"/>
              <w:rPr>
                <w:sz w:val="20"/>
                <w:szCs w:val="20"/>
                <w:color w:val="auto"/>
              </w:rPr>
            </w:pPr>
            <w:r>
              <w:rPr>
                <w:rFonts w:ascii="Arial" w:cs="Arial" w:eastAsia="Arial" w:hAnsi="Arial"/>
                <w:sz w:val="16"/>
                <w:szCs w:val="16"/>
                <w:color w:val="auto"/>
              </w:rPr>
              <w:t>Manufacturing</w:t>
            </w:r>
          </w:p>
        </w:tc>
        <w:tc>
          <w:tcPr>
            <w:tcW w:w="180" w:type="dxa"/>
            <w:vAlign w:val="bottom"/>
          </w:tcPr>
          <w:p>
            <w:pPr>
              <w:spacing w:after="0"/>
              <w:rPr>
                <w:sz w:val="21"/>
                <w:szCs w:val="21"/>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b w:val="1"/>
                <w:bCs w:val="1"/>
                <w:color w:val="auto"/>
              </w:rPr>
              <w:t>(1,482)</w:t>
            </w:r>
          </w:p>
        </w:tc>
        <w:tc>
          <w:tcPr>
            <w:tcW w:w="340" w:type="dxa"/>
            <w:vAlign w:val="bottom"/>
          </w:tcPr>
          <w:p>
            <w:pPr>
              <w:spacing w:after="0"/>
              <w:rPr>
                <w:sz w:val="21"/>
                <w:szCs w:val="21"/>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4,692</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b w:val="1"/>
                <w:bCs w:val="1"/>
                <w:color w:val="auto"/>
              </w:rPr>
              <w:t>5,019</w:t>
            </w:r>
          </w:p>
        </w:tc>
        <w:tc>
          <w:tcPr>
            <w:tcW w:w="220" w:type="dxa"/>
            <w:vAlign w:val="bottom"/>
          </w:tcPr>
          <w:p>
            <w:pPr>
              <w:spacing w:after="0"/>
              <w:rPr>
                <w:sz w:val="21"/>
                <w:szCs w:val="21"/>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7,966</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(37)</w:t>
            </w:r>
          </w:p>
        </w:tc>
      </w:tr>
      <w:tr>
        <w:trPr>
          <w:trHeight w:val="243"/>
        </w:trPr>
        <w:tc>
          <w:tcPr>
            <w:tcW w:w="5000" w:type="dxa"/>
            <w:vAlign w:val="bottom"/>
          </w:tcPr>
          <w:p>
            <w:pPr>
              <w:ind w:left="120"/>
              <w:spacing w:after="0"/>
              <w:rPr>
                <w:sz w:val="20"/>
                <w:szCs w:val="20"/>
                <w:color w:val="auto"/>
              </w:rPr>
            </w:pPr>
            <w:r>
              <w:rPr>
                <w:rFonts w:ascii="Arial" w:cs="Arial" w:eastAsia="Arial" w:hAnsi="Arial"/>
                <w:sz w:val="16"/>
                <w:szCs w:val="16"/>
                <w:color w:val="auto"/>
              </w:rPr>
              <w:t>Healthcare</w:t>
            </w:r>
          </w:p>
        </w:tc>
        <w:tc>
          <w:tcPr>
            <w:tcW w:w="180" w:type="dxa"/>
            <w:vAlign w:val="bottom"/>
          </w:tcPr>
          <w:p>
            <w:pPr>
              <w:spacing w:after="0"/>
              <w:rPr>
                <w:sz w:val="21"/>
                <w:szCs w:val="21"/>
                <w:color w:val="auto"/>
              </w:rPr>
            </w:pPr>
          </w:p>
        </w:tc>
        <w:tc>
          <w:tcPr>
            <w:tcW w:w="820" w:type="dxa"/>
            <w:vAlign w:val="bottom"/>
          </w:tcPr>
          <w:p>
            <w:pPr>
              <w:jc w:val="right"/>
              <w:ind w:right="80"/>
              <w:spacing w:after="0"/>
              <w:rPr>
                <w:sz w:val="20"/>
                <w:szCs w:val="20"/>
                <w:color w:val="auto"/>
              </w:rPr>
            </w:pPr>
            <w:r>
              <w:rPr>
                <w:rFonts w:ascii="Arial" w:cs="Arial" w:eastAsia="Arial" w:hAnsi="Arial"/>
                <w:sz w:val="16"/>
                <w:szCs w:val="16"/>
                <w:b w:val="1"/>
                <w:bCs w:val="1"/>
                <w:color w:val="auto"/>
              </w:rPr>
              <w:t>8,818</w:t>
            </w:r>
          </w:p>
        </w:tc>
        <w:tc>
          <w:tcPr>
            <w:tcW w:w="340" w:type="dxa"/>
            <w:vAlign w:val="bottom"/>
          </w:tcPr>
          <w:p>
            <w:pPr>
              <w:spacing w:after="0"/>
              <w:rPr>
                <w:sz w:val="21"/>
                <w:szCs w:val="21"/>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2,598</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b w:val="1"/>
                <w:bCs w:val="1"/>
                <w:color w:val="auto"/>
              </w:rPr>
              <w:t>11,987</w:t>
            </w:r>
          </w:p>
        </w:tc>
        <w:tc>
          <w:tcPr>
            <w:tcW w:w="220" w:type="dxa"/>
            <w:vAlign w:val="bottom"/>
          </w:tcPr>
          <w:p>
            <w:pPr>
              <w:spacing w:after="0"/>
              <w:rPr>
                <w:sz w:val="21"/>
                <w:szCs w:val="21"/>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4,927</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43"/>
        </w:trPr>
        <w:tc>
          <w:tcPr>
            <w:tcW w:w="5000" w:type="dxa"/>
            <w:vAlign w:val="bottom"/>
          </w:tcPr>
          <w:p>
            <w:pPr>
              <w:ind w:left="120"/>
              <w:spacing w:after="0"/>
              <w:rPr>
                <w:sz w:val="20"/>
                <w:szCs w:val="20"/>
                <w:color w:val="auto"/>
              </w:rPr>
            </w:pPr>
            <w:r>
              <w:rPr>
                <w:rFonts w:ascii="Arial" w:cs="Arial" w:eastAsia="Arial" w:hAnsi="Arial"/>
                <w:sz w:val="16"/>
                <w:szCs w:val="16"/>
                <w:color w:val="auto"/>
              </w:rPr>
              <w:t>SocialCode</w:t>
            </w:r>
          </w:p>
        </w:tc>
        <w:tc>
          <w:tcPr>
            <w:tcW w:w="180" w:type="dxa"/>
            <w:vAlign w:val="bottom"/>
          </w:tcPr>
          <w:p>
            <w:pPr>
              <w:spacing w:after="0"/>
              <w:rPr>
                <w:sz w:val="21"/>
                <w:szCs w:val="21"/>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b w:val="1"/>
                <w:bCs w:val="1"/>
                <w:color w:val="auto"/>
              </w:rPr>
              <w:t>(3,004)</w:t>
            </w:r>
          </w:p>
        </w:tc>
        <w:tc>
          <w:tcPr>
            <w:tcW w:w="340" w:type="dxa"/>
            <w:vAlign w:val="bottom"/>
          </w:tcPr>
          <w:p>
            <w:pPr>
              <w:spacing w:after="0"/>
              <w:rPr>
                <w:sz w:val="21"/>
                <w:szCs w:val="21"/>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(975)</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(6,793)</w:t>
            </w:r>
          </w:p>
        </w:tc>
        <w:tc>
          <w:tcPr>
            <w:tcW w:w="22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(4,993)</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(36)</w:t>
            </w:r>
          </w:p>
        </w:tc>
      </w:tr>
      <w:tr>
        <w:trPr>
          <w:trHeight w:val="243"/>
        </w:trPr>
        <w:tc>
          <w:tcPr>
            <w:tcW w:w="5000" w:type="dxa"/>
            <w:vAlign w:val="bottom"/>
          </w:tcPr>
          <w:p>
            <w:pPr>
              <w:ind w:left="120"/>
              <w:spacing w:after="0"/>
              <w:rPr>
                <w:sz w:val="20"/>
                <w:szCs w:val="20"/>
                <w:color w:val="auto"/>
              </w:rPr>
            </w:pPr>
            <w:r>
              <w:rPr>
                <w:rFonts w:ascii="Arial" w:cs="Arial" w:eastAsia="Arial" w:hAnsi="Arial"/>
                <w:sz w:val="16"/>
                <w:szCs w:val="16"/>
                <w:color w:val="auto"/>
              </w:rPr>
              <w:t>Other businesses</w:t>
            </w:r>
          </w:p>
        </w:tc>
        <w:tc>
          <w:tcPr>
            <w:tcW w:w="180" w:type="dxa"/>
            <w:vAlign w:val="bottom"/>
          </w:tcPr>
          <w:p>
            <w:pPr>
              <w:spacing w:after="0"/>
              <w:rPr>
                <w:sz w:val="21"/>
                <w:szCs w:val="21"/>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b w:val="1"/>
                <w:bCs w:val="1"/>
                <w:color w:val="auto"/>
              </w:rPr>
              <w:t>(21,316)</w:t>
            </w:r>
          </w:p>
        </w:tc>
        <w:tc>
          <w:tcPr>
            <w:tcW w:w="340" w:type="dxa"/>
            <w:vAlign w:val="bottom"/>
          </w:tcPr>
          <w:p>
            <w:pPr>
              <w:spacing w:after="0"/>
              <w:rPr>
                <w:sz w:val="21"/>
                <w:szCs w:val="21"/>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(5,913)</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(51,008)</w:t>
            </w:r>
          </w:p>
        </w:tc>
        <w:tc>
          <w:tcPr>
            <w:tcW w:w="22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(14,406)</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56"/>
        </w:trPr>
        <w:tc>
          <w:tcPr>
            <w:tcW w:w="5000" w:type="dxa"/>
            <w:vAlign w:val="bottom"/>
          </w:tcPr>
          <w:p>
            <w:pPr>
              <w:ind w:left="120"/>
              <w:spacing w:after="0"/>
              <w:rPr>
                <w:sz w:val="20"/>
                <w:szCs w:val="20"/>
                <w:color w:val="auto"/>
              </w:rPr>
            </w:pPr>
            <w:r>
              <w:rPr>
                <w:rFonts w:ascii="Arial" w:cs="Arial" w:eastAsia="Arial" w:hAnsi="Arial"/>
                <w:sz w:val="16"/>
                <w:szCs w:val="16"/>
                <w:color w:val="auto"/>
              </w:rPr>
              <w:t>Corporate office</w:t>
            </w: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(13,020)</w:t>
            </w: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(13,238)</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2</w:t>
            </w: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(21,592)</w:t>
            </w: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(27,462)</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21</w:t>
            </w:r>
          </w:p>
        </w:tc>
      </w:tr>
      <w:tr>
        <w:trPr>
          <w:trHeight w:val="237"/>
        </w:trPr>
        <w:tc>
          <w:tcPr>
            <w:tcW w:w="50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5,877</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57,963</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(90)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13,962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97,966</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(86)</w:t>
            </w:r>
          </w:p>
        </w:tc>
      </w:tr>
      <w:tr>
        <w:trPr>
          <w:trHeight w:val="223"/>
        </w:trPr>
        <w:tc>
          <w:tcPr>
            <w:tcW w:w="5000" w:type="dxa"/>
            <w:vAlign w:val="bottom"/>
          </w:tcPr>
          <w:p>
            <w:pPr>
              <w:ind w:left="20"/>
              <w:spacing w:after="0"/>
              <w:rPr>
                <w:sz w:val="20"/>
                <w:szCs w:val="20"/>
                <w:color w:val="auto"/>
              </w:rPr>
            </w:pPr>
            <w:r>
              <w:rPr>
                <w:rFonts w:ascii="Arial" w:cs="Arial" w:eastAsia="Arial" w:hAnsi="Arial"/>
                <w:sz w:val="16"/>
                <w:szCs w:val="16"/>
                <w:b w:val="1"/>
                <w:bCs w:val="1"/>
                <w:color w:val="auto"/>
              </w:rPr>
              <w:t>Depreciation</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43"/>
        </w:trPr>
        <w:tc>
          <w:tcPr>
            <w:tcW w:w="5000" w:type="dxa"/>
            <w:vAlign w:val="bottom"/>
          </w:tcPr>
          <w:p>
            <w:pPr>
              <w:ind w:left="120"/>
              <w:spacing w:after="0"/>
              <w:rPr>
                <w:sz w:val="20"/>
                <w:szCs w:val="20"/>
                <w:color w:val="auto"/>
              </w:rPr>
            </w:pPr>
            <w:r>
              <w:rPr>
                <w:rFonts w:ascii="Arial" w:cs="Arial" w:eastAsia="Arial" w:hAnsi="Arial"/>
                <w:sz w:val="16"/>
                <w:szCs w:val="16"/>
                <w:color w:val="auto"/>
              </w:rPr>
              <w:t>Education</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80"/>
              <w:spacing w:after="0"/>
              <w:rPr>
                <w:sz w:val="20"/>
                <w:szCs w:val="20"/>
                <w:color w:val="auto"/>
              </w:rPr>
            </w:pPr>
            <w:r>
              <w:rPr>
                <w:rFonts w:ascii="Arial" w:cs="Arial" w:eastAsia="Arial" w:hAnsi="Arial"/>
                <w:sz w:val="16"/>
                <w:szCs w:val="16"/>
                <w:b w:val="1"/>
                <w:bCs w:val="1"/>
                <w:color w:val="auto"/>
              </w:rPr>
              <w:t>10,324</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6,137</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68</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b w:val="1"/>
                <w:bCs w:val="1"/>
                <w:color w:val="auto"/>
              </w:rPr>
              <w:t>17,653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12,338</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43</w:t>
            </w:r>
          </w:p>
        </w:tc>
      </w:tr>
      <w:tr>
        <w:trPr>
          <w:trHeight w:val="243"/>
        </w:trPr>
        <w:tc>
          <w:tcPr>
            <w:tcW w:w="5000" w:type="dxa"/>
            <w:vAlign w:val="bottom"/>
          </w:tcPr>
          <w:p>
            <w:pPr>
              <w:ind w:left="120"/>
              <w:spacing w:after="0"/>
              <w:rPr>
                <w:sz w:val="20"/>
                <w:szCs w:val="20"/>
                <w:color w:val="auto"/>
              </w:rPr>
            </w:pPr>
            <w:r>
              <w:rPr>
                <w:rFonts w:ascii="Arial" w:cs="Arial" w:eastAsia="Arial" w:hAnsi="Arial"/>
                <w:sz w:val="16"/>
                <w:szCs w:val="16"/>
                <w:color w:val="auto"/>
              </w:rPr>
              <w:t>Television broadcasting</w:t>
            </w:r>
          </w:p>
        </w:tc>
        <w:tc>
          <w:tcPr>
            <w:tcW w:w="180" w:type="dxa"/>
            <w:vAlign w:val="bottom"/>
          </w:tcPr>
          <w:p>
            <w:pPr>
              <w:spacing w:after="0"/>
              <w:rPr>
                <w:sz w:val="21"/>
                <w:szCs w:val="21"/>
                <w:color w:val="auto"/>
              </w:rPr>
            </w:pPr>
          </w:p>
        </w:tc>
        <w:tc>
          <w:tcPr>
            <w:tcW w:w="820" w:type="dxa"/>
            <w:vAlign w:val="bottom"/>
          </w:tcPr>
          <w:p>
            <w:pPr>
              <w:jc w:val="right"/>
              <w:ind w:right="80"/>
              <w:spacing w:after="0"/>
              <w:rPr>
                <w:sz w:val="20"/>
                <w:szCs w:val="20"/>
                <w:color w:val="auto"/>
              </w:rPr>
            </w:pPr>
            <w:r>
              <w:rPr>
                <w:rFonts w:ascii="Arial" w:cs="Arial" w:eastAsia="Arial" w:hAnsi="Arial"/>
                <w:sz w:val="16"/>
                <w:szCs w:val="16"/>
                <w:b w:val="1"/>
                <w:bCs w:val="1"/>
                <w:color w:val="auto"/>
              </w:rPr>
              <w:t>3,446</w:t>
            </w:r>
          </w:p>
        </w:tc>
        <w:tc>
          <w:tcPr>
            <w:tcW w:w="340" w:type="dxa"/>
            <w:vAlign w:val="bottom"/>
          </w:tcPr>
          <w:p>
            <w:pPr>
              <w:spacing w:after="0"/>
              <w:rPr>
                <w:sz w:val="21"/>
                <w:szCs w:val="21"/>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3,293</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5</w:t>
            </w:r>
          </w:p>
        </w:tc>
        <w:tc>
          <w:tcPr>
            <w:tcW w:w="140" w:type="dxa"/>
            <w:vAlign w:val="bottom"/>
          </w:tcPr>
          <w:p>
            <w:pPr>
              <w:spacing w:after="0"/>
              <w:rPr>
                <w:sz w:val="21"/>
                <w:szCs w:val="21"/>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b w:val="1"/>
                <w:bCs w:val="1"/>
                <w:color w:val="auto"/>
              </w:rPr>
              <w:t>6,789</w:t>
            </w:r>
          </w:p>
        </w:tc>
        <w:tc>
          <w:tcPr>
            <w:tcW w:w="220" w:type="dxa"/>
            <w:vAlign w:val="bottom"/>
          </w:tcPr>
          <w:p>
            <w:pPr>
              <w:spacing w:after="0"/>
              <w:rPr>
                <w:sz w:val="21"/>
                <w:szCs w:val="21"/>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6,532</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4</w:t>
            </w:r>
          </w:p>
        </w:tc>
      </w:tr>
      <w:tr>
        <w:trPr>
          <w:trHeight w:val="243"/>
        </w:trPr>
        <w:tc>
          <w:tcPr>
            <w:tcW w:w="5000" w:type="dxa"/>
            <w:vAlign w:val="bottom"/>
          </w:tcPr>
          <w:p>
            <w:pPr>
              <w:ind w:left="120"/>
              <w:spacing w:after="0"/>
              <w:rPr>
                <w:sz w:val="20"/>
                <w:szCs w:val="20"/>
                <w:color w:val="auto"/>
              </w:rPr>
            </w:pPr>
            <w:r>
              <w:rPr>
                <w:rFonts w:ascii="Arial" w:cs="Arial" w:eastAsia="Arial" w:hAnsi="Arial"/>
                <w:sz w:val="16"/>
                <w:szCs w:val="16"/>
                <w:color w:val="auto"/>
              </w:rPr>
              <w:t>Manufacturing</w:t>
            </w:r>
          </w:p>
        </w:tc>
        <w:tc>
          <w:tcPr>
            <w:tcW w:w="180" w:type="dxa"/>
            <w:vAlign w:val="bottom"/>
          </w:tcPr>
          <w:p>
            <w:pPr>
              <w:spacing w:after="0"/>
              <w:rPr>
                <w:sz w:val="21"/>
                <w:szCs w:val="21"/>
                <w:color w:val="auto"/>
              </w:rPr>
            </w:pPr>
          </w:p>
        </w:tc>
        <w:tc>
          <w:tcPr>
            <w:tcW w:w="820" w:type="dxa"/>
            <w:vAlign w:val="bottom"/>
          </w:tcPr>
          <w:p>
            <w:pPr>
              <w:jc w:val="right"/>
              <w:ind w:right="80"/>
              <w:spacing w:after="0"/>
              <w:rPr>
                <w:sz w:val="20"/>
                <w:szCs w:val="20"/>
                <w:color w:val="auto"/>
              </w:rPr>
            </w:pPr>
            <w:r>
              <w:rPr>
                <w:rFonts w:ascii="Arial" w:cs="Arial" w:eastAsia="Arial" w:hAnsi="Arial"/>
                <w:sz w:val="16"/>
                <w:szCs w:val="16"/>
                <w:b w:val="1"/>
                <w:bCs w:val="1"/>
                <w:color w:val="auto"/>
              </w:rPr>
              <w:t>2,526</w:t>
            </w:r>
          </w:p>
        </w:tc>
        <w:tc>
          <w:tcPr>
            <w:tcW w:w="340" w:type="dxa"/>
            <w:vAlign w:val="bottom"/>
          </w:tcPr>
          <w:p>
            <w:pPr>
              <w:spacing w:after="0"/>
              <w:rPr>
                <w:sz w:val="21"/>
                <w:szCs w:val="21"/>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2,384</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6</w:t>
            </w:r>
          </w:p>
        </w:tc>
        <w:tc>
          <w:tcPr>
            <w:tcW w:w="140" w:type="dxa"/>
            <w:vAlign w:val="bottom"/>
          </w:tcPr>
          <w:p>
            <w:pPr>
              <w:spacing w:after="0"/>
              <w:rPr>
                <w:sz w:val="21"/>
                <w:szCs w:val="21"/>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b w:val="1"/>
                <w:bCs w:val="1"/>
                <w:color w:val="auto"/>
              </w:rPr>
              <w:t>5,053</w:t>
            </w:r>
          </w:p>
        </w:tc>
        <w:tc>
          <w:tcPr>
            <w:tcW w:w="220" w:type="dxa"/>
            <w:vAlign w:val="bottom"/>
          </w:tcPr>
          <w:p>
            <w:pPr>
              <w:spacing w:after="0"/>
              <w:rPr>
                <w:sz w:val="21"/>
                <w:szCs w:val="21"/>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4,817</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5</w:t>
            </w:r>
          </w:p>
        </w:tc>
      </w:tr>
      <w:tr>
        <w:trPr>
          <w:trHeight w:val="243"/>
        </w:trPr>
        <w:tc>
          <w:tcPr>
            <w:tcW w:w="5000" w:type="dxa"/>
            <w:vAlign w:val="bottom"/>
          </w:tcPr>
          <w:p>
            <w:pPr>
              <w:ind w:left="120"/>
              <w:spacing w:after="0"/>
              <w:rPr>
                <w:sz w:val="20"/>
                <w:szCs w:val="20"/>
                <w:color w:val="auto"/>
              </w:rPr>
            </w:pPr>
            <w:r>
              <w:rPr>
                <w:rFonts w:ascii="Arial" w:cs="Arial" w:eastAsia="Arial" w:hAnsi="Arial"/>
                <w:sz w:val="16"/>
                <w:szCs w:val="16"/>
                <w:color w:val="auto"/>
              </w:rPr>
              <w:t>Healthcare</w:t>
            </w:r>
          </w:p>
        </w:tc>
        <w:tc>
          <w:tcPr>
            <w:tcW w:w="180" w:type="dxa"/>
            <w:vAlign w:val="bottom"/>
          </w:tcPr>
          <w:p>
            <w:pPr>
              <w:spacing w:after="0"/>
              <w:rPr>
                <w:sz w:val="21"/>
                <w:szCs w:val="21"/>
                <w:color w:val="auto"/>
              </w:rPr>
            </w:pPr>
          </w:p>
        </w:tc>
        <w:tc>
          <w:tcPr>
            <w:tcW w:w="820" w:type="dxa"/>
            <w:vAlign w:val="bottom"/>
          </w:tcPr>
          <w:p>
            <w:pPr>
              <w:jc w:val="right"/>
              <w:ind w:right="80"/>
              <w:spacing w:after="0"/>
              <w:rPr>
                <w:sz w:val="20"/>
                <w:szCs w:val="20"/>
                <w:color w:val="auto"/>
              </w:rPr>
            </w:pPr>
            <w:r>
              <w:rPr>
                <w:rFonts w:ascii="Arial" w:cs="Arial" w:eastAsia="Arial" w:hAnsi="Arial"/>
                <w:sz w:val="16"/>
                <w:szCs w:val="16"/>
                <w:b w:val="1"/>
                <w:bCs w:val="1"/>
                <w:color w:val="auto"/>
              </w:rPr>
              <w:t>493</w:t>
            </w:r>
          </w:p>
        </w:tc>
        <w:tc>
          <w:tcPr>
            <w:tcW w:w="340" w:type="dxa"/>
            <w:vAlign w:val="bottom"/>
          </w:tcPr>
          <w:p>
            <w:pPr>
              <w:spacing w:after="0"/>
              <w:rPr>
                <w:sz w:val="21"/>
                <w:szCs w:val="21"/>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607</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(19)</w:t>
            </w:r>
          </w:p>
        </w:tc>
        <w:tc>
          <w:tcPr>
            <w:tcW w:w="140" w:type="dxa"/>
            <w:vAlign w:val="bottom"/>
          </w:tcPr>
          <w:p>
            <w:pPr>
              <w:spacing w:after="0"/>
              <w:rPr>
                <w:sz w:val="21"/>
                <w:szCs w:val="21"/>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b w:val="1"/>
                <w:bCs w:val="1"/>
                <w:color w:val="auto"/>
              </w:rPr>
              <w:t>1,033</w:t>
            </w:r>
          </w:p>
        </w:tc>
        <w:tc>
          <w:tcPr>
            <w:tcW w:w="220" w:type="dxa"/>
            <w:vAlign w:val="bottom"/>
          </w:tcPr>
          <w:p>
            <w:pPr>
              <w:spacing w:after="0"/>
              <w:rPr>
                <w:sz w:val="21"/>
                <w:szCs w:val="21"/>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1,217</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(15)</w:t>
            </w:r>
          </w:p>
        </w:tc>
      </w:tr>
      <w:tr>
        <w:trPr>
          <w:trHeight w:val="243"/>
        </w:trPr>
        <w:tc>
          <w:tcPr>
            <w:tcW w:w="5000" w:type="dxa"/>
            <w:vAlign w:val="bottom"/>
          </w:tcPr>
          <w:p>
            <w:pPr>
              <w:ind w:left="120"/>
              <w:spacing w:after="0"/>
              <w:rPr>
                <w:sz w:val="20"/>
                <w:szCs w:val="20"/>
                <w:color w:val="auto"/>
              </w:rPr>
            </w:pPr>
            <w:r>
              <w:rPr>
                <w:rFonts w:ascii="Arial" w:cs="Arial" w:eastAsia="Arial" w:hAnsi="Arial"/>
                <w:sz w:val="16"/>
                <w:szCs w:val="16"/>
                <w:color w:val="auto"/>
              </w:rPr>
              <w:t>SocialCode</w:t>
            </w:r>
          </w:p>
        </w:tc>
        <w:tc>
          <w:tcPr>
            <w:tcW w:w="180" w:type="dxa"/>
            <w:vAlign w:val="bottom"/>
          </w:tcPr>
          <w:p>
            <w:pPr>
              <w:spacing w:after="0"/>
              <w:rPr>
                <w:sz w:val="21"/>
                <w:szCs w:val="21"/>
                <w:color w:val="auto"/>
              </w:rPr>
            </w:pPr>
          </w:p>
        </w:tc>
        <w:tc>
          <w:tcPr>
            <w:tcW w:w="820" w:type="dxa"/>
            <w:vAlign w:val="bottom"/>
          </w:tcPr>
          <w:p>
            <w:pPr>
              <w:jc w:val="right"/>
              <w:ind w:right="80"/>
              <w:spacing w:after="0"/>
              <w:rPr>
                <w:sz w:val="20"/>
                <w:szCs w:val="20"/>
                <w:color w:val="auto"/>
              </w:rPr>
            </w:pPr>
            <w:r>
              <w:rPr>
                <w:rFonts w:ascii="Arial" w:cs="Arial" w:eastAsia="Arial" w:hAnsi="Arial"/>
                <w:sz w:val="16"/>
                <w:szCs w:val="16"/>
                <w:b w:val="1"/>
                <w:bCs w:val="1"/>
                <w:color w:val="auto"/>
              </w:rPr>
              <w:t>121</w:t>
            </w:r>
          </w:p>
        </w:tc>
        <w:tc>
          <w:tcPr>
            <w:tcW w:w="340" w:type="dxa"/>
            <w:vAlign w:val="bottom"/>
          </w:tcPr>
          <w:p>
            <w:pPr>
              <w:spacing w:after="0"/>
              <w:rPr>
                <w:sz w:val="21"/>
                <w:szCs w:val="21"/>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384</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(68)</w:t>
            </w:r>
          </w:p>
        </w:tc>
        <w:tc>
          <w:tcPr>
            <w:tcW w:w="140" w:type="dxa"/>
            <w:vAlign w:val="bottom"/>
          </w:tcPr>
          <w:p>
            <w:pPr>
              <w:spacing w:after="0"/>
              <w:rPr>
                <w:sz w:val="21"/>
                <w:szCs w:val="21"/>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b w:val="1"/>
                <w:bCs w:val="1"/>
                <w:color w:val="auto"/>
              </w:rPr>
              <w:t>242</w:t>
            </w:r>
          </w:p>
        </w:tc>
        <w:tc>
          <w:tcPr>
            <w:tcW w:w="220" w:type="dxa"/>
            <w:vAlign w:val="bottom"/>
          </w:tcPr>
          <w:p>
            <w:pPr>
              <w:spacing w:after="0"/>
              <w:rPr>
                <w:sz w:val="21"/>
                <w:szCs w:val="21"/>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536</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(55)</w:t>
            </w:r>
          </w:p>
        </w:tc>
      </w:tr>
      <w:tr>
        <w:trPr>
          <w:trHeight w:val="243"/>
        </w:trPr>
        <w:tc>
          <w:tcPr>
            <w:tcW w:w="5000" w:type="dxa"/>
            <w:vAlign w:val="bottom"/>
          </w:tcPr>
          <w:p>
            <w:pPr>
              <w:ind w:left="120"/>
              <w:spacing w:after="0"/>
              <w:rPr>
                <w:sz w:val="20"/>
                <w:szCs w:val="20"/>
                <w:color w:val="auto"/>
              </w:rPr>
            </w:pPr>
            <w:r>
              <w:rPr>
                <w:rFonts w:ascii="Arial" w:cs="Arial" w:eastAsia="Arial" w:hAnsi="Arial"/>
                <w:sz w:val="16"/>
                <w:szCs w:val="16"/>
                <w:color w:val="auto"/>
              </w:rPr>
              <w:t>Other businesses</w:t>
            </w:r>
          </w:p>
        </w:tc>
        <w:tc>
          <w:tcPr>
            <w:tcW w:w="180" w:type="dxa"/>
            <w:vAlign w:val="bottom"/>
          </w:tcPr>
          <w:p>
            <w:pPr>
              <w:spacing w:after="0"/>
              <w:rPr>
                <w:sz w:val="21"/>
                <w:szCs w:val="21"/>
                <w:color w:val="auto"/>
              </w:rPr>
            </w:pPr>
          </w:p>
        </w:tc>
        <w:tc>
          <w:tcPr>
            <w:tcW w:w="820" w:type="dxa"/>
            <w:vAlign w:val="bottom"/>
          </w:tcPr>
          <w:p>
            <w:pPr>
              <w:jc w:val="right"/>
              <w:ind w:right="80"/>
              <w:spacing w:after="0"/>
              <w:rPr>
                <w:sz w:val="20"/>
                <w:szCs w:val="20"/>
                <w:color w:val="auto"/>
              </w:rPr>
            </w:pPr>
            <w:r>
              <w:rPr>
                <w:rFonts w:ascii="Arial" w:cs="Arial" w:eastAsia="Arial" w:hAnsi="Arial"/>
                <w:sz w:val="16"/>
                <w:szCs w:val="16"/>
                <w:b w:val="1"/>
                <w:bCs w:val="1"/>
                <w:color w:val="auto"/>
              </w:rPr>
              <w:t>5,827</w:t>
            </w:r>
          </w:p>
        </w:tc>
        <w:tc>
          <w:tcPr>
            <w:tcW w:w="340" w:type="dxa"/>
            <w:vAlign w:val="bottom"/>
          </w:tcPr>
          <w:p>
            <w:pPr>
              <w:spacing w:after="0"/>
              <w:rPr>
                <w:sz w:val="21"/>
                <w:szCs w:val="21"/>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837</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b w:val="1"/>
                <w:bCs w:val="1"/>
                <w:color w:val="auto"/>
              </w:rPr>
              <w:t>8,496</w:t>
            </w:r>
          </w:p>
        </w:tc>
        <w:tc>
          <w:tcPr>
            <w:tcW w:w="220" w:type="dxa"/>
            <w:vAlign w:val="bottom"/>
          </w:tcPr>
          <w:p>
            <w:pPr>
              <w:spacing w:after="0"/>
              <w:rPr>
                <w:sz w:val="21"/>
                <w:szCs w:val="21"/>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1,485</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56"/>
        </w:trPr>
        <w:tc>
          <w:tcPr>
            <w:tcW w:w="5000" w:type="dxa"/>
            <w:vAlign w:val="bottom"/>
          </w:tcPr>
          <w:p>
            <w:pPr>
              <w:ind w:left="120"/>
              <w:spacing w:after="0"/>
              <w:rPr>
                <w:sz w:val="20"/>
                <w:szCs w:val="20"/>
                <w:color w:val="auto"/>
              </w:rPr>
            </w:pPr>
            <w:r>
              <w:rPr>
                <w:rFonts w:ascii="Arial" w:cs="Arial" w:eastAsia="Arial" w:hAnsi="Arial"/>
                <w:sz w:val="16"/>
                <w:szCs w:val="16"/>
                <w:color w:val="auto"/>
              </w:rPr>
              <w:t>Corporate office</w:t>
            </w: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176</w:t>
            </w: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242</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(27)</w:t>
            </w: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351</w:t>
            </w: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482</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(27)</w:t>
            </w:r>
          </w:p>
        </w:tc>
      </w:tr>
      <w:tr>
        <w:trPr>
          <w:trHeight w:val="237"/>
        </w:trPr>
        <w:tc>
          <w:tcPr>
            <w:tcW w:w="50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22,913</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13,884</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65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39,617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27,407</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45</w:t>
            </w:r>
          </w:p>
        </w:tc>
      </w:tr>
      <w:tr>
        <w:trPr>
          <w:trHeight w:val="157"/>
        </w:trPr>
        <w:tc>
          <w:tcPr>
            <w:tcW w:w="5000" w:type="dxa"/>
            <w:vAlign w:val="bottom"/>
          </w:tcPr>
          <w:p>
            <w:pPr>
              <w:ind w:left="20"/>
              <w:spacing w:after="0" w:line="158" w:lineRule="exact"/>
              <w:rPr>
                <w:sz w:val="20"/>
                <w:szCs w:val="20"/>
                <w:color w:val="auto"/>
              </w:rPr>
            </w:pPr>
            <w:r>
              <w:rPr>
                <w:rFonts w:ascii="Arial" w:cs="Arial" w:eastAsia="Arial" w:hAnsi="Arial"/>
                <w:sz w:val="16"/>
                <w:szCs w:val="16"/>
                <w:b w:val="1"/>
                <w:bCs w:val="1"/>
                <w:color w:val="auto"/>
              </w:rPr>
              <w:t>Amortization of Intangible Assets and Impairment of Goodwill</w:t>
            </w: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15"/>
        </w:trPr>
        <w:tc>
          <w:tcPr>
            <w:tcW w:w="5000" w:type="dxa"/>
            <w:vAlign w:val="bottom"/>
          </w:tcPr>
          <w:p>
            <w:pPr>
              <w:ind w:left="180"/>
              <w:spacing w:after="0"/>
              <w:rPr>
                <w:sz w:val="20"/>
                <w:szCs w:val="20"/>
                <w:color w:val="auto"/>
              </w:rPr>
            </w:pPr>
            <w:r>
              <w:rPr>
                <w:rFonts w:ascii="Arial" w:cs="Arial" w:eastAsia="Arial" w:hAnsi="Arial"/>
                <w:sz w:val="16"/>
                <w:szCs w:val="16"/>
                <w:b w:val="1"/>
                <w:bCs w:val="1"/>
                <w:color w:val="auto"/>
              </w:rPr>
              <w:t>and Other Long-Lived Assets</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43"/>
        </w:trPr>
        <w:tc>
          <w:tcPr>
            <w:tcW w:w="5000" w:type="dxa"/>
            <w:vAlign w:val="bottom"/>
          </w:tcPr>
          <w:p>
            <w:pPr>
              <w:ind w:left="120"/>
              <w:spacing w:after="0"/>
              <w:rPr>
                <w:sz w:val="20"/>
                <w:szCs w:val="20"/>
                <w:color w:val="auto"/>
              </w:rPr>
            </w:pPr>
            <w:r>
              <w:rPr>
                <w:rFonts w:ascii="Arial" w:cs="Arial" w:eastAsia="Arial" w:hAnsi="Arial"/>
                <w:sz w:val="16"/>
                <w:szCs w:val="16"/>
                <w:color w:val="auto"/>
              </w:rPr>
              <w:t>Education</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80"/>
              <w:spacing w:after="0"/>
              <w:rPr>
                <w:sz w:val="20"/>
                <w:szCs w:val="20"/>
                <w:color w:val="auto"/>
              </w:rPr>
            </w:pPr>
            <w:r>
              <w:rPr>
                <w:rFonts w:ascii="Arial" w:cs="Arial" w:eastAsia="Arial" w:hAnsi="Arial"/>
                <w:sz w:val="16"/>
                <w:szCs w:val="16"/>
                <w:b w:val="1"/>
                <w:bCs w:val="1"/>
                <w:color w:val="auto"/>
              </w:rPr>
              <w:t>14,291</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4,070</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b w:val="1"/>
                <w:bCs w:val="1"/>
                <w:color w:val="auto"/>
              </w:rPr>
              <w:t>18,492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7,637</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43"/>
        </w:trPr>
        <w:tc>
          <w:tcPr>
            <w:tcW w:w="5000" w:type="dxa"/>
            <w:vAlign w:val="bottom"/>
          </w:tcPr>
          <w:p>
            <w:pPr>
              <w:ind w:left="120"/>
              <w:spacing w:after="0"/>
              <w:rPr>
                <w:sz w:val="20"/>
                <w:szCs w:val="20"/>
                <w:color w:val="auto"/>
              </w:rPr>
            </w:pPr>
            <w:r>
              <w:rPr>
                <w:rFonts w:ascii="Arial" w:cs="Arial" w:eastAsia="Arial" w:hAnsi="Arial"/>
                <w:sz w:val="16"/>
                <w:szCs w:val="16"/>
                <w:color w:val="auto"/>
              </w:rPr>
              <w:t>Television broadcasting</w:t>
            </w:r>
          </w:p>
        </w:tc>
        <w:tc>
          <w:tcPr>
            <w:tcW w:w="180" w:type="dxa"/>
            <w:vAlign w:val="bottom"/>
          </w:tcPr>
          <w:p>
            <w:pPr>
              <w:spacing w:after="0"/>
              <w:rPr>
                <w:sz w:val="21"/>
                <w:szCs w:val="21"/>
                <w:color w:val="auto"/>
              </w:rPr>
            </w:pPr>
          </w:p>
        </w:tc>
        <w:tc>
          <w:tcPr>
            <w:tcW w:w="820" w:type="dxa"/>
            <w:vAlign w:val="bottom"/>
          </w:tcPr>
          <w:p>
            <w:pPr>
              <w:jc w:val="right"/>
              <w:ind w:right="80"/>
              <w:spacing w:after="0"/>
              <w:rPr>
                <w:sz w:val="20"/>
                <w:szCs w:val="20"/>
                <w:color w:val="auto"/>
              </w:rPr>
            </w:pPr>
            <w:r>
              <w:rPr>
                <w:rFonts w:ascii="Arial" w:cs="Arial" w:eastAsia="Arial" w:hAnsi="Arial"/>
                <w:sz w:val="16"/>
                <w:szCs w:val="16"/>
                <w:b w:val="1"/>
                <w:bCs w:val="1"/>
                <w:color w:val="auto"/>
              </w:rPr>
              <w:t>1,361</w:t>
            </w:r>
          </w:p>
        </w:tc>
        <w:tc>
          <w:tcPr>
            <w:tcW w:w="340" w:type="dxa"/>
            <w:vAlign w:val="bottom"/>
          </w:tcPr>
          <w:p>
            <w:pPr>
              <w:spacing w:after="0"/>
              <w:rPr>
                <w:sz w:val="21"/>
                <w:szCs w:val="21"/>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1,408</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21"/>
                <w:szCs w:val="21"/>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b w:val="1"/>
                <w:bCs w:val="1"/>
                <w:color w:val="auto"/>
              </w:rPr>
              <w:t>2,721</w:t>
            </w:r>
          </w:p>
        </w:tc>
        <w:tc>
          <w:tcPr>
            <w:tcW w:w="220" w:type="dxa"/>
            <w:vAlign w:val="bottom"/>
          </w:tcPr>
          <w:p>
            <w:pPr>
              <w:spacing w:after="0"/>
              <w:rPr>
                <w:sz w:val="21"/>
                <w:szCs w:val="21"/>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2,816</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243"/>
        </w:trPr>
        <w:tc>
          <w:tcPr>
            <w:tcW w:w="5000" w:type="dxa"/>
            <w:vAlign w:val="bottom"/>
          </w:tcPr>
          <w:p>
            <w:pPr>
              <w:ind w:left="120"/>
              <w:spacing w:after="0"/>
              <w:rPr>
                <w:sz w:val="20"/>
                <w:szCs w:val="20"/>
                <w:color w:val="auto"/>
              </w:rPr>
            </w:pPr>
            <w:r>
              <w:rPr>
                <w:rFonts w:ascii="Arial" w:cs="Arial" w:eastAsia="Arial" w:hAnsi="Arial"/>
                <w:sz w:val="16"/>
                <w:szCs w:val="16"/>
                <w:color w:val="auto"/>
              </w:rPr>
              <w:t>Manufacturing</w:t>
            </w:r>
          </w:p>
        </w:tc>
        <w:tc>
          <w:tcPr>
            <w:tcW w:w="180" w:type="dxa"/>
            <w:vAlign w:val="bottom"/>
          </w:tcPr>
          <w:p>
            <w:pPr>
              <w:spacing w:after="0"/>
              <w:rPr>
                <w:sz w:val="21"/>
                <w:szCs w:val="21"/>
                <w:color w:val="auto"/>
              </w:rPr>
            </w:pPr>
          </w:p>
        </w:tc>
        <w:tc>
          <w:tcPr>
            <w:tcW w:w="820" w:type="dxa"/>
            <w:vAlign w:val="bottom"/>
          </w:tcPr>
          <w:p>
            <w:pPr>
              <w:jc w:val="right"/>
              <w:ind w:right="80"/>
              <w:spacing w:after="0"/>
              <w:rPr>
                <w:sz w:val="20"/>
                <w:szCs w:val="20"/>
                <w:color w:val="auto"/>
              </w:rPr>
            </w:pPr>
            <w:r>
              <w:rPr>
                <w:rFonts w:ascii="Arial" w:cs="Arial" w:eastAsia="Arial" w:hAnsi="Arial"/>
                <w:sz w:val="16"/>
                <w:szCs w:val="16"/>
                <w:b w:val="1"/>
                <w:bCs w:val="1"/>
                <w:color w:val="auto"/>
              </w:rPr>
              <w:t>6,988</w:t>
            </w:r>
          </w:p>
        </w:tc>
        <w:tc>
          <w:tcPr>
            <w:tcW w:w="340" w:type="dxa"/>
            <w:vAlign w:val="bottom"/>
          </w:tcPr>
          <w:p>
            <w:pPr>
              <w:spacing w:after="0"/>
              <w:rPr>
                <w:sz w:val="21"/>
                <w:szCs w:val="21"/>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6,528</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7</w:t>
            </w:r>
          </w:p>
        </w:tc>
        <w:tc>
          <w:tcPr>
            <w:tcW w:w="140" w:type="dxa"/>
            <w:vAlign w:val="bottom"/>
          </w:tcPr>
          <w:p>
            <w:pPr>
              <w:spacing w:after="0"/>
              <w:rPr>
                <w:sz w:val="21"/>
                <w:szCs w:val="21"/>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b w:val="1"/>
                <w:bCs w:val="1"/>
                <w:color w:val="auto"/>
              </w:rPr>
              <w:t>14,125</w:t>
            </w:r>
          </w:p>
        </w:tc>
        <w:tc>
          <w:tcPr>
            <w:tcW w:w="220" w:type="dxa"/>
            <w:vAlign w:val="bottom"/>
          </w:tcPr>
          <w:p>
            <w:pPr>
              <w:spacing w:after="0"/>
              <w:rPr>
                <w:sz w:val="21"/>
                <w:szCs w:val="21"/>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13,058</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8</w:t>
            </w:r>
          </w:p>
        </w:tc>
      </w:tr>
      <w:tr>
        <w:trPr>
          <w:trHeight w:val="243"/>
        </w:trPr>
        <w:tc>
          <w:tcPr>
            <w:tcW w:w="5000" w:type="dxa"/>
            <w:vAlign w:val="bottom"/>
          </w:tcPr>
          <w:p>
            <w:pPr>
              <w:ind w:left="120"/>
              <w:spacing w:after="0"/>
              <w:rPr>
                <w:sz w:val="20"/>
                <w:szCs w:val="20"/>
                <w:color w:val="auto"/>
              </w:rPr>
            </w:pPr>
            <w:r>
              <w:rPr>
                <w:rFonts w:ascii="Arial" w:cs="Arial" w:eastAsia="Arial" w:hAnsi="Arial"/>
                <w:sz w:val="16"/>
                <w:szCs w:val="16"/>
                <w:color w:val="auto"/>
              </w:rPr>
              <w:t>Healthcare</w:t>
            </w:r>
          </w:p>
        </w:tc>
        <w:tc>
          <w:tcPr>
            <w:tcW w:w="180" w:type="dxa"/>
            <w:vAlign w:val="bottom"/>
          </w:tcPr>
          <w:p>
            <w:pPr>
              <w:spacing w:after="0"/>
              <w:rPr>
                <w:sz w:val="21"/>
                <w:szCs w:val="21"/>
                <w:color w:val="auto"/>
              </w:rPr>
            </w:pPr>
          </w:p>
        </w:tc>
        <w:tc>
          <w:tcPr>
            <w:tcW w:w="820" w:type="dxa"/>
            <w:vAlign w:val="bottom"/>
          </w:tcPr>
          <w:p>
            <w:pPr>
              <w:jc w:val="right"/>
              <w:ind w:right="80"/>
              <w:spacing w:after="0"/>
              <w:rPr>
                <w:sz w:val="20"/>
                <w:szCs w:val="20"/>
                <w:color w:val="auto"/>
              </w:rPr>
            </w:pPr>
            <w:r>
              <w:rPr>
                <w:rFonts w:ascii="Arial" w:cs="Arial" w:eastAsia="Arial" w:hAnsi="Arial"/>
                <w:sz w:val="16"/>
                <w:szCs w:val="16"/>
                <w:b w:val="1"/>
                <w:bCs w:val="1"/>
                <w:color w:val="auto"/>
              </w:rPr>
              <w:t>1,307</w:t>
            </w:r>
          </w:p>
        </w:tc>
        <w:tc>
          <w:tcPr>
            <w:tcW w:w="340" w:type="dxa"/>
            <w:vAlign w:val="bottom"/>
          </w:tcPr>
          <w:p>
            <w:pPr>
              <w:spacing w:after="0"/>
              <w:rPr>
                <w:sz w:val="21"/>
                <w:szCs w:val="21"/>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1,410</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(7)</w:t>
            </w:r>
          </w:p>
        </w:tc>
        <w:tc>
          <w:tcPr>
            <w:tcW w:w="140" w:type="dxa"/>
            <w:vAlign w:val="bottom"/>
          </w:tcPr>
          <w:p>
            <w:pPr>
              <w:spacing w:after="0"/>
              <w:rPr>
                <w:sz w:val="21"/>
                <w:szCs w:val="21"/>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b w:val="1"/>
                <w:bCs w:val="1"/>
                <w:color w:val="auto"/>
              </w:rPr>
              <w:t>2,617</w:t>
            </w:r>
          </w:p>
        </w:tc>
        <w:tc>
          <w:tcPr>
            <w:tcW w:w="220" w:type="dxa"/>
            <w:vAlign w:val="bottom"/>
          </w:tcPr>
          <w:p>
            <w:pPr>
              <w:spacing w:after="0"/>
              <w:rPr>
                <w:sz w:val="21"/>
                <w:szCs w:val="21"/>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2,808</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w:t>
            </w:r>
          </w:p>
        </w:tc>
      </w:tr>
      <w:tr>
        <w:trPr>
          <w:trHeight w:val="243"/>
        </w:trPr>
        <w:tc>
          <w:tcPr>
            <w:tcW w:w="5000" w:type="dxa"/>
            <w:vAlign w:val="bottom"/>
          </w:tcPr>
          <w:p>
            <w:pPr>
              <w:ind w:left="120"/>
              <w:spacing w:after="0"/>
              <w:rPr>
                <w:sz w:val="20"/>
                <w:szCs w:val="20"/>
                <w:color w:val="auto"/>
              </w:rPr>
            </w:pPr>
            <w:r>
              <w:rPr>
                <w:rFonts w:ascii="Arial" w:cs="Arial" w:eastAsia="Arial" w:hAnsi="Arial"/>
                <w:sz w:val="16"/>
                <w:szCs w:val="16"/>
                <w:color w:val="auto"/>
              </w:rPr>
              <w:t>SocialCode</w:t>
            </w:r>
          </w:p>
        </w:tc>
        <w:tc>
          <w:tcPr>
            <w:tcW w:w="180" w:type="dxa"/>
            <w:vAlign w:val="bottom"/>
          </w:tcPr>
          <w:p>
            <w:pPr>
              <w:spacing w:after="0"/>
              <w:rPr>
                <w:sz w:val="21"/>
                <w:szCs w:val="21"/>
                <w:color w:val="auto"/>
              </w:rPr>
            </w:pPr>
          </w:p>
        </w:tc>
        <w:tc>
          <w:tcPr>
            <w:tcW w:w="820" w:type="dxa"/>
            <w:vAlign w:val="bottom"/>
          </w:tcPr>
          <w:p>
            <w:pPr>
              <w:jc w:val="right"/>
              <w:ind w:right="80"/>
              <w:spacing w:after="0"/>
              <w:rPr>
                <w:sz w:val="20"/>
                <w:szCs w:val="20"/>
                <w:color w:val="auto"/>
              </w:rPr>
            </w:pPr>
            <w:r>
              <w:rPr>
                <w:rFonts w:ascii="Arial" w:cs="Arial" w:eastAsia="Arial" w:hAnsi="Arial"/>
                <w:sz w:val="16"/>
                <w:szCs w:val="16"/>
                <w:b w:val="1"/>
                <w:bCs w:val="1"/>
                <w:color w:val="auto"/>
              </w:rPr>
              <w:t>1,647</w:t>
            </w:r>
          </w:p>
        </w:tc>
        <w:tc>
          <w:tcPr>
            <w:tcW w:w="340" w:type="dxa"/>
            <w:vAlign w:val="bottom"/>
          </w:tcPr>
          <w:p>
            <w:pPr>
              <w:spacing w:after="0"/>
              <w:rPr>
                <w:sz w:val="21"/>
                <w:szCs w:val="21"/>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157</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21"/>
                <w:szCs w:val="21"/>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b w:val="1"/>
                <w:bCs w:val="1"/>
                <w:color w:val="auto"/>
              </w:rPr>
              <w:t>1,804</w:t>
            </w:r>
          </w:p>
        </w:tc>
        <w:tc>
          <w:tcPr>
            <w:tcW w:w="220" w:type="dxa"/>
            <w:vAlign w:val="bottom"/>
          </w:tcPr>
          <w:p>
            <w:pPr>
              <w:spacing w:after="0"/>
              <w:rPr>
                <w:sz w:val="21"/>
                <w:szCs w:val="21"/>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314</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43"/>
        </w:trPr>
        <w:tc>
          <w:tcPr>
            <w:tcW w:w="5000" w:type="dxa"/>
            <w:vAlign w:val="bottom"/>
          </w:tcPr>
          <w:p>
            <w:pPr>
              <w:ind w:left="120"/>
              <w:spacing w:after="0"/>
              <w:rPr>
                <w:sz w:val="20"/>
                <w:szCs w:val="20"/>
                <w:color w:val="auto"/>
              </w:rPr>
            </w:pPr>
            <w:r>
              <w:rPr>
                <w:rFonts w:ascii="Arial" w:cs="Arial" w:eastAsia="Arial" w:hAnsi="Arial"/>
                <w:sz w:val="16"/>
                <w:szCs w:val="16"/>
                <w:color w:val="auto"/>
              </w:rPr>
              <w:t>Other businesses</w:t>
            </w:r>
          </w:p>
        </w:tc>
        <w:tc>
          <w:tcPr>
            <w:tcW w:w="180" w:type="dxa"/>
            <w:vAlign w:val="bottom"/>
          </w:tcPr>
          <w:p>
            <w:pPr>
              <w:spacing w:after="0"/>
              <w:rPr>
                <w:sz w:val="21"/>
                <w:szCs w:val="21"/>
                <w:color w:val="auto"/>
              </w:rPr>
            </w:pPr>
          </w:p>
        </w:tc>
        <w:tc>
          <w:tcPr>
            <w:tcW w:w="820" w:type="dxa"/>
            <w:vAlign w:val="bottom"/>
          </w:tcPr>
          <w:p>
            <w:pPr>
              <w:jc w:val="right"/>
              <w:ind w:right="80"/>
              <w:spacing w:after="0"/>
              <w:rPr>
                <w:sz w:val="20"/>
                <w:szCs w:val="20"/>
                <w:color w:val="auto"/>
              </w:rPr>
            </w:pPr>
            <w:r>
              <w:rPr>
                <w:rFonts w:ascii="Arial" w:cs="Arial" w:eastAsia="Arial" w:hAnsi="Arial"/>
                <w:sz w:val="16"/>
                <w:szCs w:val="16"/>
                <w:b w:val="1"/>
                <w:bCs w:val="1"/>
                <w:color w:val="auto"/>
              </w:rPr>
              <w:t>244</w:t>
            </w:r>
          </w:p>
        </w:tc>
        <w:tc>
          <w:tcPr>
            <w:tcW w:w="340" w:type="dxa"/>
            <w:vAlign w:val="bottom"/>
          </w:tcPr>
          <w:p>
            <w:pPr>
              <w:spacing w:after="0"/>
              <w:rPr>
                <w:sz w:val="21"/>
                <w:szCs w:val="21"/>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b w:val="1"/>
                <w:bCs w:val="1"/>
                <w:color w:val="auto"/>
              </w:rPr>
              <w:t>16,645</w:t>
            </w:r>
          </w:p>
        </w:tc>
        <w:tc>
          <w:tcPr>
            <w:tcW w:w="220" w:type="dxa"/>
            <w:vAlign w:val="bottom"/>
          </w:tcPr>
          <w:p>
            <w:pPr>
              <w:spacing w:after="0"/>
              <w:rPr>
                <w:sz w:val="21"/>
                <w:szCs w:val="21"/>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56"/>
        </w:trPr>
        <w:tc>
          <w:tcPr>
            <w:tcW w:w="5000" w:type="dxa"/>
            <w:vAlign w:val="bottom"/>
          </w:tcPr>
          <w:p>
            <w:pPr>
              <w:ind w:left="120"/>
              <w:spacing w:after="0"/>
              <w:rPr>
                <w:sz w:val="20"/>
                <w:szCs w:val="20"/>
                <w:color w:val="auto"/>
              </w:rPr>
            </w:pPr>
            <w:r>
              <w:rPr>
                <w:rFonts w:ascii="Arial" w:cs="Arial" w:eastAsia="Arial" w:hAnsi="Arial"/>
                <w:sz w:val="16"/>
                <w:szCs w:val="16"/>
                <w:color w:val="auto"/>
              </w:rPr>
              <w:t>Corporate office</w:t>
            </w: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36"/>
        </w:trPr>
        <w:tc>
          <w:tcPr>
            <w:tcW w:w="50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25,838</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13,573</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90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56,404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26,633</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23"/>
        </w:trPr>
        <w:tc>
          <w:tcPr>
            <w:tcW w:w="5000" w:type="dxa"/>
            <w:vAlign w:val="bottom"/>
          </w:tcPr>
          <w:p>
            <w:pPr>
              <w:ind w:left="20"/>
              <w:spacing w:after="0"/>
              <w:rPr>
                <w:sz w:val="20"/>
                <w:szCs w:val="20"/>
                <w:color w:val="auto"/>
              </w:rPr>
            </w:pPr>
            <w:r>
              <w:rPr>
                <w:rFonts w:ascii="Arial" w:cs="Arial" w:eastAsia="Arial" w:hAnsi="Arial"/>
                <w:sz w:val="16"/>
                <w:szCs w:val="16"/>
                <w:b w:val="1"/>
                <w:bCs w:val="1"/>
                <w:color w:val="auto"/>
              </w:rPr>
              <w:t>Pension Expense</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43"/>
        </w:trPr>
        <w:tc>
          <w:tcPr>
            <w:tcW w:w="5000" w:type="dxa"/>
            <w:vAlign w:val="bottom"/>
          </w:tcPr>
          <w:p>
            <w:pPr>
              <w:ind w:left="120"/>
              <w:spacing w:after="0"/>
              <w:rPr>
                <w:sz w:val="20"/>
                <w:szCs w:val="20"/>
                <w:color w:val="auto"/>
              </w:rPr>
            </w:pPr>
            <w:r>
              <w:rPr>
                <w:rFonts w:ascii="Arial" w:cs="Arial" w:eastAsia="Arial" w:hAnsi="Arial"/>
                <w:sz w:val="16"/>
                <w:szCs w:val="16"/>
                <w:color w:val="auto"/>
              </w:rPr>
              <w:t>Education</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80"/>
              <w:spacing w:after="0"/>
              <w:rPr>
                <w:sz w:val="20"/>
                <w:szCs w:val="20"/>
                <w:color w:val="auto"/>
              </w:rPr>
            </w:pPr>
            <w:r>
              <w:rPr>
                <w:rFonts w:ascii="Arial" w:cs="Arial" w:eastAsia="Arial" w:hAnsi="Arial"/>
                <w:sz w:val="16"/>
                <w:szCs w:val="16"/>
                <w:b w:val="1"/>
                <w:bCs w:val="1"/>
                <w:color w:val="auto"/>
              </w:rPr>
              <w:t>2,592</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2,522</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3</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b w:val="1"/>
                <w:bCs w:val="1"/>
                <w:color w:val="auto"/>
              </w:rPr>
              <w:t>5,177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5,186</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43"/>
        </w:trPr>
        <w:tc>
          <w:tcPr>
            <w:tcW w:w="5000" w:type="dxa"/>
            <w:vAlign w:val="bottom"/>
          </w:tcPr>
          <w:p>
            <w:pPr>
              <w:ind w:left="120"/>
              <w:spacing w:after="0"/>
              <w:rPr>
                <w:sz w:val="20"/>
                <w:szCs w:val="20"/>
                <w:color w:val="auto"/>
              </w:rPr>
            </w:pPr>
            <w:r>
              <w:rPr>
                <w:rFonts w:ascii="Arial" w:cs="Arial" w:eastAsia="Arial" w:hAnsi="Arial"/>
                <w:sz w:val="16"/>
                <w:szCs w:val="16"/>
                <w:color w:val="auto"/>
              </w:rPr>
              <w:t>Television broadcasting</w:t>
            </w:r>
          </w:p>
        </w:tc>
        <w:tc>
          <w:tcPr>
            <w:tcW w:w="180" w:type="dxa"/>
            <w:vAlign w:val="bottom"/>
          </w:tcPr>
          <w:p>
            <w:pPr>
              <w:spacing w:after="0"/>
              <w:rPr>
                <w:sz w:val="21"/>
                <w:szCs w:val="21"/>
                <w:color w:val="auto"/>
              </w:rPr>
            </w:pPr>
          </w:p>
        </w:tc>
        <w:tc>
          <w:tcPr>
            <w:tcW w:w="820" w:type="dxa"/>
            <w:vAlign w:val="bottom"/>
          </w:tcPr>
          <w:p>
            <w:pPr>
              <w:jc w:val="right"/>
              <w:ind w:right="80"/>
              <w:spacing w:after="0"/>
              <w:rPr>
                <w:sz w:val="20"/>
                <w:szCs w:val="20"/>
                <w:color w:val="auto"/>
              </w:rPr>
            </w:pPr>
            <w:r>
              <w:rPr>
                <w:rFonts w:ascii="Arial" w:cs="Arial" w:eastAsia="Arial" w:hAnsi="Arial"/>
                <w:sz w:val="16"/>
                <w:szCs w:val="16"/>
                <w:b w:val="1"/>
                <w:bCs w:val="1"/>
                <w:color w:val="auto"/>
              </w:rPr>
              <w:t>836</w:t>
            </w:r>
          </w:p>
        </w:tc>
        <w:tc>
          <w:tcPr>
            <w:tcW w:w="340" w:type="dxa"/>
            <w:vAlign w:val="bottom"/>
          </w:tcPr>
          <w:p>
            <w:pPr>
              <w:spacing w:after="0"/>
              <w:rPr>
                <w:sz w:val="21"/>
                <w:szCs w:val="21"/>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780</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7</w:t>
            </w:r>
          </w:p>
        </w:tc>
        <w:tc>
          <w:tcPr>
            <w:tcW w:w="140" w:type="dxa"/>
            <w:vAlign w:val="bottom"/>
          </w:tcPr>
          <w:p>
            <w:pPr>
              <w:spacing w:after="0"/>
              <w:rPr>
                <w:sz w:val="21"/>
                <w:szCs w:val="21"/>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b w:val="1"/>
                <w:bCs w:val="1"/>
                <w:color w:val="auto"/>
              </w:rPr>
              <w:t>1,632</w:t>
            </w:r>
          </w:p>
        </w:tc>
        <w:tc>
          <w:tcPr>
            <w:tcW w:w="220" w:type="dxa"/>
            <w:vAlign w:val="bottom"/>
          </w:tcPr>
          <w:p>
            <w:pPr>
              <w:spacing w:after="0"/>
              <w:rPr>
                <w:sz w:val="21"/>
                <w:szCs w:val="21"/>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1,511</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8</w:t>
            </w:r>
          </w:p>
        </w:tc>
      </w:tr>
      <w:tr>
        <w:trPr>
          <w:trHeight w:val="243"/>
        </w:trPr>
        <w:tc>
          <w:tcPr>
            <w:tcW w:w="5000" w:type="dxa"/>
            <w:vAlign w:val="bottom"/>
          </w:tcPr>
          <w:p>
            <w:pPr>
              <w:ind w:left="120"/>
              <w:spacing w:after="0"/>
              <w:rPr>
                <w:sz w:val="20"/>
                <w:szCs w:val="20"/>
                <w:color w:val="auto"/>
              </w:rPr>
            </w:pPr>
            <w:r>
              <w:rPr>
                <w:rFonts w:ascii="Arial" w:cs="Arial" w:eastAsia="Arial" w:hAnsi="Arial"/>
                <w:sz w:val="16"/>
                <w:szCs w:val="16"/>
                <w:color w:val="auto"/>
              </w:rPr>
              <w:t>Manufacturing</w:t>
            </w:r>
          </w:p>
        </w:tc>
        <w:tc>
          <w:tcPr>
            <w:tcW w:w="180" w:type="dxa"/>
            <w:vAlign w:val="bottom"/>
          </w:tcPr>
          <w:p>
            <w:pPr>
              <w:spacing w:after="0"/>
              <w:rPr>
                <w:sz w:val="21"/>
                <w:szCs w:val="21"/>
                <w:color w:val="auto"/>
              </w:rPr>
            </w:pPr>
          </w:p>
        </w:tc>
        <w:tc>
          <w:tcPr>
            <w:tcW w:w="820" w:type="dxa"/>
            <w:vAlign w:val="bottom"/>
          </w:tcPr>
          <w:p>
            <w:pPr>
              <w:jc w:val="right"/>
              <w:ind w:right="80"/>
              <w:spacing w:after="0"/>
              <w:rPr>
                <w:sz w:val="20"/>
                <w:szCs w:val="20"/>
                <w:color w:val="auto"/>
              </w:rPr>
            </w:pPr>
            <w:r>
              <w:rPr>
                <w:rFonts w:ascii="Arial" w:cs="Arial" w:eastAsia="Arial" w:hAnsi="Arial"/>
                <w:sz w:val="16"/>
                <w:szCs w:val="16"/>
                <w:b w:val="1"/>
                <w:bCs w:val="1"/>
                <w:color w:val="auto"/>
              </w:rPr>
              <w:t>395</w:t>
            </w:r>
          </w:p>
        </w:tc>
        <w:tc>
          <w:tcPr>
            <w:tcW w:w="340" w:type="dxa"/>
            <w:vAlign w:val="bottom"/>
          </w:tcPr>
          <w:p>
            <w:pPr>
              <w:spacing w:after="0"/>
              <w:rPr>
                <w:sz w:val="21"/>
                <w:szCs w:val="21"/>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15</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b w:val="1"/>
                <w:bCs w:val="1"/>
                <w:color w:val="auto"/>
              </w:rPr>
              <w:t>789</w:t>
            </w:r>
          </w:p>
        </w:tc>
        <w:tc>
          <w:tcPr>
            <w:tcW w:w="220" w:type="dxa"/>
            <w:vAlign w:val="bottom"/>
          </w:tcPr>
          <w:p>
            <w:pPr>
              <w:spacing w:after="0"/>
              <w:rPr>
                <w:sz w:val="21"/>
                <w:szCs w:val="21"/>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40</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43"/>
        </w:trPr>
        <w:tc>
          <w:tcPr>
            <w:tcW w:w="5000" w:type="dxa"/>
            <w:vAlign w:val="bottom"/>
          </w:tcPr>
          <w:p>
            <w:pPr>
              <w:ind w:left="120"/>
              <w:spacing w:after="0"/>
              <w:rPr>
                <w:sz w:val="20"/>
                <w:szCs w:val="20"/>
                <w:color w:val="auto"/>
              </w:rPr>
            </w:pPr>
            <w:r>
              <w:rPr>
                <w:rFonts w:ascii="Arial" w:cs="Arial" w:eastAsia="Arial" w:hAnsi="Arial"/>
                <w:sz w:val="16"/>
                <w:szCs w:val="16"/>
                <w:color w:val="auto"/>
              </w:rPr>
              <w:t>Healthcare</w:t>
            </w:r>
          </w:p>
        </w:tc>
        <w:tc>
          <w:tcPr>
            <w:tcW w:w="180" w:type="dxa"/>
            <w:vAlign w:val="bottom"/>
          </w:tcPr>
          <w:p>
            <w:pPr>
              <w:spacing w:after="0"/>
              <w:rPr>
                <w:sz w:val="21"/>
                <w:szCs w:val="21"/>
                <w:color w:val="auto"/>
              </w:rPr>
            </w:pPr>
          </w:p>
        </w:tc>
        <w:tc>
          <w:tcPr>
            <w:tcW w:w="820" w:type="dxa"/>
            <w:vAlign w:val="bottom"/>
          </w:tcPr>
          <w:p>
            <w:pPr>
              <w:jc w:val="right"/>
              <w:ind w:right="80"/>
              <w:spacing w:after="0"/>
              <w:rPr>
                <w:sz w:val="20"/>
                <w:szCs w:val="20"/>
                <w:color w:val="auto"/>
              </w:rPr>
            </w:pPr>
            <w:r>
              <w:rPr>
                <w:rFonts w:ascii="Arial" w:cs="Arial" w:eastAsia="Arial" w:hAnsi="Arial"/>
                <w:sz w:val="16"/>
                <w:szCs w:val="16"/>
                <w:b w:val="1"/>
                <w:bCs w:val="1"/>
                <w:color w:val="auto"/>
              </w:rPr>
              <w:t>112</w:t>
            </w:r>
          </w:p>
        </w:tc>
        <w:tc>
          <w:tcPr>
            <w:tcW w:w="340" w:type="dxa"/>
            <w:vAlign w:val="bottom"/>
          </w:tcPr>
          <w:p>
            <w:pPr>
              <w:spacing w:after="0"/>
              <w:rPr>
                <w:sz w:val="21"/>
                <w:szCs w:val="21"/>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63</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78</w:t>
            </w:r>
          </w:p>
        </w:tc>
        <w:tc>
          <w:tcPr>
            <w:tcW w:w="140" w:type="dxa"/>
            <w:vAlign w:val="bottom"/>
          </w:tcPr>
          <w:p>
            <w:pPr>
              <w:spacing w:after="0"/>
              <w:rPr>
                <w:sz w:val="21"/>
                <w:szCs w:val="21"/>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b w:val="1"/>
                <w:bCs w:val="1"/>
                <w:color w:val="auto"/>
              </w:rPr>
              <w:t>271</w:t>
            </w:r>
          </w:p>
        </w:tc>
        <w:tc>
          <w:tcPr>
            <w:tcW w:w="220" w:type="dxa"/>
            <w:vAlign w:val="bottom"/>
          </w:tcPr>
          <w:p>
            <w:pPr>
              <w:spacing w:after="0"/>
              <w:rPr>
                <w:sz w:val="21"/>
                <w:szCs w:val="21"/>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246</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10</w:t>
            </w:r>
          </w:p>
        </w:tc>
      </w:tr>
      <w:tr>
        <w:trPr>
          <w:trHeight w:val="243"/>
        </w:trPr>
        <w:tc>
          <w:tcPr>
            <w:tcW w:w="5000" w:type="dxa"/>
            <w:vAlign w:val="bottom"/>
          </w:tcPr>
          <w:p>
            <w:pPr>
              <w:ind w:left="120"/>
              <w:spacing w:after="0"/>
              <w:rPr>
                <w:sz w:val="20"/>
                <w:szCs w:val="20"/>
                <w:color w:val="auto"/>
              </w:rPr>
            </w:pPr>
            <w:r>
              <w:rPr>
                <w:rFonts w:ascii="Arial" w:cs="Arial" w:eastAsia="Arial" w:hAnsi="Arial"/>
                <w:sz w:val="16"/>
                <w:szCs w:val="16"/>
                <w:color w:val="auto"/>
              </w:rPr>
              <w:t>SocialCode</w:t>
            </w:r>
          </w:p>
        </w:tc>
        <w:tc>
          <w:tcPr>
            <w:tcW w:w="180" w:type="dxa"/>
            <w:vAlign w:val="bottom"/>
          </w:tcPr>
          <w:p>
            <w:pPr>
              <w:spacing w:after="0"/>
              <w:rPr>
                <w:sz w:val="21"/>
                <w:szCs w:val="21"/>
                <w:color w:val="auto"/>
              </w:rPr>
            </w:pPr>
          </w:p>
        </w:tc>
        <w:tc>
          <w:tcPr>
            <w:tcW w:w="820" w:type="dxa"/>
            <w:vAlign w:val="bottom"/>
          </w:tcPr>
          <w:p>
            <w:pPr>
              <w:jc w:val="right"/>
              <w:ind w:right="80"/>
              <w:spacing w:after="0"/>
              <w:rPr>
                <w:sz w:val="20"/>
                <w:szCs w:val="20"/>
                <w:color w:val="auto"/>
              </w:rPr>
            </w:pPr>
            <w:r>
              <w:rPr>
                <w:rFonts w:ascii="Arial" w:cs="Arial" w:eastAsia="Arial" w:hAnsi="Arial"/>
                <w:sz w:val="16"/>
                <w:szCs w:val="16"/>
                <w:b w:val="1"/>
                <w:bCs w:val="1"/>
                <w:color w:val="auto"/>
              </w:rPr>
              <w:t>162</w:t>
            </w:r>
          </w:p>
        </w:tc>
        <w:tc>
          <w:tcPr>
            <w:tcW w:w="340" w:type="dxa"/>
            <w:vAlign w:val="bottom"/>
          </w:tcPr>
          <w:p>
            <w:pPr>
              <w:spacing w:after="0"/>
              <w:rPr>
                <w:sz w:val="21"/>
                <w:szCs w:val="21"/>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191</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(15)</w:t>
            </w:r>
          </w:p>
        </w:tc>
        <w:tc>
          <w:tcPr>
            <w:tcW w:w="140" w:type="dxa"/>
            <w:vAlign w:val="bottom"/>
          </w:tcPr>
          <w:p>
            <w:pPr>
              <w:spacing w:after="0"/>
              <w:rPr>
                <w:sz w:val="21"/>
                <w:szCs w:val="21"/>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b w:val="1"/>
                <w:bCs w:val="1"/>
                <w:color w:val="auto"/>
              </w:rPr>
              <w:t>399</w:t>
            </w:r>
          </w:p>
        </w:tc>
        <w:tc>
          <w:tcPr>
            <w:tcW w:w="220" w:type="dxa"/>
            <w:vAlign w:val="bottom"/>
          </w:tcPr>
          <w:p>
            <w:pPr>
              <w:spacing w:after="0"/>
              <w:rPr>
                <w:sz w:val="21"/>
                <w:szCs w:val="21"/>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439</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w:t>
            </w:r>
          </w:p>
        </w:tc>
      </w:tr>
      <w:tr>
        <w:trPr>
          <w:trHeight w:val="243"/>
        </w:trPr>
        <w:tc>
          <w:tcPr>
            <w:tcW w:w="5000" w:type="dxa"/>
            <w:vAlign w:val="bottom"/>
          </w:tcPr>
          <w:p>
            <w:pPr>
              <w:ind w:left="120"/>
              <w:spacing w:after="0"/>
              <w:rPr>
                <w:sz w:val="20"/>
                <w:szCs w:val="20"/>
                <w:color w:val="auto"/>
              </w:rPr>
            </w:pPr>
            <w:r>
              <w:rPr>
                <w:rFonts w:ascii="Arial" w:cs="Arial" w:eastAsia="Arial" w:hAnsi="Arial"/>
                <w:sz w:val="16"/>
                <w:szCs w:val="16"/>
                <w:color w:val="auto"/>
              </w:rPr>
              <w:t>Other businesses</w:t>
            </w:r>
          </w:p>
        </w:tc>
        <w:tc>
          <w:tcPr>
            <w:tcW w:w="180" w:type="dxa"/>
            <w:vAlign w:val="bottom"/>
          </w:tcPr>
          <w:p>
            <w:pPr>
              <w:spacing w:after="0"/>
              <w:rPr>
                <w:sz w:val="21"/>
                <w:szCs w:val="21"/>
                <w:color w:val="auto"/>
              </w:rPr>
            </w:pPr>
          </w:p>
        </w:tc>
        <w:tc>
          <w:tcPr>
            <w:tcW w:w="820" w:type="dxa"/>
            <w:vAlign w:val="bottom"/>
          </w:tcPr>
          <w:p>
            <w:pPr>
              <w:jc w:val="right"/>
              <w:ind w:right="80"/>
              <w:spacing w:after="0"/>
              <w:rPr>
                <w:sz w:val="20"/>
                <w:szCs w:val="20"/>
                <w:color w:val="auto"/>
              </w:rPr>
            </w:pPr>
            <w:r>
              <w:rPr>
                <w:rFonts w:ascii="Arial" w:cs="Arial" w:eastAsia="Arial" w:hAnsi="Arial"/>
                <w:sz w:val="16"/>
                <w:szCs w:val="16"/>
                <w:b w:val="1"/>
                <w:bCs w:val="1"/>
                <w:color w:val="auto"/>
              </w:rPr>
              <w:t>241</w:t>
            </w:r>
          </w:p>
        </w:tc>
        <w:tc>
          <w:tcPr>
            <w:tcW w:w="340" w:type="dxa"/>
            <w:vAlign w:val="bottom"/>
          </w:tcPr>
          <w:p>
            <w:pPr>
              <w:spacing w:after="0"/>
              <w:rPr>
                <w:sz w:val="21"/>
                <w:szCs w:val="21"/>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161</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50</w:t>
            </w:r>
          </w:p>
        </w:tc>
        <w:tc>
          <w:tcPr>
            <w:tcW w:w="140" w:type="dxa"/>
            <w:vAlign w:val="bottom"/>
          </w:tcPr>
          <w:p>
            <w:pPr>
              <w:spacing w:after="0"/>
              <w:rPr>
                <w:sz w:val="21"/>
                <w:szCs w:val="21"/>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b w:val="1"/>
                <w:bCs w:val="1"/>
                <w:color w:val="auto"/>
              </w:rPr>
              <w:t>467</w:t>
            </w:r>
          </w:p>
        </w:tc>
        <w:tc>
          <w:tcPr>
            <w:tcW w:w="220" w:type="dxa"/>
            <w:vAlign w:val="bottom"/>
          </w:tcPr>
          <w:p>
            <w:pPr>
              <w:spacing w:after="0"/>
              <w:rPr>
                <w:sz w:val="21"/>
                <w:szCs w:val="21"/>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362</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29</w:t>
            </w:r>
          </w:p>
        </w:tc>
      </w:tr>
      <w:tr>
        <w:trPr>
          <w:trHeight w:val="256"/>
        </w:trPr>
        <w:tc>
          <w:tcPr>
            <w:tcW w:w="5000" w:type="dxa"/>
            <w:vAlign w:val="bottom"/>
          </w:tcPr>
          <w:p>
            <w:pPr>
              <w:ind w:left="120"/>
              <w:spacing w:after="0"/>
              <w:rPr>
                <w:sz w:val="20"/>
                <w:szCs w:val="20"/>
                <w:color w:val="auto"/>
              </w:rPr>
            </w:pPr>
            <w:r>
              <w:rPr>
                <w:rFonts w:ascii="Arial" w:cs="Arial" w:eastAsia="Arial" w:hAnsi="Arial"/>
                <w:sz w:val="16"/>
                <w:szCs w:val="16"/>
                <w:color w:val="auto"/>
              </w:rPr>
              <w:t>Corporate office</w:t>
            </w: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1,466</w:t>
            </w: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1,231</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19</w:t>
            </w: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2,852</w:t>
            </w: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2,400</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19</w:t>
            </w:r>
          </w:p>
        </w:tc>
      </w:tr>
      <w:tr>
        <w:trPr>
          <w:trHeight w:val="236"/>
        </w:trPr>
        <w:tc>
          <w:tcPr>
            <w:tcW w:w="50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5,804</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4,963</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17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11,587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10,184</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14</w:t>
            </w:r>
          </w:p>
        </w:tc>
      </w:tr>
    </w:tbl>
    <w:p>
      <w:pPr>
        <w:spacing w:after="0" w:line="148" w:lineRule="exact"/>
        <w:rPr>
          <w:sz w:val="20"/>
          <w:szCs w:val="20"/>
          <w:color w:val="auto"/>
        </w:rPr>
      </w:pPr>
    </w:p>
    <w:p>
      <w:pPr>
        <w:sectPr>
          <w:pgSz w:w="11900" w:h="17005" w:orient="portrait"/>
          <w:cols w:equalWidth="0" w:num="1">
            <w:col w:w="11240"/>
          </w:cols>
          <w:pgMar w:left="320" w:top="1124" w:right="339" w:bottom="0" w:gutter="0" w:footer="0" w:header="0"/>
        </w:sectPr>
      </w:pPr>
    </w:p>
    <w:p>
      <w:pPr>
        <w:jc w:val="center"/>
        <w:spacing w:after="0"/>
        <w:rPr>
          <w:sz w:val="20"/>
          <w:szCs w:val="20"/>
          <w:color w:val="auto"/>
        </w:rPr>
      </w:pPr>
      <w:r>
        <w:rPr>
          <w:rFonts w:ascii="Arial" w:cs="Arial" w:eastAsia="Arial" w:hAnsi="Arial"/>
          <w:sz w:val="17"/>
          <w:szCs w:val="17"/>
          <w:color w:val="auto"/>
        </w:rPr>
        <w:t>more</w:t>
      </w:r>
    </w:p>
    <w:p>
      <w:pPr>
        <w:sectPr>
          <w:pgSz w:w="11900" w:h="17005" w:orient="portrait"/>
          <w:cols w:equalWidth="0" w:num="1">
            <w:col w:w="11240"/>
          </w:cols>
          <w:pgMar w:left="320" w:top="1124" w:right="339" w:bottom="0" w:gutter="0" w:footer="0" w:header="0"/>
          <w:type w:val="continuous"/>
        </w:sectPr>
      </w:pPr>
    </w:p>
    <w:bookmarkStart w:id="16" w:name="page17"/>
    <w:bookmarkEnd w:id="16"/>
    <w:p>
      <w:pPr>
        <w:jc w:val="center"/>
        <w:ind w:right="19"/>
        <w:spacing w:after="0"/>
        <w:rPr>
          <w:sz w:val="20"/>
          <w:szCs w:val="20"/>
          <w:color w:val="auto"/>
        </w:rPr>
      </w:pPr>
      <w:r>
        <w:rPr>
          <w:rFonts w:ascii="Arial" w:cs="Arial" w:eastAsia="Arial" w:hAnsi="Arial"/>
          <w:sz w:val="17"/>
          <w:szCs w:val="17"/>
          <w:color w:val="auto"/>
        </w:rPr>
        <w:t>-more-</w:t>
      </w:r>
    </w:p>
    <w:p>
      <w:pPr>
        <w:sectPr>
          <w:pgSz w:w="11900" w:h="16838" w:orient="portrait"/>
          <w:cols w:equalWidth="0" w:num="1">
            <w:col w:w="9019"/>
          </w:cols>
          <w:pgMar w:left="1440" w:top="32" w:right="1440" w:bottom="1440" w:gutter="0" w:footer="0" w:header="0"/>
        </w:sectPr>
      </w:pP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9019"/>
          </w:cols>
          <w:pgMar w:left="1440" w:top="32" w:right="1440" w:bottom="144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EDUCATION DIVISION INFORMATION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00" w:type="dxa"/>
            <w:vAlign w:val="bottom"/>
            <w:gridSpan w:val="3"/>
          </w:tcPr>
          <w:p>
            <w:pPr>
              <w:jc w:val="right"/>
              <w:ind w:right="239"/>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20" w:type="dxa"/>
            <w:vAlign w:val="bottom"/>
            <w:gridSpan w:val="3"/>
          </w:tcPr>
          <w:p>
            <w:pPr>
              <w:jc w:val="right"/>
              <w:ind w:right="479"/>
              <w:spacing w:after="0"/>
              <w:rPr>
                <w:sz w:val="20"/>
                <w:szCs w:val="20"/>
                <w:color w:val="auto"/>
              </w:rPr>
            </w:pPr>
            <w:r>
              <w:rPr>
                <w:rFonts w:ascii="Arial" w:cs="Arial" w:eastAsia="Arial" w:hAnsi="Arial"/>
                <w:sz w:val="14"/>
                <w:szCs w:val="14"/>
                <w:b w:val="1"/>
                <w:bCs w:val="1"/>
                <w:color w:val="auto"/>
              </w:rPr>
              <w:t>Six Months Ended</w:t>
            </w:r>
          </w:p>
        </w:tc>
        <w:tc>
          <w:tcPr>
            <w:tcW w:w="860" w:type="dxa"/>
            <w:vAlign w:val="bottom"/>
          </w:tcPr>
          <w:p>
            <w:pPr>
              <w:spacing w:after="0"/>
              <w:rPr>
                <w:sz w:val="16"/>
                <w:szCs w:val="16"/>
                <w:color w:val="auto"/>
              </w:rPr>
            </w:pPr>
          </w:p>
        </w:tc>
      </w:tr>
      <w:tr>
        <w:trPr>
          <w:trHeight w:val="222"/>
        </w:trPr>
        <w:tc>
          <w:tcPr>
            <w:tcW w:w="49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9"/>
                <w:szCs w:val="19"/>
                <w:color w:val="auto"/>
              </w:rPr>
            </w:pPr>
          </w:p>
        </w:tc>
        <w:tc>
          <w:tcPr>
            <w:tcW w:w="980" w:type="dxa"/>
            <w:vAlign w:val="bottom"/>
          </w:tcPr>
          <w:p>
            <w:pPr>
              <w:jc w:val="right"/>
              <w:ind w:right="339"/>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9"/>
                <w:szCs w:val="19"/>
                <w:color w:val="auto"/>
              </w:rPr>
            </w:pPr>
          </w:p>
        </w:tc>
        <w:tc>
          <w:tcPr>
            <w:tcW w:w="860" w:type="dxa"/>
            <w:vAlign w:val="bottom"/>
          </w:tcPr>
          <w:p>
            <w:pPr>
              <w:jc w:val="right"/>
              <w:ind w:right="239"/>
              <w:spacing w:after="0"/>
              <w:rPr>
                <w:sz w:val="20"/>
                <w:szCs w:val="20"/>
                <w:color w:val="auto"/>
              </w:rPr>
            </w:pPr>
            <w:r>
              <w:rPr>
                <w:rFonts w:ascii="Arial" w:cs="Arial" w:eastAsia="Arial" w:hAnsi="Arial"/>
                <w:sz w:val="14"/>
                <w:szCs w:val="14"/>
                <w:color w:val="auto"/>
              </w:rPr>
              <w:t>%</w:t>
            </w:r>
          </w:p>
        </w:tc>
      </w:tr>
      <w:tr>
        <w:trPr>
          <w:trHeight w:val="209"/>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color w:val="auto"/>
              </w:rPr>
              <w:t>2019</w:t>
            </w:r>
          </w:p>
        </w:tc>
        <w:tc>
          <w:tcPr>
            <w:tcW w:w="98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color w:val="auto"/>
              </w:rPr>
              <w:t>Change</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color w:val="auto"/>
              </w:rPr>
              <w:t>2019</w:t>
            </w: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color w:val="auto"/>
              </w:rPr>
              <w:t>Change</w:t>
            </w:r>
          </w:p>
        </w:tc>
      </w:tr>
      <w:tr>
        <w:trPr>
          <w:trHeight w:val="223"/>
        </w:trPr>
        <w:tc>
          <w:tcPr>
            <w:tcW w:w="494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43"/>
        </w:trPr>
        <w:tc>
          <w:tcPr>
            <w:tcW w:w="494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ind w:right="80"/>
              <w:spacing w:after="0"/>
              <w:rPr>
                <w:sz w:val="20"/>
                <w:szCs w:val="20"/>
                <w:color w:val="auto"/>
              </w:rPr>
            </w:pPr>
            <w:r>
              <w:rPr>
                <w:rFonts w:ascii="Arial" w:cs="Arial" w:eastAsia="Arial" w:hAnsi="Arial"/>
                <w:sz w:val="16"/>
                <w:szCs w:val="16"/>
                <w:b w:val="1"/>
                <w:bCs w:val="1"/>
                <w:color w:val="auto"/>
              </w:rPr>
              <w:t>164,713</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188,580</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(13)</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80"/>
              <w:spacing w:after="0"/>
              <w:rPr>
                <w:sz w:val="20"/>
                <w:szCs w:val="20"/>
                <w:color w:val="auto"/>
              </w:rPr>
            </w:pPr>
            <w:r>
              <w:rPr>
                <w:rFonts w:ascii="Arial" w:cs="Arial" w:eastAsia="Arial" w:hAnsi="Arial"/>
                <w:sz w:val="16"/>
                <w:szCs w:val="16"/>
                <w:b w:val="1"/>
                <w:bCs w:val="1"/>
                <w:color w:val="auto"/>
              </w:rPr>
              <w:t>364,328</w:t>
            </w:r>
          </w:p>
        </w:tc>
        <w:tc>
          <w:tcPr>
            <w:tcW w:w="4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374,336</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243"/>
        </w:trPr>
        <w:tc>
          <w:tcPr>
            <w:tcW w:w="494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180" w:type="dxa"/>
            <w:vAlign w:val="bottom"/>
          </w:tcPr>
          <w:p>
            <w:pPr>
              <w:spacing w:after="0"/>
              <w:rPr>
                <w:sz w:val="21"/>
                <w:szCs w:val="21"/>
                <w:color w:val="auto"/>
              </w:rPr>
            </w:pPr>
          </w:p>
        </w:tc>
        <w:tc>
          <w:tcPr>
            <w:tcW w:w="820" w:type="dxa"/>
            <w:vAlign w:val="bottom"/>
          </w:tcPr>
          <w:p>
            <w:pPr>
              <w:jc w:val="right"/>
              <w:ind w:right="80"/>
              <w:spacing w:after="0"/>
              <w:rPr>
                <w:sz w:val="20"/>
                <w:szCs w:val="20"/>
                <w:color w:val="auto"/>
              </w:rPr>
            </w:pPr>
            <w:r>
              <w:rPr>
                <w:rFonts w:ascii="Arial" w:cs="Arial" w:eastAsia="Arial" w:hAnsi="Arial"/>
                <w:sz w:val="16"/>
                <w:szCs w:val="16"/>
                <w:b w:val="1"/>
                <w:bCs w:val="1"/>
                <w:color w:val="auto"/>
              </w:rPr>
              <w:t>86,453</w:t>
            </w:r>
          </w:p>
        </w:tc>
        <w:tc>
          <w:tcPr>
            <w:tcW w:w="320" w:type="dxa"/>
            <w:vAlign w:val="bottom"/>
          </w:tcPr>
          <w:p>
            <w:pPr>
              <w:spacing w:after="0"/>
              <w:rPr>
                <w:sz w:val="21"/>
                <w:szCs w:val="21"/>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76,288</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13</w:t>
            </w:r>
          </w:p>
        </w:tc>
        <w:tc>
          <w:tcPr>
            <w:tcW w:w="260" w:type="dxa"/>
            <w:vAlign w:val="bottom"/>
          </w:tcPr>
          <w:p>
            <w:pPr>
              <w:spacing w:after="0"/>
              <w:rPr>
                <w:sz w:val="21"/>
                <w:szCs w:val="21"/>
                <w:color w:val="auto"/>
              </w:rPr>
            </w:pPr>
          </w:p>
        </w:tc>
        <w:tc>
          <w:tcPr>
            <w:tcW w:w="880" w:type="dxa"/>
            <w:vAlign w:val="bottom"/>
          </w:tcPr>
          <w:p>
            <w:pPr>
              <w:jc w:val="right"/>
              <w:ind w:right="80"/>
              <w:spacing w:after="0"/>
              <w:rPr>
                <w:sz w:val="20"/>
                <w:szCs w:val="20"/>
                <w:color w:val="auto"/>
              </w:rPr>
            </w:pPr>
            <w:r>
              <w:rPr>
                <w:rFonts w:ascii="Arial" w:cs="Arial" w:eastAsia="Arial" w:hAnsi="Arial"/>
                <w:sz w:val="16"/>
                <w:szCs w:val="16"/>
                <w:b w:val="1"/>
                <w:bCs w:val="1"/>
                <w:color w:val="auto"/>
              </w:rPr>
              <w:t>159,990</w:t>
            </w:r>
          </w:p>
        </w:tc>
        <w:tc>
          <w:tcPr>
            <w:tcW w:w="400" w:type="dxa"/>
            <w:vAlign w:val="bottom"/>
          </w:tcPr>
          <w:p>
            <w:pPr>
              <w:spacing w:after="0"/>
              <w:rPr>
                <w:sz w:val="21"/>
                <w:szCs w:val="21"/>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159,068</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w:t>
            </w:r>
          </w:p>
        </w:tc>
      </w:tr>
      <w:tr>
        <w:trPr>
          <w:trHeight w:val="243"/>
        </w:trPr>
        <w:tc>
          <w:tcPr>
            <w:tcW w:w="4940" w:type="dxa"/>
            <w:vAlign w:val="bottom"/>
          </w:tcPr>
          <w:p>
            <w:pPr>
              <w:ind w:left="220"/>
              <w:spacing w:after="0"/>
              <w:rPr>
                <w:sz w:val="20"/>
                <w:szCs w:val="20"/>
                <w:color w:val="auto"/>
              </w:rPr>
            </w:pPr>
            <w:r>
              <w:rPr>
                <w:rFonts w:ascii="Arial" w:cs="Arial" w:eastAsia="Arial" w:hAnsi="Arial"/>
                <w:sz w:val="16"/>
                <w:szCs w:val="16"/>
                <w:color w:val="auto"/>
              </w:rPr>
              <w:t>Test preparation</w:t>
            </w:r>
          </w:p>
        </w:tc>
        <w:tc>
          <w:tcPr>
            <w:tcW w:w="180" w:type="dxa"/>
            <w:vAlign w:val="bottom"/>
          </w:tcPr>
          <w:p>
            <w:pPr>
              <w:spacing w:after="0"/>
              <w:rPr>
                <w:sz w:val="21"/>
                <w:szCs w:val="21"/>
                <w:color w:val="auto"/>
              </w:rPr>
            </w:pPr>
          </w:p>
        </w:tc>
        <w:tc>
          <w:tcPr>
            <w:tcW w:w="820" w:type="dxa"/>
            <w:vAlign w:val="bottom"/>
          </w:tcPr>
          <w:p>
            <w:pPr>
              <w:jc w:val="right"/>
              <w:ind w:right="80"/>
              <w:spacing w:after="0"/>
              <w:rPr>
                <w:sz w:val="20"/>
                <w:szCs w:val="20"/>
                <w:color w:val="auto"/>
              </w:rPr>
            </w:pPr>
            <w:r>
              <w:rPr>
                <w:rFonts w:ascii="Arial" w:cs="Arial" w:eastAsia="Arial" w:hAnsi="Arial"/>
                <w:sz w:val="16"/>
                <w:szCs w:val="16"/>
                <w:b w:val="1"/>
                <w:bCs w:val="1"/>
                <w:color w:val="auto"/>
              </w:rPr>
              <w:t>51,111</w:t>
            </w:r>
          </w:p>
        </w:tc>
        <w:tc>
          <w:tcPr>
            <w:tcW w:w="320" w:type="dxa"/>
            <w:vAlign w:val="bottom"/>
          </w:tcPr>
          <w:p>
            <w:pPr>
              <w:spacing w:after="0"/>
              <w:rPr>
                <w:sz w:val="21"/>
                <w:szCs w:val="21"/>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65,673</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(22)</w:t>
            </w:r>
          </w:p>
        </w:tc>
        <w:tc>
          <w:tcPr>
            <w:tcW w:w="260" w:type="dxa"/>
            <w:vAlign w:val="bottom"/>
          </w:tcPr>
          <w:p>
            <w:pPr>
              <w:spacing w:after="0"/>
              <w:rPr>
                <w:sz w:val="21"/>
                <w:szCs w:val="21"/>
                <w:color w:val="auto"/>
              </w:rPr>
            </w:pPr>
          </w:p>
        </w:tc>
        <w:tc>
          <w:tcPr>
            <w:tcW w:w="880" w:type="dxa"/>
            <w:vAlign w:val="bottom"/>
          </w:tcPr>
          <w:p>
            <w:pPr>
              <w:jc w:val="right"/>
              <w:ind w:right="80"/>
              <w:spacing w:after="0"/>
              <w:rPr>
                <w:sz w:val="20"/>
                <w:szCs w:val="20"/>
                <w:color w:val="auto"/>
              </w:rPr>
            </w:pPr>
            <w:r>
              <w:rPr>
                <w:rFonts w:ascii="Arial" w:cs="Arial" w:eastAsia="Arial" w:hAnsi="Arial"/>
                <w:sz w:val="16"/>
                <w:szCs w:val="16"/>
                <w:b w:val="1"/>
                <w:bCs w:val="1"/>
                <w:color w:val="auto"/>
              </w:rPr>
              <w:t>93,950</w:t>
            </w:r>
          </w:p>
        </w:tc>
        <w:tc>
          <w:tcPr>
            <w:tcW w:w="400" w:type="dxa"/>
            <w:vAlign w:val="bottom"/>
          </w:tcPr>
          <w:p>
            <w:pPr>
              <w:spacing w:after="0"/>
              <w:rPr>
                <w:sz w:val="21"/>
                <w:szCs w:val="21"/>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126,823</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(26)</w:t>
            </w:r>
          </w:p>
        </w:tc>
      </w:tr>
      <w:tr>
        <w:trPr>
          <w:trHeight w:val="243"/>
        </w:trPr>
        <w:tc>
          <w:tcPr>
            <w:tcW w:w="4940" w:type="dxa"/>
            <w:vAlign w:val="bottom"/>
          </w:tcPr>
          <w:p>
            <w:pPr>
              <w:ind w:left="220"/>
              <w:spacing w:after="0"/>
              <w:rPr>
                <w:sz w:val="20"/>
                <w:szCs w:val="20"/>
                <w:color w:val="auto"/>
              </w:rPr>
            </w:pPr>
            <w:r>
              <w:rPr>
                <w:rFonts w:ascii="Arial" w:cs="Arial" w:eastAsia="Arial" w:hAnsi="Arial"/>
                <w:sz w:val="16"/>
                <w:szCs w:val="16"/>
                <w:color w:val="auto"/>
              </w:rPr>
              <w:t>Professional (U.S.)</w:t>
            </w:r>
          </w:p>
        </w:tc>
        <w:tc>
          <w:tcPr>
            <w:tcW w:w="180" w:type="dxa"/>
            <w:vAlign w:val="bottom"/>
          </w:tcPr>
          <w:p>
            <w:pPr>
              <w:spacing w:after="0"/>
              <w:rPr>
                <w:sz w:val="21"/>
                <w:szCs w:val="21"/>
                <w:color w:val="auto"/>
              </w:rPr>
            </w:pPr>
          </w:p>
        </w:tc>
        <w:tc>
          <w:tcPr>
            <w:tcW w:w="820" w:type="dxa"/>
            <w:vAlign w:val="bottom"/>
          </w:tcPr>
          <w:p>
            <w:pPr>
              <w:jc w:val="right"/>
              <w:ind w:right="80"/>
              <w:spacing w:after="0"/>
              <w:rPr>
                <w:sz w:val="20"/>
                <w:szCs w:val="20"/>
                <w:color w:val="auto"/>
              </w:rPr>
            </w:pPr>
            <w:r>
              <w:rPr>
                <w:rFonts w:ascii="Arial" w:cs="Arial" w:eastAsia="Arial" w:hAnsi="Arial"/>
                <w:sz w:val="16"/>
                <w:szCs w:val="16"/>
                <w:b w:val="1"/>
                <w:bCs w:val="1"/>
                <w:color w:val="auto"/>
              </w:rPr>
              <w:t>28,674</w:t>
            </w:r>
          </w:p>
        </w:tc>
        <w:tc>
          <w:tcPr>
            <w:tcW w:w="320" w:type="dxa"/>
            <w:vAlign w:val="bottom"/>
          </w:tcPr>
          <w:p>
            <w:pPr>
              <w:spacing w:after="0"/>
              <w:rPr>
                <w:sz w:val="21"/>
                <w:szCs w:val="21"/>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35,147</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(18)</w:t>
            </w:r>
          </w:p>
        </w:tc>
        <w:tc>
          <w:tcPr>
            <w:tcW w:w="260" w:type="dxa"/>
            <w:vAlign w:val="bottom"/>
          </w:tcPr>
          <w:p>
            <w:pPr>
              <w:spacing w:after="0"/>
              <w:rPr>
                <w:sz w:val="21"/>
                <w:szCs w:val="21"/>
                <w:color w:val="auto"/>
              </w:rPr>
            </w:pPr>
          </w:p>
        </w:tc>
        <w:tc>
          <w:tcPr>
            <w:tcW w:w="880" w:type="dxa"/>
            <w:vAlign w:val="bottom"/>
          </w:tcPr>
          <w:p>
            <w:pPr>
              <w:jc w:val="right"/>
              <w:ind w:right="80"/>
              <w:spacing w:after="0"/>
              <w:rPr>
                <w:sz w:val="20"/>
                <w:szCs w:val="20"/>
                <w:color w:val="auto"/>
              </w:rPr>
            </w:pPr>
            <w:r>
              <w:rPr>
                <w:rFonts w:ascii="Arial" w:cs="Arial" w:eastAsia="Arial" w:hAnsi="Arial"/>
                <w:sz w:val="16"/>
                <w:szCs w:val="16"/>
                <w:b w:val="1"/>
                <w:bCs w:val="1"/>
                <w:color w:val="auto"/>
              </w:rPr>
              <w:t>67,123</w:t>
            </w:r>
          </w:p>
        </w:tc>
        <w:tc>
          <w:tcPr>
            <w:tcW w:w="400" w:type="dxa"/>
            <w:vAlign w:val="bottom"/>
          </w:tcPr>
          <w:p>
            <w:pPr>
              <w:spacing w:after="0"/>
              <w:rPr>
                <w:sz w:val="21"/>
                <w:szCs w:val="21"/>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76,361</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(12)</w:t>
            </w:r>
          </w:p>
        </w:tc>
      </w:tr>
      <w:tr>
        <w:trPr>
          <w:trHeight w:val="243"/>
        </w:trPr>
        <w:tc>
          <w:tcPr>
            <w:tcW w:w="494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180" w:type="dxa"/>
            <w:vAlign w:val="bottom"/>
          </w:tcPr>
          <w:p>
            <w:pPr>
              <w:spacing w:after="0"/>
              <w:rPr>
                <w:sz w:val="21"/>
                <w:szCs w:val="21"/>
                <w:color w:val="auto"/>
              </w:rPr>
            </w:pPr>
          </w:p>
        </w:tc>
        <w:tc>
          <w:tcPr>
            <w:tcW w:w="820" w:type="dxa"/>
            <w:vAlign w:val="bottom"/>
          </w:tcPr>
          <w:p>
            <w:pPr>
              <w:jc w:val="right"/>
              <w:ind w:right="80"/>
              <w:spacing w:after="0"/>
              <w:rPr>
                <w:sz w:val="20"/>
                <w:szCs w:val="20"/>
                <w:color w:val="auto"/>
              </w:rPr>
            </w:pPr>
            <w:r>
              <w:rPr>
                <w:rFonts w:ascii="Arial" w:cs="Arial" w:eastAsia="Arial" w:hAnsi="Arial"/>
                <w:sz w:val="16"/>
                <w:szCs w:val="16"/>
                <w:b w:val="1"/>
                <w:bCs w:val="1"/>
                <w:color w:val="auto"/>
              </w:rPr>
              <w:t>3,039</w:t>
            </w:r>
          </w:p>
        </w:tc>
        <w:tc>
          <w:tcPr>
            <w:tcW w:w="320" w:type="dxa"/>
            <w:vAlign w:val="bottom"/>
          </w:tcPr>
          <w:p>
            <w:pPr>
              <w:spacing w:after="0"/>
              <w:rPr>
                <w:sz w:val="21"/>
                <w:szCs w:val="21"/>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2,369</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28</w:t>
            </w:r>
          </w:p>
        </w:tc>
        <w:tc>
          <w:tcPr>
            <w:tcW w:w="260" w:type="dxa"/>
            <w:vAlign w:val="bottom"/>
          </w:tcPr>
          <w:p>
            <w:pPr>
              <w:spacing w:after="0"/>
              <w:rPr>
                <w:sz w:val="21"/>
                <w:szCs w:val="21"/>
                <w:color w:val="auto"/>
              </w:rPr>
            </w:pPr>
          </w:p>
        </w:tc>
        <w:tc>
          <w:tcPr>
            <w:tcW w:w="880" w:type="dxa"/>
            <w:vAlign w:val="bottom"/>
          </w:tcPr>
          <w:p>
            <w:pPr>
              <w:jc w:val="right"/>
              <w:ind w:right="80"/>
              <w:spacing w:after="0"/>
              <w:rPr>
                <w:sz w:val="20"/>
                <w:szCs w:val="20"/>
                <w:color w:val="auto"/>
              </w:rPr>
            </w:pPr>
            <w:r>
              <w:rPr>
                <w:rFonts w:ascii="Arial" w:cs="Arial" w:eastAsia="Arial" w:hAnsi="Arial"/>
                <w:sz w:val="16"/>
                <w:szCs w:val="16"/>
                <w:b w:val="1"/>
                <w:bCs w:val="1"/>
                <w:color w:val="auto"/>
              </w:rPr>
              <w:t>6,244</w:t>
            </w:r>
          </w:p>
        </w:tc>
        <w:tc>
          <w:tcPr>
            <w:tcW w:w="400" w:type="dxa"/>
            <w:vAlign w:val="bottom"/>
          </w:tcPr>
          <w:p>
            <w:pPr>
              <w:spacing w:after="0"/>
              <w:rPr>
                <w:sz w:val="21"/>
                <w:szCs w:val="21"/>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4,671</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34</w:t>
            </w:r>
          </w:p>
        </w:tc>
      </w:tr>
      <w:tr>
        <w:trPr>
          <w:trHeight w:val="256"/>
        </w:trPr>
        <w:tc>
          <w:tcPr>
            <w:tcW w:w="494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(815)</w:t>
            </w:r>
          </w:p>
        </w:tc>
        <w:tc>
          <w:tcPr>
            <w:tcW w:w="3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(294)</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(2,082)</w:t>
            </w:r>
          </w:p>
        </w:tc>
        <w:tc>
          <w:tcPr>
            <w:tcW w:w="4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(1,042)</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36"/>
        </w:trPr>
        <w:tc>
          <w:tcPr>
            <w:tcW w:w="494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333,175</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367,763</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(9)</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689,553</w:t>
            </w:r>
          </w:p>
        </w:tc>
        <w:tc>
          <w:tcPr>
            <w:tcW w:w="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740,217</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w:t>
            </w:r>
          </w:p>
        </w:tc>
      </w:tr>
      <w:tr>
        <w:trPr>
          <w:trHeight w:val="224"/>
        </w:trPr>
        <w:tc>
          <w:tcPr>
            <w:tcW w:w="494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43"/>
        </w:trPr>
        <w:tc>
          <w:tcPr>
            <w:tcW w:w="494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ind w:right="80"/>
              <w:spacing w:after="0"/>
              <w:rPr>
                <w:sz w:val="20"/>
                <w:szCs w:val="20"/>
                <w:color w:val="auto"/>
              </w:rPr>
            </w:pPr>
            <w:r>
              <w:rPr>
                <w:rFonts w:ascii="Arial" w:cs="Arial" w:eastAsia="Arial" w:hAnsi="Arial"/>
                <w:sz w:val="16"/>
                <w:szCs w:val="16"/>
                <w:b w:val="1"/>
                <w:bCs w:val="1"/>
                <w:color w:val="auto"/>
              </w:rPr>
              <w:t>148,678</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163,043</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(9)</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80"/>
              <w:spacing w:after="0"/>
              <w:rPr>
                <w:sz w:val="20"/>
                <w:szCs w:val="20"/>
                <w:color w:val="auto"/>
              </w:rPr>
            </w:pPr>
            <w:r>
              <w:rPr>
                <w:rFonts w:ascii="Arial" w:cs="Arial" w:eastAsia="Arial" w:hAnsi="Arial"/>
                <w:sz w:val="16"/>
                <w:szCs w:val="16"/>
                <w:b w:val="1"/>
                <w:bCs w:val="1"/>
                <w:color w:val="auto"/>
              </w:rPr>
              <w:t>329,313</w:t>
            </w:r>
          </w:p>
        </w:tc>
        <w:tc>
          <w:tcPr>
            <w:tcW w:w="4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324,514</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w:t>
            </w:r>
          </w:p>
        </w:tc>
      </w:tr>
      <w:tr>
        <w:trPr>
          <w:trHeight w:val="243"/>
        </w:trPr>
        <w:tc>
          <w:tcPr>
            <w:tcW w:w="494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180" w:type="dxa"/>
            <w:vAlign w:val="bottom"/>
          </w:tcPr>
          <w:p>
            <w:pPr>
              <w:spacing w:after="0"/>
              <w:rPr>
                <w:sz w:val="21"/>
                <w:szCs w:val="21"/>
                <w:color w:val="auto"/>
              </w:rPr>
            </w:pPr>
          </w:p>
        </w:tc>
        <w:tc>
          <w:tcPr>
            <w:tcW w:w="820" w:type="dxa"/>
            <w:vAlign w:val="bottom"/>
          </w:tcPr>
          <w:p>
            <w:pPr>
              <w:jc w:val="right"/>
              <w:ind w:right="80"/>
              <w:spacing w:after="0"/>
              <w:rPr>
                <w:sz w:val="20"/>
                <w:szCs w:val="20"/>
                <w:color w:val="auto"/>
              </w:rPr>
            </w:pPr>
            <w:r>
              <w:rPr>
                <w:rFonts w:ascii="Arial" w:cs="Arial" w:eastAsia="Arial" w:hAnsi="Arial"/>
                <w:sz w:val="16"/>
                <w:szCs w:val="16"/>
                <w:b w:val="1"/>
                <w:bCs w:val="1"/>
                <w:color w:val="auto"/>
              </w:rPr>
              <w:t>69,403</w:t>
            </w:r>
          </w:p>
        </w:tc>
        <w:tc>
          <w:tcPr>
            <w:tcW w:w="320" w:type="dxa"/>
            <w:vAlign w:val="bottom"/>
          </w:tcPr>
          <w:p>
            <w:pPr>
              <w:spacing w:after="0"/>
              <w:rPr>
                <w:sz w:val="21"/>
                <w:szCs w:val="21"/>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73,567</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(6)</w:t>
            </w:r>
          </w:p>
        </w:tc>
        <w:tc>
          <w:tcPr>
            <w:tcW w:w="260" w:type="dxa"/>
            <w:vAlign w:val="bottom"/>
          </w:tcPr>
          <w:p>
            <w:pPr>
              <w:spacing w:after="0"/>
              <w:rPr>
                <w:sz w:val="21"/>
                <w:szCs w:val="21"/>
                <w:color w:val="auto"/>
              </w:rPr>
            </w:pPr>
          </w:p>
        </w:tc>
        <w:tc>
          <w:tcPr>
            <w:tcW w:w="880" w:type="dxa"/>
            <w:vAlign w:val="bottom"/>
          </w:tcPr>
          <w:p>
            <w:pPr>
              <w:jc w:val="right"/>
              <w:ind w:right="80"/>
              <w:spacing w:after="0"/>
              <w:rPr>
                <w:sz w:val="20"/>
                <w:szCs w:val="20"/>
                <w:color w:val="auto"/>
              </w:rPr>
            </w:pPr>
            <w:r>
              <w:rPr>
                <w:rFonts w:ascii="Arial" w:cs="Arial" w:eastAsia="Arial" w:hAnsi="Arial"/>
                <w:sz w:val="16"/>
                <w:szCs w:val="16"/>
                <w:b w:val="1"/>
                <w:bCs w:val="1"/>
                <w:color w:val="auto"/>
              </w:rPr>
              <w:t>144,960</w:t>
            </w:r>
          </w:p>
        </w:tc>
        <w:tc>
          <w:tcPr>
            <w:tcW w:w="400" w:type="dxa"/>
            <w:vAlign w:val="bottom"/>
          </w:tcPr>
          <w:p>
            <w:pPr>
              <w:spacing w:after="0"/>
              <w:rPr>
                <w:sz w:val="21"/>
                <w:szCs w:val="21"/>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154,432</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w:t>
            </w:r>
          </w:p>
        </w:tc>
      </w:tr>
      <w:tr>
        <w:trPr>
          <w:trHeight w:val="243"/>
        </w:trPr>
        <w:tc>
          <w:tcPr>
            <w:tcW w:w="4940" w:type="dxa"/>
            <w:vAlign w:val="bottom"/>
          </w:tcPr>
          <w:p>
            <w:pPr>
              <w:ind w:left="220"/>
              <w:spacing w:after="0"/>
              <w:rPr>
                <w:sz w:val="20"/>
                <w:szCs w:val="20"/>
                <w:color w:val="auto"/>
              </w:rPr>
            </w:pPr>
            <w:r>
              <w:rPr>
                <w:rFonts w:ascii="Arial" w:cs="Arial" w:eastAsia="Arial" w:hAnsi="Arial"/>
                <w:sz w:val="16"/>
                <w:szCs w:val="16"/>
                <w:color w:val="auto"/>
              </w:rPr>
              <w:t>Test preparation</w:t>
            </w:r>
          </w:p>
        </w:tc>
        <w:tc>
          <w:tcPr>
            <w:tcW w:w="180" w:type="dxa"/>
            <w:vAlign w:val="bottom"/>
          </w:tcPr>
          <w:p>
            <w:pPr>
              <w:spacing w:after="0"/>
              <w:rPr>
                <w:sz w:val="21"/>
                <w:szCs w:val="21"/>
                <w:color w:val="auto"/>
              </w:rPr>
            </w:pPr>
          </w:p>
        </w:tc>
        <w:tc>
          <w:tcPr>
            <w:tcW w:w="820" w:type="dxa"/>
            <w:vAlign w:val="bottom"/>
          </w:tcPr>
          <w:p>
            <w:pPr>
              <w:jc w:val="right"/>
              <w:ind w:right="80"/>
              <w:spacing w:after="0"/>
              <w:rPr>
                <w:sz w:val="20"/>
                <w:szCs w:val="20"/>
                <w:color w:val="auto"/>
              </w:rPr>
            </w:pPr>
            <w:r>
              <w:rPr>
                <w:rFonts w:ascii="Arial" w:cs="Arial" w:eastAsia="Arial" w:hAnsi="Arial"/>
                <w:sz w:val="16"/>
                <w:szCs w:val="16"/>
                <w:b w:val="1"/>
                <w:bCs w:val="1"/>
                <w:color w:val="auto"/>
              </w:rPr>
              <w:t>52,159</w:t>
            </w:r>
          </w:p>
        </w:tc>
        <w:tc>
          <w:tcPr>
            <w:tcW w:w="320" w:type="dxa"/>
            <w:vAlign w:val="bottom"/>
          </w:tcPr>
          <w:p>
            <w:pPr>
              <w:spacing w:after="0"/>
              <w:rPr>
                <w:sz w:val="21"/>
                <w:szCs w:val="21"/>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61,384</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(15)</w:t>
            </w:r>
          </w:p>
        </w:tc>
        <w:tc>
          <w:tcPr>
            <w:tcW w:w="260" w:type="dxa"/>
            <w:vAlign w:val="bottom"/>
          </w:tcPr>
          <w:p>
            <w:pPr>
              <w:spacing w:after="0"/>
              <w:rPr>
                <w:sz w:val="21"/>
                <w:szCs w:val="21"/>
                <w:color w:val="auto"/>
              </w:rPr>
            </w:pPr>
          </w:p>
        </w:tc>
        <w:tc>
          <w:tcPr>
            <w:tcW w:w="880" w:type="dxa"/>
            <w:vAlign w:val="bottom"/>
          </w:tcPr>
          <w:p>
            <w:pPr>
              <w:jc w:val="right"/>
              <w:ind w:right="80"/>
              <w:spacing w:after="0"/>
              <w:rPr>
                <w:sz w:val="20"/>
                <w:szCs w:val="20"/>
                <w:color w:val="auto"/>
              </w:rPr>
            </w:pPr>
            <w:r>
              <w:rPr>
                <w:rFonts w:ascii="Arial" w:cs="Arial" w:eastAsia="Arial" w:hAnsi="Arial"/>
                <w:sz w:val="16"/>
                <w:szCs w:val="16"/>
                <w:b w:val="1"/>
                <w:bCs w:val="1"/>
                <w:color w:val="auto"/>
              </w:rPr>
              <w:t>107,674</w:t>
            </w:r>
          </w:p>
        </w:tc>
        <w:tc>
          <w:tcPr>
            <w:tcW w:w="400" w:type="dxa"/>
            <w:vAlign w:val="bottom"/>
          </w:tcPr>
          <w:p>
            <w:pPr>
              <w:spacing w:after="0"/>
              <w:rPr>
                <w:sz w:val="21"/>
                <w:szCs w:val="21"/>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122,988</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(12)</w:t>
            </w:r>
          </w:p>
        </w:tc>
      </w:tr>
      <w:tr>
        <w:trPr>
          <w:trHeight w:val="243"/>
        </w:trPr>
        <w:tc>
          <w:tcPr>
            <w:tcW w:w="4940" w:type="dxa"/>
            <w:vAlign w:val="bottom"/>
          </w:tcPr>
          <w:p>
            <w:pPr>
              <w:ind w:left="220"/>
              <w:spacing w:after="0"/>
              <w:rPr>
                <w:sz w:val="20"/>
                <w:szCs w:val="20"/>
                <w:color w:val="auto"/>
              </w:rPr>
            </w:pPr>
            <w:r>
              <w:rPr>
                <w:rFonts w:ascii="Arial" w:cs="Arial" w:eastAsia="Arial" w:hAnsi="Arial"/>
                <w:sz w:val="16"/>
                <w:szCs w:val="16"/>
                <w:color w:val="auto"/>
              </w:rPr>
              <w:t>Professional (U.S.)</w:t>
            </w:r>
          </w:p>
        </w:tc>
        <w:tc>
          <w:tcPr>
            <w:tcW w:w="180" w:type="dxa"/>
            <w:vAlign w:val="bottom"/>
          </w:tcPr>
          <w:p>
            <w:pPr>
              <w:spacing w:after="0"/>
              <w:rPr>
                <w:sz w:val="21"/>
                <w:szCs w:val="21"/>
                <w:color w:val="auto"/>
              </w:rPr>
            </w:pPr>
          </w:p>
        </w:tc>
        <w:tc>
          <w:tcPr>
            <w:tcW w:w="820" w:type="dxa"/>
            <w:vAlign w:val="bottom"/>
          </w:tcPr>
          <w:p>
            <w:pPr>
              <w:jc w:val="right"/>
              <w:ind w:right="80"/>
              <w:spacing w:after="0"/>
              <w:rPr>
                <w:sz w:val="20"/>
                <w:szCs w:val="20"/>
                <w:color w:val="auto"/>
              </w:rPr>
            </w:pPr>
            <w:r>
              <w:rPr>
                <w:rFonts w:ascii="Arial" w:cs="Arial" w:eastAsia="Arial" w:hAnsi="Arial"/>
                <w:sz w:val="16"/>
                <w:szCs w:val="16"/>
                <w:b w:val="1"/>
                <w:bCs w:val="1"/>
                <w:color w:val="auto"/>
              </w:rPr>
              <w:t>27,296</w:t>
            </w:r>
          </w:p>
        </w:tc>
        <w:tc>
          <w:tcPr>
            <w:tcW w:w="320" w:type="dxa"/>
            <w:vAlign w:val="bottom"/>
          </w:tcPr>
          <w:p>
            <w:pPr>
              <w:spacing w:after="0"/>
              <w:rPr>
                <w:sz w:val="21"/>
                <w:szCs w:val="21"/>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30,402</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(10)</w:t>
            </w:r>
          </w:p>
        </w:tc>
        <w:tc>
          <w:tcPr>
            <w:tcW w:w="260" w:type="dxa"/>
            <w:vAlign w:val="bottom"/>
          </w:tcPr>
          <w:p>
            <w:pPr>
              <w:spacing w:after="0"/>
              <w:rPr>
                <w:sz w:val="21"/>
                <w:szCs w:val="21"/>
                <w:color w:val="auto"/>
              </w:rPr>
            </w:pPr>
          </w:p>
        </w:tc>
        <w:tc>
          <w:tcPr>
            <w:tcW w:w="880" w:type="dxa"/>
            <w:vAlign w:val="bottom"/>
          </w:tcPr>
          <w:p>
            <w:pPr>
              <w:jc w:val="right"/>
              <w:ind w:right="80"/>
              <w:spacing w:after="0"/>
              <w:rPr>
                <w:sz w:val="20"/>
                <w:szCs w:val="20"/>
                <w:color w:val="auto"/>
              </w:rPr>
            </w:pPr>
            <w:r>
              <w:rPr>
                <w:rFonts w:ascii="Arial" w:cs="Arial" w:eastAsia="Arial" w:hAnsi="Arial"/>
                <w:sz w:val="16"/>
                <w:szCs w:val="16"/>
                <w:b w:val="1"/>
                <w:bCs w:val="1"/>
                <w:color w:val="auto"/>
              </w:rPr>
              <w:t>59,619</w:t>
            </w:r>
          </w:p>
        </w:tc>
        <w:tc>
          <w:tcPr>
            <w:tcW w:w="400" w:type="dxa"/>
            <w:vAlign w:val="bottom"/>
          </w:tcPr>
          <w:p>
            <w:pPr>
              <w:spacing w:after="0"/>
              <w:rPr>
                <w:sz w:val="21"/>
                <w:szCs w:val="21"/>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60,357</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243"/>
        </w:trPr>
        <w:tc>
          <w:tcPr>
            <w:tcW w:w="494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180" w:type="dxa"/>
            <w:vAlign w:val="bottom"/>
          </w:tcPr>
          <w:p>
            <w:pPr>
              <w:spacing w:after="0"/>
              <w:rPr>
                <w:sz w:val="21"/>
                <w:szCs w:val="21"/>
                <w:color w:val="auto"/>
              </w:rPr>
            </w:pPr>
          </w:p>
        </w:tc>
        <w:tc>
          <w:tcPr>
            <w:tcW w:w="820" w:type="dxa"/>
            <w:vAlign w:val="bottom"/>
          </w:tcPr>
          <w:p>
            <w:pPr>
              <w:jc w:val="right"/>
              <w:ind w:right="80"/>
              <w:spacing w:after="0"/>
              <w:rPr>
                <w:sz w:val="20"/>
                <w:szCs w:val="20"/>
                <w:color w:val="auto"/>
              </w:rPr>
            </w:pPr>
            <w:r>
              <w:rPr>
                <w:rFonts w:ascii="Arial" w:cs="Arial" w:eastAsia="Arial" w:hAnsi="Arial"/>
                <w:sz w:val="16"/>
                <w:szCs w:val="16"/>
                <w:b w:val="1"/>
                <w:bCs w:val="1"/>
                <w:color w:val="auto"/>
              </w:rPr>
              <w:t>9,909</w:t>
            </w:r>
          </w:p>
        </w:tc>
        <w:tc>
          <w:tcPr>
            <w:tcW w:w="320" w:type="dxa"/>
            <w:vAlign w:val="bottom"/>
          </w:tcPr>
          <w:p>
            <w:pPr>
              <w:spacing w:after="0"/>
              <w:rPr>
                <w:sz w:val="21"/>
                <w:szCs w:val="21"/>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9,289</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7</w:t>
            </w:r>
          </w:p>
        </w:tc>
        <w:tc>
          <w:tcPr>
            <w:tcW w:w="260" w:type="dxa"/>
            <w:vAlign w:val="bottom"/>
          </w:tcPr>
          <w:p>
            <w:pPr>
              <w:spacing w:after="0"/>
              <w:rPr>
                <w:sz w:val="21"/>
                <w:szCs w:val="21"/>
                <w:color w:val="auto"/>
              </w:rPr>
            </w:pPr>
          </w:p>
        </w:tc>
        <w:tc>
          <w:tcPr>
            <w:tcW w:w="880" w:type="dxa"/>
            <w:vAlign w:val="bottom"/>
          </w:tcPr>
          <w:p>
            <w:pPr>
              <w:jc w:val="right"/>
              <w:ind w:right="80"/>
              <w:spacing w:after="0"/>
              <w:rPr>
                <w:sz w:val="20"/>
                <w:szCs w:val="20"/>
                <w:color w:val="auto"/>
              </w:rPr>
            </w:pPr>
            <w:r>
              <w:rPr>
                <w:rFonts w:ascii="Arial" w:cs="Arial" w:eastAsia="Arial" w:hAnsi="Arial"/>
                <w:sz w:val="16"/>
                <w:szCs w:val="16"/>
                <w:b w:val="1"/>
                <w:bCs w:val="1"/>
                <w:color w:val="auto"/>
              </w:rPr>
              <w:t>14,636</w:t>
            </w:r>
          </w:p>
        </w:tc>
        <w:tc>
          <w:tcPr>
            <w:tcW w:w="400" w:type="dxa"/>
            <w:vAlign w:val="bottom"/>
          </w:tcPr>
          <w:p>
            <w:pPr>
              <w:spacing w:after="0"/>
              <w:rPr>
                <w:sz w:val="21"/>
                <w:szCs w:val="21"/>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19,428</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(25)</w:t>
            </w:r>
          </w:p>
        </w:tc>
      </w:tr>
      <w:tr>
        <w:trPr>
          <w:trHeight w:val="243"/>
        </w:trPr>
        <w:tc>
          <w:tcPr>
            <w:tcW w:w="4940" w:type="dxa"/>
            <w:vAlign w:val="bottom"/>
          </w:tcPr>
          <w:p>
            <w:pPr>
              <w:ind w:left="220"/>
              <w:spacing w:after="0"/>
              <w:rPr>
                <w:sz w:val="20"/>
                <w:szCs w:val="20"/>
                <w:color w:val="auto"/>
              </w:rPr>
            </w:pPr>
            <w:r>
              <w:rPr>
                <w:rFonts w:ascii="Arial" w:cs="Arial" w:eastAsia="Arial" w:hAnsi="Arial"/>
                <w:sz w:val="16"/>
                <w:szCs w:val="16"/>
                <w:color w:val="auto"/>
              </w:rPr>
              <w:t>Amortization of intangible assets</w:t>
            </w:r>
          </w:p>
        </w:tc>
        <w:tc>
          <w:tcPr>
            <w:tcW w:w="180" w:type="dxa"/>
            <w:vAlign w:val="bottom"/>
          </w:tcPr>
          <w:p>
            <w:pPr>
              <w:spacing w:after="0"/>
              <w:rPr>
                <w:sz w:val="21"/>
                <w:szCs w:val="21"/>
                <w:color w:val="auto"/>
              </w:rPr>
            </w:pPr>
          </w:p>
        </w:tc>
        <w:tc>
          <w:tcPr>
            <w:tcW w:w="820" w:type="dxa"/>
            <w:vAlign w:val="bottom"/>
          </w:tcPr>
          <w:p>
            <w:pPr>
              <w:jc w:val="right"/>
              <w:ind w:right="80"/>
              <w:spacing w:after="0"/>
              <w:rPr>
                <w:sz w:val="20"/>
                <w:szCs w:val="20"/>
                <w:color w:val="auto"/>
              </w:rPr>
            </w:pPr>
            <w:r>
              <w:rPr>
                <w:rFonts w:ascii="Arial" w:cs="Arial" w:eastAsia="Arial" w:hAnsi="Arial"/>
                <w:sz w:val="16"/>
                <w:szCs w:val="16"/>
                <w:b w:val="1"/>
                <w:bCs w:val="1"/>
                <w:color w:val="auto"/>
              </w:rPr>
              <w:t>4,271</w:t>
            </w:r>
          </w:p>
        </w:tc>
        <w:tc>
          <w:tcPr>
            <w:tcW w:w="320" w:type="dxa"/>
            <w:vAlign w:val="bottom"/>
          </w:tcPr>
          <w:p>
            <w:pPr>
              <w:spacing w:after="0"/>
              <w:rPr>
                <w:sz w:val="21"/>
                <w:szCs w:val="21"/>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3,377</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26</w:t>
            </w:r>
          </w:p>
        </w:tc>
        <w:tc>
          <w:tcPr>
            <w:tcW w:w="260" w:type="dxa"/>
            <w:vAlign w:val="bottom"/>
          </w:tcPr>
          <w:p>
            <w:pPr>
              <w:spacing w:after="0"/>
              <w:rPr>
                <w:sz w:val="21"/>
                <w:szCs w:val="21"/>
                <w:color w:val="auto"/>
              </w:rPr>
            </w:pPr>
          </w:p>
        </w:tc>
        <w:tc>
          <w:tcPr>
            <w:tcW w:w="880" w:type="dxa"/>
            <w:vAlign w:val="bottom"/>
          </w:tcPr>
          <w:p>
            <w:pPr>
              <w:jc w:val="right"/>
              <w:ind w:right="80"/>
              <w:spacing w:after="0"/>
              <w:rPr>
                <w:sz w:val="20"/>
                <w:szCs w:val="20"/>
                <w:color w:val="auto"/>
              </w:rPr>
            </w:pPr>
            <w:r>
              <w:rPr>
                <w:rFonts w:ascii="Arial" w:cs="Arial" w:eastAsia="Arial" w:hAnsi="Arial"/>
                <w:sz w:val="16"/>
                <w:szCs w:val="16"/>
                <w:b w:val="1"/>
                <w:bCs w:val="1"/>
                <w:color w:val="auto"/>
              </w:rPr>
              <w:t>8,472</w:t>
            </w:r>
          </w:p>
        </w:tc>
        <w:tc>
          <w:tcPr>
            <w:tcW w:w="400" w:type="dxa"/>
            <w:vAlign w:val="bottom"/>
          </w:tcPr>
          <w:p>
            <w:pPr>
              <w:spacing w:after="0"/>
              <w:rPr>
                <w:sz w:val="21"/>
                <w:szCs w:val="21"/>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6,944</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22</w:t>
            </w:r>
          </w:p>
        </w:tc>
      </w:tr>
      <w:tr>
        <w:trPr>
          <w:trHeight w:val="243"/>
        </w:trPr>
        <w:tc>
          <w:tcPr>
            <w:tcW w:w="4940" w:type="dxa"/>
            <w:vAlign w:val="bottom"/>
          </w:tcPr>
          <w:p>
            <w:pPr>
              <w:ind w:left="220"/>
              <w:spacing w:after="0"/>
              <w:rPr>
                <w:sz w:val="20"/>
                <w:szCs w:val="20"/>
                <w:color w:val="auto"/>
              </w:rPr>
            </w:pPr>
            <w:r>
              <w:rPr>
                <w:rFonts w:ascii="Arial" w:cs="Arial" w:eastAsia="Arial" w:hAnsi="Arial"/>
                <w:sz w:val="16"/>
                <w:szCs w:val="16"/>
                <w:color w:val="auto"/>
              </w:rPr>
              <w:t>Impairment of long-lived assets</w:t>
            </w:r>
          </w:p>
        </w:tc>
        <w:tc>
          <w:tcPr>
            <w:tcW w:w="180" w:type="dxa"/>
            <w:vAlign w:val="bottom"/>
          </w:tcPr>
          <w:p>
            <w:pPr>
              <w:spacing w:after="0"/>
              <w:rPr>
                <w:sz w:val="21"/>
                <w:szCs w:val="21"/>
                <w:color w:val="auto"/>
              </w:rPr>
            </w:pPr>
          </w:p>
        </w:tc>
        <w:tc>
          <w:tcPr>
            <w:tcW w:w="820" w:type="dxa"/>
            <w:vAlign w:val="bottom"/>
          </w:tcPr>
          <w:p>
            <w:pPr>
              <w:jc w:val="right"/>
              <w:ind w:right="80"/>
              <w:spacing w:after="0"/>
              <w:rPr>
                <w:sz w:val="20"/>
                <w:szCs w:val="20"/>
                <w:color w:val="auto"/>
              </w:rPr>
            </w:pPr>
            <w:r>
              <w:rPr>
                <w:rFonts w:ascii="Arial" w:cs="Arial" w:eastAsia="Arial" w:hAnsi="Arial"/>
                <w:sz w:val="16"/>
                <w:szCs w:val="16"/>
                <w:b w:val="1"/>
                <w:bCs w:val="1"/>
                <w:color w:val="auto"/>
              </w:rPr>
              <w:t>10,020</w:t>
            </w:r>
          </w:p>
        </w:tc>
        <w:tc>
          <w:tcPr>
            <w:tcW w:w="320" w:type="dxa"/>
            <w:vAlign w:val="bottom"/>
          </w:tcPr>
          <w:p>
            <w:pPr>
              <w:spacing w:after="0"/>
              <w:rPr>
                <w:sz w:val="21"/>
                <w:szCs w:val="21"/>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693</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880" w:type="dxa"/>
            <w:vAlign w:val="bottom"/>
          </w:tcPr>
          <w:p>
            <w:pPr>
              <w:jc w:val="right"/>
              <w:ind w:right="80"/>
              <w:spacing w:after="0"/>
              <w:rPr>
                <w:sz w:val="20"/>
                <w:szCs w:val="20"/>
                <w:color w:val="auto"/>
              </w:rPr>
            </w:pPr>
            <w:r>
              <w:rPr>
                <w:rFonts w:ascii="Arial" w:cs="Arial" w:eastAsia="Arial" w:hAnsi="Arial"/>
                <w:sz w:val="16"/>
                <w:szCs w:val="16"/>
                <w:b w:val="1"/>
                <w:bCs w:val="1"/>
                <w:color w:val="auto"/>
              </w:rPr>
              <w:t>10,020</w:t>
            </w:r>
          </w:p>
        </w:tc>
        <w:tc>
          <w:tcPr>
            <w:tcW w:w="400" w:type="dxa"/>
            <w:vAlign w:val="bottom"/>
          </w:tcPr>
          <w:p>
            <w:pPr>
              <w:spacing w:after="0"/>
              <w:rPr>
                <w:sz w:val="21"/>
                <w:szCs w:val="21"/>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693</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56"/>
        </w:trPr>
        <w:tc>
          <w:tcPr>
            <w:tcW w:w="494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(815)</w:t>
            </w:r>
          </w:p>
        </w:tc>
        <w:tc>
          <w:tcPr>
            <w:tcW w:w="3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(297)</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(2,087)</w:t>
            </w:r>
          </w:p>
        </w:tc>
        <w:tc>
          <w:tcPr>
            <w:tcW w:w="4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(1,039)</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36"/>
        </w:trPr>
        <w:tc>
          <w:tcPr>
            <w:tcW w:w="494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320,921</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341,458</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(6)</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672,607</w:t>
            </w:r>
          </w:p>
        </w:tc>
        <w:tc>
          <w:tcPr>
            <w:tcW w:w="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688,317</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w:t>
            </w:r>
          </w:p>
        </w:tc>
      </w:tr>
      <w:tr>
        <w:trPr>
          <w:trHeight w:val="223"/>
        </w:trPr>
        <w:tc>
          <w:tcPr>
            <w:tcW w:w="4940" w:type="dxa"/>
            <w:vAlign w:val="bottom"/>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43"/>
        </w:trPr>
        <w:tc>
          <w:tcPr>
            <w:tcW w:w="494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ind w:right="80"/>
              <w:spacing w:after="0"/>
              <w:rPr>
                <w:sz w:val="20"/>
                <w:szCs w:val="20"/>
                <w:color w:val="auto"/>
              </w:rPr>
            </w:pPr>
            <w:r>
              <w:rPr>
                <w:rFonts w:ascii="Arial" w:cs="Arial" w:eastAsia="Arial" w:hAnsi="Arial"/>
                <w:sz w:val="16"/>
                <w:szCs w:val="16"/>
                <w:b w:val="1"/>
                <w:bCs w:val="1"/>
                <w:color w:val="auto"/>
              </w:rPr>
              <w:t>16,035</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25,537</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(37)</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80"/>
              <w:spacing w:after="0"/>
              <w:rPr>
                <w:sz w:val="20"/>
                <w:szCs w:val="20"/>
                <w:color w:val="auto"/>
              </w:rPr>
            </w:pPr>
            <w:r>
              <w:rPr>
                <w:rFonts w:ascii="Arial" w:cs="Arial" w:eastAsia="Arial" w:hAnsi="Arial"/>
                <w:sz w:val="16"/>
                <w:szCs w:val="16"/>
                <w:b w:val="1"/>
                <w:bCs w:val="1"/>
                <w:color w:val="auto"/>
              </w:rPr>
              <w:t>35,015</w:t>
            </w:r>
          </w:p>
        </w:tc>
        <w:tc>
          <w:tcPr>
            <w:tcW w:w="4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49,822</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(30)</w:t>
            </w:r>
          </w:p>
        </w:tc>
      </w:tr>
      <w:tr>
        <w:trPr>
          <w:trHeight w:val="243"/>
        </w:trPr>
        <w:tc>
          <w:tcPr>
            <w:tcW w:w="494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180" w:type="dxa"/>
            <w:vAlign w:val="bottom"/>
          </w:tcPr>
          <w:p>
            <w:pPr>
              <w:spacing w:after="0"/>
              <w:rPr>
                <w:sz w:val="21"/>
                <w:szCs w:val="21"/>
                <w:color w:val="auto"/>
              </w:rPr>
            </w:pPr>
          </w:p>
        </w:tc>
        <w:tc>
          <w:tcPr>
            <w:tcW w:w="820" w:type="dxa"/>
            <w:vAlign w:val="bottom"/>
          </w:tcPr>
          <w:p>
            <w:pPr>
              <w:jc w:val="right"/>
              <w:ind w:right="80"/>
              <w:spacing w:after="0"/>
              <w:rPr>
                <w:sz w:val="20"/>
                <w:szCs w:val="20"/>
                <w:color w:val="auto"/>
              </w:rPr>
            </w:pPr>
            <w:r>
              <w:rPr>
                <w:rFonts w:ascii="Arial" w:cs="Arial" w:eastAsia="Arial" w:hAnsi="Arial"/>
                <w:sz w:val="16"/>
                <w:szCs w:val="16"/>
                <w:b w:val="1"/>
                <w:bCs w:val="1"/>
                <w:color w:val="auto"/>
              </w:rPr>
              <w:t>17,050</w:t>
            </w:r>
          </w:p>
        </w:tc>
        <w:tc>
          <w:tcPr>
            <w:tcW w:w="320" w:type="dxa"/>
            <w:vAlign w:val="bottom"/>
          </w:tcPr>
          <w:p>
            <w:pPr>
              <w:spacing w:after="0"/>
              <w:rPr>
                <w:sz w:val="21"/>
                <w:szCs w:val="21"/>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2,721</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880" w:type="dxa"/>
            <w:vAlign w:val="bottom"/>
          </w:tcPr>
          <w:p>
            <w:pPr>
              <w:jc w:val="right"/>
              <w:ind w:right="80"/>
              <w:spacing w:after="0"/>
              <w:rPr>
                <w:sz w:val="20"/>
                <w:szCs w:val="20"/>
                <w:color w:val="auto"/>
              </w:rPr>
            </w:pPr>
            <w:r>
              <w:rPr>
                <w:rFonts w:ascii="Arial" w:cs="Arial" w:eastAsia="Arial" w:hAnsi="Arial"/>
                <w:sz w:val="16"/>
                <w:szCs w:val="16"/>
                <w:b w:val="1"/>
                <w:bCs w:val="1"/>
                <w:color w:val="auto"/>
              </w:rPr>
              <w:t>15,030</w:t>
            </w:r>
          </w:p>
        </w:tc>
        <w:tc>
          <w:tcPr>
            <w:tcW w:w="400" w:type="dxa"/>
            <w:vAlign w:val="bottom"/>
          </w:tcPr>
          <w:p>
            <w:pPr>
              <w:spacing w:after="0"/>
              <w:rPr>
                <w:sz w:val="21"/>
                <w:szCs w:val="21"/>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4,636</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43"/>
        </w:trPr>
        <w:tc>
          <w:tcPr>
            <w:tcW w:w="4940" w:type="dxa"/>
            <w:vAlign w:val="bottom"/>
          </w:tcPr>
          <w:p>
            <w:pPr>
              <w:ind w:left="220"/>
              <w:spacing w:after="0"/>
              <w:rPr>
                <w:sz w:val="20"/>
                <w:szCs w:val="20"/>
                <w:color w:val="auto"/>
              </w:rPr>
            </w:pPr>
            <w:r>
              <w:rPr>
                <w:rFonts w:ascii="Arial" w:cs="Arial" w:eastAsia="Arial" w:hAnsi="Arial"/>
                <w:sz w:val="16"/>
                <w:szCs w:val="16"/>
                <w:color w:val="auto"/>
              </w:rPr>
              <w:t>Test preparation</w:t>
            </w:r>
          </w:p>
        </w:tc>
        <w:tc>
          <w:tcPr>
            <w:tcW w:w="180" w:type="dxa"/>
            <w:vAlign w:val="bottom"/>
          </w:tcPr>
          <w:p>
            <w:pPr>
              <w:spacing w:after="0"/>
              <w:rPr>
                <w:sz w:val="21"/>
                <w:szCs w:val="21"/>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(1,048)</w:t>
            </w:r>
          </w:p>
        </w:tc>
        <w:tc>
          <w:tcPr>
            <w:tcW w:w="320" w:type="dxa"/>
            <w:vAlign w:val="bottom"/>
          </w:tcPr>
          <w:p>
            <w:pPr>
              <w:spacing w:after="0"/>
              <w:rPr>
                <w:sz w:val="21"/>
                <w:szCs w:val="21"/>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4,289</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(13,724)</w:t>
            </w:r>
          </w:p>
        </w:tc>
        <w:tc>
          <w:tcPr>
            <w:tcW w:w="400" w:type="dxa"/>
            <w:vAlign w:val="bottom"/>
          </w:tcPr>
          <w:p>
            <w:pPr>
              <w:spacing w:after="0"/>
              <w:rPr>
                <w:sz w:val="21"/>
                <w:szCs w:val="21"/>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3,835</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43"/>
        </w:trPr>
        <w:tc>
          <w:tcPr>
            <w:tcW w:w="4940" w:type="dxa"/>
            <w:vAlign w:val="bottom"/>
          </w:tcPr>
          <w:p>
            <w:pPr>
              <w:ind w:left="220"/>
              <w:spacing w:after="0"/>
              <w:rPr>
                <w:sz w:val="20"/>
                <w:szCs w:val="20"/>
                <w:color w:val="auto"/>
              </w:rPr>
            </w:pPr>
            <w:r>
              <w:rPr>
                <w:rFonts w:ascii="Arial" w:cs="Arial" w:eastAsia="Arial" w:hAnsi="Arial"/>
                <w:sz w:val="16"/>
                <w:szCs w:val="16"/>
                <w:color w:val="auto"/>
              </w:rPr>
              <w:t>Professional (U.S.)</w:t>
            </w:r>
          </w:p>
        </w:tc>
        <w:tc>
          <w:tcPr>
            <w:tcW w:w="180" w:type="dxa"/>
            <w:vAlign w:val="bottom"/>
          </w:tcPr>
          <w:p>
            <w:pPr>
              <w:spacing w:after="0"/>
              <w:rPr>
                <w:sz w:val="21"/>
                <w:szCs w:val="21"/>
                <w:color w:val="auto"/>
              </w:rPr>
            </w:pPr>
          </w:p>
        </w:tc>
        <w:tc>
          <w:tcPr>
            <w:tcW w:w="820" w:type="dxa"/>
            <w:vAlign w:val="bottom"/>
          </w:tcPr>
          <w:p>
            <w:pPr>
              <w:jc w:val="right"/>
              <w:ind w:right="80"/>
              <w:spacing w:after="0"/>
              <w:rPr>
                <w:sz w:val="20"/>
                <w:szCs w:val="20"/>
                <w:color w:val="auto"/>
              </w:rPr>
            </w:pPr>
            <w:r>
              <w:rPr>
                <w:rFonts w:ascii="Arial" w:cs="Arial" w:eastAsia="Arial" w:hAnsi="Arial"/>
                <w:sz w:val="16"/>
                <w:szCs w:val="16"/>
                <w:b w:val="1"/>
                <w:bCs w:val="1"/>
                <w:color w:val="auto"/>
              </w:rPr>
              <w:t>1,378</w:t>
            </w:r>
          </w:p>
        </w:tc>
        <w:tc>
          <w:tcPr>
            <w:tcW w:w="320" w:type="dxa"/>
            <w:vAlign w:val="bottom"/>
          </w:tcPr>
          <w:p>
            <w:pPr>
              <w:spacing w:after="0"/>
              <w:rPr>
                <w:sz w:val="21"/>
                <w:szCs w:val="21"/>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4,745</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(71)</w:t>
            </w:r>
          </w:p>
        </w:tc>
        <w:tc>
          <w:tcPr>
            <w:tcW w:w="260" w:type="dxa"/>
            <w:vAlign w:val="bottom"/>
          </w:tcPr>
          <w:p>
            <w:pPr>
              <w:spacing w:after="0"/>
              <w:rPr>
                <w:sz w:val="21"/>
                <w:szCs w:val="21"/>
                <w:color w:val="auto"/>
              </w:rPr>
            </w:pPr>
          </w:p>
        </w:tc>
        <w:tc>
          <w:tcPr>
            <w:tcW w:w="880" w:type="dxa"/>
            <w:vAlign w:val="bottom"/>
          </w:tcPr>
          <w:p>
            <w:pPr>
              <w:jc w:val="right"/>
              <w:ind w:right="80"/>
              <w:spacing w:after="0"/>
              <w:rPr>
                <w:sz w:val="20"/>
                <w:szCs w:val="20"/>
                <w:color w:val="auto"/>
              </w:rPr>
            </w:pPr>
            <w:r>
              <w:rPr>
                <w:rFonts w:ascii="Arial" w:cs="Arial" w:eastAsia="Arial" w:hAnsi="Arial"/>
                <w:sz w:val="16"/>
                <w:szCs w:val="16"/>
                <w:b w:val="1"/>
                <w:bCs w:val="1"/>
                <w:color w:val="auto"/>
              </w:rPr>
              <w:t>7,504</w:t>
            </w:r>
          </w:p>
        </w:tc>
        <w:tc>
          <w:tcPr>
            <w:tcW w:w="400" w:type="dxa"/>
            <w:vAlign w:val="bottom"/>
          </w:tcPr>
          <w:p>
            <w:pPr>
              <w:spacing w:after="0"/>
              <w:rPr>
                <w:sz w:val="21"/>
                <w:szCs w:val="21"/>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16,004</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(53)</w:t>
            </w:r>
          </w:p>
        </w:tc>
      </w:tr>
      <w:tr>
        <w:trPr>
          <w:trHeight w:val="243"/>
        </w:trPr>
        <w:tc>
          <w:tcPr>
            <w:tcW w:w="494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180" w:type="dxa"/>
            <w:vAlign w:val="bottom"/>
          </w:tcPr>
          <w:p>
            <w:pPr>
              <w:spacing w:after="0"/>
              <w:rPr>
                <w:sz w:val="21"/>
                <w:szCs w:val="21"/>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(6,870)</w:t>
            </w:r>
          </w:p>
        </w:tc>
        <w:tc>
          <w:tcPr>
            <w:tcW w:w="320" w:type="dxa"/>
            <w:vAlign w:val="bottom"/>
          </w:tcPr>
          <w:p>
            <w:pPr>
              <w:spacing w:after="0"/>
              <w:rPr>
                <w:sz w:val="21"/>
                <w:szCs w:val="21"/>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(6,920)</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21"/>
                <w:szCs w:val="21"/>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(8,392)</w:t>
            </w:r>
          </w:p>
        </w:tc>
        <w:tc>
          <w:tcPr>
            <w:tcW w:w="400" w:type="dxa"/>
            <w:vAlign w:val="bottom"/>
          </w:tcPr>
          <w:p>
            <w:pPr>
              <w:spacing w:after="0"/>
              <w:rPr>
                <w:sz w:val="21"/>
                <w:szCs w:val="21"/>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(14,757)</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43</w:t>
            </w:r>
          </w:p>
        </w:tc>
      </w:tr>
      <w:tr>
        <w:trPr>
          <w:trHeight w:val="243"/>
        </w:trPr>
        <w:tc>
          <w:tcPr>
            <w:tcW w:w="4940" w:type="dxa"/>
            <w:vAlign w:val="bottom"/>
          </w:tcPr>
          <w:p>
            <w:pPr>
              <w:ind w:left="220"/>
              <w:spacing w:after="0"/>
              <w:rPr>
                <w:sz w:val="20"/>
                <w:szCs w:val="20"/>
                <w:color w:val="auto"/>
              </w:rPr>
            </w:pPr>
            <w:r>
              <w:rPr>
                <w:rFonts w:ascii="Arial" w:cs="Arial" w:eastAsia="Arial" w:hAnsi="Arial"/>
                <w:sz w:val="16"/>
                <w:szCs w:val="16"/>
                <w:color w:val="auto"/>
              </w:rPr>
              <w:t>Amortization of intangible assets</w:t>
            </w:r>
          </w:p>
        </w:tc>
        <w:tc>
          <w:tcPr>
            <w:tcW w:w="180" w:type="dxa"/>
            <w:vAlign w:val="bottom"/>
          </w:tcPr>
          <w:p>
            <w:pPr>
              <w:spacing w:after="0"/>
              <w:rPr>
                <w:sz w:val="21"/>
                <w:szCs w:val="21"/>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(4,271)</w:t>
            </w:r>
          </w:p>
        </w:tc>
        <w:tc>
          <w:tcPr>
            <w:tcW w:w="320" w:type="dxa"/>
            <w:vAlign w:val="bottom"/>
          </w:tcPr>
          <w:p>
            <w:pPr>
              <w:spacing w:after="0"/>
              <w:rPr>
                <w:sz w:val="21"/>
                <w:szCs w:val="21"/>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(3,377)</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(26)</w:t>
            </w:r>
          </w:p>
        </w:tc>
        <w:tc>
          <w:tcPr>
            <w:tcW w:w="260" w:type="dxa"/>
            <w:vAlign w:val="bottom"/>
          </w:tcPr>
          <w:p>
            <w:pPr>
              <w:spacing w:after="0"/>
              <w:rPr>
                <w:sz w:val="21"/>
                <w:szCs w:val="21"/>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(8,472)</w:t>
            </w:r>
          </w:p>
        </w:tc>
        <w:tc>
          <w:tcPr>
            <w:tcW w:w="400" w:type="dxa"/>
            <w:vAlign w:val="bottom"/>
          </w:tcPr>
          <w:p>
            <w:pPr>
              <w:spacing w:after="0"/>
              <w:rPr>
                <w:sz w:val="21"/>
                <w:szCs w:val="21"/>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(6,944)</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(22)</w:t>
            </w:r>
          </w:p>
        </w:tc>
      </w:tr>
      <w:tr>
        <w:trPr>
          <w:trHeight w:val="243"/>
        </w:trPr>
        <w:tc>
          <w:tcPr>
            <w:tcW w:w="4940" w:type="dxa"/>
            <w:vAlign w:val="bottom"/>
          </w:tcPr>
          <w:p>
            <w:pPr>
              <w:ind w:left="220"/>
              <w:spacing w:after="0"/>
              <w:rPr>
                <w:sz w:val="20"/>
                <w:szCs w:val="20"/>
                <w:color w:val="auto"/>
              </w:rPr>
            </w:pPr>
            <w:r>
              <w:rPr>
                <w:rFonts w:ascii="Arial" w:cs="Arial" w:eastAsia="Arial" w:hAnsi="Arial"/>
                <w:sz w:val="16"/>
                <w:szCs w:val="16"/>
                <w:color w:val="auto"/>
              </w:rPr>
              <w:t>Impairment of long-lived assets</w:t>
            </w:r>
          </w:p>
        </w:tc>
        <w:tc>
          <w:tcPr>
            <w:tcW w:w="180" w:type="dxa"/>
            <w:vAlign w:val="bottom"/>
          </w:tcPr>
          <w:p>
            <w:pPr>
              <w:spacing w:after="0"/>
              <w:rPr>
                <w:sz w:val="21"/>
                <w:szCs w:val="21"/>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(10,020)</w:t>
            </w:r>
          </w:p>
        </w:tc>
        <w:tc>
          <w:tcPr>
            <w:tcW w:w="320" w:type="dxa"/>
            <w:vAlign w:val="bottom"/>
          </w:tcPr>
          <w:p>
            <w:pPr>
              <w:spacing w:after="0"/>
              <w:rPr>
                <w:sz w:val="21"/>
                <w:szCs w:val="21"/>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(693)</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(10,020)</w:t>
            </w:r>
          </w:p>
        </w:tc>
        <w:tc>
          <w:tcPr>
            <w:tcW w:w="400" w:type="dxa"/>
            <w:vAlign w:val="bottom"/>
          </w:tcPr>
          <w:p>
            <w:pPr>
              <w:spacing w:after="0"/>
              <w:rPr>
                <w:sz w:val="21"/>
                <w:szCs w:val="21"/>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(693)</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56"/>
        </w:trPr>
        <w:tc>
          <w:tcPr>
            <w:tcW w:w="494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5</w:t>
            </w:r>
          </w:p>
        </w:tc>
        <w:tc>
          <w:tcPr>
            <w:tcW w:w="4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36"/>
        </w:trPr>
        <w:tc>
          <w:tcPr>
            <w:tcW w:w="494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12,254</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26,305</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(53)</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16,946</w:t>
            </w:r>
          </w:p>
        </w:tc>
        <w:tc>
          <w:tcPr>
            <w:tcW w:w="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51,900</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(67)</w:t>
            </w:r>
          </w:p>
        </w:tc>
      </w:tr>
      <w:tr>
        <w:trPr>
          <w:trHeight w:val="224"/>
        </w:trPr>
        <w:tc>
          <w:tcPr>
            <w:tcW w:w="4940" w:type="dxa"/>
            <w:vAlign w:val="bottom"/>
          </w:tcPr>
          <w:p>
            <w:pPr>
              <w:ind w:left="20"/>
              <w:spacing w:after="0"/>
              <w:rPr>
                <w:sz w:val="20"/>
                <w:szCs w:val="20"/>
                <w:color w:val="auto"/>
              </w:rPr>
            </w:pPr>
            <w:r>
              <w:rPr>
                <w:rFonts w:ascii="Arial" w:cs="Arial" w:eastAsia="Arial" w:hAnsi="Arial"/>
                <w:sz w:val="16"/>
                <w:szCs w:val="16"/>
                <w:b w:val="1"/>
                <w:bCs w:val="1"/>
                <w:color w:val="auto"/>
              </w:rPr>
              <w:t>Depreciation</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43"/>
        </w:trPr>
        <w:tc>
          <w:tcPr>
            <w:tcW w:w="494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ind w:right="80"/>
              <w:spacing w:after="0"/>
              <w:rPr>
                <w:sz w:val="20"/>
                <w:szCs w:val="20"/>
                <w:color w:val="auto"/>
              </w:rPr>
            </w:pPr>
            <w:r>
              <w:rPr>
                <w:rFonts w:ascii="Arial" w:cs="Arial" w:eastAsia="Arial" w:hAnsi="Arial"/>
                <w:sz w:val="16"/>
                <w:szCs w:val="16"/>
                <w:b w:val="1"/>
                <w:bCs w:val="1"/>
                <w:color w:val="auto"/>
              </w:rPr>
              <w:t>5,619</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3,716</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51</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80"/>
              <w:spacing w:after="0"/>
              <w:rPr>
                <w:sz w:val="20"/>
                <w:szCs w:val="20"/>
                <w:color w:val="auto"/>
              </w:rPr>
            </w:pPr>
            <w:r>
              <w:rPr>
                <w:rFonts w:ascii="Arial" w:cs="Arial" w:eastAsia="Arial" w:hAnsi="Arial"/>
                <w:sz w:val="16"/>
                <w:szCs w:val="16"/>
                <w:b w:val="1"/>
                <w:bCs w:val="1"/>
                <w:color w:val="auto"/>
              </w:rPr>
              <w:t>10,197</w:t>
            </w:r>
          </w:p>
        </w:tc>
        <w:tc>
          <w:tcPr>
            <w:tcW w:w="4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7,598</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34</w:t>
            </w:r>
          </w:p>
        </w:tc>
      </w:tr>
      <w:tr>
        <w:trPr>
          <w:trHeight w:val="243"/>
        </w:trPr>
        <w:tc>
          <w:tcPr>
            <w:tcW w:w="494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180" w:type="dxa"/>
            <w:vAlign w:val="bottom"/>
          </w:tcPr>
          <w:p>
            <w:pPr>
              <w:spacing w:after="0"/>
              <w:rPr>
                <w:sz w:val="21"/>
                <w:szCs w:val="21"/>
                <w:color w:val="auto"/>
              </w:rPr>
            </w:pPr>
          </w:p>
        </w:tc>
        <w:tc>
          <w:tcPr>
            <w:tcW w:w="820" w:type="dxa"/>
            <w:vAlign w:val="bottom"/>
          </w:tcPr>
          <w:p>
            <w:pPr>
              <w:jc w:val="right"/>
              <w:ind w:right="80"/>
              <w:spacing w:after="0"/>
              <w:rPr>
                <w:sz w:val="20"/>
                <w:szCs w:val="20"/>
                <w:color w:val="auto"/>
              </w:rPr>
            </w:pPr>
            <w:r>
              <w:rPr>
                <w:rFonts w:ascii="Arial" w:cs="Arial" w:eastAsia="Arial" w:hAnsi="Arial"/>
                <w:sz w:val="16"/>
                <w:szCs w:val="16"/>
                <w:b w:val="1"/>
                <w:bCs w:val="1"/>
                <w:color w:val="auto"/>
              </w:rPr>
              <w:t>832</w:t>
            </w:r>
          </w:p>
        </w:tc>
        <w:tc>
          <w:tcPr>
            <w:tcW w:w="320" w:type="dxa"/>
            <w:vAlign w:val="bottom"/>
          </w:tcPr>
          <w:p>
            <w:pPr>
              <w:spacing w:after="0"/>
              <w:rPr>
                <w:sz w:val="21"/>
                <w:szCs w:val="21"/>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629</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32</w:t>
            </w:r>
          </w:p>
        </w:tc>
        <w:tc>
          <w:tcPr>
            <w:tcW w:w="260" w:type="dxa"/>
            <w:vAlign w:val="bottom"/>
          </w:tcPr>
          <w:p>
            <w:pPr>
              <w:spacing w:after="0"/>
              <w:rPr>
                <w:sz w:val="21"/>
                <w:szCs w:val="21"/>
                <w:color w:val="auto"/>
              </w:rPr>
            </w:pPr>
          </w:p>
        </w:tc>
        <w:tc>
          <w:tcPr>
            <w:tcW w:w="880" w:type="dxa"/>
            <w:vAlign w:val="bottom"/>
          </w:tcPr>
          <w:p>
            <w:pPr>
              <w:jc w:val="right"/>
              <w:ind w:right="80"/>
              <w:spacing w:after="0"/>
              <w:rPr>
                <w:sz w:val="20"/>
                <w:szCs w:val="20"/>
                <w:color w:val="auto"/>
              </w:rPr>
            </w:pPr>
            <w:r>
              <w:rPr>
                <w:rFonts w:ascii="Arial" w:cs="Arial" w:eastAsia="Arial" w:hAnsi="Arial"/>
                <w:sz w:val="16"/>
                <w:szCs w:val="16"/>
                <w:b w:val="1"/>
                <w:bCs w:val="1"/>
                <w:color w:val="auto"/>
              </w:rPr>
              <w:t>1,555</w:t>
            </w:r>
          </w:p>
        </w:tc>
        <w:tc>
          <w:tcPr>
            <w:tcW w:w="400" w:type="dxa"/>
            <w:vAlign w:val="bottom"/>
          </w:tcPr>
          <w:p>
            <w:pPr>
              <w:spacing w:after="0"/>
              <w:rPr>
                <w:sz w:val="21"/>
                <w:szCs w:val="21"/>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1,226</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27</w:t>
            </w:r>
          </w:p>
        </w:tc>
      </w:tr>
      <w:tr>
        <w:trPr>
          <w:trHeight w:val="243"/>
        </w:trPr>
        <w:tc>
          <w:tcPr>
            <w:tcW w:w="4940" w:type="dxa"/>
            <w:vAlign w:val="bottom"/>
          </w:tcPr>
          <w:p>
            <w:pPr>
              <w:ind w:left="220"/>
              <w:spacing w:after="0"/>
              <w:rPr>
                <w:sz w:val="20"/>
                <w:szCs w:val="20"/>
                <w:color w:val="auto"/>
              </w:rPr>
            </w:pPr>
            <w:r>
              <w:rPr>
                <w:rFonts w:ascii="Arial" w:cs="Arial" w:eastAsia="Arial" w:hAnsi="Arial"/>
                <w:sz w:val="16"/>
                <w:szCs w:val="16"/>
                <w:color w:val="auto"/>
              </w:rPr>
              <w:t>Test preparation</w:t>
            </w:r>
          </w:p>
        </w:tc>
        <w:tc>
          <w:tcPr>
            <w:tcW w:w="180" w:type="dxa"/>
            <w:vAlign w:val="bottom"/>
          </w:tcPr>
          <w:p>
            <w:pPr>
              <w:spacing w:after="0"/>
              <w:rPr>
                <w:sz w:val="21"/>
                <w:szCs w:val="21"/>
                <w:color w:val="auto"/>
              </w:rPr>
            </w:pPr>
          </w:p>
        </w:tc>
        <w:tc>
          <w:tcPr>
            <w:tcW w:w="820" w:type="dxa"/>
            <w:vAlign w:val="bottom"/>
          </w:tcPr>
          <w:p>
            <w:pPr>
              <w:jc w:val="right"/>
              <w:ind w:right="80"/>
              <w:spacing w:after="0"/>
              <w:rPr>
                <w:sz w:val="20"/>
                <w:szCs w:val="20"/>
                <w:color w:val="auto"/>
              </w:rPr>
            </w:pPr>
            <w:r>
              <w:rPr>
                <w:rFonts w:ascii="Arial" w:cs="Arial" w:eastAsia="Arial" w:hAnsi="Arial"/>
                <w:sz w:val="16"/>
                <w:szCs w:val="16"/>
                <w:b w:val="1"/>
                <w:bCs w:val="1"/>
                <w:color w:val="auto"/>
              </w:rPr>
              <w:t>2,607</w:t>
            </w:r>
          </w:p>
        </w:tc>
        <w:tc>
          <w:tcPr>
            <w:tcW w:w="320" w:type="dxa"/>
            <w:vAlign w:val="bottom"/>
          </w:tcPr>
          <w:p>
            <w:pPr>
              <w:spacing w:after="0"/>
              <w:rPr>
                <w:sz w:val="21"/>
                <w:szCs w:val="21"/>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779</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880" w:type="dxa"/>
            <w:vAlign w:val="bottom"/>
          </w:tcPr>
          <w:p>
            <w:pPr>
              <w:jc w:val="right"/>
              <w:ind w:right="80"/>
              <w:spacing w:after="0"/>
              <w:rPr>
                <w:sz w:val="20"/>
                <w:szCs w:val="20"/>
                <w:color w:val="auto"/>
              </w:rPr>
            </w:pPr>
            <w:r>
              <w:rPr>
                <w:rFonts w:ascii="Arial" w:cs="Arial" w:eastAsia="Arial" w:hAnsi="Arial"/>
                <w:sz w:val="16"/>
                <w:szCs w:val="16"/>
                <w:b w:val="1"/>
                <w:bCs w:val="1"/>
                <w:color w:val="auto"/>
              </w:rPr>
              <w:t>3,433</w:t>
            </w:r>
          </w:p>
        </w:tc>
        <w:tc>
          <w:tcPr>
            <w:tcW w:w="400" w:type="dxa"/>
            <w:vAlign w:val="bottom"/>
          </w:tcPr>
          <w:p>
            <w:pPr>
              <w:spacing w:after="0"/>
              <w:rPr>
                <w:sz w:val="21"/>
                <w:szCs w:val="21"/>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1,584</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43"/>
        </w:trPr>
        <w:tc>
          <w:tcPr>
            <w:tcW w:w="4940" w:type="dxa"/>
            <w:vAlign w:val="bottom"/>
          </w:tcPr>
          <w:p>
            <w:pPr>
              <w:ind w:left="220"/>
              <w:spacing w:after="0"/>
              <w:rPr>
                <w:sz w:val="20"/>
                <w:szCs w:val="20"/>
                <w:color w:val="auto"/>
              </w:rPr>
            </w:pPr>
            <w:r>
              <w:rPr>
                <w:rFonts w:ascii="Arial" w:cs="Arial" w:eastAsia="Arial" w:hAnsi="Arial"/>
                <w:sz w:val="16"/>
                <w:szCs w:val="16"/>
                <w:color w:val="auto"/>
              </w:rPr>
              <w:t>Professional (U.S.)</w:t>
            </w:r>
          </w:p>
        </w:tc>
        <w:tc>
          <w:tcPr>
            <w:tcW w:w="180" w:type="dxa"/>
            <w:vAlign w:val="bottom"/>
          </w:tcPr>
          <w:p>
            <w:pPr>
              <w:spacing w:after="0"/>
              <w:rPr>
                <w:sz w:val="21"/>
                <w:szCs w:val="21"/>
                <w:color w:val="auto"/>
              </w:rPr>
            </w:pPr>
          </w:p>
        </w:tc>
        <w:tc>
          <w:tcPr>
            <w:tcW w:w="820" w:type="dxa"/>
            <w:vAlign w:val="bottom"/>
          </w:tcPr>
          <w:p>
            <w:pPr>
              <w:jc w:val="right"/>
              <w:ind w:right="80"/>
              <w:spacing w:after="0"/>
              <w:rPr>
                <w:sz w:val="20"/>
                <w:szCs w:val="20"/>
                <w:color w:val="auto"/>
              </w:rPr>
            </w:pPr>
            <w:r>
              <w:rPr>
                <w:rFonts w:ascii="Arial" w:cs="Arial" w:eastAsia="Arial" w:hAnsi="Arial"/>
                <w:sz w:val="16"/>
                <w:szCs w:val="16"/>
                <w:b w:val="1"/>
                <w:bCs w:val="1"/>
                <w:color w:val="auto"/>
              </w:rPr>
              <w:t>1,165</w:t>
            </w:r>
          </w:p>
        </w:tc>
        <w:tc>
          <w:tcPr>
            <w:tcW w:w="320" w:type="dxa"/>
            <w:vAlign w:val="bottom"/>
          </w:tcPr>
          <w:p>
            <w:pPr>
              <w:spacing w:after="0"/>
              <w:rPr>
                <w:sz w:val="21"/>
                <w:szCs w:val="21"/>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959</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21</w:t>
            </w:r>
          </w:p>
        </w:tc>
        <w:tc>
          <w:tcPr>
            <w:tcW w:w="260" w:type="dxa"/>
            <w:vAlign w:val="bottom"/>
          </w:tcPr>
          <w:p>
            <w:pPr>
              <w:spacing w:after="0"/>
              <w:rPr>
                <w:sz w:val="21"/>
                <w:szCs w:val="21"/>
                <w:color w:val="auto"/>
              </w:rPr>
            </w:pPr>
          </w:p>
        </w:tc>
        <w:tc>
          <w:tcPr>
            <w:tcW w:w="880" w:type="dxa"/>
            <w:vAlign w:val="bottom"/>
          </w:tcPr>
          <w:p>
            <w:pPr>
              <w:jc w:val="right"/>
              <w:ind w:right="80"/>
              <w:spacing w:after="0"/>
              <w:rPr>
                <w:sz w:val="20"/>
                <w:szCs w:val="20"/>
                <w:color w:val="auto"/>
              </w:rPr>
            </w:pPr>
            <w:r>
              <w:rPr>
                <w:rFonts w:ascii="Arial" w:cs="Arial" w:eastAsia="Arial" w:hAnsi="Arial"/>
                <w:sz w:val="16"/>
                <w:szCs w:val="16"/>
                <w:b w:val="1"/>
                <w:bCs w:val="1"/>
                <w:color w:val="auto"/>
              </w:rPr>
              <w:t>2,278</w:t>
            </w:r>
          </w:p>
        </w:tc>
        <w:tc>
          <w:tcPr>
            <w:tcW w:w="400" w:type="dxa"/>
            <w:vAlign w:val="bottom"/>
          </w:tcPr>
          <w:p>
            <w:pPr>
              <w:spacing w:after="0"/>
              <w:rPr>
                <w:sz w:val="21"/>
                <w:szCs w:val="21"/>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1,824</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25</w:t>
            </w:r>
          </w:p>
        </w:tc>
      </w:tr>
      <w:tr>
        <w:trPr>
          <w:trHeight w:val="256"/>
        </w:trPr>
        <w:tc>
          <w:tcPr>
            <w:tcW w:w="494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101</w:t>
            </w:r>
          </w:p>
        </w:tc>
        <w:tc>
          <w:tcPr>
            <w:tcW w:w="3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54</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87</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190</w:t>
            </w:r>
          </w:p>
        </w:tc>
        <w:tc>
          <w:tcPr>
            <w:tcW w:w="4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106</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79</w:t>
            </w:r>
          </w:p>
        </w:tc>
      </w:tr>
      <w:tr>
        <w:trPr>
          <w:trHeight w:val="236"/>
        </w:trPr>
        <w:tc>
          <w:tcPr>
            <w:tcW w:w="494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10,324</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6,137</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68</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17,653</w:t>
            </w:r>
          </w:p>
        </w:tc>
        <w:tc>
          <w:tcPr>
            <w:tcW w:w="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12,338</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43</w:t>
            </w:r>
          </w:p>
        </w:tc>
      </w:tr>
      <w:tr>
        <w:trPr>
          <w:trHeight w:val="223"/>
        </w:trPr>
        <w:tc>
          <w:tcPr>
            <w:tcW w:w="4940" w:type="dxa"/>
            <w:vAlign w:val="bottom"/>
          </w:tcPr>
          <w:p>
            <w:pPr>
              <w:ind w:left="20"/>
              <w:spacing w:after="0"/>
              <w:rPr>
                <w:sz w:val="20"/>
                <w:szCs w:val="20"/>
                <w:color w:val="auto"/>
              </w:rPr>
            </w:pPr>
            <w:r>
              <w:rPr>
                <w:rFonts w:ascii="Arial" w:cs="Arial" w:eastAsia="Arial" w:hAnsi="Arial"/>
                <w:sz w:val="16"/>
                <w:szCs w:val="16"/>
                <w:b w:val="1"/>
                <w:bCs w:val="1"/>
                <w:color w:val="auto"/>
              </w:rPr>
              <w:t>Pension Expense</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43"/>
        </w:trPr>
        <w:tc>
          <w:tcPr>
            <w:tcW w:w="494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ind w:right="80"/>
              <w:spacing w:after="0"/>
              <w:rPr>
                <w:sz w:val="20"/>
                <w:szCs w:val="20"/>
                <w:color w:val="auto"/>
              </w:rPr>
            </w:pPr>
            <w:r>
              <w:rPr>
                <w:rFonts w:ascii="Arial" w:cs="Arial" w:eastAsia="Arial" w:hAnsi="Arial"/>
                <w:sz w:val="16"/>
                <w:szCs w:val="16"/>
                <w:b w:val="1"/>
                <w:bCs w:val="1"/>
                <w:color w:val="auto"/>
              </w:rPr>
              <w:t>120</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110</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9</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80"/>
              <w:spacing w:after="0"/>
              <w:rPr>
                <w:sz w:val="20"/>
                <w:szCs w:val="20"/>
                <w:color w:val="auto"/>
              </w:rPr>
            </w:pPr>
            <w:r>
              <w:rPr>
                <w:rFonts w:ascii="Arial" w:cs="Arial" w:eastAsia="Arial" w:hAnsi="Arial"/>
                <w:sz w:val="16"/>
                <w:szCs w:val="16"/>
                <w:b w:val="1"/>
                <w:bCs w:val="1"/>
                <w:color w:val="auto"/>
              </w:rPr>
              <w:t>232</w:t>
            </w:r>
          </w:p>
        </w:tc>
        <w:tc>
          <w:tcPr>
            <w:tcW w:w="4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227</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2</w:t>
            </w:r>
          </w:p>
        </w:tc>
      </w:tr>
      <w:tr>
        <w:trPr>
          <w:trHeight w:val="243"/>
        </w:trPr>
        <w:tc>
          <w:tcPr>
            <w:tcW w:w="494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180" w:type="dxa"/>
            <w:vAlign w:val="bottom"/>
          </w:tcPr>
          <w:p>
            <w:pPr>
              <w:spacing w:after="0"/>
              <w:rPr>
                <w:sz w:val="21"/>
                <w:szCs w:val="21"/>
                <w:color w:val="auto"/>
              </w:rPr>
            </w:pPr>
          </w:p>
        </w:tc>
        <w:tc>
          <w:tcPr>
            <w:tcW w:w="820" w:type="dxa"/>
            <w:vAlign w:val="bottom"/>
          </w:tcPr>
          <w:p>
            <w:pPr>
              <w:jc w:val="right"/>
              <w:ind w:right="80"/>
              <w:spacing w:after="0"/>
              <w:rPr>
                <w:sz w:val="20"/>
                <w:szCs w:val="20"/>
                <w:color w:val="auto"/>
              </w:rPr>
            </w:pPr>
            <w:r>
              <w:rPr>
                <w:rFonts w:ascii="Arial" w:cs="Arial" w:eastAsia="Arial" w:hAnsi="Arial"/>
                <w:sz w:val="16"/>
                <w:szCs w:val="16"/>
                <w:b w:val="1"/>
                <w:bCs w:val="1"/>
                <w:color w:val="auto"/>
              </w:rPr>
              <w:t>1,070</w:t>
            </w:r>
          </w:p>
        </w:tc>
        <w:tc>
          <w:tcPr>
            <w:tcW w:w="320" w:type="dxa"/>
            <w:vAlign w:val="bottom"/>
          </w:tcPr>
          <w:p>
            <w:pPr>
              <w:spacing w:after="0"/>
              <w:rPr>
                <w:sz w:val="21"/>
                <w:szCs w:val="21"/>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1,102</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(3)</w:t>
            </w:r>
          </w:p>
        </w:tc>
        <w:tc>
          <w:tcPr>
            <w:tcW w:w="260" w:type="dxa"/>
            <w:vAlign w:val="bottom"/>
          </w:tcPr>
          <w:p>
            <w:pPr>
              <w:spacing w:after="0"/>
              <w:rPr>
                <w:sz w:val="21"/>
                <w:szCs w:val="21"/>
                <w:color w:val="auto"/>
              </w:rPr>
            </w:pPr>
          </w:p>
        </w:tc>
        <w:tc>
          <w:tcPr>
            <w:tcW w:w="880" w:type="dxa"/>
            <w:vAlign w:val="bottom"/>
          </w:tcPr>
          <w:p>
            <w:pPr>
              <w:jc w:val="right"/>
              <w:ind w:right="80"/>
              <w:spacing w:after="0"/>
              <w:rPr>
                <w:sz w:val="20"/>
                <w:szCs w:val="20"/>
                <w:color w:val="auto"/>
              </w:rPr>
            </w:pPr>
            <w:r>
              <w:rPr>
                <w:rFonts w:ascii="Arial" w:cs="Arial" w:eastAsia="Arial" w:hAnsi="Arial"/>
                <w:sz w:val="16"/>
                <w:szCs w:val="16"/>
                <w:b w:val="1"/>
                <w:bCs w:val="1"/>
                <w:color w:val="auto"/>
              </w:rPr>
              <w:t>2,140</w:t>
            </w:r>
          </w:p>
        </w:tc>
        <w:tc>
          <w:tcPr>
            <w:tcW w:w="400" w:type="dxa"/>
            <w:vAlign w:val="bottom"/>
          </w:tcPr>
          <w:p>
            <w:pPr>
              <w:spacing w:after="0"/>
              <w:rPr>
                <w:sz w:val="21"/>
                <w:szCs w:val="21"/>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2,265</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w:t>
            </w:r>
          </w:p>
        </w:tc>
      </w:tr>
      <w:tr>
        <w:trPr>
          <w:trHeight w:val="243"/>
        </w:trPr>
        <w:tc>
          <w:tcPr>
            <w:tcW w:w="4940" w:type="dxa"/>
            <w:vAlign w:val="bottom"/>
          </w:tcPr>
          <w:p>
            <w:pPr>
              <w:ind w:left="220"/>
              <w:spacing w:after="0"/>
              <w:rPr>
                <w:sz w:val="20"/>
                <w:szCs w:val="20"/>
                <w:color w:val="auto"/>
              </w:rPr>
            </w:pPr>
            <w:r>
              <w:rPr>
                <w:rFonts w:ascii="Arial" w:cs="Arial" w:eastAsia="Arial" w:hAnsi="Arial"/>
                <w:sz w:val="16"/>
                <w:szCs w:val="16"/>
                <w:color w:val="auto"/>
              </w:rPr>
              <w:t>Test preparation</w:t>
            </w:r>
          </w:p>
        </w:tc>
        <w:tc>
          <w:tcPr>
            <w:tcW w:w="180" w:type="dxa"/>
            <w:vAlign w:val="bottom"/>
          </w:tcPr>
          <w:p>
            <w:pPr>
              <w:spacing w:after="0"/>
              <w:rPr>
                <w:sz w:val="21"/>
                <w:szCs w:val="21"/>
                <w:color w:val="auto"/>
              </w:rPr>
            </w:pPr>
          </w:p>
        </w:tc>
        <w:tc>
          <w:tcPr>
            <w:tcW w:w="820" w:type="dxa"/>
            <w:vAlign w:val="bottom"/>
          </w:tcPr>
          <w:p>
            <w:pPr>
              <w:jc w:val="right"/>
              <w:ind w:right="80"/>
              <w:spacing w:after="0"/>
              <w:rPr>
                <w:sz w:val="20"/>
                <w:szCs w:val="20"/>
                <w:color w:val="auto"/>
              </w:rPr>
            </w:pPr>
            <w:r>
              <w:rPr>
                <w:rFonts w:ascii="Arial" w:cs="Arial" w:eastAsia="Arial" w:hAnsi="Arial"/>
                <w:sz w:val="16"/>
                <w:szCs w:val="16"/>
                <w:b w:val="1"/>
                <w:bCs w:val="1"/>
                <w:color w:val="auto"/>
              </w:rPr>
              <w:t>823</w:t>
            </w:r>
          </w:p>
        </w:tc>
        <w:tc>
          <w:tcPr>
            <w:tcW w:w="320" w:type="dxa"/>
            <w:vAlign w:val="bottom"/>
          </w:tcPr>
          <w:p>
            <w:pPr>
              <w:spacing w:after="0"/>
              <w:rPr>
                <w:sz w:val="21"/>
                <w:szCs w:val="21"/>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821</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880" w:type="dxa"/>
            <w:vAlign w:val="bottom"/>
          </w:tcPr>
          <w:p>
            <w:pPr>
              <w:jc w:val="right"/>
              <w:ind w:right="80"/>
              <w:spacing w:after="0"/>
              <w:rPr>
                <w:sz w:val="20"/>
                <w:szCs w:val="20"/>
                <w:color w:val="auto"/>
              </w:rPr>
            </w:pPr>
            <w:r>
              <w:rPr>
                <w:rFonts w:ascii="Arial" w:cs="Arial" w:eastAsia="Arial" w:hAnsi="Arial"/>
                <w:sz w:val="16"/>
                <w:szCs w:val="16"/>
                <w:b w:val="1"/>
                <w:bCs w:val="1"/>
                <w:color w:val="auto"/>
              </w:rPr>
              <w:t>1,646</w:t>
            </w:r>
          </w:p>
        </w:tc>
        <w:tc>
          <w:tcPr>
            <w:tcW w:w="400" w:type="dxa"/>
            <w:vAlign w:val="bottom"/>
          </w:tcPr>
          <w:p>
            <w:pPr>
              <w:spacing w:after="0"/>
              <w:rPr>
                <w:sz w:val="21"/>
                <w:szCs w:val="21"/>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1,687</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w:t>
            </w:r>
          </w:p>
        </w:tc>
      </w:tr>
      <w:tr>
        <w:trPr>
          <w:trHeight w:val="243"/>
        </w:trPr>
        <w:tc>
          <w:tcPr>
            <w:tcW w:w="4940" w:type="dxa"/>
            <w:vAlign w:val="bottom"/>
          </w:tcPr>
          <w:p>
            <w:pPr>
              <w:ind w:left="220"/>
              <w:spacing w:after="0"/>
              <w:rPr>
                <w:sz w:val="20"/>
                <w:szCs w:val="20"/>
                <w:color w:val="auto"/>
              </w:rPr>
            </w:pPr>
            <w:r>
              <w:rPr>
                <w:rFonts w:ascii="Arial" w:cs="Arial" w:eastAsia="Arial" w:hAnsi="Arial"/>
                <w:sz w:val="16"/>
                <w:szCs w:val="16"/>
                <w:color w:val="auto"/>
              </w:rPr>
              <w:t>Professional (U.S.)</w:t>
            </w:r>
          </w:p>
        </w:tc>
        <w:tc>
          <w:tcPr>
            <w:tcW w:w="180" w:type="dxa"/>
            <w:vAlign w:val="bottom"/>
          </w:tcPr>
          <w:p>
            <w:pPr>
              <w:spacing w:after="0"/>
              <w:rPr>
                <w:sz w:val="21"/>
                <w:szCs w:val="21"/>
                <w:color w:val="auto"/>
              </w:rPr>
            </w:pPr>
          </w:p>
        </w:tc>
        <w:tc>
          <w:tcPr>
            <w:tcW w:w="820" w:type="dxa"/>
            <w:vAlign w:val="bottom"/>
          </w:tcPr>
          <w:p>
            <w:pPr>
              <w:jc w:val="right"/>
              <w:ind w:right="80"/>
              <w:spacing w:after="0"/>
              <w:rPr>
                <w:sz w:val="20"/>
                <w:szCs w:val="20"/>
                <w:color w:val="auto"/>
              </w:rPr>
            </w:pPr>
            <w:r>
              <w:rPr>
                <w:rFonts w:ascii="Arial" w:cs="Arial" w:eastAsia="Arial" w:hAnsi="Arial"/>
                <w:sz w:val="16"/>
                <w:szCs w:val="16"/>
                <w:b w:val="1"/>
                <w:bCs w:val="1"/>
                <w:color w:val="auto"/>
              </w:rPr>
              <w:t>261</w:t>
            </w:r>
          </w:p>
        </w:tc>
        <w:tc>
          <w:tcPr>
            <w:tcW w:w="320" w:type="dxa"/>
            <w:vAlign w:val="bottom"/>
          </w:tcPr>
          <w:p>
            <w:pPr>
              <w:spacing w:after="0"/>
              <w:rPr>
                <w:sz w:val="21"/>
                <w:szCs w:val="21"/>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329</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(21)</w:t>
            </w:r>
          </w:p>
        </w:tc>
        <w:tc>
          <w:tcPr>
            <w:tcW w:w="260" w:type="dxa"/>
            <w:vAlign w:val="bottom"/>
          </w:tcPr>
          <w:p>
            <w:pPr>
              <w:spacing w:after="0"/>
              <w:rPr>
                <w:sz w:val="21"/>
                <w:szCs w:val="21"/>
                <w:color w:val="auto"/>
              </w:rPr>
            </w:pPr>
          </w:p>
        </w:tc>
        <w:tc>
          <w:tcPr>
            <w:tcW w:w="880" w:type="dxa"/>
            <w:vAlign w:val="bottom"/>
          </w:tcPr>
          <w:p>
            <w:pPr>
              <w:jc w:val="right"/>
              <w:ind w:right="80"/>
              <w:spacing w:after="0"/>
              <w:rPr>
                <w:sz w:val="20"/>
                <w:szCs w:val="20"/>
                <w:color w:val="auto"/>
              </w:rPr>
            </w:pPr>
            <w:r>
              <w:rPr>
                <w:rFonts w:ascii="Arial" w:cs="Arial" w:eastAsia="Arial" w:hAnsi="Arial"/>
                <w:sz w:val="16"/>
                <w:szCs w:val="16"/>
                <w:b w:val="1"/>
                <w:bCs w:val="1"/>
                <w:color w:val="auto"/>
              </w:rPr>
              <w:t>523</w:t>
            </w:r>
          </w:p>
        </w:tc>
        <w:tc>
          <w:tcPr>
            <w:tcW w:w="400" w:type="dxa"/>
            <w:vAlign w:val="bottom"/>
          </w:tcPr>
          <w:p>
            <w:pPr>
              <w:spacing w:after="0"/>
              <w:rPr>
                <w:sz w:val="21"/>
                <w:szCs w:val="21"/>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677</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(23)</w:t>
            </w:r>
          </w:p>
        </w:tc>
      </w:tr>
      <w:tr>
        <w:trPr>
          <w:trHeight w:val="256"/>
        </w:trPr>
        <w:tc>
          <w:tcPr>
            <w:tcW w:w="494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318</w:t>
            </w:r>
          </w:p>
        </w:tc>
        <w:tc>
          <w:tcPr>
            <w:tcW w:w="3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160</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99</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636</w:t>
            </w:r>
          </w:p>
        </w:tc>
        <w:tc>
          <w:tcPr>
            <w:tcW w:w="4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330</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93</w:t>
            </w:r>
          </w:p>
        </w:tc>
      </w:tr>
      <w:tr>
        <w:trPr>
          <w:trHeight w:val="236"/>
        </w:trPr>
        <w:tc>
          <w:tcPr>
            <w:tcW w:w="494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2,592</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2,522</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3</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5,177</w:t>
            </w:r>
          </w:p>
        </w:tc>
        <w:tc>
          <w:tcPr>
            <w:tcW w:w="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5,186</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w:t>
            </w: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240"/>
          </w:cols>
          <w:pgMar w:left="320" w:top="1124" w:right="339" w:bottom="1440" w:gutter="0" w:footer="0" w:header="0"/>
        </w:sectPr>
      </w:pP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240"/>
          </w:cols>
          <w:pgMar w:left="320" w:top="1124"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color w:val="auto"/>
        </w:rPr>
        <w:t>NON-GAAP FINANCIAL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GRAHAM HOLDINGS COMPANY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44" w:lineRule="exact"/>
        <w:rPr>
          <w:sz w:val="20"/>
          <w:szCs w:val="20"/>
          <w:color w:val="auto"/>
        </w:rPr>
      </w:pPr>
    </w:p>
    <w:p>
      <w:pPr>
        <w:ind w:right="180"/>
        <w:spacing w:after="0" w:line="227" w:lineRule="auto"/>
        <w:rPr>
          <w:sz w:val="20"/>
          <w:szCs w:val="20"/>
          <w:color w:val="auto"/>
        </w:rPr>
      </w:pPr>
      <w:r>
        <w:rPr>
          <w:rFonts w:ascii="Arial" w:cs="Arial" w:eastAsia="Arial" w:hAnsi="Arial"/>
          <w:sz w:val="18"/>
          <w:szCs w:val="18"/>
          <w:color w:val="auto"/>
        </w:rPr>
        <w:t>In addition to the results reported in accordance with accounting principles generally accepted in the United States (GAAP) included in this press release, the Company has provided information regarding (Loss) income before income taxes, excluding certain items described below, reconciled to the most directly comparable GAAP measures. Management believes that these non-GAAP measures, when read in conjunction with the Company’s GAAP financials, provide useful information to investors by offering:</w:t>
      </w:r>
    </w:p>
    <w:p>
      <w:pPr>
        <w:spacing w:after="0" w:line="8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to make meaningful period-to-period comparisons of the Company’s ongoing results;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to identify trends in the Company’s underlying business;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better understanding of how management plans and measures the Company’s underlying business.</w:t>
      </w:r>
    </w:p>
    <w:p>
      <w:pPr>
        <w:spacing w:after="0" w:line="90" w:lineRule="exact"/>
        <w:rPr>
          <w:sz w:val="20"/>
          <w:szCs w:val="20"/>
          <w:color w:val="auto"/>
        </w:rPr>
      </w:pPr>
    </w:p>
    <w:p>
      <w:pPr>
        <w:ind w:right="380"/>
        <w:spacing w:after="0" w:line="229" w:lineRule="auto"/>
        <w:rPr>
          <w:sz w:val="20"/>
          <w:szCs w:val="20"/>
          <w:color w:val="auto"/>
        </w:rPr>
      </w:pPr>
      <w:r>
        <w:rPr>
          <w:rFonts w:ascii="Arial" w:cs="Arial" w:eastAsia="Arial" w:hAnsi="Arial"/>
          <w:sz w:val="18"/>
          <w:szCs w:val="18"/>
          <w:color w:val="auto"/>
        </w:rPr>
        <w:t>The Company has provided this non-GAAP information on a pre-income tax basis in order to facilitate a meaningful period-to-period comparison of income in light of the difference in applicable income tax rates for the second quarter and first six months of 2020 and the second quarter and first six months of 2019.</w:t>
      </w:r>
    </w:p>
    <w:p>
      <w:pPr>
        <w:spacing w:after="0" w:line="137"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(Loss) income before income taxes, excluding certain items, should not be considered substitutes or alternatives to computations calculated in accordance with and required by GAAP. These non-GAAP financial measures should be read only in conjunction with financial information presented on a GAAP basis. The following table reconciles the non-GAAP financial measures to the most directly comparable GAAP measures: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560" w:type="dxa"/>
            <w:vAlign w:val="bottom"/>
          </w:tcPr>
          <w:p>
            <w:pPr>
              <w:spacing w:after="0"/>
              <w:rPr>
                <w:sz w:val="16"/>
                <w:szCs w:val="16"/>
                <w:color w:val="auto"/>
              </w:rPr>
            </w:pPr>
          </w:p>
        </w:tc>
        <w:tc>
          <w:tcPr>
            <w:tcW w:w="2180" w:type="dxa"/>
            <w:vAlign w:val="bottom"/>
            <w:gridSpan w:val="4"/>
          </w:tcPr>
          <w:p>
            <w:pPr>
              <w:jc w:val="right"/>
              <w:ind w:right="20"/>
              <w:spacing w:after="0"/>
              <w:rPr>
                <w:sz w:val="20"/>
                <w:szCs w:val="20"/>
                <w:color w:val="auto"/>
              </w:rPr>
            </w:pPr>
            <w:r>
              <w:rPr>
                <w:rFonts w:ascii="Arial" w:cs="Arial" w:eastAsia="Arial" w:hAnsi="Arial"/>
                <w:sz w:val="16"/>
                <w:szCs w:val="16"/>
                <w:b w:val="1"/>
                <w:bCs w:val="1"/>
                <w:color w:val="auto"/>
              </w:rPr>
              <w:t>Three Months Ended June</w:t>
            </w: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5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30</w:t>
            </w:r>
          </w:p>
        </w:tc>
        <w:tc>
          <w:tcPr>
            <w:tcW w:w="86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10"/>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2019</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2020</w:t>
            </w:r>
          </w:p>
        </w:tc>
        <w:tc>
          <w:tcPr>
            <w:tcW w:w="100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23"/>
        </w:trPr>
        <w:tc>
          <w:tcPr>
            <w:tcW w:w="6560" w:type="dxa"/>
            <w:vAlign w:val="bottom"/>
          </w:tcPr>
          <w:p>
            <w:pPr>
              <w:ind w:left="20"/>
              <w:spacing w:after="0"/>
              <w:rPr>
                <w:sz w:val="20"/>
                <w:szCs w:val="20"/>
                <w:color w:val="auto"/>
              </w:rPr>
            </w:pPr>
            <w:r>
              <w:rPr>
                <w:rFonts w:ascii="Arial" w:cs="Arial" w:eastAsia="Arial" w:hAnsi="Arial"/>
                <w:sz w:val="16"/>
                <w:szCs w:val="16"/>
                <w:color w:val="auto"/>
              </w:rPr>
              <w:t>Income (loss) before income taxes, as reported</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Pr>
          <w:p>
            <w:pPr>
              <w:jc w:val="right"/>
              <w:ind w:right="20"/>
              <w:spacing w:after="0"/>
              <w:rPr>
                <w:sz w:val="20"/>
                <w:szCs w:val="20"/>
                <w:color w:val="auto"/>
              </w:rPr>
            </w:pPr>
            <w:r>
              <w:rPr>
                <w:rFonts w:ascii="Arial" w:cs="Arial" w:eastAsia="Arial" w:hAnsi="Arial"/>
                <w:sz w:val="16"/>
                <w:szCs w:val="16"/>
                <w:b w:val="1"/>
                <w:bCs w:val="1"/>
                <w:color w:val="auto"/>
              </w:rPr>
              <w:t>60,762</w:t>
            </w: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00"/>
              <w:spacing w:after="0"/>
              <w:rPr>
                <w:sz w:val="20"/>
                <w:szCs w:val="20"/>
                <w:color w:val="auto"/>
              </w:rPr>
            </w:pPr>
            <w:r>
              <w:rPr>
                <w:rFonts w:ascii="Arial" w:cs="Arial" w:eastAsia="Arial" w:hAnsi="Arial"/>
                <w:sz w:val="16"/>
                <w:szCs w:val="16"/>
                <w:color w:val="auto"/>
              </w:rPr>
              <w:t>73,895</w:t>
            </w:r>
          </w:p>
        </w:tc>
        <w:tc>
          <w:tcPr>
            <w:tcW w:w="34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(18,529)</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$ 183,197</w:t>
            </w:r>
          </w:p>
        </w:tc>
        <w:tc>
          <w:tcPr>
            <w:tcW w:w="0" w:type="dxa"/>
            <w:vAlign w:val="bottom"/>
          </w:tcPr>
          <w:p>
            <w:pPr>
              <w:spacing w:after="0"/>
              <w:rPr>
                <w:sz w:val="1"/>
                <w:szCs w:val="1"/>
                <w:color w:val="auto"/>
              </w:rPr>
            </w:pPr>
          </w:p>
        </w:tc>
      </w:tr>
      <w:tr>
        <w:trPr>
          <w:trHeight w:val="243"/>
        </w:trPr>
        <w:tc>
          <w:tcPr>
            <w:tcW w:w="6560" w:type="dxa"/>
            <w:vAlign w:val="bottom"/>
          </w:tcPr>
          <w:p>
            <w:pPr>
              <w:ind w:left="20"/>
              <w:spacing w:after="0"/>
              <w:rPr>
                <w:sz w:val="20"/>
                <w:szCs w:val="20"/>
                <w:color w:val="auto"/>
              </w:rPr>
            </w:pPr>
            <w:r>
              <w:rPr>
                <w:rFonts w:ascii="Arial" w:cs="Arial" w:eastAsia="Arial" w:hAnsi="Arial"/>
                <w:sz w:val="16"/>
                <w:szCs w:val="16"/>
                <w:color w:val="auto"/>
              </w:rPr>
              <w:t>Adjustments:</w:t>
            </w: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60" w:type="dxa"/>
            <w:vAlign w:val="bottom"/>
          </w:tcPr>
          <w:p>
            <w:pPr>
              <w:ind w:left="220"/>
              <w:spacing w:after="0"/>
              <w:rPr>
                <w:sz w:val="20"/>
                <w:szCs w:val="20"/>
                <w:color w:val="auto"/>
              </w:rPr>
            </w:pPr>
            <w:r>
              <w:rPr>
                <w:rFonts w:ascii="Arial" w:cs="Arial" w:eastAsia="Arial" w:hAnsi="Arial"/>
                <w:sz w:val="16"/>
                <w:szCs w:val="16"/>
                <w:color w:val="auto"/>
              </w:rPr>
              <w:t>Goodwill and other long-lived asset impairment charge</w:t>
            </w:r>
          </w:p>
        </w:tc>
        <w:tc>
          <w:tcPr>
            <w:tcW w:w="200" w:type="dxa"/>
            <w:vAlign w:val="bottom"/>
          </w:tcPr>
          <w:p>
            <w:pPr>
              <w:spacing w:after="0"/>
              <w:rPr>
                <w:sz w:val="21"/>
                <w:szCs w:val="21"/>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b w:val="1"/>
                <w:bCs w:val="1"/>
                <w:color w:val="auto"/>
              </w:rPr>
              <w:t>9,274</w:t>
            </w:r>
          </w:p>
        </w:tc>
        <w:tc>
          <w:tcPr>
            <w:tcW w:w="380" w:type="dxa"/>
            <w:vAlign w:val="bottom"/>
          </w:tcPr>
          <w:p>
            <w:pPr>
              <w:spacing w:after="0"/>
              <w:rPr>
                <w:sz w:val="21"/>
                <w:szCs w:val="21"/>
                <w:color w:val="auto"/>
              </w:rPr>
            </w:pPr>
          </w:p>
        </w:tc>
        <w:tc>
          <w:tcPr>
            <w:tcW w:w="86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1"/>
                <w:szCs w:val="21"/>
                <w:color w:val="auto"/>
              </w:rPr>
            </w:pPr>
          </w:p>
        </w:tc>
        <w:tc>
          <w:tcPr>
            <w:tcW w:w="880" w:type="dxa"/>
            <w:vAlign w:val="bottom"/>
          </w:tcPr>
          <w:p>
            <w:pPr>
              <w:jc w:val="right"/>
              <w:ind w:right="80"/>
              <w:spacing w:after="0"/>
              <w:rPr>
                <w:sz w:val="20"/>
                <w:szCs w:val="20"/>
                <w:color w:val="auto"/>
              </w:rPr>
            </w:pPr>
            <w:r>
              <w:rPr>
                <w:rFonts w:ascii="Arial" w:cs="Arial" w:eastAsia="Arial" w:hAnsi="Arial"/>
                <w:sz w:val="16"/>
                <w:szCs w:val="16"/>
                <w:b w:val="1"/>
                <w:bCs w:val="1"/>
                <w:color w:val="auto"/>
              </w:rPr>
              <w:t>25,676</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6560" w:type="dxa"/>
            <w:vAlign w:val="bottom"/>
          </w:tcPr>
          <w:p>
            <w:pPr>
              <w:ind w:left="220"/>
              <w:spacing w:after="0"/>
              <w:rPr>
                <w:sz w:val="20"/>
                <w:szCs w:val="20"/>
                <w:color w:val="auto"/>
              </w:rPr>
            </w:pPr>
            <w:r>
              <w:rPr>
                <w:rFonts w:ascii="Arial" w:cs="Arial" w:eastAsia="Arial" w:hAnsi="Arial"/>
                <w:sz w:val="16"/>
                <w:szCs w:val="16"/>
                <w:color w:val="auto"/>
              </w:rPr>
              <w:t>Restructuring charges at the education division</w:t>
            </w:r>
          </w:p>
        </w:tc>
        <w:tc>
          <w:tcPr>
            <w:tcW w:w="200" w:type="dxa"/>
            <w:vAlign w:val="bottom"/>
          </w:tcPr>
          <w:p>
            <w:pPr>
              <w:spacing w:after="0"/>
              <w:rPr>
                <w:sz w:val="21"/>
                <w:szCs w:val="21"/>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b w:val="1"/>
                <w:bCs w:val="1"/>
                <w:color w:val="auto"/>
              </w:rPr>
              <w:t>10,211</w:t>
            </w:r>
          </w:p>
        </w:tc>
        <w:tc>
          <w:tcPr>
            <w:tcW w:w="380" w:type="dxa"/>
            <w:vAlign w:val="bottom"/>
          </w:tcPr>
          <w:p>
            <w:pPr>
              <w:spacing w:after="0"/>
              <w:rPr>
                <w:sz w:val="21"/>
                <w:szCs w:val="21"/>
                <w:color w:val="auto"/>
              </w:rPr>
            </w:pPr>
          </w:p>
        </w:tc>
        <w:tc>
          <w:tcPr>
            <w:tcW w:w="86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1"/>
                <w:szCs w:val="21"/>
                <w:color w:val="auto"/>
              </w:rPr>
            </w:pPr>
          </w:p>
        </w:tc>
        <w:tc>
          <w:tcPr>
            <w:tcW w:w="880" w:type="dxa"/>
            <w:vAlign w:val="bottom"/>
          </w:tcPr>
          <w:p>
            <w:pPr>
              <w:jc w:val="right"/>
              <w:ind w:right="80"/>
              <w:spacing w:after="0"/>
              <w:rPr>
                <w:sz w:val="20"/>
                <w:szCs w:val="20"/>
                <w:color w:val="auto"/>
              </w:rPr>
            </w:pPr>
            <w:r>
              <w:rPr>
                <w:rFonts w:ascii="Arial" w:cs="Arial" w:eastAsia="Arial" w:hAnsi="Arial"/>
                <w:sz w:val="16"/>
                <w:szCs w:val="16"/>
                <w:b w:val="1"/>
                <w:bCs w:val="1"/>
                <w:color w:val="auto"/>
              </w:rPr>
              <w:t>10,211</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6560" w:type="dxa"/>
            <w:vAlign w:val="bottom"/>
          </w:tcPr>
          <w:p>
            <w:pPr>
              <w:ind w:left="220"/>
              <w:spacing w:after="0"/>
              <w:rPr>
                <w:sz w:val="20"/>
                <w:szCs w:val="20"/>
                <w:color w:val="auto"/>
              </w:rPr>
            </w:pPr>
            <w:r>
              <w:rPr>
                <w:rFonts w:ascii="Arial" w:cs="Arial" w:eastAsia="Arial" w:hAnsi="Arial"/>
                <w:sz w:val="16"/>
                <w:szCs w:val="16"/>
                <w:color w:val="auto"/>
              </w:rPr>
              <w:t>Accelerated depreciation at other businesses</w:t>
            </w:r>
          </w:p>
        </w:tc>
        <w:tc>
          <w:tcPr>
            <w:tcW w:w="200" w:type="dxa"/>
            <w:vAlign w:val="bottom"/>
          </w:tcPr>
          <w:p>
            <w:pPr>
              <w:spacing w:after="0"/>
              <w:rPr>
                <w:sz w:val="21"/>
                <w:szCs w:val="21"/>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b w:val="1"/>
                <w:bCs w:val="1"/>
                <w:color w:val="auto"/>
              </w:rPr>
              <w:t>2,847</w:t>
            </w:r>
          </w:p>
        </w:tc>
        <w:tc>
          <w:tcPr>
            <w:tcW w:w="380" w:type="dxa"/>
            <w:vAlign w:val="bottom"/>
          </w:tcPr>
          <w:p>
            <w:pPr>
              <w:spacing w:after="0"/>
              <w:rPr>
                <w:sz w:val="21"/>
                <w:szCs w:val="21"/>
                <w:color w:val="auto"/>
              </w:rPr>
            </w:pPr>
          </w:p>
        </w:tc>
        <w:tc>
          <w:tcPr>
            <w:tcW w:w="86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1"/>
                <w:szCs w:val="21"/>
                <w:color w:val="auto"/>
              </w:rPr>
            </w:pPr>
          </w:p>
        </w:tc>
        <w:tc>
          <w:tcPr>
            <w:tcW w:w="880" w:type="dxa"/>
            <w:vAlign w:val="bottom"/>
          </w:tcPr>
          <w:p>
            <w:pPr>
              <w:jc w:val="right"/>
              <w:ind w:right="80"/>
              <w:spacing w:after="0"/>
              <w:rPr>
                <w:sz w:val="20"/>
                <w:szCs w:val="20"/>
                <w:color w:val="auto"/>
              </w:rPr>
            </w:pPr>
            <w:r>
              <w:rPr>
                <w:rFonts w:ascii="Arial" w:cs="Arial" w:eastAsia="Arial" w:hAnsi="Arial"/>
                <w:sz w:val="16"/>
                <w:szCs w:val="16"/>
                <w:b w:val="1"/>
                <w:bCs w:val="1"/>
                <w:color w:val="auto"/>
              </w:rPr>
              <w:t>2,847</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6560" w:type="dxa"/>
            <w:vAlign w:val="bottom"/>
          </w:tcPr>
          <w:p>
            <w:pPr>
              <w:ind w:left="220"/>
              <w:spacing w:after="0"/>
              <w:rPr>
                <w:sz w:val="20"/>
                <w:szCs w:val="20"/>
                <w:color w:val="auto"/>
              </w:rPr>
            </w:pPr>
            <w:r>
              <w:rPr>
                <w:rFonts w:ascii="Arial" w:cs="Arial" w:eastAsia="Arial" w:hAnsi="Arial"/>
                <w:sz w:val="16"/>
                <w:szCs w:val="16"/>
                <w:color w:val="auto"/>
              </w:rPr>
              <w:t>Reduction to operating expenses in connection with the broadcast spectrum repacking</w:t>
            </w:r>
          </w:p>
        </w:tc>
        <w:tc>
          <w:tcPr>
            <w:tcW w:w="2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(1,074)</w:t>
            </w:r>
          </w:p>
        </w:tc>
        <w:tc>
          <w:tcPr>
            <w:tcW w:w="380" w:type="dxa"/>
            <w:vAlign w:val="bottom"/>
          </w:tcPr>
          <w:p>
            <w:pPr>
              <w:spacing w:after="0"/>
              <w:rPr>
                <w:sz w:val="22"/>
                <w:szCs w:val="22"/>
                <w:color w:val="auto"/>
              </w:rPr>
            </w:pP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(7,831)</w:t>
            </w:r>
          </w:p>
        </w:tc>
        <w:tc>
          <w:tcPr>
            <w:tcW w:w="340" w:type="dxa"/>
            <w:vAlign w:val="bottom"/>
          </w:tcPr>
          <w:p>
            <w:pPr>
              <w:spacing w:after="0"/>
              <w:rPr>
                <w:sz w:val="22"/>
                <w:szCs w:val="22"/>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(1,365)</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(9,619)</w:t>
            </w:r>
          </w:p>
        </w:tc>
        <w:tc>
          <w:tcPr>
            <w:tcW w:w="0" w:type="dxa"/>
            <w:vAlign w:val="bottom"/>
          </w:tcPr>
          <w:p>
            <w:pPr>
              <w:spacing w:after="0"/>
              <w:rPr>
                <w:sz w:val="1"/>
                <w:szCs w:val="1"/>
                <w:color w:val="auto"/>
              </w:rPr>
            </w:pPr>
          </w:p>
        </w:tc>
      </w:tr>
      <w:tr>
        <w:trPr>
          <w:trHeight w:val="230"/>
        </w:trPr>
        <w:tc>
          <w:tcPr>
            <w:tcW w:w="6560" w:type="dxa"/>
            <w:vAlign w:val="bottom"/>
          </w:tcPr>
          <w:p>
            <w:pPr>
              <w:ind w:left="220"/>
              <w:spacing w:after="0"/>
              <w:rPr>
                <w:sz w:val="20"/>
                <w:szCs w:val="20"/>
                <w:color w:val="auto"/>
              </w:rPr>
            </w:pPr>
            <w:r>
              <w:rPr>
                <w:rFonts w:ascii="Arial" w:cs="Arial" w:eastAsia="Arial" w:hAnsi="Arial"/>
                <w:sz w:val="16"/>
                <w:szCs w:val="16"/>
                <w:color w:val="auto"/>
              </w:rPr>
              <w:t>Charges related to non-operating Separation Incentive Program</w:t>
            </w:r>
          </w:p>
        </w:tc>
        <w:tc>
          <w:tcPr>
            <w:tcW w:w="200" w:type="dxa"/>
            <w:vAlign w:val="bottom"/>
          </w:tcPr>
          <w:p>
            <w:pPr>
              <w:spacing w:after="0"/>
              <w:rPr>
                <w:sz w:val="19"/>
                <w:szCs w:val="19"/>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b w:val="1"/>
                <w:bCs w:val="1"/>
                <w:color w:val="auto"/>
              </w:rPr>
              <w:t>4,583</w:t>
            </w:r>
          </w:p>
        </w:tc>
        <w:tc>
          <w:tcPr>
            <w:tcW w:w="380" w:type="dxa"/>
            <w:vAlign w:val="bottom"/>
          </w:tcPr>
          <w:p>
            <w:pPr>
              <w:spacing w:after="0"/>
              <w:rPr>
                <w:sz w:val="19"/>
                <w:szCs w:val="19"/>
                <w:color w:val="auto"/>
              </w:rPr>
            </w:pPr>
          </w:p>
        </w:tc>
        <w:tc>
          <w:tcPr>
            <w:tcW w:w="860" w:type="dxa"/>
            <w:vAlign w:val="bottom"/>
          </w:tcPr>
          <w:p>
            <w:pPr>
              <w:jc w:val="right"/>
              <w:ind w:right="100"/>
              <w:spacing w:after="0"/>
              <w:rPr>
                <w:sz w:val="20"/>
                <w:szCs w:val="20"/>
                <w:color w:val="auto"/>
              </w:rPr>
            </w:pPr>
            <w:r>
              <w:rPr>
                <w:rFonts w:ascii="Arial" w:cs="Arial" w:eastAsia="Arial" w:hAnsi="Arial"/>
                <w:sz w:val="16"/>
                <w:szCs w:val="16"/>
                <w:color w:val="auto"/>
              </w:rPr>
              <w:t>6,607</w:t>
            </w:r>
          </w:p>
        </w:tc>
        <w:tc>
          <w:tcPr>
            <w:tcW w:w="340" w:type="dxa"/>
            <w:vAlign w:val="bottom"/>
          </w:tcPr>
          <w:p>
            <w:pPr>
              <w:spacing w:after="0"/>
              <w:rPr>
                <w:sz w:val="19"/>
                <w:szCs w:val="19"/>
                <w:color w:val="auto"/>
              </w:rPr>
            </w:pPr>
          </w:p>
        </w:tc>
        <w:tc>
          <w:tcPr>
            <w:tcW w:w="880" w:type="dxa"/>
            <w:vAlign w:val="bottom"/>
          </w:tcPr>
          <w:p>
            <w:pPr>
              <w:jc w:val="right"/>
              <w:ind w:right="80"/>
              <w:spacing w:after="0"/>
              <w:rPr>
                <w:sz w:val="20"/>
                <w:szCs w:val="20"/>
                <w:color w:val="auto"/>
              </w:rPr>
            </w:pPr>
            <w:r>
              <w:rPr>
                <w:rFonts w:ascii="Arial" w:cs="Arial" w:eastAsia="Arial" w:hAnsi="Arial"/>
                <w:sz w:val="16"/>
                <w:szCs w:val="16"/>
                <w:b w:val="1"/>
                <w:bCs w:val="1"/>
                <w:color w:val="auto"/>
              </w:rPr>
              <w:t>4,583</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6,607</w:t>
            </w:r>
          </w:p>
        </w:tc>
        <w:tc>
          <w:tcPr>
            <w:tcW w:w="0" w:type="dxa"/>
            <w:vAlign w:val="bottom"/>
          </w:tcPr>
          <w:p>
            <w:pPr>
              <w:spacing w:after="0"/>
              <w:rPr>
                <w:sz w:val="1"/>
                <w:szCs w:val="1"/>
                <w:color w:val="auto"/>
              </w:rPr>
            </w:pPr>
          </w:p>
        </w:tc>
      </w:tr>
      <w:tr>
        <w:trPr>
          <w:trHeight w:val="256"/>
        </w:trPr>
        <w:tc>
          <w:tcPr>
            <w:tcW w:w="6560" w:type="dxa"/>
            <w:vAlign w:val="bottom"/>
          </w:tcPr>
          <w:p>
            <w:pPr>
              <w:ind w:left="220"/>
              <w:spacing w:after="0"/>
              <w:rPr>
                <w:sz w:val="20"/>
                <w:szCs w:val="20"/>
                <w:color w:val="auto"/>
              </w:rPr>
            </w:pPr>
            <w:r>
              <w:rPr>
                <w:rFonts w:ascii="Arial" w:cs="Arial" w:eastAsia="Arial" w:hAnsi="Arial"/>
                <w:sz w:val="16"/>
                <w:szCs w:val="16"/>
                <w:color w:val="auto"/>
              </w:rPr>
              <w:t>Net (gains) losses on marketable equity securities</w:t>
            </w:r>
          </w:p>
        </w:tc>
        <w:tc>
          <w:tcPr>
            <w:tcW w:w="2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(39,890)</w:t>
            </w:r>
          </w:p>
        </w:tc>
        <w:tc>
          <w:tcPr>
            <w:tcW w:w="380" w:type="dxa"/>
            <w:vAlign w:val="bottom"/>
          </w:tcPr>
          <w:p>
            <w:pPr>
              <w:spacing w:after="0"/>
              <w:rPr>
                <w:sz w:val="22"/>
                <w:szCs w:val="22"/>
                <w:color w:val="auto"/>
              </w:rPr>
            </w:pP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(7,790)</w:t>
            </w:r>
          </w:p>
        </w:tc>
        <w:tc>
          <w:tcPr>
            <w:tcW w:w="340" w:type="dxa"/>
            <w:vAlign w:val="bottom"/>
          </w:tcPr>
          <w:p>
            <w:pPr>
              <w:spacing w:after="0"/>
              <w:rPr>
                <w:sz w:val="22"/>
                <w:szCs w:val="22"/>
                <w:color w:val="auto"/>
              </w:rPr>
            </w:pPr>
          </w:p>
        </w:tc>
        <w:tc>
          <w:tcPr>
            <w:tcW w:w="880" w:type="dxa"/>
            <w:vAlign w:val="bottom"/>
          </w:tcPr>
          <w:p>
            <w:pPr>
              <w:jc w:val="right"/>
              <w:ind w:right="80"/>
              <w:spacing w:after="0"/>
              <w:rPr>
                <w:sz w:val="20"/>
                <w:szCs w:val="20"/>
                <w:color w:val="auto"/>
              </w:rPr>
            </w:pPr>
            <w:r>
              <w:rPr>
                <w:rFonts w:ascii="Arial" w:cs="Arial" w:eastAsia="Arial" w:hAnsi="Arial"/>
                <w:sz w:val="16"/>
                <w:szCs w:val="16"/>
                <w:b w:val="1"/>
                <w:bCs w:val="1"/>
                <w:color w:val="auto"/>
              </w:rPr>
              <w:t>60,503</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(31,857)</w:t>
            </w:r>
          </w:p>
        </w:tc>
        <w:tc>
          <w:tcPr>
            <w:tcW w:w="0" w:type="dxa"/>
            <w:vAlign w:val="bottom"/>
          </w:tcPr>
          <w:p>
            <w:pPr>
              <w:spacing w:after="0"/>
              <w:rPr>
                <w:sz w:val="1"/>
                <w:szCs w:val="1"/>
                <w:color w:val="auto"/>
              </w:rPr>
            </w:pPr>
          </w:p>
        </w:tc>
      </w:tr>
      <w:tr>
        <w:trPr>
          <w:trHeight w:val="230"/>
        </w:trPr>
        <w:tc>
          <w:tcPr>
            <w:tcW w:w="6560" w:type="dxa"/>
            <w:vAlign w:val="bottom"/>
          </w:tcPr>
          <w:p>
            <w:pPr>
              <w:ind w:left="220"/>
              <w:spacing w:after="0"/>
              <w:rPr>
                <w:sz w:val="20"/>
                <w:szCs w:val="20"/>
                <w:color w:val="auto"/>
              </w:rPr>
            </w:pPr>
            <w:r>
              <w:rPr>
                <w:rFonts w:ascii="Arial" w:cs="Arial" w:eastAsia="Arial" w:hAnsi="Arial"/>
                <w:sz w:val="16"/>
                <w:szCs w:val="16"/>
                <w:color w:val="auto"/>
              </w:rPr>
              <w:t>Gain on sale of Gimlet Media</w:t>
            </w:r>
          </w:p>
        </w:tc>
        <w:tc>
          <w:tcPr>
            <w:tcW w:w="200" w:type="dxa"/>
            <w:vAlign w:val="bottom"/>
          </w:tcPr>
          <w:p>
            <w:pPr>
              <w:spacing w:after="0"/>
              <w:rPr>
                <w:sz w:val="19"/>
                <w:szCs w:val="19"/>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9"/>
                <w:szCs w:val="19"/>
                <w:color w:val="auto"/>
              </w:rPr>
            </w:pPr>
          </w:p>
        </w:tc>
        <w:tc>
          <w:tcPr>
            <w:tcW w:w="86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88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(28,994)</w:t>
            </w:r>
          </w:p>
        </w:tc>
        <w:tc>
          <w:tcPr>
            <w:tcW w:w="0" w:type="dxa"/>
            <w:vAlign w:val="bottom"/>
          </w:tcPr>
          <w:p>
            <w:pPr>
              <w:spacing w:after="0"/>
              <w:rPr>
                <w:sz w:val="1"/>
                <w:szCs w:val="1"/>
                <w:color w:val="auto"/>
              </w:rPr>
            </w:pPr>
          </w:p>
        </w:tc>
      </w:tr>
      <w:tr>
        <w:trPr>
          <w:trHeight w:val="210"/>
        </w:trPr>
        <w:tc>
          <w:tcPr>
            <w:tcW w:w="6560" w:type="dxa"/>
            <w:vAlign w:val="bottom"/>
          </w:tcPr>
          <w:p>
            <w:pPr>
              <w:ind w:left="260"/>
              <w:spacing w:after="0"/>
              <w:rPr>
                <w:sz w:val="20"/>
                <w:szCs w:val="20"/>
                <w:color w:val="auto"/>
              </w:rPr>
            </w:pPr>
            <w:r>
              <w:rPr>
                <w:rFonts w:ascii="Arial" w:cs="Arial" w:eastAsia="Arial" w:hAnsi="Arial"/>
                <w:sz w:val="16"/>
                <w:szCs w:val="16"/>
                <w:color w:val="auto"/>
              </w:rPr>
              <w:t>Non-operating gains, net, from write-ups, sales and impairments of cost and equity</w:t>
            </w:r>
          </w:p>
        </w:tc>
        <w:tc>
          <w:tcPr>
            <w:tcW w:w="20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(7,752)</w:t>
            </w: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(1,621)</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560" w:type="dxa"/>
            <w:vAlign w:val="bottom"/>
          </w:tcPr>
          <w:p>
            <w:pPr>
              <w:ind w:left="440"/>
              <w:spacing w:after="0"/>
              <w:rPr>
                <w:sz w:val="20"/>
                <w:szCs w:val="20"/>
                <w:color w:val="auto"/>
              </w:rPr>
            </w:pPr>
            <w:r>
              <w:rPr>
                <w:rFonts w:ascii="Arial" w:cs="Arial" w:eastAsia="Arial" w:hAnsi="Arial"/>
                <w:sz w:val="16"/>
                <w:szCs w:val="16"/>
                <w:color w:val="auto"/>
              </w:rPr>
              <w:t>method investments</w:t>
            </w: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(1,411)</w:t>
            </w:r>
          </w:p>
        </w:tc>
        <w:tc>
          <w:tcPr>
            <w:tcW w:w="0" w:type="dxa"/>
            <w:vAlign w:val="bottom"/>
          </w:tcPr>
          <w:p>
            <w:pPr>
              <w:spacing w:after="0"/>
              <w:rPr>
                <w:sz w:val="1"/>
                <w:szCs w:val="1"/>
                <w:color w:val="auto"/>
              </w:rPr>
            </w:pPr>
          </w:p>
        </w:tc>
      </w:tr>
      <w:tr>
        <w:trPr>
          <w:trHeight w:val="256"/>
        </w:trPr>
        <w:tc>
          <w:tcPr>
            <w:tcW w:w="6560" w:type="dxa"/>
            <w:vAlign w:val="bottom"/>
          </w:tcPr>
          <w:p>
            <w:pPr>
              <w:ind w:left="220"/>
              <w:spacing w:after="0"/>
              <w:rPr>
                <w:sz w:val="20"/>
                <w:szCs w:val="20"/>
                <w:color w:val="auto"/>
              </w:rPr>
            </w:pPr>
            <w:r>
              <w:rPr>
                <w:rFonts w:ascii="Arial" w:cs="Arial" w:eastAsia="Arial" w:hAnsi="Arial"/>
                <w:sz w:val="16"/>
                <w:szCs w:val="16"/>
                <w:color w:val="auto"/>
              </w:rPr>
              <w:t>Foreign currency loss (gain)</w:t>
            </w: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1,070</w:t>
            </w: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(109)</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(3,220)</w:t>
            </w: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(623)</w:t>
            </w:r>
          </w:p>
        </w:tc>
        <w:tc>
          <w:tcPr>
            <w:tcW w:w="0" w:type="dxa"/>
            <w:vAlign w:val="bottom"/>
          </w:tcPr>
          <w:p>
            <w:pPr>
              <w:spacing w:after="0"/>
              <w:rPr>
                <w:sz w:val="1"/>
                <w:szCs w:val="1"/>
                <w:color w:val="auto"/>
              </w:rPr>
            </w:pPr>
          </w:p>
        </w:tc>
      </w:tr>
      <w:tr>
        <w:trPr>
          <w:trHeight w:val="197"/>
        </w:trPr>
        <w:tc>
          <w:tcPr>
            <w:tcW w:w="6560" w:type="dxa"/>
            <w:vAlign w:val="bottom"/>
          </w:tcPr>
          <w:p>
            <w:pPr>
              <w:ind w:left="20"/>
              <w:spacing w:after="0"/>
              <w:rPr>
                <w:sz w:val="20"/>
                <w:szCs w:val="20"/>
                <w:color w:val="auto"/>
              </w:rPr>
            </w:pPr>
            <w:r>
              <w:rPr>
                <w:rFonts w:ascii="Arial" w:cs="Arial" w:eastAsia="Arial" w:hAnsi="Arial"/>
                <w:sz w:val="16"/>
                <w:szCs w:val="16"/>
                <w:color w:val="auto"/>
              </w:rPr>
              <w:t>Income before income taxes, adjusted (non-GAAP)</w:t>
            </w: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4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40,031</w:t>
            </w:r>
          </w:p>
        </w:tc>
        <w:tc>
          <w:tcPr>
            <w:tcW w:w="38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ind w:right="100"/>
              <w:spacing w:after="0"/>
              <w:rPr>
                <w:sz w:val="20"/>
                <w:szCs w:val="20"/>
                <w:color w:val="auto"/>
              </w:rPr>
            </w:pPr>
            <w:r>
              <w:rPr>
                <w:rFonts w:ascii="Arial" w:cs="Arial" w:eastAsia="Arial" w:hAnsi="Arial"/>
                <w:sz w:val="16"/>
                <w:szCs w:val="16"/>
                <w:color w:val="auto"/>
              </w:rPr>
              <w:t>64,772</w:t>
            </w:r>
          </w:p>
        </w:tc>
        <w:tc>
          <w:tcPr>
            <w:tcW w:w="34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vMerge w:val="restart"/>
          </w:tcPr>
          <w:p>
            <w:pPr>
              <w:jc w:val="right"/>
              <w:ind w:right="80"/>
              <w:spacing w:after="0"/>
              <w:rPr>
                <w:sz w:val="20"/>
                <w:szCs w:val="20"/>
                <w:color w:val="auto"/>
              </w:rPr>
            </w:pPr>
            <w:r>
              <w:rPr>
                <w:rFonts w:ascii="Arial" w:cs="Arial" w:eastAsia="Arial" w:hAnsi="Arial"/>
                <w:sz w:val="16"/>
                <w:szCs w:val="16"/>
                <w:b w:val="1"/>
                <w:bCs w:val="1"/>
                <w:color w:val="auto"/>
              </w:rPr>
              <w:t>79,085</w:t>
            </w:r>
          </w:p>
        </w:tc>
        <w:tc>
          <w:tcPr>
            <w:tcW w:w="1000" w:type="dxa"/>
            <w:vAlign w:val="bottom"/>
            <w:vMerge w:val="restart"/>
          </w:tcPr>
          <w:p>
            <w:pPr>
              <w:jc w:val="right"/>
              <w:ind w:right="60"/>
              <w:spacing w:after="0"/>
              <w:rPr>
                <w:sz w:val="20"/>
                <w:szCs w:val="20"/>
                <w:color w:val="auto"/>
              </w:rPr>
            </w:pPr>
            <w:r>
              <w:rPr>
                <w:rFonts w:ascii="Arial" w:cs="Arial" w:eastAsia="Arial" w:hAnsi="Arial"/>
                <w:sz w:val="16"/>
                <w:szCs w:val="16"/>
                <w:color w:val="auto"/>
              </w:rPr>
              <w:t>$ 117,300</w:t>
            </w:r>
          </w:p>
        </w:tc>
        <w:tc>
          <w:tcPr>
            <w:tcW w:w="0" w:type="dxa"/>
            <w:vAlign w:val="bottom"/>
          </w:tcPr>
          <w:p>
            <w:pPr>
              <w:spacing w:after="0"/>
              <w:rPr>
                <w:sz w:val="1"/>
                <w:szCs w:val="1"/>
                <w:color w:val="auto"/>
              </w:rPr>
            </w:pPr>
          </w:p>
        </w:tc>
      </w:tr>
      <w:tr>
        <w:trPr>
          <w:trHeight w:val="167"/>
        </w:trPr>
        <w:tc>
          <w:tcPr>
            <w:tcW w:w="6560" w:type="dxa"/>
            <w:vAlign w:val="bottom"/>
          </w:tcPr>
          <w:p>
            <w:pPr>
              <w:spacing w:after="0"/>
              <w:rPr>
                <w:sz w:val="14"/>
                <w:szCs w:val="14"/>
                <w:color w:val="auto"/>
              </w:rPr>
            </w:pPr>
          </w:p>
        </w:tc>
        <w:tc>
          <w:tcPr>
            <w:tcW w:w="20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auto"/>
            </w:tcBorders>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 #</w:t>
      </w:r>
    </w:p>
    <w:sectPr>
      <w:pgSz w:w="11900" w:h="16838" w:orient="portrait"/>
      <w:cols w:equalWidth="0" w:num="1">
        <w:col w:w="11180"/>
      </w:cols>
      <w:pgMar w:left="320" w:top="1057"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2020-08-05T07:36:50Z</dcterms:created>
  <dcterms:modified xsi:type="dcterms:W3CDTF">2020-08-05T07:36:50Z</dcterms:modified>
</cp:coreProperties>
</file>