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jc w:val="center"/>
        <w:ind w:right="-19"/>
        <w:spacing w:after="0" w:line="207" w:lineRule="exact"/>
        <w:tabs>
          <w:tab w:leader="none" w:pos="140" w:val="left"/>
          <w:tab w:leader="none" w:pos="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Shares outstanding at April 30, 2007:</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ind w:left="920"/>
              <w:spacing w:after="0"/>
              <w:rPr>
                <w:sz w:val="20"/>
                <w:szCs w:val="20"/>
                <w:color w:val="auto"/>
              </w:rPr>
            </w:pPr>
            <w:r>
              <w:rPr>
                <w:rFonts w:ascii="Arial" w:cs="Arial" w:eastAsia="Arial" w:hAnsi="Arial"/>
                <w:sz w:val="18"/>
                <w:szCs w:val="18"/>
                <w:color w:val="auto"/>
              </w:rPr>
              <w:t>Class A Common Stock</w:t>
            </w:r>
          </w:p>
        </w:tc>
        <w:tc>
          <w:tcPr>
            <w:tcW w:w="5900" w:type="dxa"/>
            <w:vAlign w:val="bottom"/>
          </w:tcPr>
          <w:p>
            <w:pPr>
              <w:ind w:left="2880"/>
              <w:spacing w:after="0"/>
              <w:rPr>
                <w:sz w:val="20"/>
                <w:szCs w:val="20"/>
                <w:color w:val="auto"/>
              </w:rPr>
            </w:pPr>
            <w:r>
              <w:rPr>
                <w:rFonts w:ascii="Arial" w:cs="Arial" w:eastAsia="Arial" w:hAnsi="Arial"/>
                <w:sz w:val="18"/>
                <w:szCs w:val="18"/>
                <w:color w:val="auto"/>
              </w:rPr>
              <w:t>1,722,250 Shares</w:t>
            </w:r>
          </w:p>
        </w:tc>
      </w:tr>
      <w:tr>
        <w:trPr>
          <w:trHeight w:val="222"/>
        </w:trPr>
        <w:tc>
          <w:tcPr>
            <w:tcW w:w="5520" w:type="dxa"/>
            <w:vAlign w:val="bottom"/>
          </w:tcPr>
          <w:p>
            <w:pPr>
              <w:ind w:left="920"/>
              <w:spacing w:after="0"/>
              <w:rPr>
                <w:sz w:val="20"/>
                <w:szCs w:val="20"/>
                <w:color w:val="auto"/>
              </w:rPr>
            </w:pPr>
            <w:r>
              <w:rPr>
                <w:rFonts w:ascii="Arial" w:cs="Arial" w:eastAsia="Arial" w:hAnsi="Arial"/>
                <w:sz w:val="18"/>
                <w:szCs w:val="18"/>
                <w:color w:val="auto"/>
              </w:rPr>
              <w:t>Class B Common Stock</w:t>
            </w:r>
          </w:p>
        </w:tc>
        <w:tc>
          <w:tcPr>
            <w:tcW w:w="5900" w:type="dxa"/>
            <w:vAlign w:val="bottom"/>
          </w:tcPr>
          <w:p>
            <w:pPr>
              <w:ind w:left="2880"/>
              <w:spacing w:after="0"/>
              <w:rPr>
                <w:sz w:val="20"/>
                <w:szCs w:val="20"/>
                <w:color w:val="auto"/>
              </w:rPr>
            </w:pPr>
            <w:r>
              <w:rPr>
                <w:rFonts w:ascii="Arial" w:cs="Arial" w:eastAsia="Arial" w:hAnsi="Arial"/>
                <w:sz w:val="18"/>
                <w:szCs w:val="18"/>
                <w:color w:val="auto"/>
              </w:rPr>
              <w:t>7,808,677 Shares</w:t>
            </w:r>
          </w:p>
        </w:tc>
      </w:tr>
      <w:tr>
        <w:trPr>
          <w:trHeight w:val="215"/>
        </w:trPr>
        <w:tc>
          <w:tcPr>
            <w:tcW w:w="55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7"/>
              </w:rPr>
              <w:t>THE WASHINGTON POST COMPANY</w:t>
            </w:r>
          </w:p>
        </w:tc>
        <w:tc>
          <w:tcPr>
            <w:tcW w:w="1480" w:type="dxa"/>
            <w:vAlign w:val="bottom"/>
          </w:tcPr>
          <w:p>
            <w:pPr>
              <w:spacing w:after="0"/>
              <w:rPr>
                <w:sz w:val="19"/>
                <w:szCs w:val="19"/>
                <w:color w:val="auto"/>
              </w:rPr>
            </w:pPr>
          </w:p>
        </w:tc>
      </w:tr>
      <w:tr>
        <w:trPr>
          <w:trHeight w:val="37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1"/>
              </w:rPr>
              <w:t>Index to Form 10-Q</w:t>
            </w:r>
          </w:p>
        </w:tc>
        <w:tc>
          <w:tcPr>
            <w:tcW w:w="1480" w:type="dxa"/>
            <w:vAlign w:val="bottom"/>
          </w:tcPr>
          <w:p>
            <w:pPr>
              <w:spacing w:after="0"/>
              <w:rPr>
                <w:sz w:val="24"/>
                <w:szCs w:val="24"/>
                <w:color w:val="auto"/>
              </w:rPr>
            </w:pPr>
          </w:p>
        </w:tc>
      </w:tr>
      <w:tr>
        <w:trPr>
          <w:trHeight w:val="380"/>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90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tcPr>
          <w:p>
            <w:pPr>
              <w:spacing w:after="0"/>
              <w:rPr>
                <w:sz w:val="24"/>
                <w:szCs w:val="24"/>
                <w:color w:val="auto"/>
              </w:rPr>
            </w:pPr>
          </w:p>
        </w:tc>
        <w:tc>
          <w:tcPr>
            <w:tcW w:w="6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9060" w:type="dxa"/>
            <w:vAlign w:val="bottom"/>
            <w:gridSpan w:val="4"/>
          </w:tcPr>
          <w:p>
            <w:pPr>
              <w:spacing w:after="0"/>
              <w:rPr>
                <w:rFonts w:ascii="Arial" w:cs="Arial" w:eastAsia="Arial" w:hAnsi="Arial"/>
                <w:sz w:val="18"/>
                <w:szCs w:val="18"/>
                <w:color w:val="auto"/>
                <w:w w:val="89"/>
              </w:rPr>
            </w:pPr>
            <w:r>
              <w:rPr>
                <w:rFonts w:ascii="Arial" w:cs="Arial" w:eastAsia="Arial" w:hAnsi="Arial"/>
                <w:sz w:val="18"/>
                <w:szCs w:val="18"/>
                <w:color w:val="auto"/>
                <w:w w:val="89"/>
              </w:rPr>
              <w:t xml:space="preserve">a.    </w:t>
            </w:r>
            <w:hyperlink w:anchor="page3">
              <w:r>
                <w:rPr>
                  <w:rFonts w:ascii="Arial" w:cs="Arial" w:eastAsia="Arial" w:hAnsi="Arial"/>
                  <w:sz w:val="18"/>
                  <w:szCs w:val="18"/>
                  <w:color w:val="0000EE"/>
                  <w:w w:val="89"/>
                </w:rPr>
                <w:t>Condensed Consolidated Statements of Income (Unaudited) for the Thirteen Weeks Ended April 1, 2007 and April 2, 2006</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20" w:hanging="434"/>
        <w:spacing w:after="0"/>
        <w:tabs>
          <w:tab w:leader="none" w:pos="1320" w:val="left"/>
        </w:tabs>
        <w:numPr>
          <w:ilvl w:val="0"/>
          <w:numId w:val="3"/>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 (Unaudited) for the Thirteen Weeks Ended April 1, 2007 and April 2,</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2006</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c.</w:t>
            </w:r>
          </w:p>
        </w:tc>
        <w:tc>
          <w:tcPr>
            <w:tcW w:w="942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at April 1, 2007 (Unaudited) and December 31, 2006</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d.</w:t>
            </w:r>
          </w:p>
        </w:tc>
        <w:tc>
          <w:tcPr>
            <w:tcW w:w="89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 for the Thirteen Weeks Ended April 1, 2007 and April 2, 2006</w:t>
              </w:r>
            </w:hyperlink>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e.</w:t>
            </w:r>
          </w:p>
        </w:tc>
        <w:tc>
          <w:tcPr>
            <w:tcW w:w="942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Results of Operations and Financial Condition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5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2"/>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86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6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6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gridSpan w:val="7"/>
          </w:tcPr>
          <w:p>
            <w:pPr>
              <w:ind w:left="43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16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100" w:type="dxa"/>
            <w:vAlign w:val="bottom"/>
            <w:gridSpan w:val="3"/>
          </w:tcPr>
          <w:p>
            <w:pPr>
              <w:spacing w:after="0"/>
              <w:rPr>
                <w:sz w:val="20"/>
                <w:szCs w:val="20"/>
                <w:color w:val="auto"/>
              </w:rPr>
            </w:pPr>
            <w:r>
              <w:rPr>
                <w:rFonts w:ascii="Arial" w:cs="Arial" w:eastAsia="Arial" w:hAnsi="Arial"/>
                <w:sz w:val="18"/>
                <w:szCs w:val="18"/>
                <w:color w:val="auto"/>
              </w:rPr>
              <w:t>The Washington Post Company</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10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0"/>
              </w:rPr>
              <w:t>Thirteen Weeks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2"/>
              </w:rPr>
              <w:t>April 1,</w:t>
            </w: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April 2,</w:t>
            </w:r>
          </w:p>
        </w:tc>
        <w:tc>
          <w:tcPr>
            <w:tcW w:w="0" w:type="dxa"/>
            <w:vAlign w:val="bottom"/>
          </w:tcPr>
          <w:p>
            <w:pPr>
              <w:spacing w:after="0"/>
              <w:rPr>
                <w:sz w:val="1"/>
                <w:szCs w:val="1"/>
                <w:color w:val="auto"/>
              </w:rPr>
            </w:pPr>
          </w:p>
        </w:tc>
      </w:tr>
      <w:tr>
        <w:trPr>
          <w:trHeight w:val="175"/>
        </w:trPr>
        <w:tc>
          <w:tcPr>
            <w:tcW w:w="81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475,781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292,791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199,985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985,608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948,280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444,185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419,126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393,247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340,981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53,449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893,613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810,521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99,230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7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1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1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100" w:type="dxa"/>
            <w:vAlign w:val="bottom"/>
            <w:gridSpan w:val="3"/>
          </w:tcPr>
          <w:p>
            <w:pPr>
              <w:spacing w:after="0"/>
              <w:rPr>
                <w:sz w:val="20"/>
                <w:szCs w:val="20"/>
                <w:color w:val="auto"/>
              </w:rPr>
            </w:pPr>
            <w:r>
              <w:rPr>
                <w:rFonts w:ascii="Arial" w:cs="Arial" w:eastAsia="Arial" w:hAnsi="Arial"/>
                <w:sz w:val="18"/>
                <w:szCs w:val="18"/>
                <w:color w:val="auto"/>
              </w:rPr>
              <w:t>Dividends declared per common share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3"/>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60" w:type="dxa"/>
            <w:vAlign w:val="bottom"/>
          </w:tcPr>
          <w:p>
            <w:pPr>
              <w:jc w:val="right"/>
              <w:ind w:right="2252"/>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6"/>
              </w:rPr>
              <w:t>April 1,</w:t>
            </w:r>
          </w:p>
        </w:tc>
        <w:tc>
          <w:tcPr>
            <w:tcW w:w="62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4"/>
                <w:szCs w:val="1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$ 64,430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$ 76,874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5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5280" w:type="dxa"/>
            <w:vAlign w:val="bottom"/>
            <w:gridSpan w:val="3"/>
          </w:tcPr>
          <w:p>
            <w:pPr>
              <w:jc w:val="right"/>
              <w:ind w:right="300"/>
              <w:spacing w:after="0"/>
              <w:rPr>
                <w:sz w:val="20"/>
                <w:szCs w:val="20"/>
                <w:color w:val="auto"/>
              </w:rPr>
            </w:pPr>
            <w:r>
              <w:rPr>
                <w:rFonts w:ascii="Arial" w:cs="Arial" w:eastAsia="Arial" w:hAnsi="Arial"/>
                <w:sz w:val="18"/>
                <w:szCs w:val="18"/>
                <w:color w:val="auto"/>
              </w:rPr>
              <w:t>747</w:t>
            </w:r>
          </w:p>
        </w:tc>
        <w:tc>
          <w:tcPr>
            <w:tcW w:w="620" w:type="dxa"/>
            <w:vAlign w:val="bottom"/>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4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1,510</w:t>
            </w:r>
          </w:p>
        </w:tc>
        <w:tc>
          <w:tcPr>
            <w:tcW w:w="620" w:type="dxa"/>
            <w:vAlign w:val="bottom"/>
          </w:tcPr>
          <w:p>
            <w:pPr>
              <w:jc w:val="right"/>
              <w:spacing w:after="0"/>
              <w:rPr>
                <w:sz w:val="20"/>
                <w:szCs w:val="20"/>
                <w:color w:val="auto"/>
              </w:rPr>
            </w:pPr>
            <w:r>
              <w:rPr>
                <w:rFonts w:ascii="Arial" w:cs="Arial" w:eastAsia="Arial" w:hAnsi="Arial"/>
                <w:sz w:val="18"/>
                <w:szCs w:val="18"/>
                <w:color w:val="auto"/>
              </w:rPr>
              <w:t>12,697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Income tax benefit (expense) related to other comprehensive income</w:t>
            </w:r>
          </w:p>
        </w:tc>
        <w:tc>
          <w:tcPr>
            <w:tcW w:w="4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1,669</w:t>
            </w:r>
          </w:p>
        </w:tc>
        <w:tc>
          <w:tcPr>
            <w:tcW w:w="620" w:type="dxa"/>
            <w:vAlign w:val="bottom"/>
          </w:tcPr>
          <w:p>
            <w:pPr>
              <w:jc w:val="right"/>
              <w:spacing w:after="0"/>
              <w:rPr>
                <w:sz w:val="20"/>
                <w:szCs w:val="20"/>
                <w:color w:val="auto"/>
              </w:rPr>
            </w:pPr>
            <w:r>
              <w:rPr>
                <w:rFonts w:ascii="Arial" w:cs="Arial" w:eastAsia="Arial" w:hAnsi="Arial"/>
                <w:sz w:val="18"/>
                <w:szCs w:val="18"/>
                <w:color w:val="auto"/>
              </w:rPr>
              <w:t>8,759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$ 66,099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$ 85,633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1,</w:t>
            </w:r>
          </w:p>
        </w:tc>
        <w:tc>
          <w:tcPr>
            <w:tcW w:w="16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5"/>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32,560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18,379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74,066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868,609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343,752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2,012,424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1,939,110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2,565,779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2,475,589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(1,477,723)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(1,433,060)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1,088,056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1,042,529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103,069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1,239,388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1,218,309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322,915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Goodwill, net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1,351,835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1,240,251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521,042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980,427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73,732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5,459,226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5,381,372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0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478,728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509,375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82,184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601,201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400,379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2,274,464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2,209,738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2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4,144,928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4,120,143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24,597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Unrealized gain on pension and other postretirement plans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269,571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(1,577,338)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(1,564,010)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3,172,936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3,159,514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5,459,226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5,381,372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April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53,449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Amortization of intangibles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Foreign exchange gain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Equity in (earnings) losses of affiliates, net of distributions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receivable,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(increase) in inventories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52,251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income taxes payable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decrease in other assets and other liabilities,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146,689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(75,091)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(107,320)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(180,358)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(108,074)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Common shares repurchased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(15,609)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overdraft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on stock options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8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348,148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215,861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292,344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Results of operations at the Kaplan education division, when examined on a quarterly basis, reflect the volatility of Kaplan stock compensation charges, as well as other seasonal effects. Results of operations, when examined on a quarterly basis, also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first quarter of 2007, the Company made changes to certain departments and cost centers at several of its divisions. Prior year amounts were reclassified to conform with the current year presentation, resulting in a net increase to selling, general and administrative expenses and a net decrease to operating expenses. Certain other amounts in previously issued financial statements have also been reclassified to conform with the current year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In addition, the cable division acquired subscribers in the Boise, Idaho area for $4.1 million. Most of the purchase price for these acquisitions has been allocated to goodwill and other intangibles on a preliminary basis.</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April 2007, Kaplan’s higher education division completed the acquisition of Sagemont Virtual, a leader in the growing field of online high school instruction that has been doing business as the University of Miami Online High School, and Virtual Sage, a developer of online high school courses. Also in April 2007, Kaplan formed a joint venture with ACE Education, a provider of education in China, to provide preparation courses for entry to U.K. universities, along with degree and professional training programs at campuses throughout China. Also in April 2007, Kaplan Professional announced an agreement to acquire the education division of the Financial Services Institute of Australia for 36 million Australian dollars.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2006, Kaplan acquired two businesses in their professional and higher education divisions; these acquisitions totaled $7.4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1, 2007 and December 31, 2006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4"/>
                <w:szCs w:val="14"/>
                <w:b w:val="1"/>
                <w:bCs w:val="1"/>
                <w:color w:val="auto"/>
              </w:rPr>
              <w:t>April 1,</w:t>
            </w:r>
          </w:p>
        </w:tc>
        <w:tc>
          <w:tcPr>
            <w:tcW w:w="4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75"/>
        </w:trPr>
        <w:tc>
          <w:tcPr>
            <w:tcW w:w="7660" w:type="dxa"/>
            <w:vAlign w:val="bottom"/>
          </w:tcPr>
          <w:p>
            <w:pPr>
              <w:spacing w:after="0"/>
              <w:rPr>
                <w:sz w:val="15"/>
                <w:szCs w:val="15"/>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$213,705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213,705</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141,770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141,023</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355,475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354,728</w:t>
            </w:r>
          </w:p>
        </w:tc>
      </w:tr>
      <w:tr>
        <w:trPr>
          <w:trHeight w:val="20"/>
        </w:trPr>
        <w:tc>
          <w:tcPr>
            <w:tcW w:w="7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There were no additional investments in marketable equity securities during the first quarter of 2007. The Company made $42.9 million in investments in marketable equity securities during the first quarter of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April 1, 2007 and December 31, 2006, the Company had commercial paper and money market investments of $104.5 million and $142.9 million, respectively, that are classified as “cash and cash equivalents” on the Company’s consolidated balance sheet.</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the first quarter of 2007, $8.9 million of the equity in earnings of affiliates is due to a gain on the sale of land at the Company’s Bowater Mersey Paper Company Limited affiliate.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April 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7620" w:type="dxa"/>
            <w:vAlign w:val="bottom"/>
          </w:tcPr>
          <w:p>
            <w:pPr>
              <w:spacing w:after="0"/>
              <w:rPr>
                <w:sz w:val="15"/>
                <w:szCs w:val="15"/>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$399.5</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60" w:type="dxa"/>
            <w:vAlign w:val="bottom"/>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400.4</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April 1, 2007 and December 31, 2006 is at interest rates of 5% to 7% and matures from 2007 to 2009.</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2007 and 2006, the Company had average borrowings outstanding of approximately $404.9 million and $426.0 million, respectively, at average annual interest rates of approximately 5.5 percent and 5.4 percent, respectively. During the first quarter of 2007 and 2006, the Company incurred net interest expense of $2.6 million and $4.7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2007 and 2006 asset information is as of April 1, 2007 and December 31, 2006,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Television</w:t>
            </w: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Intersegment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Education</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475,781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$219,154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80,834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61,243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148,975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(379)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985,608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34,343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14,926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(8,721)</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8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14,053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2,358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26,888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365</w:t>
            </w:r>
          </w:p>
        </w:tc>
        <w:tc>
          <w:tcPr>
            <w:tcW w:w="16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53,449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(2,599)</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8,489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1,697,322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$792,080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460,081</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$794,963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1,184,400</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$102,888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$5,031,734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355,475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5,459,226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Television</w:t>
            </w: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line="20" w:lineRule="exact"/>
              <w:rPr>
                <w:sz w:val="1"/>
                <w:szCs w:val="1"/>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8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Education</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3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408,934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$243,472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85,914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74,785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135,175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948,280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32,037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(9,032)</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8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12,033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8,858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24,864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204</w:t>
            </w:r>
          </w:p>
        </w:tc>
        <w:tc>
          <w:tcPr>
            <w:tcW w:w="16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49,025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(1,907)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8,316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1,571,347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$821,615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458,751</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$788,450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1,178,132</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$146,039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$4,964,334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354,728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5,381,372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education division comprises the following operating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Higher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Preparation</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400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231,724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134,279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109,778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14,631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531,476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360,419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778,553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26,874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1,697,322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60" w:type="dxa"/>
            <w:vAlign w:val="bottom"/>
            <w:gridSpan w:val="3"/>
          </w:tcPr>
          <w:p>
            <w:pPr>
              <w:spacing w:after="0"/>
              <w:rPr>
                <w:sz w:val="20"/>
                <w:szCs w:val="20"/>
                <w:color w:val="auto"/>
              </w:rPr>
            </w:pPr>
            <w:r>
              <w:rPr>
                <w:rFonts w:ascii="Arial" w:cs="Arial" w:eastAsia="Arial" w:hAnsi="Arial"/>
                <w:sz w:val="18"/>
                <w:szCs w:val="18"/>
                <w:color w:val="auto"/>
              </w:rPr>
              <w:t>2006</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198,345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109,819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29,308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22,132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(12,899)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556,362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340,914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625,392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48,679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5,884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Kaplan stock-based incentive compensation</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80" w:type="dxa"/>
            <w:vAlign w:val="bottom"/>
          </w:tcPr>
          <w:p>
            <w:pPr>
              <w:jc w:val="right"/>
              <w:ind w:right="10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 products and services are provided through the Company’s wholly-owned subsidiary Kaplan, Inc. Kaplan’s businesses include higher education services, which includes all of Kaplan’s post-secondary education businesses in the United States, including fixed facility colleges which offer bachelor’s degrees, associate’s degrees and diploma programs primarily in the fields of healthcare, business and information technology; and online post-secondary and career programs. Kaplan’s businesses also include test preparation, which is made up of Kaplan Test Prep and Admissions, providing test preparation services for college and graduate school entrance exams;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For segment reporting purposes, in the first quarter of 2007, the education division now has three primary segments, as compared to two primary segments in 2006. The education division’s primary segments are higher education, test preparation and professional. Kaplan corporate overhead and “Other” is also included; “Other” includes Kaplan stock compensation expense and amortization of certain intangibles.</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English-language international editions (and, in conjunction with others, publishes eight foreign-language editions around the world) and the publication of Arthur Frommer’s Budget Travel. The first quarter 2006 results of the magazine publishing division also include revenue of $7.7 million and operating income of $1.3 million for PostNewsweek Tech Media, which was sold on December 22,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goodwill and other intangible assets as of April 1, 2007 and December 31,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$1,650,237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2,393,733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491,595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$1,538,653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681,548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2,278,655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488,863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1,789,792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1, 2007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$845,754</w:t>
            </w:r>
          </w:p>
        </w:tc>
        <w:tc>
          <w:tcPr>
            <w:tcW w:w="16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$ 80,651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$ 25,015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1,240,251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957,338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$ 80,651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$ 25,015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1,351,835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$508,480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April 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$ 511,780</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521,042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25,270</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5,508</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Balance at April 1, 2007</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2, 2006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2"/>
              </w:rPr>
              <w:t>Newspaper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Broadcasting</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Publishing</w:t>
            </w: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$686,532</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88"/>
              </w:rPr>
              <w:t>$ 80,651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203,165</w:t>
            </w:r>
          </w:p>
        </w:tc>
        <w:tc>
          <w:tcPr>
            <w:tcW w:w="7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$ 69,556</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$85,666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 2006</w:t>
            </w:r>
          </w:p>
        </w:tc>
        <w:tc>
          <w:tcPr>
            <w:tcW w:w="1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$ 698,411</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8"/>
              </w:rPr>
              <w:t>$ 80,651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203,165</w:t>
            </w:r>
          </w:p>
        </w:tc>
        <w:tc>
          <w:tcPr>
            <w:tcW w:w="7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$ 69,556</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85,666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1,137,449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352"/>
              <w:spacing w:after="0"/>
              <w:rPr>
                <w:sz w:val="20"/>
                <w:szCs w:val="20"/>
                <w:color w:val="auto"/>
              </w:rPr>
            </w:pPr>
            <w:r>
              <w:rPr>
                <w:rFonts w:ascii="Arial" w:cs="Arial" w:eastAsia="Arial" w:hAnsi="Arial"/>
                <w:sz w:val="18"/>
                <w:szCs w:val="18"/>
                <w:color w:val="auto"/>
              </w:rPr>
              <w:t>12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Television</w:t>
            </w: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Magazine</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5"/>
              </w:rPr>
              <w:t>Education</w:t>
            </w:r>
          </w:p>
        </w:tc>
        <w:tc>
          <w:tcPr>
            <w:tcW w:w="3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Broadcasting</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2"/>
              </w:rPr>
              <w:t>Publishing</w:t>
            </w:r>
          </w:p>
        </w:tc>
        <w:tc>
          <w:tcPr>
            <w:tcW w:w="260" w:type="dxa"/>
            <w:vAlign w:val="bottom"/>
          </w:tcPr>
          <w:p>
            <w:pPr>
              <w:spacing w:after="0"/>
              <w:rPr>
                <w:sz w:val="14"/>
                <w:szCs w:val="14"/>
                <w:color w:val="auto"/>
              </w:rPr>
            </w:pPr>
          </w:p>
        </w:tc>
        <w:tc>
          <w:tcPr>
            <w:tcW w:w="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84"/>
              </w:rPr>
              <w:t>8,362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center"/>
              <w:ind w:left="172"/>
              <w:spacing w:after="0"/>
              <w:rPr>
                <w:sz w:val="20"/>
                <w:szCs w:val="20"/>
                <w:color w:val="auto"/>
              </w:rPr>
            </w:pPr>
            <w:r>
              <w:rPr>
                <w:rFonts w:ascii="Arial" w:cs="Arial" w:eastAsia="Arial" w:hAnsi="Arial"/>
                <w:sz w:val="18"/>
                <w:szCs w:val="18"/>
                <w:color w:val="auto"/>
                <w:w w:val="90"/>
              </w:rPr>
              <w:t>$486,330</w:t>
            </w:r>
          </w:p>
        </w:tc>
        <w:tc>
          <w:tcPr>
            <w:tcW w:w="160" w:type="dxa"/>
            <w:vAlign w:val="bottom"/>
          </w:tcPr>
          <w:p>
            <w:pPr>
              <w:spacing w:after="0"/>
              <w:rPr>
                <w:sz w:val="18"/>
                <w:szCs w:val="18"/>
                <w:color w:val="auto"/>
              </w:rPr>
            </w:pPr>
          </w:p>
        </w:tc>
        <w:tc>
          <w:tcPr>
            <w:tcW w:w="820" w:type="dxa"/>
            <w:vAlign w:val="bottom"/>
            <w:gridSpan w:val="4"/>
          </w:tcPr>
          <w:p>
            <w:pPr>
              <w:jc w:val="center"/>
              <w:ind w:left="52"/>
              <w:spacing w:after="0"/>
              <w:rPr>
                <w:sz w:val="20"/>
                <w:szCs w:val="20"/>
                <w:color w:val="auto"/>
              </w:rPr>
            </w:pPr>
            <w:r>
              <w:rPr>
                <w:rFonts w:ascii="Arial" w:cs="Arial" w:eastAsia="Arial" w:hAnsi="Arial"/>
                <w:sz w:val="18"/>
                <w:szCs w:val="18"/>
                <w:color w:val="auto"/>
                <w:w w:val="90"/>
              </w:rPr>
              <w:t>$494,692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Balance at April 2, 2006</w:t>
            </w:r>
          </w:p>
        </w:tc>
        <w:tc>
          <w:tcPr>
            <w:tcW w:w="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84"/>
              </w:rPr>
              <w:t>8,362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5"/>
          </w:tcPr>
          <w:p>
            <w:pPr>
              <w:jc w:val="center"/>
              <w:ind w:left="1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486,330</w:t>
            </w:r>
          </w:p>
        </w:tc>
        <w:tc>
          <w:tcPr>
            <w:tcW w:w="160" w:type="dxa"/>
            <w:vAlign w:val="bottom"/>
          </w:tcPr>
          <w:p>
            <w:pPr>
              <w:spacing w:after="0"/>
              <w:rPr>
                <w:sz w:val="19"/>
                <w:szCs w:val="19"/>
                <w:color w:val="auto"/>
              </w:rPr>
            </w:pPr>
          </w:p>
        </w:tc>
        <w:tc>
          <w:tcPr>
            <w:tcW w:w="820" w:type="dxa"/>
            <w:vAlign w:val="bottom"/>
            <w:gridSpan w:val="4"/>
          </w:tcPr>
          <w:p>
            <w:pPr>
              <w:jc w:val="center"/>
              <w:ind w:left="5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494,692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Television</w:t>
            </w:r>
          </w:p>
        </w:tc>
        <w:tc>
          <w:tcPr>
            <w:tcW w:w="6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4"/>
              </w:rPr>
              <w:t>Education</w:t>
            </w:r>
          </w:p>
        </w:tc>
        <w:tc>
          <w:tcPr>
            <w:tcW w:w="3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1"/>
              </w:rPr>
              <w:t>Television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79"/>
              </w:rPr>
              <w:t>$ 14,428</w:t>
            </w:r>
          </w:p>
        </w:tc>
        <w:tc>
          <w:tcPr>
            <w:tcW w:w="8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(925)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at April 2, 2006</w:t>
            </w: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79"/>
              </w:rPr>
              <w:t>$ 13,528</w:t>
            </w:r>
          </w:p>
        </w:tc>
        <w:tc>
          <w:tcPr>
            <w:tcW w:w="8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Antidilutive Securities.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first quarter 2007 and 2006 diluted earnings per share amount excludes the effects of 7,500 stock options outstanding and 13,000 stock options outstanding, respectively, as their inclusion would be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7: Pension and Postretirement Plans.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plans for the first quarters ended April 1, 2007 and April 2, 2006,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SERP</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April 1,</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92"/>
              </w:rPr>
              <w:t>April 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96"/>
              </w:rPr>
              <w:t>April 1,</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April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(21,627)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 for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1,495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1,666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the Company raised its assumption on the discount rate from 5.75% to 6.0% for its defined benefit pension plans.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total cost arising from the Company’s postretirement plan for the first quarters ended April 1, 2007 and April 2, 2006,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Postretirement Plans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April 1,</w:t>
            </w: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w:t>
            </w: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(1,176)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cost for the quarter</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140" w:type="dxa"/>
            <w:vAlign w:val="bottom"/>
            <w:vMerge w:val="restart"/>
          </w:tcPr>
          <w:p>
            <w:pPr>
              <w:jc w:val="right"/>
              <w:ind w:right="397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8: Other Non-Operating Income (Expense)</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recorded other non-operating income, net, of $0.8 million for the first quarter of 2007, compared to other non-operating expense, net, of $0.2 million for the first quarter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April 1, 2007 and April 2, 2006,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5"/>
              </w:rPr>
              <w:t>0.8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w:t>
            </w:r>
            <w:r>
              <w:rPr>
                <w:rFonts w:ascii="Arial" w:cs="Arial" w:eastAsia="Arial" w:hAnsi="Arial"/>
                <w:sz w:val="18"/>
                <w:szCs w:val="18"/>
                <w:u w:val="single" w:color="auto"/>
                <w:color w:val="auto"/>
                <w:w w:val="95"/>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(0.2)</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Note 9: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3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320" w:type="dxa"/>
            <w:vAlign w:val="bottom"/>
            <w:gridSpan w:val="3"/>
          </w:tcPr>
          <w:p>
            <w:pPr>
              <w:spacing w:after="0"/>
              <w:rPr>
                <w:sz w:val="20"/>
                <w:szCs w:val="20"/>
                <w:color w:val="auto"/>
              </w:rPr>
            </w:pPr>
            <w:r>
              <w:rPr>
                <w:rFonts w:ascii="Arial" w:cs="Arial" w:eastAsia="Arial" w:hAnsi="Arial"/>
                <w:sz w:val="18"/>
                <w:szCs w:val="18"/>
                <w:color w:val="auto"/>
              </w:rPr>
              <w:t>The company’s earnings per share (basic and diluted) for the first quarters of 2007 and 2006, are presented below:</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7"/>
              </w:rPr>
              <w:t>Thirteen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April 1,</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 after redeemable preferred stock dividends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63,945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Cumulative effect of change in method of accounting for share-based payments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(5,075)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63,945</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$ 76,383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ind w:left="460"/>
              <w:spacing w:after="0"/>
              <w:rPr>
                <w:sz w:val="20"/>
                <w:szCs w:val="20"/>
                <w:color w:val="auto"/>
              </w:rPr>
            </w:pPr>
            <w:r>
              <w:rPr>
                <w:rFonts w:ascii="Arial" w:cs="Arial" w:eastAsia="Arial" w:hAnsi="Arial"/>
                <w:sz w:val="18"/>
                <w:szCs w:val="18"/>
                <w:color w:val="auto"/>
              </w:rPr>
              <w:t>Weighted-average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9,513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3"/>
          </w:tcPr>
          <w:p>
            <w:pPr>
              <w:ind w:left="46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ind w:left="460"/>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jc w:val="right"/>
              <w:ind w:right="343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3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10: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2006, the Financial Accounting Standards Board (“FASB”) issued FASB Interpretation No. 48 (FIN 48), “Accounting for Uncertainty in Income Taxes – an Interpretation of FASB Statement No. 109.” FIN 48 prescribes a comprehensive model of how a company should recognize, measure, present and disclose in its financial statements uncertain tax positions that the company has taken or expects to take on a tax return. The Company implemented FIN 48 in the first quarter of 2007 and there was no impact on the Company’s financial position or results of operations as a result of implementation. The Company has determined that there are no material transactions or material tax positions taken by the Company that would fail to meet the more likely than not threshold established by FIN 48 for recognizing transactions or tax positions in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certain tax positions reflected in the financial statements where it is uncertain the full tax benefit associated with the tax positions will ultimately be recognized. The amount of, and changes to, this accrued tax liability are not material to the Company’s financial position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January 2007, the Internal Revenue Service completed their examinations of the Company’s consolidated federal corporate income tax returns through 2004.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Other Pronouncements</w:t>
      </w:r>
    </w:p>
    <w:p>
      <w:pPr>
        <w:spacing w:after="0" w:line="9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September 2006, the FASB issued Statement of Financial Accounting Standards (SFAS) No. 157 “Fair Value Measurements” which defines fair value, establishes a framework for consistently measuring fair value under generally accepted accounting principles, and expands disclosures about fair value measurements. SFAS 157 is effective for fiscal years beginning after November 15, 2007. Management is currently evaluating the effect that adoption of this statement will have on the company’s consolidated financial statements.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February 2007, the FASB issued SFAS 159 “The Fair Value Option for Financial Liabilities – Including an Amendment of FASB Statement No. 115.” SFAS 159 permits entities to choose to measure eligible items at fair value at specified election dates and report unrealized gains and losses on items for which the fair value option has been elected in earnings at such subsequent reporting date. SFAS 159 is effective for fiscal years beginning after November 15, 2007. Management is currently evaluating the effect that adoption of this statement will have on the company’s consolidated financial statements.</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income for the first quarter of 2007 was $64.4 million ($6.70 per share), down from net income of $76.9 million ($7.95 per share) in the first quarter of last year.</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Results for the first quarter of 2007 include a significant increase in equity in earnings of affiliates primarily as a result of a large gain on the sale of land at the Company’s Bowater Mersey Paper Company Limited affiliate (after-tax impact of $8.5 million, or $0.89 per share). Results for the first quarter of 2006 included 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for the first quarter of 2007 was $985.6 million, up 4% from $948.3 million in 2006. The increase is due to revenue growth at the education and cable television divisions, while revenues were down at the newspaper publishing, magazine publishing and television broadcasting divisions. Operating income for the quarter declined 33% to $92.0 million, from $137.8 million in 2006. Operating results were down at each of the Company’s divisions, except the cable television division, which reported improved results for the quarter.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Company’s operating income for the first quarter of 2007 includes $5.0 million of net pension credits, compared to $5.7 million in the first quarter of 2006.</w:t>
      </w:r>
    </w:p>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Education Division</w:t>
      </w:r>
      <w:r>
        <w:rPr>
          <w:rFonts w:ascii="Arial" w:cs="Arial" w:eastAsia="Arial" w:hAnsi="Arial"/>
          <w:sz w:val="18"/>
          <w:szCs w:val="18"/>
          <w:color w:val="auto"/>
        </w:rPr>
        <w:t>. Education division revenue totaled $475.8 million for the first quarter of 2007, a 16% increase over revenue of $408.9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2006. Excluding revenue from acquired businesses, education division revenue increased 9% for the first quarter of 2007. Kaplan reported first quarter 2007 operating income of $34.3 million, a 35% decline from $52.6 million in the first quarter of 2006.</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Kaplan’s first quarter operating results compared to 2006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First Quarter</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6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2"/>
              </w:rPr>
              <w:t>% change</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200" w:type="dxa"/>
            <w:vAlign w:val="bottom"/>
            <w:tcBorders>
              <w:top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231,724</w:t>
            </w:r>
          </w:p>
        </w:tc>
        <w:tc>
          <w:tcPr>
            <w:tcW w:w="2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198,345</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134,279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109,819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2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109,778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100,770</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475,781</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408,934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5"/>
            <w:vMerge w:val="restart"/>
          </w:tcPr>
          <w:p>
            <w:pPr>
              <w:ind w:left="46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6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22,132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(10,110)</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(12,536)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34,343</w:t>
            </w:r>
          </w:p>
        </w:tc>
        <w:tc>
          <w:tcPr>
            <w:tcW w:w="2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52,645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Higher education includes all of Kaplan’s post-secondary education businesses in the United States, including fixed-facility colleges as well as online post-secondary and career programs. Higher education revenue grew 17% for the first quarter of 2007. Enrollments increased 8% to 70,800 at March 31, 2007, compared to 65,800 at March 31, 2006, with most of the enrollment growth occurring in the online programs. Higher education results for the online programs in the first quarter of 2007 benefited from increases in both price and demand for higher priced advanced programs. Results at the fixed-facility colleges also benefited from course fee increases, but as previously disclosed, were adversely affected by $2.7 million in lease termination charges.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Test preparation includes Kaplan’s standardized test preparation and English-language course offerings, as well as the K12 and Score! businesses. Test preparation revenue grew 22% in the first quarter of 2007, largely due to the Aspect and PMBR acquisitions in October 2006. Excluding revenue from acquired businesses, revenue grew 4% in the first quarter of 2007 due to overall strength in the traditional test preparation courses, offset by declines in revenue from the K12 and Score! businesses. Operating income for test preparation was down in the first quarter largely due to weaker results from the K12 and Score! businesses. The K12 results in the first quarter of 2006 included approximately $3.0 million in revenue and operating income related to services provided in prior periods, but for which revenue was not recognized until 2006 when the underlying contracts governing the work were finalized. Score! revenue and operating results are down primarily due to a 12% enrollment decline.</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Professional includes Kaplan’s domestic and overseas professional businesses and certain other education businesses outside the United States. Professional revenue grew 9% in the first quarter of 2007 largely due to the May 2006 Tribeca acquisition and the March 2007 acquisition of EduNeering Holdings, Inc., a Princeton, NJ-based provider of knowledge management solutions for organizations in the pharmaceutical, medical device, healthcare, energy and manufacturing sectors. Excluding revenue from acquired businesses, Professional revenue grew 1% in the first quarter of 2007 as a result of increases at FTC Kaplan Limited (FTC) due primarily to favorable exchange rates, and from the Schweser CFA exam course offerings, offset by continued soft market demand for Professional’s real estate book publishing and real estate course offerings. Operating income is down largely due to weakness in Professional’s real estate businesses, as well as lower operating results at FTC.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FTC results reflect increases in staffing, occupancy and business development expenses associated with the overall growth in FTC operations. FTC results also reflect the seasonality of its course offerings, which are fewer in the first quarter than in the second, third and fourth quarters.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Kaplan recorded stock compensation expense of $10.3 million in the first quarter of 2007, compared to $1.9 million in the first quarter of 2006 (excluding stock compensation recorded in the first quarter of 2006 related to a change in accounting discussed below). In addition, Other includes amortization of certain intangibles, which increased due to recent Kaplan acquisitions.</w:t>
      </w:r>
    </w:p>
    <w:p>
      <w:pPr>
        <w:spacing w:after="0" w:line="1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totaled $219.2 million for the first quarter of 2007, a 10% decrease from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$243.5 million for the first quarter of 2006. Division operating income was down 53% to $14.9 million, from $32.0 million in 2006. The decrease in operating income reflects the decline in division revenues, which was partially offset by a reduction in newspaper division operating expenses, including a 16% decrease in newsprint expense at The Post.</w:t>
      </w:r>
    </w:p>
    <w:p>
      <w:pPr>
        <w:spacing w:after="0" w:line="14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Print advertising revenue at The Post declined 16% to $125.1 million, from $149.8 million in 2006. This decline is due to advertising revenue reductions in real estate, which was a very strong category in the first quarter of 2006, along with declines in classified recruitment, retail and zones; these declines were offset by an increase in preprint revenues. Classified recruitment advertising revenue was down to $15.8 million, from $21.8 million in the first quarter of 2006.</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the first quarter of 2007, Post daily and Sunday circulation declined 3.9% and 3.3%, respectively, compared to the first quarter of 2006. For the three months ended April 1, 2007, average daily circulation at The Post totaled 663,900 and average Sunday circulation totaled 927,400.</w:t>
      </w:r>
    </w:p>
    <w:p>
      <w:pPr>
        <w:spacing w:after="0" w:line="8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10% to $25.1 million for the first quarter of 2007, versus $22.8 million for 2006. Display online advertising revenue grew 20%, and online classified advertising revenue on washingtonpost.com increased 4%. A small portion of the Company’s online publishing revenues is included in the magazine publishing division.</w:t>
      </w:r>
    </w:p>
    <w:p>
      <w:pPr>
        <w:spacing w:after="0" w:line="101"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broadcast division declined 6% in the first quarter of 2007 to $80.8 million, from $85.9 million in 2006;</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the first quarter of 2007 declined 22% to $29.4 million, from $37.6 million in 2006. The decrease in revenue and operating income is primarily due to $6.3 million in incremental winter Olympics-related advertising at the Company’s NBC affiliates in the first quarter of 2006.</w:t>
      </w:r>
    </w:p>
    <w:p>
      <w:pPr>
        <w:spacing w:after="0" w:line="9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$61.2 million for the first quarter of 2007, an 18% decrease from $74.8</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2006. The division had an operating loss of $6.0 million in the first quarter of 2007, compared to an operating loss of $0.9 million in the first quarter of 2006. Magazine publishing division results in the first quarter of 2006 included $7.7 million in revenue and $1.3 million in operating income from PostNewsweek Tech Media, which was sold in December 2006. The remainder of the revenue and operating income declines are due to a 14% reduction in advertising revenue at Newsweek due to fewer ad pages at both the domestic and international editions.</w:t>
      </w:r>
    </w:p>
    <w:p>
      <w:pPr>
        <w:spacing w:after="0" w:line="10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Cable Television Division</w:t>
      </w:r>
      <w:r>
        <w:rPr>
          <w:rFonts w:ascii="Arial" w:cs="Arial" w:eastAsia="Arial" w:hAnsi="Arial"/>
          <w:sz w:val="18"/>
          <w:szCs w:val="18"/>
          <w:color w:val="auto"/>
        </w:rPr>
        <w:t>. Cable division revenue of $149.0 million for the first quarter of 2007 represents a 10% increase over 2006 first quarter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$135.2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The 2007 revenue increase is due to continued growth in the division’s cable modem and digital revenues, as well as a full quarter impact of the $3 monthly rate increase for basic cable service at most of its systems effective February 1, 2006. The Company does not plan to implement an overall basic rate increase in 2007.</w:t>
      </w:r>
    </w:p>
    <w:p>
      <w:pPr>
        <w:spacing w:after="0" w:line="140"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Cable division operating income increased 10% to $28.0 million in the first quarter of 2007, versus $25.4 million in the first quarter of 2006. The increase in operating income is due to the division’s revenue growth, offset by higher depreciation and programming expenses, and increases in technical and telephony costs. Also in the first quarter of 2006, the cable division incurred $1.8 million in incremental cleanup and repair expense associated with Hurricane Katrina.</w:t>
      </w:r>
    </w:p>
    <w:p>
      <w:pPr>
        <w:spacing w:after="0" w:line="8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At March 31, 2007, Revenue Generating Units (RGUs) grew 7% due to continued growth in high-speed data subscribers and increases in the basic video and digital video subscriber categories. The cable division began offering telephone service on a very limited basis in the second quarter of 2006; as of March 31, 2007, telephone service is being offered in all or part of systems representing 63% of homes passed. RGUs include about 7,000 subscribers who receive free basic cable service, primarily local governments, schools and other organizations as required by the various franchise agreements. A summary of RGUs is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104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703,190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Digital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220,542</w:t>
            </w:r>
          </w:p>
        </w:tc>
        <w:tc>
          <w:tcPr>
            <w:tcW w:w="860" w:type="dxa"/>
            <w:vAlign w:val="bottom"/>
          </w:tcPr>
          <w:p>
            <w:pPr>
              <w:jc w:val="right"/>
              <w:spacing w:after="0"/>
              <w:rPr>
                <w:sz w:val="20"/>
                <w:szCs w:val="20"/>
                <w:color w:val="auto"/>
              </w:rPr>
            </w:pPr>
            <w:r>
              <w:rPr>
                <w:rFonts w:ascii="Arial" w:cs="Arial" w:eastAsia="Arial" w:hAnsi="Arial"/>
                <w:sz w:val="18"/>
                <w:szCs w:val="18"/>
                <w:color w:val="auto"/>
              </w:rPr>
              <w:t>214,658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308,089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Telephony</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10,009</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1,241,830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2007 and 2006, as defined by the NCTA Standard Reporting Categories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Line Extensions</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w:t>
            </w:r>
          </w:p>
        </w:tc>
      </w:tr>
      <w:tr>
        <w:trPr>
          <w:trHeight w:val="20"/>
        </w:trPr>
        <w:tc>
          <w:tcPr>
            <w:tcW w:w="8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Equity in Losses of Affiliates</w:t>
      </w:r>
      <w:r>
        <w:rPr>
          <w:rFonts w:ascii="Arial" w:cs="Arial" w:eastAsia="Arial" w:hAnsi="Arial"/>
          <w:sz w:val="16"/>
          <w:szCs w:val="16"/>
          <w:color w:val="auto"/>
        </w:rPr>
        <w:t>. The Company’s equity in earnings of affiliates for the first quarter of 2007 was $9.1 million, compared to losses of $0.2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2006. In the first quarter of 2007, $8.9 million of the equity in earnings of affiliates is due to a gain on the sale of land at the Company’s Bowater Mersey Paper Company Limited affiliate. The Company holds a 49% interest in Bowater Mersey Paper Company.</w:t>
      </w:r>
    </w:p>
    <w:p>
      <w:pPr>
        <w:spacing w:after="0" w:line="9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Other Non-Operating Income (Expense)</w:t>
      </w:r>
      <w:r>
        <w:rPr>
          <w:rFonts w:ascii="Arial" w:cs="Arial" w:eastAsia="Arial" w:hAnsi="Arial"/>
          <w:sz w:val="18"/>
          <w:szCs w:val="18"/>
          <w:color w:val="auto"/>
        </w:rPr>
        <w:t>. The Company recorded other non-operating income, net, of $0.8 million for the first quarter of 2007,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expense, net, of $0.2 million for the first quarter of 2006.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non-operating income (expense) for the thirteen weeks ended April 1, 2007 and April 2, 2006,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w:t>
            </w:r>
          </w:p>
        </w:tc>
        <w:tc>
          <w:tcPr>
            <w:tcW w:w="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$ 0.8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$ 0.8</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(0.2)</w:t>
            </w:r>
          </w:p>
        </w:tc>
      </w:tr>
      <w:tr>
        <w:trPr>
          <w:trHeight w:val="20"/>
        </w:trPr>
        <w:tc>
          <w:tcPr>
            <w:tcW w:w="8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Net Interest Expense</w:t>
      </w:r>
      <w:r>
        <w:rPr>
          <w:rFonts w:ascii="Arial" w:cs="Arial" w:eastAsia="Arial" w:hAnsi="Arial"/>
          <w:sz w:val="16"/>
          <w:szCs w:val="16"/>
          <w:color w:val="auto"/>
        </w:rPr>
        <w:t>. The Company incurred net interest expense of $2.6 million for the first quarter of 2007, compared to $4.7 million for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2006. The reduction is due an increase in interest income, as well as lower average borrowings in the first quarter of 2007 versus the same period of the prior year. At April 1, 2007, the Company had $405.3 million in borrowings outstanding, at an average interest rate of 5.5%.</w:t>
      </w:r>
    </w:p>
    <w:p>
      <w:pPr>
        <w:spacing w:after="0" w:line="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first quarter of 2007 was 35.1%, compared to 38.3% for the same period of 2006. The 2007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rate benefited from lower taxes provided on the gain on the sale of land at the Company’s Bowater Mersey Paper Company Limited affiliate investment. Excluding this gain, the effective tax rate for the first quarter of 2007 was 38.0%.</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5"/>
          <w:szCs w:val="15"/>
          <w:b w:val="1"/>
          <w:bCs w:val="1"/>
          <w:color w:val="auto"/>
        </w:rPr>
        <w:t xml:space="preserve">Cumulative Effect of Change in Accounting Principle. </w:t>
      </w:r>
      <w:r>
        <w:rPr>
          <w:rFonts w:ascii="Arial" w:cs="Arial" w:eastAsia="Arial" w:hAnsi="Arial"/>
          <w:sz w:val="15"/>
          <w:szCs w:val="15"/>
          <w:color w:val="auto"/>
        </w:rPr>
        <w:t>In the first quarter of 2006, the Company adopted SFAS 123R, which requires companies to record the</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first quarter of 2007 was based on 9,547,097 weighted average shares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9,606,235 for the first quarter of 2006. The Company repurchased 20,506 shares of its Class B common stock at a cost of $15.6 million during the first quarter of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first quarter of 2007, Kaplan acquired two businesses in their professional division totaling $115.8 million. These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included EduNeering Holdings, Inc., a Princeton, N.J. based provider of knowledge management solutions for organizations in the pharmaceutical, medical device, healthcare, energy and manufacturing sectors. In addition, the cable division acquired a system in Boise, Idaho for $4.1 million. Most of the purchase price for these acquisitions has been allocated to goodwill and other intangibles on a preliminary basis.</w:t>
      </w:r>
    </w:p>
    <w:p>
      <w:pPr>
        <w:spacing w:after="0" w:line="10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April 2007, Kaplan’s higher education division completed the acquisition of Sagemont Virtual, a leader in the growing field of online high school instruction that has been doing business as the University of Miami Online High School, and Virtual Sage, a developer of online high school courses. Also in April 2007, Kaplan formed a joint venture with ACE Education, a provider of education in China, to provide preparation courses for entry to U.K. universities, along with degree and professional training programs at campuses throughout China. Also in April 2007, Kaplan Professional announced an agreement to acquire the education division of the Financial Services Institute of Australia for 36 million Australian dollars.</w:t>
      </w:r>
    </w:p>
    <w:p>
      <w:pPr>
        <w:spacing w:after="0" w:line="1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2007, the Company’s capital expenditures totaled $75.1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$260 million to $285 million in 2007.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24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Liquidity. </w:t>
      </w:r>
      <w:r>
        <w:rPr>
          <w:rFonts w:ascii="Arial" w:cs="Arial" w:eastAsia="Arial" w:hAnsi="Arial"/>
          <w:sz w:val="16"/>
          <w:szCs w:val="16"/>
          <w:color w:val="auto"/>
        </w:rPr>
        <w:t>The Company’s borrowings have declined by $1.9 million, to $405.3 million at April 1, 2007, as compared to borrowings of $407.2 million at</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w:t>
      </w:r>
      <w:r>
        <w:rPr>
          <w:rFonts w:ascii="Arial" w:cs="Arial" w:eastAsia="Arial" w:hAnsi="Arial"/>
          <w:sz w:val="16"/>
          <w:szCs w:val="16"/>
          <w:i w:val="1"/>
          <w:iCs w:val="1"/>
          <w:color w:val="auto"/>
        </w:rPr>
        <w:t>.</w:t>
      </w:r>
      <w:r>
        <w:rPr>
          <w:rFonts w:ascii="Arial" w:cs="Arial" w:eastAsia="Arial" w:hAnsi="Arial"/>
          <w:sz w:val="16"/>
          <w:szCs w:val="16"/>
          <w:color w:val="auto"/>
        </w:rPr>
        <w:t xml:space="preserve"> At April 1, 2007, the Company has $292.3 million in cash and cash equivalents, compared to $348.1 million at December 31, 2006. The Company had commercial paper and money market investments of $104.5 million and $142.9 million that are classified ad “Cash and cash equivalents” in the Company’s Consolidated Balance Sheet as of April 1, 2007 and December 31, 2006, respectively.</w:t>
      </w:r>
    </w:p>
    <w:p>
      <w:pPr>
        <w:spacing w:after="0" w:line="10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April 1, 2007, the Company had $405.3 million in total debt outstanding, which comprised $399.5 million of 5.5 percent unsecured notes due February 15, 2009, and $5.8 million in other debt.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2007 and 2006, the Company had average borrowings outstanding of approximately $404.9 million and $426.0 million, respectively, at average annual interest rates of approximately 5.5 percent and 5.4 percent, respectively. During the first quarter of 2007 and 2006, the Company incurred net interest expense of $2.6 million and $4.7 million, respectively.</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April 1, 2007, the Company had a working capital deficit of $1.8 million and at December 31, 2006, the Company had working capital of $131.6 million.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2007.</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31, 2006.</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2006 Annual Report filed on Form 10-K have not otherwise changed significantly.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April 1, 2007.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President—Finance, in a manner that allows timely decisions regarding required disclosure.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April 1, 2007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300" w:type="dxa"/>
            <w:vAlign w:val="bottom"/>
          </w:tcPr>
          <w:p>
            <w:pPr>
              <w:ind w:left="1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80" w:type="dxa"/>
            <w:vAlign w:val="bottom"/>
            <w:gridSpan w:val="8"/>
          </w:tcPr>
          <w:p>
            <w:pPr>
              <w:spacing w:after="0"/>
              <w:rPr>
                <w:sz w:val="20"/>
                <w:szCs w:val="20"/>
                <w:color w:val="auto"/>
              </w:rPr>
            </w:pPr>
            <w:r>
              <w:rPr>
                <w:rFonts w:ascii="Arial" w:cs="Arial" w:eastAsia="Arial" w:hAnsi="Arial"/>
                <w:sz w:val="18"/>
                <w:szCs w:val="18"/>
                <w:color w:val="auto"/>
                <w:w w:val="88"/>
              </w:rPr>
              <w:t>During the quarter ended April 1, 2007, the Company purchased shares of its Class B Common Stock as set forth in the following table:</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6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Share</w:t>
            </w: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1 - Feb. 4, 2007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$747.42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Feb. 5 - Mar. 4, 2007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460,170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5 - Apr. 1, 2007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$766.00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rPr>
              <w:t>Total</w:t>
            </w:r>
          </w:p>
        </w:tc>
        <w:tc>
          <w:tcPr>
            <w:tcW w:w="6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20,506</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$761.17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20,506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220" w:right="40" w:hanging="212"/>
        <w:spacing w:after="0" w:line="287"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In the first quarter of 2007, 5,005 shares were purchased from recipients of vested awards of restricted shares at market price and 15,176 shares were purchased from the estate of the spouse of a former employee at market price. All other purchases made during the quarter ended April 1, 2007 were open-market transactions. Under the Company’s Incentive Compensation Plan, the Compensation Committee may permit the recipient of a vested award of restricted shares of the Company’s Class B Common Stock to receive some or all of the value of the award in cash rather than in shares. In addition, under the Company’s Stock Option Plan, the holder of a vested stock option has the right to pay some or all of the exercise price of the option by surrendering shares of the Company’s Class B Common Stock owned by such holder. There were 5,005 share conversions of vested restricted shares into cash during the period covered by this table. There were no surrenders of owned shares to pay for the exercise price of stock options that occurred during the period covered by this 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6809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700" w:right="240" w:hanging="688"/>
        <w:spacing w:after="0" w:line="259"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dated November 13, 2003 (incorporated by reference to Exhibit 3.1 to the Company’s Annual Report on Form 10-K for the fiscal year ended December 28, 2003).</w:t>
      </w:r>
    </w:p>
    <w:p>
      <w:pPr>
        <w:spacing w:after="0" w:line="86" w:lineRule="exact"/>
        <w:rPr>
          <w:sz w:val="20"/>
          <w:szCs w:val="20"/>
          <w:color w:val="auto"/>
        </w:rPr>
      </w:pPr>
    </w:p>
    <w:p>
      <w:pPr>
        <w:ind w:left="700" w:right="700" w:hanging="688"/>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for the Company’s Series A Preferred Stock dated September 22, 2003 (incorporated by reference to Exhibit 3.2 to Amendment No. 1 to the Company’s Current Report on Form 8-K dated September 22, 2003).</w:t>
      </w:r>
    </w:p>
    <w:p>
      <w:pPr>
        <w:spacing w:after="0" w:line="78" w:lineRule="exact"/>
        <w:rPr>
          <w:sz w:val="20"/>
          <w:szCs w:val="20"/>
          <w:color w:val="auto"/>
        </w:rPr>
      </w:pPr>
    </w:p>
    <w:p>
      <w:pPr>
        <w:ind w:left="700" w:right="240" w:hanging="688"/>
        <w:spacing w:after="0" w:line="268" w:lineRule="auto"/>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By-Laws of the Company as amended and restated through September 22, 2003 (incorporated by reference to Exhibit 3.4 to the Company’s Current Report on Form 8-K dated September 22, 2003).</w:t>
      </w:r>
    </w:p>
    <w:p>
      <w:pPr>
        <w:spacing w:after="0" w:line="78" w:lineRule="exact"/>
        <w:rPr>
          <w:sz w:val="20"/>
          <w:szCs w:val="20"/>
          <w:color w:val="auto"/>
        </w:rPr>
      </w:pPr>
    </w:p>
    <w:p>
      <w:pPr>
        <w:jc w:val="both"/>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86"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dated as of February 17, 1999, between the Company and The First National Bank of Chicago, as Trustee (incorporated by reference to the Company’s Annual Report on Form 10-K for the fiscal year ended January 3, 1999).</w:t>
      </w:r>
    </w:p>
    <w:p>
      <w:pPr>
        <w:spacing w:after="0" w:line="78" w:lineRule="exact"/>
        <w:rPr>
          <w:sz w:val="20"/>
          <w:szCs w:val="20"/>
          <w:color w:val="auto"/>
        </w:rPr>
      </w:pPr>
    </w:p>
    <w:p>
      <w:pPr>
        <w:jc w:val="both"/>
        <w:ind w:left="700" w:right="100" w:hanging="688"/>
        <w:spacing w:after="0" w:line="335"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34" w:lineRule="exact"/>
        <w:rPr>
          <w:sz w:val="20"/>
          <w:szCs w:val="20"/>
          <w:color w:val="auto"/>
        </w:rPr>
      </w:pPr>
    </w:p>
    <w:p>
      <w:pPr>
        <w:ind w:left="700" w:right="40" w:hanging="688"/>
        <w:spacing w:after="0" w:line="306"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Five Year Credit Agreement dated as of August 8, 2006, among the Company, Citibank, N.A., JPMorgan Chase Bank, N.A., Wachovia Bank, National Association, SunTrust Bank, The Bank of New York, PNC Bank, National Association, Bank of America, N.A. and Wells Fargo Bank, N.A. (incorporated by reference to Exhibit 4.4 to the Company’s Quarterly Report on Form 10-Q for the quarter ended July 2, 2006).</w:t>
      </w:r>
    </w:p>
    <w:p>
      <w:pPr>
        <w:spacing w:after="0" w:line="5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5620" w:right="4320" w:hanging="5612"/>
        <w:spacing w:after="0" w:line="525" w:lineRule="auto"/>
        <w:tabs>
          <w:tab w:leader="none" w:pos="691"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Section 1350 Certification of the Chief Executive Officer and the Chief Financial Officer. 24</w:t>
      </w:r>
    </w:p>
    <w:p>
      <w:pPr>
        <w:sectPr>
          <w:pgSz w:w="11900" w:h="16838" w:orient="portrait"/>
          <w:cols w:equalWidth="0" w:num="1">
            <w:col w:w="11320"/>
          </w:cols>
          <w:pgMar w:left="240" w:top="2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700" w:val="left"/>
        </w:tabs>
        <w:rPr>
          <w:sz w:val="20"/>
          <w:szCs w:val="20"/>
          <w:color w:val="auto"/>
        </w:rPr>
      </w:pPr>
      <w:r>
        <w:rPr>
          <w:rFonts w:ascii="Arial" w:cs="Arial" w:eastAsia="Arial" w:hAnsi="Arial"/>
          <w:sz w:val="18"/>
          <w:szCs w:val="18"/>
          <w:color w:val="auto"/>
        </w:rPr>
        <w:t>Date: May 7, 2007</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May 7, 2007</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April 1, 2007 (the “Report”),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Donald E. Graham, Chief Executive Officer of the Company and John B. Morse, Jr., Vice President-Finance of the Company, each hereby certifies, pursuant to 18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w:t>
      </w:r>
    </w:p>
    <w:p>
      <w:pPr>
        <w:spacing w:after="0" w:line="8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32"/>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2019-12-11T18:47:11Z</dcterms:created>
  <dcterms:modified xsi:type="dcterms:W3CDTF">2019-12-11T18:47:11Z</dcterms:modified>
</cp:coreProperties>
</file>