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7"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 December 23,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THE WASHINGTON POST COMPANY</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080" w:type="dxa"/>
        <w:tblCellMar>
          <w:top w:w="0" w:type="dxa"/>
          <w:left w:w="0" w:type="dxa"/>
          <w:bottom w:w="0" w:type="dxa"/>
          <w:right w:w="0" w:type="dxa"/>
        </w:tblCellMar>
      </w:tblPr>
      <w:tr>
        <w:trPr>
          <w:trHeight w:val="218"/>
        </w:trPr>
        <w:tc>
          <w:tcPr>
            <w:tcW w:w="4320" w:type="dxa"/>
            <w:vAlign w:val="bottom"/>
          </w:tcPr>
          <w:p>
            <w:pPr>
              <w:jc w:val="center"/>
              <w:ind w:right="2504"/>
              <w:spacing w:after="0"/>
              <w:rPr>
                <w:sz w:val="20"/>
                <w:szCs w:val="20"/>
                <w:color w:val="auto"/>
              </w:rPr>
            </w:pPr>
            <w:r>
              <w:rPr>
                <w:rFonts w:ascii="Arial" w:cs="Arial" w:eastAsia="Arial" w:hAnsi="Arial"/>
                <w:sz w:val="18"/>
                <w:szCs w:val="18"/>
                <w:b w:val="1"/>
                <w:bCs w:val="1"/>
                <w:color w:val="auto"/>
                <w:w w:val="88"/>
              </w:rPr>
              <w:t>Delaware</w:t>
            </w:r>
          </w:p>
        </w:tc>
        <w:tc>
          <w:tcPr>
            <w:tcW w:w="2240" w:type="dxa"/>
            <w:vAlign w:val="bottom"/>
          </w:tcPr>
          <w:p>
            <w:pPr>
              <w:jc w:val="center"/>
              <w:ind w:right="1266"/>
              <w:spacing w:after="0"/>
              <w:rPr>
                <w:sz w:val="20"/>
                <w:szCs w:val="20"/>
                <w:color w:val="auto"/>
              </w:rPr>
            </w:pPr>
            <w:r>
              <w:rPr>
                <w:rFonts w:ascii="Arial" w:cs="Arial" w:eastAsia="Arial" w:hAnsi="Arial"/>
                <w:sz w:val="18"/>
                <w:szCs w:val="18"/>
                <w:b w:val="1"/>
                <w:bCs w:val="1"/>
                <w:color w:val="auto"/>
                <w:w w:val="89"/>
              </w:rPr>
              <w:t>1-6714</w:t>
            </w:r>
          </w:p>
        </w:tc>
        <w:tc>
          <w:tcPr>
            <w:tcW w:w="2480" w:type="dxa"/>
            <w:vAlign w:val="bottom"/>
          </w:tcPr>
          <w:p>
            <w:pPr>
              <w:jc w:val="right"/>
              <w:ind w:right="24"/>
              <w:spacing w:after="0"/>
              <w:rPr>
                <w:sz w:val="20"/>
                <w:szCs w:val="20"/>
                <w:color w:val="auto"/>
              </w:rPr>
            </w:pPr>
            <w:r>
              <w:rPr>
                <w:rFonts w:ascii="Arial" w:cs="Arial" w:eastAsia="Arial" w:hAnsi="Arial"/>
                <w:sz w:val="18"/>
                <w:szCs w:val="18"/>
                <w:b w:val="1"/>
                <w:bCs w:val="1"/>
                <w:color w:val="auto"/>
              </w:rPr>
              <w:t>53-0182885</w:t>
            </w:r>
          </w:p>
        </w:tc>
      </w:tr>
      <w:tr>
        <w:trPr>
          <w:trHeight w:val="149"/>
        </w:trPr>
        <w:tc>
          <w:tcPr>
            <w:tcW w:w="4320" w:type="dxa"/>
            <w:vAlign w:val="bottom"/>
          </w:tcPr>
          <w:p>
            <w:pPr>
              <w:jc w:val="center"/>
              <w:ind w:right="2504"/>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2240" w:type="dxa"/>
            <w:vAlign w:val="bottom"/>
          </w:tcPr>
          <w:p>
            <w:pPr>
              <w:jc w:val="center"/>
              <w:ind w:right="1286"/>
              <w:spacing w:after="0" w:line="149" w:lineRule="exact"/>
              <w:rPr>
                <w:sz w:val="20"/>
                <w:szCs w:val="20"/>
                <w:color w:val="auto"/>
              </w:rPr>
            </w:pPr>
            <w:r>
              <w:rPr>
                <w:rFonts w:ascii="Arial" w:cs="Arial" w:eastAsia="Arial" w:hAnsi="Arial"/>
                <w:sz w:val="14"/>
                <w:szCs w:val="14"/>
                <w:b w:val="1"/>
                <w:bCs w:val="1"/>
                <w:color w:val="auto"/>
                <w:w w:val="85"/>
              </w:rPr>
              <w:t>(Commission</w:t>
            </w:r>
          </w:p>
        </w:tc>
        <w:tc>
          <w:tcPr>
            <w:tcW w:w="2480" w:type="dxa"/>
            <w:vAlign w:val="bottom"/>
          </w:tcPr>
          <w:p>
            <w:pPr>
              <w:jc w:val="center"/>
              <w:ind w:left="134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320" w:type="dxa"/>
            <w:vAlign w:val="bottom"/>
          </w:tcPr>
          <w:p>
            <w:pPr>
              <w:jc w:val="center"/>
              <w:ind w:right="2484"/>
              <w:spacing w:after="0"/>
              <w:rPr>
                <w:sz w:val="20"/>
                <w:szCs w:val="20"/>
                <w:color w:val="auto"/>
              </w:rPr>
            </w:pPr>
            <w:r>
              <w:rPr>
                <w:rFonts w:ascii="Arial" w:cs="Arial" w:eastAsia="Arial" w:hAnsi="Arial"/>
                <w:sz w:val="14"/>
                <w:szCs w:val="14"/>
                <w:b w:val="1"/>
                <w:bCs w:val="1"/>
                <w:color w:val="auto"/>
                <w:w w:val="88"/>
              </w:rPr>
              <w:t>incorporation or organization)</w:t>
            </w:r>
          </w:p>
        </w:tc>
        <w:tc>
          <w:tcPr>
            <w:tcW w:w="2240" w:type="dxa"/>
            <w:vAlign w:val="bottom"/>
          </w:tcPr>
          <w:p>
            <w:pPr>
              <w:jc w:val="center"/>
              <w:ind w:right="1266"/>
              <w:spacing w:after="0"/>
              <w:rPr>
                <w:sz w:val="20"/>
                <w:szCs w:val="20"/>
                <w:color w:val="auto"/>
              </w:rPr>
            </w:pPr>
            <w:r>
              <w:rPr>
                <w:rFonts w:ascii="Arial" w:cs="Arial" w:eastAsia="Arial" w:hAnsi="Arial"/>
                <w:sz w:val="14"/>
                <w:szCs w:val="14"/>
                <w:b w:val="1"/>
                <w:bCs w:val="1"/>
                <w:color w:val="auto"/>
                <w:w w:val="91"/>
              </w:rPr>
              <w:t>File Number)</w:t>
            </w: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Identification No.)</w:t>
            </w:r>
          </w:p>
        </w:tc>
      </w:tr>
      <w:tr>
        <w:trPr>
          <w:trHeight w:val="420"/>
        </w:trPr>
        <w:tc>
          <w:tcPr>
            <w:tcW w:w="4320" w:type="dxa"/>
            <w:vAlign w:val="bottom"/>
          </w:tcPr>
          <w:p>
            <w:pPr>
              <w:jc w:val="center"/>
              <w:ind w:left="1124"/>
              <w:spacing w:after="0"/>
              <w:rPr>
                <w:sz w:val="20"/>
                <w:szCs w:val="20"/>
                <w:color w:val="auto"/>
              </w:rPr>
            </w:pPr>
            <w:r>
              <w:rPr>
                <w:rFonts w:ascii="Arial" w:cs="Arial" w:eastAsia="Arial" w:hAnsi="Arial"/>
                <w:sz w:val="18"/>
                <w:szCs w:val="18"/>
                <w:b w:val="1"/>
                <w:bCs w:val="1"/>
                <w:color w:val="auto"/>
                <w:w w:val="88"/>
              </w:rPr>
              <w:t>1150 15th Street, N.W. Washington, D.C.</w:t>
            </w:r>
          </w:p>
        </w:tc>
        <w:tc>
          <w:tcPr>
            <w:tcW w:w="2240" w:type="dxa"/>
            <w:vAlign w:val="bottom"/>
          </w:tcPr>
          <w:p>
            <w:pPr>
              <w:spacing w:after="0"/>
              <w:rPr>
                <w:sz w:val="24"/>
                <w:szCs w:val="24"/>
                <w:color w:val="auto"/>
              </w:rPr>
            </w:pPr>
          </w:p>
        </w:tc>
        <w:tc>
          <w:tcPr>
            <w:tcW w:w="2480" w:type="dxa"/>
            <w:vAlign w:val="bottom"/>
          </w:tcPr>
          <w:p>
            <w:pPr>
              <w:jc w:val="right"/>
              <w:ind w:right="224"/>
              <w:spacing w:after="0"/>
              <w:rPr>
                <w:sz w:val="20"/>
                <w:szCs w:val="20"/>
                <w:color w:val="auto"/>
              </w:rPr>
            </w:pPr>
            <w:r>
              <w:rPr>
                <w:rFonts w:ascii="Arial" w:cs="Arial" w:eastAsia="Arial" w:hAnsi="Arial"/>
                <w:sz w:val="18"/>
                <w:szCs w:val="18"/>
                <w:b w:val="1"/>
                <w:bCs w:val="1"/>
                <w:color w:val="auto"/>
              </w:rPr>
              <w:t>20071</w:t>
            </w:r>
          </w:p>
        </w:tc>
      </w:tr>
      <w:tr>
        <w:trPr>
          <w:trHeight w:val="174"/>
        </w:trPr>
        <w:tc>
          <w:tcPr>
            <w:tcW w:w="4320" w:type="dxa"/>
            <w:vAlign w:val="bottom"/>
          </w:tcPr>
          <w:p>
            <w:pPr>
              <w:jc w:val="center"/>
              <w:ind w:left="1124"/>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240" w:type="dxa"/>
            <w:vAlign w:val="bottom"/>
          </w:tcPr>
          <w:p>
            <w:pPr>
              <w:spacing w:after="0"/>
              <w:rPr>
                <w:sz w:val="15"/>
                <w:szCs w:val="15"/>
                <w:color w:val="auto"/>
              </w:rPr>
            </w:pP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(202) 334-6000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8 – Other Events</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96"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color w:val="auto"/>
        </w:rPr>
        <w:t xml:space="preserve">On December 23, 2011, the U.S. District Court for the District of Columbia granted with prejudice the Defendants’ Motion to Dismiss the lawsuit entitled </w:t>
      </w:r>
      <w:r>
        <w:rPr>
          <w:rFonts w:ascii="Arial" w:cs="Arial" w:eastAsia="Arial" w:hAnsi="Arial"/>
          <w:sz w:val="16"/>
          <w:szCs w:val="16"/>
          <w:i w:val="1"/>
          <w:iCs w:val="1"/>
          <w:color w:val="auto"/>
        </w:rPr>
        <w:t>Plumbers Local #200 Pension Fund v. The Washington Post Company, Donald E. Graham, Hal S. Jones</w:t>
      </w:r>
      <w:r>
        <w:rPr>
          <w:rFonts w:ascii="Arial" w:cs="Arial" w:eastAsia="Arial" w:hAnsi="Arial"/>
          <w:sz w:val="16"/>
          <w:szCs w:val="16"/>
          <w:color w:val="auto"/>
        </w:rPr>
        <w:t>, Civil Action No. 10-cv-01835 (BJR).</w:t>
      </w:r>
    </w:p>
    <w:p>
      <w:pPr>
        <w:spacing w:after="0" w:line="8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lawsuit was filed on October 28, 2010 and alleged that The Washington Post Company (“the Company”) and certain of its officers made materially false or misleading statements, or failed to disclose material facts, relating to Kaplan Higher Education, in violation of the federal securities laws during the Class Period from July 31, 2009 through August 13, 2010. The Court issued a 23-page opinion granting with prejudice the motion filed by the Company and its officers to dismiss the complaint against them.</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not previously accrued any liability associated with this matter.</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For additional information about this lawsuit, see Item 3 – Legal Proceedings of the Company’s 2010 Annual Report on Form 10-K, filed with the Securities and Exchange Commission on March 2, 2011.</w:t>
      </w:r>
    </w:p>
    <w:p>
      <w:pPr>
        <w:sectPr>
          <w:pgSz w:w="11900" w:h="16838" w:orient="portrait"/>
          <w:cols w:equalWidth="0" w:num="1">
            <w:col w:w="11320"/>
          </w:cols>
          <w:pgMar w:left="240" w:top="274" w:right="33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spacing w:after="0"/>
        <w:tabs>
          <w:tab w:leader="none" w:pos="8240" w:val="left"/>
        </w:tabs>
        <w:rPr>
          <w:sz w:val="20"/>
          <w:szCs w:val="20"/>
          <w:color w:val="auto"/>
        </w:rPr>
      </w:pPr>
      <w:r>
        <w:rPr>
          <w:rFonts w:ascii="Arial" w:cs="Arial" w:eastAsia="Arial" w:hAnsi="Arial"/>
          <w:sz w:val="18"/>
          <w:szCs w:val="18"/>
          <w:color w:val="auto"/>
        </w:rPr>
        <w:t>Date December 27, 2011</w:t>
      </w:r>
      <w:r>
        <w:rPr>
          <w:sz w:val="20"/>
          <w:szCs w:val="20"/>
          <w:color w:val="auto"/>
        </w:rPr>
        <w:tab/>
      </w:r>
      <w:r>
        <w:rPr>
          <w:rFonts w:ascii="Arial" w:cs="Arial" w:eastAsia="Arial" w:hAnsi="Arial"/>
          <w:sz w:val="15"/>
          <w:szCs w:val="15"/>
          <w:color w:val="auto"/>
        </w:rPr>
        <w:t>/s/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Hal S. Jones</w:t>
      </w:r>
    </w:p>
    <w:p>
      <w:pPr>
        <w:spacing w:after="0" w:line="15"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Senior Vice President and Chief Financial Officer</w:t>
      </w:r>
    </w:p>
    <w:sectPr>
      <w:pgSz w:w="11900" w:h="16838" w:orient="portrait"/>
      <w:cols w:equalWidth="0" w:num="1">
        <w:col w:w="11000"/>
      </w:cols>
      <w:pgMar w:left="240" w:top="274"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2019-12-10T04:09:51Z</dcterms:created>
  <dcterms:modified xsi:type="dcterms:W3CDTF">2019-12-10T04:09:51Z</dcterms:modified>
</cp:coreProperties>
</file>