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13d-101)</w:t>
      </w: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TO BE INCLUDED IN STATEMENTS FILED PURSUANT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TO §240.13d-1(a) AND AMENDMENTS THERETO FILED</w:t>
      </w:r>
    </w:p>
    <w:p>
      <w:pPr>
        <w:jc w:val="center"/>
        <w:ind w:right="-19"/>
        <w:spacing w:after="0" w:line="230" w:lineRule="auto"/>
        <w:rPr>
          <w:sz w:val="20"/>
          <w:szCs w:val="20"/>
          <w:color w:val="auto"/>
        </w:rPr>
      </w:pPr>
      <w:r>
        <w:rPr>
          <w:rFonts w:ascii="Arial" w:cs="Arial" w:eastAsia="Arial" w:hAnsi="Arial"/>
          <w:sz w:val="22"/>
          <w:szCs w:val="22"/>
          <w:b w:val="1"/>
          <w:bCs w:val="1"/>
          <w:color w:val="auto"/>
        </w:rPr>
        <w:t>PURSUANT TO §240.13d-2(a)</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(formerly THE WASHINGTON POST COMPANY)</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B COMMON STOCK</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384637104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 D. HAMBURG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BERKSHIRE HATHAWAY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3555 FARNAM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OMAHA, NEBRASKA 68131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(402) 346-1400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9,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2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Warren E. Buffett</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3"/>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AF</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w w:val="91"/>
              </w:rPr>
              <w:t>U.S. citizen</w:t>
            </w: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20" w:type="dxa"/>
            <w:vAlign w:val="bottom"/>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40" w:type="dxa"/>
            <w:vAlign w:val="bottom"/>
          </w:tcPr>
          <w:p>
            <w:pPr>
              <w:spacing w:after="0"/>
              <w:rPr>
                <w:sz w:val="13"/>
                <w:szCs w:val="13"/>
                <w:color w:val="auto"/>
              </w:rPr>
            </w:pPr>
          </w:p>
        </w:tc>
        <w:tc>
          <w:tcPr>
            <w:tcW w:w="9620" w:type="dxa"/>
            <w:vAlign w:val="bottom"/>
          </w:tcPr>
          <w:p>
            <w:pPr>
              <w:ind w:left="4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6"/>
                <w:szCs w:val="6"/>
                <w:color w:val="auto"/>
              </w:rPr>
            </w:pPr>
          </w:p>
        </w:tc>
        <w:tc>
          <w:tcPr>
            <w:tcW w:w="9620" w:type="dxa"/>
            <w:vAlign w:val="bottom"/>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9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20" w:type="dxa"/>
            <w:vAlign w:val="bottom"/>
            <w:vMerge w:val="restart"/>
          </w:tcPr>
          <w:p>
            <w:pPr>
              <w:ind w:left="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9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gridSpan w:val="2"/>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27.8%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3"/>
              </w:rPr>
              <w:t>IN, HC</w:t>
            </w: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3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Berkshire Hathaway Inc.</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4"/>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AF</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4"/>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Delaware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3"/>
                <w:szCs w:val="13"/>
                <w:color w:val="auto"/>
              </w:rPr>
            </w:pPr>
          </w:p>
        </w:tc>
        <w:tc>
          <w:tcPr>
            <w:tcW w:w="28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9"/>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1,727,765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2"/>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4"/>
          </w:tcPr>
          <w:p>
            <w:pPr>
              <w:ind w:left="100"/>
              <w:spacing w:after="0"/>
              <w:rPr>
                <w:sz w:val="20"/>
                <w:szCs w:val="20"/>
                <w:color w:val="auto"/>
              </w:rPr>
            </w:pPr>
            <w:r>
              <w:rPr>
                <w:rFonts w:ascii="Arial" w:cs="Arial" w:eastAsia="Arial" w:hAnsi="Arial"/>
                <w:sz w:val="22"/>
                <w:szCs w:val="22"/>
                <w:color w:val="auto"/>
              </w:rPr>
              <w:t>27.8%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w w:val="90"/>
              </w:rPr>
              <w:t>HC, CO</w:t>
            </w:r>
          </w:p>
        </w:tc>
        <w:tc>
          <w:tcPr>
            <w:tcW w:w="28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4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Indemnity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875,810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875,810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14.1%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5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Fire &amp; Marine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648,165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648,165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10.4%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6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Indemnity Company of Mid America</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Iowa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18,494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18,494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0.3%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7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Berkshire Hathaway Homestate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Nebraska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148,311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148,311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2.4%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4340" w:type="dxa"/>
            <w:vAlign w:val="bottom"/>
            <w:gridSpan w:val="3"/>
          </w:tcPr>
          <w:p>
            <w:pPr>
              <w:spacing w:after="0"/>
              <w:rPr>
                <w:sz w:val="20"/>
                <w:szCs w:val="20"/>
                <w:color w:val="auto"/>
              </w:rPr>
            </w:pPr>
            <w:r>
              <w:rPr>
                <w:rFonts w:ascii="Arial" w:cs="Arial" w:eastAsia="Arial" w:hAnsi="Arial"/>
                <w:sz w:val="18"/>
                <w:szCs w:val="18"/>
                <w:color w:val="auto"/>
              </w:rPr>
              <w:t>CUSIP NO. 384637104</w:t>
            </w:r>
          </w:p>
        </w:tc>
        <w:tc>
          <w:tcPr>
            <w:tcW w:w="3820" w:type="dxa"/>
            <w:vAlign w:val="bottom"/>
          </w:tcPr>
          <w:p>
            <w:pPr>
              <w:ind w:left="760"/>
              <w:spacing w:after="0"/>
              <w:rPr>
                <w:sz w:val="20"/>
                <w:szCs w:val="20"/>
                <w:color w:val="auto"/>
              </w:rPr>
            </w:pPr>
            <w:r>
              <w:rPr>
                <w:rFonts w:ascii="Arial" w:cs="Arial" w:eastAsia="Arial" w:hAnsi="Arial"/>
                <w:sz w:val="18"/>
                <w:szCs w:val="18"/>
                <w:color w:val="auto"/>
              </w:rPr>
              <w:t>SCHEDULE 13D/A</w:t>
            </w:r>
          </w:p>
        </w:tc>
        <w:tc>
          <w:tcPr>
            <w:tcW w:w="3280" w:type="dxa"/>
            <w:vAlign w:val="bottom"/>
          </w:tcPr>
          <w:p>
            <w:pPr>
              <w:ind w:left="1580"/>
              <w:spacing w:after="0"/>
              <w:rPr>
                <w:sz w:val="20"/>
                <w:szCs w:val="20"/>
                <w:color w:val="auto"/>
              </w:rPr>
            </w:pPr>
            <w:r>
              <w:rPr>
                <w:rFonts w:ascii="Arial" w:cs="Arial" w:eastAsia="Arial" w:hAnsi="Arial"/>
                <w:sz w:val="18"/>
                <w:szCs w:val="18"/>
                <w:color w:val="auto"/>
                <w:w w:val="89"/>
              </w:rPr>
              <w:t>PAGE 8 OF 10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3780" w:type="dxa"/>
            <w:vAlign w:val="bottom"/>
          </w:tcPr>
          <w:p>
            <w:pPr>
              <w:ind w:left="220"/>
              <w:spacing w:after="0"/>
              <w:rPr>
                <w:sz w:val="20"/>
                <w:szCs w:val="20"/>
                <w:color w:val="auto"/>
              </w:rPr>
            </w:pPr>
            <w:r>
              <w:rPr>
                <w:rFonts w:ascii="Arial" w:cs="Arial" w:eastAsia="Arial" w:hAnsi="Arial"/>
                <w:sz w:val="18"/>
                <w:szCs w:val="18"/>
                <w:color w:val="auto"/>
              </w:rPr>
              <w:t>NAMES OF REPORTING PERSONS</w:t>
            </w:r>
          </w:p>
        </w:tc>
        <w:tc>
          <w:tcPr>
            <w:tcW w:w="3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-154305</wp:posOffset>
            </wp:positionV>
            <wp:extent cx="8890" cy="6011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8890" cy="6011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8890" cy="2461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National Liability &amp; Fire Insurance Company</w:t>
            </w:r>
          </w:p>
        </w:tc>
        <w:tc>
          <w:tcPr>
            <w:tcW w:w="0" w:type="dxa"/>
            <w:vAlign w:val="bottom"/>
          </w:tcPr>
          <w:p>
            <w:pPr>
              <w:spacing w:after="0"/>
              <w:rPr>
                <w:sz w:val="1"/>
                <w:szCs w:val="1"/>
                <w:color w:val="auto"/>
              </w:rPr>
            </w:pPr>
          </w:p>
        </w:tc>
      </w:tr>
      <w:tr>
        <w:trPr>
          <w:trHeight w:val="164"/>
        </w:trPr>
        <w:tc>
          <w:tcPr>
            <w:tcW w:w="40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4"/>
                <w:szCs w:val="14"/>
                <w:color w:val="auto"/>
              </w:rPr>
            </w:pPr>
          </w:p>
        </w:tc>
        <w:tc>
          <w:tcPr>
            <w:tcW w:w="1076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0000" w:type="dxa"/>
            <w:vAlign w:val="bottom"/>
            <w:gridSpan w:val="2"/>
          </w:tcPr>
          <w:p>
            <w:pPr>
              <w:ind w:left="1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76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WC</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760" w:type="dxa"/>
            <w:vAlign w:val="bottom"/>
            <w:tcBorders>
              <w:bottom w:val="single" w:sz="8" w:color="auto"/>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Connecticut corporation</w:t>
            </w:r>
          </w:p>
        </w:tc>
        <w:tc>
          <w:tcPr>
            <w:tcW w:w="0" w:type="dxa"/>
            <w:vAlign w:val="bottom"/>
          </w:tcPr>
          <w:p>
            <w:pPr>
              <w:spacing w:after="0"/>
              <w:rPr>
                <w:sz w:val="1"/>
                <w:szCs w:val="1"/>
                <w:color w:val="auto"/>
              </w:rPr>
            </w:pPr>
          </w:p>
        </w:tc>
      </w:tr>
      <w:tr>
        <w:trPr>
          <w:trHeight w:val="226"/>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966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6"/>
              </w:rPr>
              <w:t>NUMBER OF</w:t>
            </w:r>
          </w:p>
        </w:tc>
        <w:tc>
          <w:tcPr>
            <w:tcW w:w="340" w:type="dxa"/>
            <w:vAlign w:val="bottom"/>
            <w:tcBorders>
              <w:right w:val="single" w:sz="8" w:color="auto"/>
            </w:tcBorders>
          </w:tcPr>
          <w:p>
            <w:pPr>
              <w:spacing w:after="0"/>
              <w:rPr>
                <w:sz w:val="24"/>
                <w:szCs w:val="24"/>
                <w:color w:val="auto"/>
              </w:rPr>
            </w:pPr>
          </w:p>
        </w:tc>
        <w:tc>
          <w:tcPr>
            <w:tcW w:w="9660" w:type="dxa"/>
            <w:vAlign w:val="bottom"/>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1"/>
              </w:rPr>
              <w:t>SHARES</w:t>
            </w:r>
          </w:p>
        </w:tc>
        <w:tc>
          <w:tcPr>
            <w:tcW w:w="340" w:type="dxa"/>
            <w:vAlign w:val="bottom"/>
            <w:tcBorders>
              <w:bottom w:val="single" w:sz="8" w:color="auto"/>
              <w:right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34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44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right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7"/>
              </w:rPr>
              <w:t>OWNED BY</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400" w:type="dxa"/>
            <w:vAlign w:val="bottom"/>
          </w:tcPr>
          <w:p>
            <w:pPr>
              <w:spacing w:after="0"/>
              <w:rPr>
                <w:sz w:val="10"/>
                <w:szCs w:val="10"/>
                <w:color w:val="auto"/>
              </w:rPr>
            </w:pPr>
          </w:p>
        </w:tc>
        <w:tc>
          <w:tcPr>
            <w:tcW w:w="1040" w:type="dxa"/>
            <w:vAlign w:val="bottom"/>
            <w:tcBorders>
              <w:right w:val="single" w:sz="8" w:color="auto"/>
            </w:tcBorders>
            <w:gridSpan w:val="2"/>
            <w:vMerge w:val="restart"/>
          </w:tcPr>
          <w:p>
            <w:pPr>
              <w:jc w:val="center"/>
              <w:ind w:right="143"/>
              <w:spacing w:after="0"/>
              <w:rPr>
                <w:sz w:val="20"/>
                <w:szCs w:val="20"/>
                <w:color w:val="auto"/>
              </w:rPr>
            </w:pPr>
            <w:r>
              <w:rPr>
                <w:rFonts w:ascii="Arial" w:cs="Arial" w:eastAsia="Arial" w:hAnsi="Arial"/>
                <w:sz w:val="18"/>
                <w:szCs w:val="18"/>
                <w:color w:val="auto"/>
                <w:w w:val="95"/>
              </w:rPr>
              <w:t>EACH</w:t>
            </w:r>
          </w:p>
        </w:tc>
        <w:tc>
          <w:tcPr>
            <w:tcW w:w="34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400" w:type="dxa"/>
            <w:vAlign w:val="bottom"/>
          </w:tcPr>
          <w:p>
            <w:pPr>
              <w:spacing w:after="0"/>
              <w:rPr>
                <w:sz w:val="6"/>
                <w:szCs w:val="6"/>
                <w:color w:val="auto"/>
              </w:rPr>
            </w:pPr>
          </w:p>
        </w:tc>
        <w:tc>
          <w:tcPr>
            <w:tcW w:w="104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40" w:type="dxa"/>
            <w:vAlign w:val="bottom"/>
            <w:tcBorders>
              <w:right w:val="single" w:sz="8" w:color="auto"/>
            </w:tcBorders>
            <w:gridSpan w:val="3"/>
            <w:vMerge w:val="restart"/>
          </w:tcPr>
          <w:p>
            <w:pPr>
              <w:jc w:val="center"/>
              <w:ind w:left="70"/>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40" w:type="dxa"/>
            <w:vAlign w:val="bottom"/>
            <w:tcBorders>
              <w:right w:val="single" w:sz="8" w:color="auto"/>
            </w:tcBorders>
            <w:gridSpan w:val="3"/>
            <w:vMerge w:val="continue"/>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43"/>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040" w:type="dxa"/>
            <w:vAlign w:val="bottom"/>
            <w:tcBorders>
              <w:right w:val="single" w:sz="8" w:color="auto"/>
            </w:tcBorders>
            <w:gridSpan w:val="2"/>
          </w:tcPr>
          <w:p>
            <w:pPr>
              <w:jc w:val="center"/>
              <w:ind w:right="143"/>
              <w:spacing w:after="0" w:line="203" w:lineRule="exact"/>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7"/>
                <w:szCs w:val="17"/>
                <w:color w:val="auto"/>
              </w:rPr>
            </w:pPr>
          </w:p>
        </w:tc>
        <w:tc>
          <w:tcPr>
            <w:tcW w:w="9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966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36,985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4"/>
              </w:rPr>
              <w:t>AGGREGATE</w:t>
            </w:r>
          </w:p>
        </w:tc>
        <w:tc>
          <w:tcPr>
            <w:tcW w:w="9660" w:type="dxa"/>
            <w:vAlign w:val="bottom"/>
          </w:tcPr>
          <w:p>
            <w:pPr>
              <w:ind w:left="1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36,985 (see Item 5)</w:t>
            </w:r>
          </w:p>
        </w:tc>
        <w:tc>
          <w:tcPr>
            <w:tcW w:w="0" w:type="dxa"/>
            <w:vAlign w:val="bottom"/>
          </w:tcPr>
          <w:p>
            <w:pPr>
              <w:spacing w:after="0"/>
              <w:rPr>
                <w:sz w:val="1"/>
                <w:szCs w:val="1"/>
                <w:color w:val="auto"/>
              </w:rPr>
            </w:pPr>
          </w:p>
        </w:tc>
      </w:tr>
      <w:tr>
        <w:trPr>
          <w:trHeight w:val="278"/>
        </w:trPr>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0.6% (see Item 5)</w:t>
            </w:r>
          </w:p>
        </w:tc>
        <w:tc>
          <w:tcPr>
            <w:tcW w:w="0" w:type="dxa"/>
            <w:vAlign w:val="bottom"/>
          </w:tcPr>
          <w:p>
            <w:pPr>
              <w:spacing w:after="0"/>
              <w:rPr>
                <w:sz w:val="1"/>
                <w:szCs w:val="1"/>
                <w:color w:val="auto"/>
              </w:rPr>
            </w:pPr>
          </w:p>
        </w:tc>
      </w:tr>
      <w:tr>
        <w:trPr>
          <w:trHeight w:val="226"/>
        </w:trPr>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right w:val="single" w:sz="8" w:color="auto"/>
            </w:tcBorders>
          </w:tcPr>
          <w:p>
            <w:pPr>
              <w:spacing w:after="0"/>
              <w:rPr>
                <w:sz w:val="19"/>
                <w:szCs w:val="19"/>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0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w w:val="92"/>
              </w:rPr>
              <w:t>IC, CO</w:t>
            </w:r>
          </w:p>
        </w:tc>
        <w:tc>
          <w:tcPr>
            <w:tcW w:w="34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8" w:name="page9"/>
    <w:bookmarkEnd w:id="8"/>
    <w:p>
      <w:pPr>
        <w:spacing w:after="0"/>
        <w:tabs>
          <w:tab w:leader="none" w:pos="508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10 PAGES</w:t>
      </w:r>
    </w:p>
    <w:p>
      <w:pPr>
        <w:spacing w:after="0" w:line="158"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This Amendment No. 8 to Schedule 13D amends and supplements the information set forth in Items 2, 4, 5.a., 6 and 7 of the Schedule 13D filed by certain of the Reporting Persons with the Securities and Exchange Commission (the “Commission”) on June 1, 1973 (the “13D”), as subsequently amended thereafter, with respect to the shares of Class B Common Stock (“Class B Stock”) of Graham Holdings Company (formerly The Washington Post Company, the “Issuer”). This Amendment No. 8 also updates the previously reported information as to the beneficial ownership of Warren E. Buffett and of the following entities (collectively, the “Berkshire Entities”) — Berkshire Hathaway Inc., a Delaware corporation (“Berkshire”), National Indemnity Company, a Nebraska corporation (“NICO”), National Fire &amp; Marine Insurance Company, a Nebraska corporation (“NFMIC”), National Indemnity Company of Mid America, an Iowa corporation (“NICMA”), Berkshire Hathaway Homestate Insurance Company (formerly Cornhusker Casualty Company) , a Nebraska corporation (“Homestate”), and National Liability &amp; Fire Insurance Company, a Connecticut corporation (“NLFIC”) — of Class B Stock of the Issuer as of February 11, 2014. All changes in beneficial ownership percentages reported herein are solely as a result of a decrease in the total number of shares of Class B Stock issued and outstanding as reported by the Issuer since the filing of the most recent amendment to this 13D, and the Reporting Persons (Mr. Buffett and the Berkshire Entities are referred to herein collectively as “Reporting Persons”) have not purchased or sold any Class B Stock since that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is hereby amended and restated in its entirety as set forth below:</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 — c.; f. This Statement is filed by the Berkshire Entities and by Mr. Buffett, who may be deemed to control the Berkshire Entities. The information concerning the name, state or other place of organization, principal business, and the address of the principal office of each of the Berkshire Entities, the information concerning the name, business address, present principal occupation or employment, and the name, principal business address of any corporation or other organization in which such employment or occupation is conducted, and the citizenship of Mr. Buffett and each of the executive officers and directors of the Berkshire Entities is filed as Exhibit 1 hereto.</w:t>
      </w:r>
    </w:p>
    <w:p>
      <w:pPr>
        <w:spacing w:after="0" w:line="188"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d.; e. During the last five years, none of the Berkshire Entities or Mr. Buffett, or, to their knowledge, any of the directors or executive officers of the Berkshire Entities, has been convicted in a criminal proceeding (excluding traffic violations or similar misdemeanors) or was a party to a civil proceeding of a judicial or administrative body of competent jurisdiction and as a result of such proceeding was or is subject to a judgment, decree, or final order enjoining further violation of, or prohibiting or mandating activities subject to, federal or state securities laws or finding any violation with respect to such laws.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is hereby amended to add the following:</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Issuer is discussing with Berkshire the possibility of Berkshire acquiring an as yet unformed subsidiary of the Issuer, which would own a business and would own certain other assets to be determined but which may include shares of Berkshire common stock owned by the Issuer, in exchange for all of the Reporting Persons’ shares of Class B Stock in a transaction that would be structured to be a tax-free split-off. Berkshire and the Issuer have not agreed on any terms for such a transaction, and may not reach any such agreement. In particular, while Berkshire believes that such a transaction could be viable based on a valuation of Class B Stock and Berkshire’s common stock at prices prevailing on the date of this Amendment No. 8, a change in such prices may cause such a transaction to no longer be viable. Substantial other issues would also need to be resolved to proceed with such a transaction. If Berkshire and the Issuer do determine to enter into such a transaction, Berkshire believes that the transaction and related definitive agreement would be subject to approval by the Issuer’s board of directors, which to Berkshire’s knowledge has not yet considered any such transaction. Berkshire does not expect any transaction to be agreed upon unless the transaction will be of substantial economic benefit to both parties.</w:t>
      </w:r>
    </w:p>
    <w:p>
      <w:pPr>
        <w:spacing w:after="0" w:line="18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 transaction of the sort currently being discussed is not concluded, Berkshire or entities within the Berkshire group of companies may determine to acquire additional shares of Class B Stock, depending upon the performance of the Class B Stock in the market, market and general economic conditions, evaluation of alternative investments, price, availability of funds, and other factors, or may determine from time to time to sell some or all of its Class B Stock, based upon the same set of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5.a. is hereby amended and restated in its entirety as set forth below:</w:t>
      </w:r>
    </w:p>
    <w:p>
      <w:pPr>
        <w:spacing w:after="0" w:line="121" w:lineRule="exact"/>
        <w:rPr>
          <w:sz w:val="20"/>
          <w:szCs w:val="20"/>
          <w:color w:val="auto"/>
        </w:rPr>
      </w:pPr>
    </w:p>
    <w:p>
      <w:pPr>
        <w:ind w:right="180" w:firstLine="360"/>
        <w:spacing w:after="0" w:line="271" w:lineRule="auto"/>
        <w:rPr>
          <w:sz w:val="20"/>
          <w:szCs w:val="20"/>
          <w:color w:val="auto"/>
        </w:rPr>
      </w:pPr>
      <w:r>
        <w:rPr>
          <w:rFonts w:ascii="Arial" w:cs="Arial" w:eastAsia="Arial" w:hAnsi="Arial"/>
          <w:sz w:val="17"/>
          <w:szCs w:val="17"/>
          <w:color w:val="auto"/>
        </w:rPr>
        <w:t>a. NICO is the holder of 875,810 shares of Class B Stock, which, to the knowledge of the Reporting Persons, constitute approximately 14.1% of the Issuer’s outstanding Class B Stock. NFMIC is the holder of 648,165 shares of Class B Stock, which, to the knowledge of the Reporting Persons, constitute approximately 10.4% of the Issuer’s outstanding Class B Stock. NICMA is the holder of 18,494 shares of Class B Stock, which, to the knowledge of the Reporting Persons, constitute approximately 0.3% of the Issuer’s outstanding Class B Stock. Homestate is the holder of 148,311 shares of Class B Stock, which, to the knowledge of the Reporting Persons, constitute approximately 2.4% of the Issuer’s outstanding Class B Stock. NLFIC is the holder of 36,985 shares of Class B Stock, which, to the knowledge of the Reporting Persons, constitute approximately 0.6% of the Issuer’s outstanding Class B Stock. The percentages of outstanding shares stated herein are based on the number of shares of Class B Stock disclosed as outstanding on the Issuer’s Form 10-Q filed with the Commission on November 6, 2013.</w:t>
      </w:r>
    </w:p>
    <w:p>
      <w:pPr>
        <w:spacing w:after="0" w:line="179"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Mr. Buffett may be deemed to control Berkshire, which controls NICO, NFMIC, NICMA, Homestate and NLFIC. Thus, both Mr. Buffett and Berkshire may be considered to have beneficial ownership of the shares of Class B Stock held by NICO, NFMIC, NICMA, Homestate and NLFIC.</w:t>
      </w:r>
    </w:p>
    <w:p>
      <w:pPr>
        <w:spacing w:after="0" w:line="124"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To the knowledge of the Reporting Persons, no other officers or directors of any of the Berkshire Entities have beneficial ownership of the Class B Stock of the Issuer.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is hereby amended to add the following:</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voting agreement with respect to the Class B Stock between the Berkshire Entities and Donald Graham, dated as of February 25, 1977, as described and set forth in Amendments No. 5 and No. 6 to this 13D filed with the Commission on March 7, 1977 and January 12, 1979, respectively, and as extended and amended on September 13, 1985 and May 15, 1996, was further extended on July 6, 2006 (with a termination date (which may be extended) of February 24, 2017).</w:t>
      </w:r>
    </w:p>
    <w:p>
      <w:pPr>
        <w:sectPr>
          <w:pgSz w:w="11900" w:h="16838" w:orient="portrait"/>
          <w:cols w:equalWidth="0" w:num="1">
            <w:col w:w="11420"/>
          </w:cols>
          <w:pgMar w:left="240" w:top="274" w:right="239" w:bottom="48"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is hereby amended to add the following:</w:t>
      </w:r>
    </w:p>
    <w:p>
      <w:pPr>
        <w:sectPr>
          <w:pgSz w:w="11900" w:h="16838" w:orient="portrait"/>
          <w:cols w:equalWidth="0" w:num="1">
            <w:col w:w="10219"/>
          </w:cols>
          <w:pgMar w:left="240" w:top="121" w:right="1440" w:bottom="1440" w:gutter="0" w:footer="0" w:header="0"/>
        </w:sectPr>
      </w:pPr>
    </w:p>
    <w:p>
      <w:pPr>
        <w:spacing w:after="0" w:line="271" w:lineRule="exact"/>
        <w:rPr>
          <w:sz w:val="20"/>
          <w:szCs w:val="20"/>
          <w:color w:val="auto"/>
        </w:rPr>
      </w:pPr>
    </w:p>
    <w:p>
      <w:pPr>
        <w:jc w:val="center"/>
        <w:ind w:right="484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right="484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Description</w:t>
      </w:r>
    </w:p>
    <w:p>
      <w:pPr>
        <w:spacing w:after="0" w:line="129" w:lineRule="exact"/>
        <w:rPr>
          <w:sz w:val="20"/>
          <w:szCs w:val="20"/>
          <w:color w:val="auto"/>
        </w:rPr>
      </w:pPr>
    </w:p>
    <w:p>
      <w:pPr>
        <w:sectPr>
          <w:pgSz w:w="11900" w:h="16838" w:orient="portrait"/>
          <w:cols w:equalWidth="0" w:num="2">
            <w:col w:w="5300" w:space="720"/>
            <w:col w:w="4199"/>
          </w:cols>
          <w:pgMar w:left="240" w:top="121" w:right="1440" w:bottom="1440" w:gutter="0" w:footer="0" w:header="0"/>
          <w:type w:val="continuous"/>
        </w:sectPr>
      </w:pPr>
    </w:p>
    <w:p>
      <w:pPr>
        <w:ind w:left="1340" w:hanging="1332"/>
        <w:spacing w:after="0"/>
        <w:tabs>
          <w:tab w:leader="none" w:pos="1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Information About the Reporting Persons and the Executive Officers and Directors of the Reporting Persons</w:t>
      </w:r>
    </w:p>
    <w:p>
      <w:pPr>
        <w:spacing w:after="0" w:line="140" w:lineRule="exact"/>
        <w:rPr>
          <w:sz w:val="20"/>
          <w:szCs w:val="20"/>
          <w:color w:val="auto"/>
        </w:rPr>
      </w:pPr>
    </w:p>
    <w:p>
      <w:pPr>
        <w:ind w:left="1340" w:hanging="1332"/>
        <w:spacing w:after="0"/>
        <w:tabs>
          <w:tab w:leader="none" w:pos="1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Joint Filing Agreement Pursuant to Rule 13d-1(k)(1)</w:t>
      </w:r>
    </w:p>
    <w:p>
      <w:pPr>
        <w:sectPr>
          <w:pgSz w:w="11900" w:h="16838" w:orient="portrait"/>
          <w:cols w:equalWidth="0" w:num="1">
            <w:col w:w="10219"/>
          </w:cols>
          <w:pgMar w:left="240" w:top="121" w:right="1440" w:bottom="1440" w:gutter="0" w:footer="0" w:header="0"/>
          <w:type w:val="continuous"/>
        </w:sectPr>
      </w:pPr>
    </w:p>
    <w:bookmarkStart w:id="10" w:name="page11"/>
    <w:bookmarkEnd w:id="10"/>
    <w:p>
      <w:pPr>
        <w:spacing w:after="0"/>
        <w:tabs>
          <w:tab w:leader="none" w:pos="508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384637104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10 OF 10 PAGES</w:t>
      </w:r>
    </w:p>
    <w:p>
      <w:pPr>
        <w:spacing w:after="0" w:line="37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on Schedule 13D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WARREN E. BUFFETT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W</w:t>
      </w:r>
      <w:r>
        <w:rPr>
          <w:rFonts w:ascii="Arial" w:cs="Arial" w:eastAsia="Arial" w:hAnsi="Arial"/>
          <w:sz w:val="15"/>
          <w:szCs w:val="15"/>
          <w:color w:val="auto"/>
        </w:rPr>
        <w:t>ARREN</w:t>
      </w:r>
      <w:r>
        <w:rPr>
          <w:rFonts w:ascii="Arial" w:cs="Arial" w:eastAsia="Arial" w:hAnsi="Arial"/>
          <w:sz w:val="18"/>
          <w:szCs w:val="18"/>
          <w:color w:val="auto"/>
        </w:rPr>
        <w:t xml:space="preserve"> E. B</w:t>
      </w:r>
      <w:r>
        <w:rPr>
          <w:rFonts w:ascii="Arial" w:cs="Arial" w:eastAsia="Arial" w:hAnsi="Arial"/>
          <w:sz w:val="15"/>
          <w:szCs w:val="15"/>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INC.</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w:t>
      </w:r>
      <w:r>
        <w:rPr>
          <w:rFonts w:ascii="Arial" w:cs="Arial" w:eastAsia="Arial" w:hAnsi="Arial"/>
          <w:sz w:val="15"/>
          <w:szCs w:val="15"/>
          <w:color w:val="auto"/>
        </w:rPr>
        <w:t>ARC</w:t>
      </w:r>
      <w:r>
        <w:rPr>
          <w:rFonts w:ascii="Arial" w:cs="Arial" w:eastAsia="Arial" w:hAnsi="Arial"/>
          <w:sz w:val="18"/>
          <w:szCs w:val="18"/>
          <w:color w:val="auto"/>
        </w:rPr>
        <w:t xml:space="preserve"> D. H</w:t>
      </w:r>
      <w:r>
        <w:rPr>
          <w:rFonts w:ascii="Arial" w:cs="Arial" w:eastAsia="Arial" w:hAnsi="Arial"/>
          <w:sz w:val="15"/>
          <w:szCs w:val="15"/>
          <w:color w:val="auto"/>
        </w:rPr>
        <w:t>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Marc D. Hamburg</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Senior Vice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Dale D. Geistkemper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Treasurer and Controller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FIRE &amp; MARINE INSURANCE COMPANY</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Dale D. Geistkemper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Treasurer and Controller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INDEMNITY COMPANY OF MID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Dale D. Geistkemper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Treasurer and Controller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BERKSHIRE HATHAWAY HOMESTATE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5"/>
          <w:szCs w:val="15"/>
          <w:color w:val="auto"/>
        </w:rPr>
        <w:t>ONALD</w:t>
      </w:r>
      <w:r>
        <w:rPr>
          <w:rFonts w:ascii="Arial" w:cs="Arial" w:eastAsia="Arial" w:hAnsi="Arial"/>
          <w:sz w:val="18"/>
          <w:szCs w:val="18"/>
          <w:color w:val="auto"/>
        </w:rPr>
        <w:t xml:space="preserve"> F. W</w:t>
      </w:r>
      <w:r>
        <w:rPr>
          <w:rFonts w:ascii="Arial" w:cs="Arial" w:eastAsia="Arial" w:hAnsi="Arial"/>
          <w:sz w:val="15"/>
          <w:szCs w:val="15"/>
          <w:color w:val="auto"/>
        </w:rPr>
        <w:t>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Donald F. Wurster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LIABILITY &amp; FIRE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w:t>
      </w:r>
      <w:r>
        <w:rPr>
          <w:rFonts w:ascii="Arial" w:cs="Arial" w:eastAsia="Arial" w:hAnsi="Arial"/>
          <w:sz w:val="15"/>
          <w:szCs w:val="15"/>
          <w:color w:val="auto"/>
        </w:rPr>
        <w:t>ALE</w:t>
      </w:r>
      <w:r>
        <w:rPr>
          <w:rFonts w:ascii="Arial" w:cs="Arial" w:eastAsia="Arial" w:hAnsi="Arial"/>
          <w:sz w:val="18"/>
          <w:szCs w:val="18"/>
          <w:color w:val="auto"/>
        </w:rPr>
        <w:t xml:space="preserve"> D. G</w:t>
      </w:r>
      <w:r>
        <w:rPr>
          <w:rFonts w:ascii="Arial" w:cs="Arial" w:eastAsia="Arial" w:hAnsi="Arial"/>
          <w:sz w:val="15"/>
          <w:szCs w:val="15"/>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Dale D. Geistkemper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Treasurer and Controller</w:t>
      </w:r>
    </w:p>
    <w:p>
      <w:pPr>
        <w:sectPr>
          <w:pgSz w:w="11900" w:h="16838" w:orient="portrait"/>
          <w:cols w:equalWidth="0" w:num="1">
            <w:col w:w="11420"/>
          </w:cols>
          <w:pgMar w:left="240" w:top="27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INFORMATION ABOUT THE REPORTING PERSONS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EXECUTIVE OFFICERS AND DIRECTORS OF THE REPORTING PERSONS</w:t>
      </w:r>
    </w:p>
    <w:p>
      <w:pPr>
        <w:spacing w:after="0" w:line="211"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Set forth below is information about (i) the name, state of organization, principal business, and the address of the principal office of each of the Berkshire Entities and (ii) the name and title of each executive officer and director of the Berkshire Entities, his or her business address, his or her present principal occupation or employment, the name, principal business, and address of any corporation or other organization in which such employment is conducted, and his or her country of citizenship.</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 Berkshire Hathaway Inc.</w:t>
      </w:r>
    </w:p>
    <w:p>
      <w:pPr>
        <w:spacing w:after="0" w:line="121"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Berkshire Hathaway Inc., a Delaware corporation (“Berkshire”), is a holding company engaged through its subsidiaries in a number of diverse businesses, the most important of which is property and casualty insurance and reinsurance offered on both a direct and reinsurance basis through its insurance subsidiaries. The principal office of Berkshire is located at 3555 Farnam Street, Omaha, Nebraska 68131. The executive officers of Berkshire are Warren E. Buffett, Chairman and Chief Executive Officer, Charles T. Munger, Vice Chairman, and Marc D. Hamburg, Senior Vice President and Chief Financial Officer. The directors of Berkshire are Warren E. Buffett, Charles T. Munger, Howard G. Buffett, Susan L. Decker, William H. Gates, David S. Gottesman, Charlotte Guyman, Donald R. Keough, Thomas S. Murphy, Ronald L. Olson, Walter Scott, Jr., and Meryl B. Witmer.</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 National Indemnity Company</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National Indemnity Company, a Nebraska corporation (“NICO”), is a property and casualty insurance company. The principal office of NICO is located at 3024 Harney Street, Omaha, Nebraska 68131. The executive officers of NICO are Donald F. Wurster, President, Ajit Jain, Executive Vice President, Phillip M. Wolf, Senior Vice President, Scott R. Doerr, Senior Vice President, Sunil C. Khanna, Senior Vice President, Dale Geistkemper, Treasurer and Controller, and J. Michael Gottschalk, Secretary. The directors of NICO are Donald F. Wurster, Phillip M. Wolf, Marc D. Hamburg, Brian G. Snover, J. Michael Gottschalk, Ajit Jain, and Daniel J. Jaksich.</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 National Fire &amp; Marine Insurance Company</w:t>
      </w:r>
    </w:p>
    <w:p>
      <w:pPr>
        <w:spacing w:after="0" w:line="12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National Fire &amp; Marine Insurance Company, a Nebraska corporation (“NFMIC”), is a property and casualty insurance company. The principal office of NFMIC is located at 3024 Harney Street, Omaha, Nebraska 68131. The executive officers of NFMIC are Donald F. Wurster, President, J. Michael Gottschalk, Vice President and Secretary, and Dale D. Geistkemper, Treasurer and Controller. The directors of NFMIC are J. Michael Gottschalk, Marc D. Hamburg, Ajit Jain, and Donald F. Wurster.</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 National Indemnity Company of Mid America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National Indemnity Company of Mid America, an Iowa corporation (“NICMA”), is a property and casualty insurance company. The principal office of NICMA is located at 3024 Harney Street, Omaha, Nebraska 68131. The executive officers of NFMIC are Donald F. Wurster, President, J. Michael Gottschalk, Secretary, and Dale D. Geistkemper, Treasurer and Controller. The directors of NFMIC are J. Michael Gottschalk, Marc D. Hamburg, Daniel J. Jaksich, and Donald F. Wurster.</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 Berkshire Hathaway Homestate Insurance Company</w:t>
      </w:r>
    </w:p>
    <w:p>
      <w:pPr>
        <w:spacing w:after="0" w:line="12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Berkshire Hathaway Homestate Insurance Company, a Nebraska corporation (“Homestate”), is a property and casualty insurance company. The principal office of Homestate is located at 3333 Farnam Street, Suite 300, Omaha, Nebraska 68131. The executive officers of Homestate are Donald F. Wurster, President, Andrew R. Linkhart, Chief Financial Officer, and Jackie L. Perry, Secretary and Treasurer. The directors of Homestate are J. Michael Gottschalk, Joseph G. Casaccio, Thomas J. Mortland, and Donald F. Wurster.</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 National Liability &amp; Fire Insurance Company</w:t>
      </w:r>
    </w:p>
    <w:p>
      <w:pPr>
        <w:spacing w:after="0" w:line="121" w:lineRule="exact"/>
        <w:rPr>
          <w:sz w:val="20"/>
          <w:szCs w:val="20"/>
          <w:color w:val="auto"/>
        </w:rPr>
      </w:pPr>
    </w:p>
    <w:p>
      <w:pPr>
        <w:ind w:right="420" w:firstLine="456"/>
        <w:spacing w:after="0" w:line="257" w:lineRule="auto"/>
        <w:rPr>
          <w:sz w:val="20"/>
          <w:szCs w:val="20"/>
          <w:color w:val="auto"/>
        </w:rPr>
      </w:pPr>
      <w:r>
        <w:rPr>
          <w:rFonts w:ascii="Arial" w:cs="Arial" w:eastAsia="Arial" w:hAnsi="Arial"/>
          <w:sz w:val="18"/>
          <w:szCs w:val="18"/>
          <w:color w:val="auto"/>
        </w:rPr>
        <w:t>National Liability &amp; Fire Insurance Company, a Connecticut corporation (“NLFIC”), is a property and casualty insurance company. The principal office of NLFIC is located at 3024 Harney Street, Omaha, Nebraska 68131. The executive officers of NLFIC are Donald F. Wurster, President, Ajit Jain, Executive Vice President, Phillip M. Wolf, Senior Vice President, Scott R. Doerr, Senior Vice President, Sunil C. Khanna, Senior Vice President, Dale Geistkemper, Treasurer and Controller, and J. Michael Gottschalk, Secretary. The directors of NLFIC are Donald F. Wurster, Phillip M. Wolf, Marc D. Hamburg, Brian G. Snover, J. Michael Gottschalk, and Ajit Jain.</w:t>
      </w:r>
    </w:p>
    <w:p>
      <w:pPr>
        <w:sectPr>
          <w:pgSz w:w="11900" w:h="16838" w:orient="portrait"/>
          <w:cols w:equalWidth="0" w:num="1">
            <w:col w:w="11420"/>
          </w:cols>
          <w:pgMar w:left="240" w:top="270"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5"/>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520" w:type="dxa"/>
            <w:vAlign w:val="bottom"/>
          </w:tcPr>
          <w:p>
            <w:pPr>
              <w:ind w:left="1100"/>
              <w:spacing w:after="0"/>
              <w:rPr>
                <w:sz w:val="20"/>
                <w:szCs w:val="20"/>
                <w:color w:val="auto"/>
              </w:rPr>
            </w:pPr>
            <w:r>
              <w:rPr>
                <w:rFonts w:ascii="Arial" w:cs="Arial" w:eastAsia="Arial" w:hAnsi="Arial"/>
                <w:sz w:val="14"/>
                <w:szCs w:val="14"/>
                <w:b w:val="1"/>
                <w:bCs w:val="1"/>
                <w:color w:val="auto"/>
              </w:rPr>
              <w:t>Principal Occupation</w:t>
            </w:r>
          </w:p>
        </w:tc>
      </w:tr>
      <w:tr>
        <w:trPr>
          <w:trHeight w:val="195"/>
        </w:trPr>
        <w:tc>
          <w:tcPr>
            <w:tcW w:w="20" w:type="dxa"/>
            <w:vAlign w:val="bottom"/>
          </w:tcPr>
          <w:p>
            <w:pPr>
              <w:spacing w:after="0"/>
              <w:rPr>
                <w:sz w:val="16"/>
                <w:szCs w:val="16"/>
                <w:color w:val="auto"/>
              </w:rPr>
            </w:pPr>
          </w:p>
        </w:tc>
        <w:tc>
          <w:tcPr>
            <w:tcW w:w="2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Howard G. Buffett</w:t>
            </w:r>
          </w:p>
        </w:tc>
        <w:tc>
          <w:tcPr>
            <w:tcW w:w="14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President of Buffett Farms and the Howard G.</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Buffett Foundation</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Warren E. Buffett</w:t>
            </w:r>
          </w:p>
        </w:tc>
        <w:tc>
          <w:tcPr>
            <w:tcW w:w="3520" w:type="dxa"/>
            <w:vAlign w:val="bottom"/>
          </w:tcPr>
          <w:p>
            <w:pPr>
              <w:spacing w:after="0"/>
              <w:rPr>
                <w:sz w:val="20"/>
                <w:szCs w:val="20"/>
                <w:color w:val="auto"/>
              </w:rPr>
            </w:pPr>
            <w:r>
              <w:rPr>
                <w:rFonts w:ascii="Arial" w:cs="Arial" w:eastAsia="Arial" w:hAnsi="Arial"/>
                <w:sz w:val="18"/>
                <w:szCs w:val="18"/>
                <w:color w:val="auto"/>
              </w:rPr>
              <w:t>Chairman and Chief Executive Officer of</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Berkshire</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Joseph G. Casaccio</w:t>
            </w:r>
          </w:p>
        </w:tc>
        <w:tc>
          <w:tcPr>
            <w:tcW w:w="3520" w:type="dxa"/>
            <w:vAlign w:val="bottom"/>
          </w:tcPr>
          <w:p>
            <w:pPr>
              <w:spacing w:after="0"/>
              <w:rPr>
                <w:sz w:val="20"/>
                <w:szCs w:val="20"/>
                <w:color w:val="auto"/>
              </w:rPr>
            </w:pPr>
            <w:r>
              <w:rPr>
                <w:rFonts w:ascii="Arial" w:cs="Arial" w:eastAsia="Arial" w:hAnsi="Arial"/>
                <w:sz w:val="18"/>
                <w:szCs w:val="18"/>
                <w:color w:val="auto"/>
              </w:rPr>
              <w:t>Vice President of NICO</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Susan L. Decker</w:t>
            </w:r>
          </w:p>
        </w:tc>
        <w:tc>
          <w:tcPr>
            <w:tcW w:w="3520" w:type="dxa"/>
            <w:vAlign w:val="bottom"/>
          </w:tcPr>
          <w:p>
            <w:pPr>
              <w:spacing w:after="0"/>
              <w:rPr>
                <w:sz w:val="20"/>
                <w:szCs w:val="20"/>
                <w:color w:val="auto"/>
              </w:rPr>
            </w:pPr>
            <w:r>
              <w:rPr>
                <w:rFonts w:ascii="Arial" w:cs="Arial" w:eastAsia="Arial" w:hAnsi="Arial"/>
                <w:sz w:val="18"/>
                <w:szCs w:val="18"/>
                <w:color w:val="auto"/>
              </w:rPr>
              <w:t>Former President of Yahoo! Inc., a global</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internet brand</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Scott R. Doerr</w:t>
            </w:r>
          </w:p>
        </w:tc>
        <w:tc>
          <w:tcPr>
            <w:tcW w:w="3520" w:type="dxa"/>
            <w:vAlign w:val="bottom"/>
          </w:tcPr>
          <w:p>
            <w:pPr>
              <w:spacing w:after="0"/>
              <w:rPr>
                <w:sz w:val="20"/>
                <w:szCs w:val="20"/>
                <w:color w:val="auto"/>
              </w:rPr>
            </w:pPr>
            <w:r>
              <w:rPr>
                <w:rFonts w:ascii="Arial" w:cs="Arial" w:eastAsia="Arial" w:hAnsi="Arial"/>
                <w:sz w:val="18"/>
                <w:szCs w:val="18"/>
                <w:color w:val="auto"/>
              </w:rPr>
              <w:t>Senior Vice President of NICO</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William H. Gates</w:t>
            </w:r>
          </w:p>
        </w:tc>
        <w:tc>
          <w:tcPr>
            <w:tcW w:w="3520" w:type="dxa"/>
            <w:vAlign w:val="bottom"/>
          </w:tcPr>
          <w:p>
            <w:pPr>
              <w:spacing w:after="0"/>
              <w:rPr>
                <w:sz w:val="20"/>
                <w:szCs w:val="20"/>
                <w:color w:val="auto"/>
              </w:rPr>
            </w:pPr>
            <w:r>
              <w:rPr>
                <w:rFonts w:ascii="Arial" w:cs="Arial" w:eastAsia="Arial" w:hAnsi="Arial"/>
                <w:sz w:val="18"/>
                <w:szCs w:val="18"/>
                <w:color w:val="auto"/>
              </w:rPr>
              <w:t>Co-Chair of the Bill and Melinda Gates</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Foundation</w:t>
            </w:r>
          </w:p>
        </w:tc>
      </w:tr>
      <w:tr>
        <w:trPr>
          <w:trHeight w:val="338"/>
        </w:trPr>
        <w:tc>
          <w:tcPr>
            <w:tcW w:w="2880" w:type="dxa"/>
            <w:vAlign w:val="bottom"/>
            <w:gridSpan w:val="3"/>
          </w:tcPr>
          <w:p>
            <w:pPr>
              <w:spacing w:after="0"/>
              <w:rPr>
                <w:sz w:val="20"/>
                <w:szCs w:val="20"/>
                <w:color w:val="auto"/>
              </w:rPr>
            </w:pPr>
            <w:r>
              <w:rPr>
                <w:rFonts w:ascii="Arial" w:cs="Arial" w:eastAsia="Arial" w:hAnsi="Arial"/>
                <w:sz w:val="18"/>
                <w:szCs w:val="18"/>
                <w:color w:val="auto"/>
              </w:rPr>
              <w:t>Dale D. Geistkemper</w:t>
            </w:r>
          </w:p>
        </w:tc>
        <w:tc>
          <w:tcPr>
            <w:tcW w:w="3520" w:type="dxa"/>
            <w:vAlign w:val="bottom"/>
          </w:tcPr>
          <w:p>
            <w:pPr>
              <w:spacing w:after="0"/>
              <w:rPr>
                <w:sz w:val="20"/>
                <w:szCs w:val="20"/>
                <w:color w:val="auto"/>
              </w:rPr>
            </w:pPr>
            <w:r>
              <w:rPr>
                <w:rFonts w:ascii="Arial" w:cs="Arial" w:eastAsia="Arial" w:hAnsi="Arial"/>
                <w:sz w:val="18"/>
                <w:szCs w:val="18"/>
                <w:color w:val="auto"/>
              </w:rPr>
              <w:t>Treasurer and Controller of NICO</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David S. Gottesman</w:t>
            </w:r>
          </w:p>
        </w:tc>
        <w:tc>
          <w:tcPr>
            <w:tcW w:w="3520" w:type="dxa"/>
            <w:vAlign w:val="bottom"/>
          </w:tcPr>
          <w:p>
            <w:pPr>
              <w:spacing w:after="0"/>
              <w:rPr>
                <w:sz w:val="20"/>
                <w:szCs w:val="20"/>
                <w:color w:val="auto"/>
              </w:rPr>
            </w:pPr>
            <w:r>
              <w:rPr>
                <w:rFonts w:ascii="Arial" w:cs="Arial" w:eastAsia="Arial" w:hAnsi="Arial"/>
                <w:sz w:val="18"/>
                <w:szCs w:val="18"/>
                <w:color w:val="auto"/>
                <w:w w:val="98"/>
              </w:rPr>
              <w:t>Senior Managing Director of First Manhattan</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Company, an investment advisory firm</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J. Michael Gottschalk</w:t>
            </w:r>
          </w:p>
        </w:tc>
        <w:tc>
          <w:tcPr>
            <w:tcW w:w="3520" w:type="dxa"/>
            <w:vAlign w:val="bottom"/>
          </w:tcPr>
          <w:p>
            <w:pPr>
              <w:spacing w:after="0"/>
              <w:rPr>
                <w:sz w:val="20"/>
                <w:szCs w:val="20"/>
                <w:color w:val="auto"/>
              </w:rPr>
            </w:pPr>
            <w:r>
              <w:rPr>
                <w:rFonts w:ascii="Arial" w:cs="Arial" w:eastAsia="Arial" w:hAnsi="Arial"/>
                <w:sz w:val="18"/>
                <w:szCs w:val="18"/>
                <w:color w:val="auto"/>
              </w:rPr>
              <w:t>Vice President of NICO</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Charlotte Guyman</w:t>
            </w:r>
          </w:p>
        </w:tc>
        <w:tc>
          <w:tcPr>
            <w:tcW w:w="3520" w:type="dxa"/>
            <w:vAlign w:val="bottom"/>
          </w:tcPr>
          <w:p>
            <w:pPr>
              <w:spacing w:after="0"/>
              <w:rPr>
                <w:sz w:val="20"/>
                <w:szCs w:val="20"/>
                <w:color w:val="auto"/>
              </w:rPr>
            </w:pPr>
            <w:r>
              <w:rPr>
                <w:rFonts w:ascii="Arial" w:cs="Arial" w:eastAsia="Arial" w:hAnsi="Arial"/>
                <w:sz w:val="18"/>
                <w:szCs w:val="18"/>
                <w:color w:val="auto"/>
                <w:w w:val="93"/>
              </w:rPr>
              <w:t>Director of UW Medicine, an academic medical</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center</w:t>
            </w:r>
          </w:p>
        </w:tc>
      </w:tr>
      <w:tr>
        <w:trPr>
          <w:trHeight w:val="310"/>
        </w:trPr>
        <w:tc>
          <w:tcPr>
            <w:tcW w:w="2880" w:type="dxa"/>
            <w:vAlign w:val="bottom"/>
            <w:gridSpan w:val="3"/>
          </w:tcPr>
          <w:p>
            <w:pPr>
              <w:spacing w:after="0"/>
              <w:rPr>
                <w:sz w:val="20"/>
                <w:szCs w:val="20"/>
                <w:color w:val="auto"/>
              </w:rPr>
            </w:pPr>
            <w:r>
              <w:rPr>
                <w:rFonts w:ascii="Arial" w:cs="Arial" w:eastAsia="Arial" w:hAnsi="Arial"/>
                <w:sz w:val="18"/>
                <w:szCs w:val="18"/>
                <w:color w:val="auto"/>
              </w:rPr>
              <w:t>Marc D. Hamburg</w:t>
            </w:r>
          </w:p>
        </w:tc>
        <w:tc>
          <w:tcPr>
            <w:tcW w:w="3520" w:type="dxa"/>
            <w:vAlign w:val="bottom"/>
          </w:tcPr>
          <w:p>
            <w:pPr>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Officer of Berkshire</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Ajit Jain</w:t>
            </w:r>
          </w:p>
        </w:tc>
        <w:tc>
          <w:tcPr>
            <w:tcW w:w="3520" w:type="dxa"/>
            <w:vAlign w:val="bottom"/>
          </w:tcPr>
          <w:p>
            <w:pPr>
              <w:spacing w:after="0"/>
              <w:rPr>
                <w:sz w:val="20"/>
                <w:szCs w:val="20"/>
                <w:color w:val="auto"/>
              </w:rPr>
            </w:pPr>
            <w:r>
              <w:rPr>
                <w:rFonts w:ascii="Arial" w:cs="Arial" w:eastAsia="Arial" w:hAnsi="Arial"/>
                <w:sz w:val="18"/>
                <w:szCs w:val="18"/>
                <w:color w:val="auto"/>
              </w:rPr>
              <w:t>Executive Vice President of NICO</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Daniel J. Jaksich</w:t>
            </w:r>
          </w:p>
        </w:tc>
        <w:tc>
          <w:tcPr>
            <w:tcW w:w="3520" w:type="dxa"/>
            <w:vAlign w:val="bottom"/>
          </w:tcPr>
          <w:p>
            <w:pPr>
              <w:spacing w:after="0"/>
              <w:rPr>
                <w:sz w:val="20"/>
                <w:szCs w:val="20"/>
                <w:color w:val="auto"/>
              </w:rPr>
            </w:pPr>
            <w:r>
              <w:rPr>
                <w:rFonts w:ascii="Arial" w:cs="Arial" w:eastAsia="Arial" w:hAnsi="Arial"/>
                <w:sz w:val="18"/>
                <w:szCs w:val="18"/>
                <w:color w:val="auto"/>
              </w:rPr>
              <w:t>Vice President and Controller of Berkshire</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Donald R. Keough</w:t>
            </w:r>
          </w:p>
        </w:tc>
        <w:tc>
          <w:tcPr>
            <w:tcW w:w="3520" w:type="dxa"/>
            <w:vAlign w:val="bottom"/>
          </w:tcPr>
          <w:p>
            <w:pPr>
              <w:spacing w:after="0"/>
              <w:rPr>
                <w:sz w:val="20"/>
                <w:szCs w:val="20"/>
                <w:color w:val="auto"/>
              </w:rPr>
            </w:pPr>
            <w:r>
              <w:rPr>
                <w:rFonts w:ascii="Arial" w:cs="Arial" w:eastAsia="Arial" w:hAnsi="Arial"/>
                <w:sz w:val="18"/>
                <w:szCs w:val="18"/>
                <w:color w:val="auto"/>
                <w:w w:val="94"/>
              </w:rPr>
              <w:t>Chairman of Allen and Company Incorporated,</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an investment banking firm</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Sunil C. Khanna</w:t>
            </w:r>
          </w:p>
        </w:tc>
        <w:tc>
          <w:tcPr>
            <w:tcW w:w="3520" w:type="dxa"/>
            <w:vAlign w:val="bottom"/>
          </w:tcPr>
          <w:p>
            <w:pPr>
              <w:spacing w:after="0"/>
              <w:rPr>
                <w:sz w:val="20"/>
                <w:szCs w:val="20"/>
                <w:color w:val="auto"/>
              </w:rPr>
            </w:pPr>
            <w:r>
              <w:rPr>
                <w:rFonts w:ascii="Arial" w:cs="Arial" w:eastAsia="Arial" w:hAnsi="Arial"/>
                <w:sz w:val="18"/>
                <w:szCs w:val="18"/>
                <w:color w:val="auto"/>
              </w:rPr>
              <w:t>Senior Vice President of NICO</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Andrew R. Linkhart</w:t>
            </w:r>
          </w:p>
        </w:tc>
        <w:tc>
          <w:tcPr>
            <w:tcW w:w="3520" w:type="dxa"/>
            <w:vAlign w:val="bottom"/>
          </w:tcPr>
          <w:p>
            <w:pPr>
              <w:spacing w:after="0"/>
              <w:rPr>
                <w:sz w:val="20"/>
                <w:szCs w:val="20"/>
                <w:color w:val="auto"/>
              </w:rPr>
            </w:pPr>
            <w:r>
              <w:rPr>
                <w:rFonts w:ascii="Arial" w:cs="Arial" w:eastAsia="Arial" w:hAnsi="Arial"/>
                <w:sz w:val="18"/>
                <w:szCs w:val="18"/>
                <w:color w:val="auto"/>
              </w:rPr>
              <w:t>Chief Financial Officer of Homestate</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Thomas J. Mortland</w:t>
            </w:r>
          </w:p>
        </w:tc>
        <w:tc>
          <w:tcPr>
            <w:tcW w:w="3520" w:type="dxa"/>
            <w:vAlign w:val="bottom"/>
          </w:tcPr>
          <w:p>
            <w:pPr>
              <w:spacing w:after="0"/>
              <w:rPr>
                <w:sz w:val="20"/>
                <w:szCs w:val="20"/>
                <w:color w:val="auto"/>
              </w:rPr>
            </w:pPr>
            <w:r>
              <w:rPr>
                <w:rFonts w:ascii="Arial" w:cs="Arial" w:eastAsia="Arial" w:hAnsi="Arial"/>
                <w:sz w:val="18"/>
                <w:szCs w:val="18"/>
                <w:color w:val="auto"/>
              </w:rPr>
              <w:t>Vice President of Homestate</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Charles T. Munger</w:t>
            </w:r>
          </w:p>
        </w:tc>
        <w:tc>
          <w:tcPr>
            <w:tcW w:w="3520" w:type="dxa"/>
            <w:vAlign w:val="bottom"/>
          </w:tcPr>
          <w:p>
            <w:pPr>
              <w:spacing w:after="0"/>
              <w:rPr>
                <w:sz w:val="20"/>
                <w:szCs w:val="20"/>
                <w:color w:val="auto"/>
              </w:rPr>
            </w:pPr>
            <w:r>
              <w:rPr>
                <w:rFonts w:ascii="Arial" w:cs="Arial" w:eastAsia="Arial" w:hAnsi="Arial"/>
                <w:sz w:val="18"/>
                <w:szCs w:val="18"/>
                <w:color w:val="auto"/>
              </w:rPr>
              <w:t>Vice Chairman of Berkshire</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Thomas S. Murphy</w:t>
            </w:r>
          </w:p>
        </w:tc>
        <w:tc>
          <w:tcPr>
            <w:tcW w:w="3520" w:type="dxa"/>
            <w:vAlign w:val="bottom"/>
          </w:tcPr>
          <w:p>
            <w:pPr>
              <w:spacing w:after="0"/>
              <w:rPr>
                <w:sz w:val="20"/>
                <w:szCs w:val="20"/>
                <w:color w:val="auto"/>
              </w:rPr>
            </w:pPr>
            <w:r>
              <w:rPr>
                <w:rFonts w:ascii="Arial" w:cs="Arial" w:eastAsia="Arial" w:hAnsi="Arial"/>
                <w:sz w:val="18"/>
                <w:szCs w:val="18"/>
                <w:color w:val="auto"/>
                <w:w w:val="96"/>
              </w:rPr>
              <w:t>Former Chairman and Chief Executive Officer</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of Capital Cities/ABC</w:t>
            </w:r>
          </w:p>
        </w:tc>
      </w:tr>
      <w:tr>
        <w:trPr>
          <w:trHeight w:val="310"/>
        </w:trPr>
        <w:tc>
          <w:tcPr>
            <w:tcW w:w="2880" w:type="dxa"/>
            <w:vAlign w:val="bottom"/>
            <w:gridSpan w:val="3"/>
          </w:tcPr>
          <w:p>
            <w:pPr>
              <w:spacing w:after="0"/>
              <w:rPr>
                <w:sz w:val="20"/>
                <w:szCs w:val="20"/>
                <w:color w:val="auto"/>
              </w:rPr>
            </w:pPr>
            <w:r>
              <w:rPr>
                <w:rFonts w:ascii="Arial" w:cs="Arial" w:eastAsia="Arial" w:hAnsi="Arial"/>
                <w:sz w:val="18"/>
                <w:szCs w:val="18"/>
                <w:color w:val="auto"/>
              </w:rPr>
              <w:t>Ronald L. Olson</w:t>
            </w:r>
          </w:p>
        </w:tc>
        <w:tc>
          <w:tcPr>
            <w:tcW w:w="3520" w:type="dxa"/>
            <w:vAlign w:val="bottom"/>
          </w:tcPr>
          <w:p>
            <w:pPr>
              <w:spacing w:after="0"/>
              <w:rPr>
                <w:sz w:val="20"/>
                <w:szCs w:val="20"/>
                <w:color w:val="auto"/>
              </w:rPr>
            </w:pPr>
            <w:r>
              <w:rPr>
                <w:rFonts w:ascii="Arial" w:cs="Arial" w:eastAsia="Arial" w:hAnsi="Arial"/>
                <w:sz w:val="18"/>
                <w:szCs w:val="18"/>
                <w:color w:val="auto"/>
              </w:rPr>
              <w:t>Partner in the law firm of Munger, Tolles &amp;</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Olson LLP</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Jackie L. Perry</w:t>
            </w:r>
          </w:p>
        </w:tc>
        <w:tc>
          <w:tcPr>
            <w:tcW w:w="3520" w:type="dxa"/>
            <w:vAlign w:val="bottom"/>
          </w:tcPr>
          <w:p>
            <w:pPr>
              <w:spacing w:after="0"/>
              <w:rPr>
                <w:sz w:val="20"/>
                <w:szCs w:val="20"/>
                <w:color w:val="auto"/>
              </w:rPr>
            </w:pPr>
            <w:r>
              <w:rPr>
                <w:rFonts w:ascii="Arial" w:cs="Arial" w:eastAsia="Arial" w:hAnsi="Arial"/>
                <w:sz w:val="18"/>
                <w:szCs w:val="18"/>
                <w:color w:val="auto"/>
              </w:rPr>
              <w:t>Secretary and Treasurer of Homestate</w:t>
            </w:r>
          </w:p>
        </w:tc>
      </w:tr>
      <w:tr>
        <w:trPr>
          <w:trHeight w:val="526"/>
        </w:trPr>
        <w:tc>
          <w:tcPr>
            <w:tcW w:w="2880" w:type="dxa"/>
            <w:vAlign w:val="bottom"/>
            <w:gridSpan w:val="3"/>
          </w:tcPr>
          <w:p>
            <w:pPr>
              <w:spacing w:after="0"/>
              <w:rPr>
                <w:sz w:val="20"/>
                <w:szCs w:val="20"/>
                <w:color w:val="auto"/>
              </w:rPr>
            </w:pPr>
            <w:r>
              <w:rPr>
                <w:rFonts w:ascii="Arial" w:cs="Arial" w:eastAsia="Arial" w:hAnsi="Arial"/>
                <w:sz w:val="18"/>
                <w:szCs w:val="18"/>
                <w:color w:val="auto"/>
              </w:rPr>
              <w:t>Walter Scott, Jr.</w:t>
            </w:r>
          </w:p>
        </w:tc>
        <w:tc>
          <w:tcPr>
            <w:tcW w:w="3520" w:type="dxa"/>
            <w:vAlign w:val="bottom"/>
          </w:tcPr>
          <w:p>
            <w:pPr>
              <w:spacing w:after="0"/>
              <w:rPr>
                <w:sz w:val="20"/>
                <w:szCs w:val="20"/>
                <w:color w:val="auto"/>
              </w:rPr>
            </w:pPr>
            <w:r>
              <w:rPr>
                <w:rFonts w:ascii="Arial" w:cs="Arial" w:eastAsia="Arial" w:hAnsi="Arial"/>
                <w:sz w:val="18"/>
                <w:szCs w:val="18"/>
                <w:color w:val="auto"/>
                <w:w w:val="96"/>
              </w:rPr>
              <w:t>Chairman of the Board of Directors of Level 3</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Communications, Inc., which is engaged in</w:t>
            </w: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4"/>
              </w:rPr>
              <w:t>telecommunications and computer outsourcing</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Brian G. Snover</w:t>
            </w:r>
          </w:p>
        </w:tc>
        <w:tc>
          <w:tcPr>
            <w:tcW w:w="3520" w:type="dxa"/>
            <w:vAlign w:val="bottom"/>
          </w:tcPr>
          <w:p>
            <w:pPr>
              <w:spacing w:after="0"/>
              <w:rPr>
                <w:sz w:val="20"/>
                <w:szCs w:val="20"/>
                <w:color w:val="auto"/>
              </w:rPr>
            </w:pPr>
            <w:r>
              <w:rPr>
                <w:rFonts w:ascii="Arial" w:cs="Arial" w:eastAsia="Arial" w:hAnsi="Arial"/>
                <w:sz w:val="18"/>
                <w:szCs w:val="18"/>
                <w:color w:val="auto"/>
              </w:rPr>
              <w:t>Vice President of NICO</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Meryl B. Witmer</w:t>
            </w:r>
          </w:p>
        </w:tc>
        <w:tc>
          <w:tcPr>
            <w:tcW w:w="3520" w:type="dxa"/>
            <w:vAlign w:val="bottom"/>
          </w:tcPr>
          <w:p>
            <w:pPr>
              <w:spacing w:after="0"/>
              <w:rPr>
                <w:sz w:val="20"/>
                <w:szCs w:val="20"/>
                <w:color w:val="auto"/>
              </w:rPr>
            </w:pPr>
            <w:r>
              <w:rPr>
                <w:rFonts w:ascii="Arial" w:cs="Arial" w:eastAsia="Arial" w:hAnsi="Arial"/>
                <w:sz w:val="18"/>
                <w:szCs w:val="18"/>
                <w:color w:val="auto"/>
              </w:rPr>
              <w:t>Principal, Eagle Capital Partners L.P.</w:t>
            </w:r>
          </w:p>
        </w:tc>
      </w:tr>
      <w:tr>
        <w:trPr>
          <w:trHeight w:val="324"/>
        </w:trPr>
        <w:tc>
          <w:tcPr>
            <w:tcW w:w="2880" w:type="dxa"/>
            <w:vAlign w:val="bottom"/>
            <w:gridSpan w:val="3"/>
          </w:tcPr>
          <w:p>
            <w:pPr>
              <w:spacing w:after="0"/>
              <w:rPr>
                <w:sz w:val="20"/>
                <w:szCs w:val="20"/>
                <w:color w:val="auto"/>
              </w:rPr>
            </w:pPr>
            <w:r>
              <w:rPr>
                <w:rFonts w:ascii="Arial" w:cs="Arial" w:eastAsia="Arial" w:hAnsi="Arial"/>
                <w:sz w:val="18"/>
                <w:szCs w:val="18"/>
                <w:color w:val="auto"/>
              </w:rPr>
              <w:t>Phillip M. Wolf</w:t>
            </w:r>
          </w:p>
        </w:tc>
        <w:tc>
          <w:tcPr>
            <w:tcW w:w="3520" w:type="dxa"/>
            <w:vAlign w:val="bottom"/>
          </w:tcPr>
          <w:p>
            <w:pPr>
              <w:spacing w:after="0"/>
              <w:rPr>
                <w:sz w:val="20"/>
                <w:szCs w:val="20"/>
                <w:color w:val="auto"/>
              </w:rPr>
            </w:pPr>
            <w:r>
              <w:rPr>
                <w:rFonts w:ascii="Arial" w:cs="Arial" w:eastAsia="Arial" w:hAnsi="Arial"/>
                <w:sz w:val="18"/>
                <w:szCs w:val="18"/>
                <w:color w:val="auto"/>
              </w:rPr>
              <w:t>Senior Vice President of NICO</w:t>
            </w:r>
          </w:p>
        </w:tc>
      </w:tr>
      <w:tr>
        <w:trPr>
          <w:trHeight w:val="540"/>
        </w:trPr>
        <w:tc>
          <w:tcPr>
            <w:tcW w:w="2880" w:type="dxa"/>
            <w:vAlign w:val="bottom"/>
            <w:gridSpan w:val="3"/>
          </w:tcPr>
          <w:p>
            <w:pPr>
              <w:spacing w:after="0"/>
              <w:rPr>
                <w:sz w:val="20"/>
                <w:szCs w:val="20"/>
                <w:color w:val="auto"/>
              </w:rPr>
            </w:pPr>
            <w:r>
              <w:rPr>
                <w:rFonts w:ascii="Arial" w:cs="Arial" w:eastAsia="Arial" w:hAnsi="Arial"/>
                <w:sz w:val="18"/>
                <w:szCs w:val="18"/>
                <w:color w:val="auto"/>
              </w:rPr>
              <w:t>Donald F. Wurster</w:t>
            </w:r>
          </w:p>
        </w:tc>
        <w:tc>
          <w:tcPr>
            <w:tcW w:w="3520" w:type="dxa"/>
            <w:vAlign w:val="bottom"/>
          </w:tcPr>
          <w:p>
            <w:pPr>
              <w:spacing w:after="0"/>
              <w:rPr>
                <w:sz w:val="20"/>
                <w:szCs w:val="20"/>
                <w:color w:val="auto"/>
              </w:rPr>
            </w:pPr>
            <w:r>
              <w:rPr>
                <w:rFonts w:ascii="Arial" w:cs="Arial" w:eastAsia="Arial" w:hAnsi="Arial"/>
                <w:sz w:val="18"/>
                <w:szCs w:val="18"/>
                <w:color w:val="auto"/>
              </w:rPr>
              <w:t>President of NICO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2"/>
          </w:tcPr>
          <w:p>
            <w:pPr>
              <w:ind w:left="680"/>
              <w:spacing w:after="0"/>
              <w:rPr>
                <w:sz w:val="20"/>
                <w:szCs w:val="20"/>
                <w:color w:val="auto"/>
              </w:rPr>
            </w:pPr>
            <w:r>
              <w:rPr>
                <w:rFonts w:ascii="Arial" w:cs="Arial" w:eastAsia="Arial" w:hAnsi="Arial"/>
                <w:sz w:val="14"/>
                <w:szCs w:val="14"/>
                <w:b w:val="1"/>
                <w:bCs w:val="1"/>
                <w:color w:val="auto"/>
              </w:rPr>
              <w:t>Business Address</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w w:val="99"/>
              </w:rPr>
              <w:t>Country of Citizenship</w:t>
            </w:r>
          </w:p>
        </w:tc>
      </w:tr>
      <w:tr>
        <w:trPr>
          <w:trHeight w:val="195"/>
        </w:trPr>
        <w:tc>
          <w:tcPr>
            <w:tcW w:w="20" w:type="dxa"/>
            <w:vAlign w:val="bottom"/>
          </w:tcPr>
          <w:p>
            <w:pPr>
              <w:spacing w:after="0"/>
              <w:rPr>
                <w:sz w:val="16"/>
                <w:szCs w:val="16"/>
                <w:color w:val="auto"/>
              </w:rPr>
            </w:pPr>
          </w:p>
        </w:tc>
        <w:tc>
          <w:tcPr>
            <w:tcW w:w="3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2"/>
              </w:rPr>
              <w:t>407 Southmoreland Place, Decatur, Illinois</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States</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rPr>
              <w:t>62521, which is the same address for</w:t>
            </w:r>
          </w:p>
        </w:tc>
        <w:tc>
          <w:tcPr>
            <w:tcW w:w="1600" w:type="dxa"/>
            <w:vAlign w:val="bottom"/>
          </w:tcPr>
          <w:p>
            <w:pPr>
              <w:spacing w:after="0"/>
              <w:rPr>
                <w:sz w:val="18"/>
                <w:szCs w:val="18"/>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Buffett Farms and BioImages</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3555</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3280" w:type="dxa"/>
            <w:vAlign w:val="bottom"/>
            <w:gridSpan w:val="4"/>
          </w:tcPr>
          <w:p>
            <w:pPr>
              <w:spacing w:after="0"/>
              <w:rPr>
                <w:sz w:val="20"/>
                <w:szCs w:val="20"/>
                <w:color w:val="auto"/>
              </w:rPr>
            </w:pPr>
            <w:r>
              <w:rPr>
                <w:rFonts w:ascii="Arial" w:cs="Arial" w:eastAsia="Arial" w:hAnsi="Arial"/>
                <w:sz w:val="18"/>
                <w:szCs w:val="18"/>
                <w:color w:val="auto"/>
                <w:w w:val="99"/>
              </w:rPr>
              <w:t>P.O. Box 69, Belvedere, California 94920</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526"/>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w w:val="98"/>
              </w:rPr>
              <w:t>4110 Carillon Point, Kirkland, Washington</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98033</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3"/>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437 Madison Avenue, New York, New</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York 10022</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1127 Evergreen Point Road, Medina,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Washington 98039</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3555</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3555</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DMK International 200 Galleria Parkway,</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Atlanta, Georgia 30339</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3333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Suite 300, Omaha,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Nebraska, 68131</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3333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Suite 300, Omaha,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Nebraska, 68131</w:t>
            </w: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w w:val="98"/>
              </w:rPr>
              <w:t>355 South Grand Avenue, 34</w:t>
            </w:r>
            <w:r>
              <w:rPr>
                <w:rFonts w:ascii="Arial" w:cs="Arial" w:eastAsia="Arial" w:hAnsi="Arial"/>
                <w:sz w:val="15"/>
                <w:szCs w:val="15"/>
                <w:color w:val="auto"/>
                <w:w w:val="98"/>
              </w:rPr>
              <w:t>th</w:t>
            </w:r>
            <w:r>
              <w:rPr>
                <w:rFonts w:ascii="Arial" w:cs="Arial" w:eastAsia="Arial" w:hAnsi="Arial"/>
                <w:sz w:val="18"/>
                <w:szCs w:val="18"/>
                <w:color w:val="auto"/>
                <w:w w:val="98"/>
              </w:rPr>
              <w:t xml:space="preserve"> Floor, Los</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Angeles, California 90071-1560</w:t>
            </w: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rPr>
              <w:t>c/o ABC Inc., 77 West 66</w:t>
            </w:r>
            <w:r>
              <w:rPr>
                <w:rFonts w:ascii="Arial" w:cs="Arial" w:eastAsia="Arial" w:hAnsi="Arial"/>
                <w:sz w:val="15"/>
                <w:szCs w:val="15"/>
                <w:color w:val="auto"/>
              </w:rPr>
              <w:t>th</w:t>
            </w:r>
            <w:r>
              <w:rPr>
                <w:rFonts w:ascii="Arial" w:cs="Arial" w:eastAsia="Arial" w:hAnsi="Arial"/>
                <w:sz w:val="18"/>
                <w:szCs w:val="18"/>
                <w:color w:val="auto"/>
              </w:rPr>
              <w:t xml:space="preserve"> Street, New</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York, New York 10023</w:t>
            </w:r>
          </w:p>
        </w:tc>
        <w:tc>
          <w:tcPr>
            <w:tcW w:w="1600" w:type="dxa"/>
            <w:vAlign w:val="bottom"/>
          </w:tcPr>
          <w:p>
            <w:pPr>
              <w:spacing w:after="0"/>
              <w:rPr>
                <w:sz w:val="20"/>
                <w:szCs w:val="20"/>
                <w:color w:val="auto"/>
              </w:rPr>
            </w:pPr>
          </w:p>
        </w:tc>
      </w:tr>
      <w:tr>
        <w:trPr>
          <w:trHeight w:val="310"/>
        </w:trPr>
        <w:tc>
          <w:tcPr>
            <w:tcW w:w="3280" w:type="dxa"/>
            <w:vAlign w:val="bottom"/>
            <w:gridSpan w:val="4"/>
          </w:tcPr>
          <w:p>
            <w:pPr>
              <w:spacing w:after="0"/>
              <w:rPr>
                <w:sz w:val="20"/>
                <w:szCs w:val="20"/>
                <w:color w:val="auto"/>
              </w:rPr>
            </w:pPr>
            <w:r>
              <w:rPr>
                <w:rFonts w:ascii="Arial" w:cs="Arial" w:eastAsia="Arial" w:hAnsi="Arial"/>
                <w:sz w:val="18"/>
                <w:szCs w:val="18"/>
                <w:color w:val="auto"/>
                <w:w w:val="98"/>
              </w:rPr>
              <w:t>355 South Grand Avenue, 35</w:t>
            </w:r>
            <w:r>
              <w:rPr>
                <w:rFonts w:ascii="Arial" w:cs="Arial" w:eastAsia="Arial" w:hAnsi="Arial"/>
                <w:sz w:val="15"/>
                <w:szCs w:val="15"/>
                <w:color w:val="auto"/>
                <w:w w:val="98"/>
              </w:rPr>
              <w:t>th</w:t>
            </w:r>
            <w:r>
              <w:rPr>
                <w:rFonts w:ascii="Arial" w:cs="Arial" w:eastAsia="Arial" w:hAnsi="Arial"/>
                <w:sz w:val="18"/>
                <w:szCs w:val="18"/>
                <w:color w:val="auto"/>
                <w:w w:val="98"/>
              </w:rPr>
              <w:t xml:space="preserve"> Floor, Los</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Angeles, California 90071-1560</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3333</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Farnam Street, Suite 300, Omaha,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Nebraska, 68131</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1025</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El Dorado Boulevard, Broomfield,</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16"/>
        </w:trPr>
        <w:tc>
          <w:tcPr>
            <w:tcW w:w="3280" w:type="dxa"/>
            <w:vAlign w:val="bottom"/>
            <w:gridSpan w:val="4"/>
          </w:tcPr>
          <w:p>
            <w:pPr>
              <w:spacing w:after="0"/>
              <w:rPr>
                <w:sz w:val="20"/>
                <w:szCs w:val="20"/>
                <w:color w:val="auto"/>
              </w:rPr>
            </w:pPr>
            <w:r>
              <w:rPr>
                <w:rFonts w:ascii="Arial" w:cs="Arial" w:eastAsia="Arial" w:hAnsi="Arial"/>
                <w:sz w:val="18"/>
                <w:szCs w:val="18"/>
                <w:color w:val="auto"/>
                <w:w w:val="93"/>
              </w:rPr>
              <w:t>Colorado 80021, which is the same address</w:t>
            </w:r>
          </w:p>
        </w:tc>
        <w:tc>
          <w:tcPr>
            <w:tcW w:w="1600" w:type="dxa"/>
            <w:vAlign w:val="bottom"/>
          </w:tcPr>
          <w:p>
            <w:pPr>
              <w:spacing w:after="0"/>
              <w:rPr>
                <w:sz w:val="18"/>
                <w:szCs w:val="18"/>
                <w:color w:val="auto"/>
              </w:rPr>
            </w:pPr>
          </w:p>
        </w:tc>
      </w:tr>
      <w:tr>
        <w:trPr>
          <w:trHeight w:val="230"/>
        </w:trPr>
        <w:tc>
          <w:tcPr>
            <w:tcW w:w="3280" w:type="dxa"/>
            <w:vAlign w:val="bottom"/>
            <w:gridSpan w:val="4"/>
          </w:tcPr>
          <w:p>
            <w:pPr>
              <w:spacing w:after="0"/>
              <w:rPr>
                <w:sz w:val="20"/>
                <w:szCs w:val="20"/>
                <w:color w:val="auto"/>
              </w:rPr>
            </w:pPr>
            <w:r>
              <w:rPr>
                <w:rFonts w:ascii="Arial" w:cs="Arial" w:eastAsia="Arial" w:hAnsi="Arial"/>
                <w:sz w:val="18"/>
                <w:szCs w:val="18"/>
                <w:color w:val="auto"/>
              </w:rPr>
              <w:t>for Level 3 Communications, Inc.</w:t>
            </w: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24"/>
        </w:trPr>
        <w:tc>
          <w:tcPr>
            <w:tcW w:w="3280" w:type="dxa"/>
            <w:vAlign w:val="bottom"/>
            <w:gridSpan w:val="4"/>
          </w:tcPr>
          <w:p>
            <w:pPr>
              <w:spacing w:after="0"/>
              <w:rPr>
                <w:sz w:val="20"/>
                <w:szCs w:val="20"/>
                <w:color w:val="auto"/>
              </w:rPr>
            </w:pPr>
            <w:r>
              <w:rPr>
                <w:rFonts w:ascii="Arial" w:cs="Arial" w:eastAsia="Arial" w:hAnsi="Arial"/>
                <w:sz w:val="18"/>
                <w:szCs w:val="18"/>
                <w:color w:val="auto"/>
              </w:rPr>
              <w:t>655 Third Avenue, New York, NY 10017</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10"/>
        </w:trPr>
        <w:tc>
          <w:tcPr>
            <w:tcW w:w="380" w:type="dxa"/>
            <w:vAlign w:val="bottom"/>
            <w:gridSpan w:val="2"/>
          </w:tcPr>
          <w:p>
            <w:pPr>
              <w:spacing w:after="0"/>
              <w:rPr>
                <w:sz w:val="20"/>
                <w:szCs w:val="20"/>
                <w:color w:val="auto"/>
              </w:rPr>
            </w:pPr>
            <w:r>
              <w:rPr>
                <w:rFonts w:ascii="Arial" w:cs="Arial" w:eastAsia="Arial" w:hAnsi="Arial"/>
                <w:sz w:val="18"/>
                <w:szCs w:val="18"/>
                <w:color w:val="auto"/>
                <w:w w:val="89"/>
              </w:rPr>
              <w:t>3024</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Harney Street, Omaha, Nebraska</w:t>
            </w:r>
          </w:p>
        </w:tc>
        <w:tc>
          <w:tcPr>
            <w:tcW w:w="1600" w:type="dxa"/>
            <w:vAlign w:val="bottom"/>
          </w:tcPr>
          <w:p>
            <w:pPr>
              <w:spacing w:after="0"/>
              <w:rPr>
                <w:sz w:val="20"/>
                <w:szCs w:val="20"/>
                <w:color w:val="auto"/>
              </w:rPr>
            </w:pPr>
            <w:r>
              <w:rPr>
                <w:rFonts w:ascii="Arial" w:cs="Arial" w:eastAsia="Arial" w:hAnsi="Arial"/>
                <w:sz w:val="18"/>
                <w:szCs w:val="18"/>
                <w:color w:val="auto"/>
              </w:rPr>
              <w:t>United States</w:t>
            </w:r>
          </w:p>
        </w:tc>
      </w:tr>
      <w:tr>
        <w:trPr>
          <w:trHeight w:val="230"/>
        </w:trPr>
        <w:tc>
          <w:tcPr>
            <w:tcW w:w="3180" w:type="dxa"/>
            <w:vAlign w:val="bottom"/>
            <w:gridSpan w:val="3"/>
          </w:tcPr>
          <w:p>
            <w:pPr>
              <w:spacing w:after="0"/>
              <w:rPr>
                <w:sz w:val="20"/>
                <w:szCs w:val="20"/>
                <w:color w:val="auto"/>
              </w:rPr>
            </w:pPr>
            <w:r>
              <w:rPr>
                <w:rFonts w:ascii="Arial" w:cs="Arial" w:eastAsia="Arial" w:hAnsi="Arial"/>
                <w:sz w:val="18"/>
                <w:szCs w:val="18"/>
                <w:color w:val="auto"/>
              </w:rPr>
              <w:t>68131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bl>
    <w:p>
      <w:pPr>
        <w:sectPr>
          <w:pgSz w:w="11900" w:h="16838" w:orient="portrait"/>
          <w:cols w:equalWidth="0" w:num="2">
            <w:col w:w="6400" w:space="140"/>
            <w:col w:w="4880"/>
          </w:cols>
          <w:pgMar w:left="240" w:top="265" w:right="23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undersigned persons hereby agree that reports on Schedule 13D, and amendments thereto, with respect to the Class B Common Stock of Graham Holdings Company may be filed in a single statement on behalf of each such person, and further, each of such persons designates Warren E. Buffett as its agent and Attorney-in-Fact for the purpose of executing any and all Schedule 13D filings required to be made by it with the Securities and Exchange Commission.</w:t>
      </w:r>
    </w:p>
    <w:p>
      <w:pPr>
        <w:spacing w:after="0" w:line="214"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W</w:t>
      </w:r>
      <w:r>
        <w:rPr>
          <w:rFonts w:ascii="Arial" w:cs="Arial" w:eastAsia="Arial" w:hAnsi="Arial"/>
          <w:sz w:val="14"/>
          <w:szCs w:val="14"/>
          <w:color w:val="auto"/>
        </w:rPr>
        <w:t>ARREN</w:t>
      </w:r>
      <w:r>
        <w:rPr>
          <w:rFonts w:ascii="Arial" w:cs="Arial" w:eastAsia="Arial" w:hAnsi="Arial"/>
          <w:sz w:val="17"/>
          <w:szCs w:val="17"/>
          <w:color w:val="auto"/>
        </w:rPr>
        <w:t xml:space="preserve"> E. B</w:t>
      </w:r>
      <w:r>
        <w:rPr>
          <w:rFonts w:ascii="Arial" w:cs="Arial" w:eastAsia="Arial" w:hAnsi="Arial"/>
          <w:sz w:val="14"/>
          <w:szCs w:val="14"/>
          <w:color w:val="auto"/>
        </w:rPr>
        <w:t>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Warren E. Buffett</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BERKSHIRE HATHAWAY INC.</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M</w:t>
      </w:r>
      <w:r>
        <w:rPr>
          <w:rFonts w:ascii="Arial" w:cs="Arial" w:eastAsia="Arial" w:hAnsi="Arial"/>
          <w:sz w:val="14"/>
          <w:szCs w:val="14"/>
          <w:color w:val="auto"/>
        </w:rPr>
        <w:t>ARC</w:t>
      </w:r>
      <w:r>
        <w:rPr>
          <w:rFonts w:ascii="Arial" w:cs="Arial" w:eastAsia="Arial" w:hAnsi="Arial"/>
          <w:sz w:val="17"/>
          <w:szCs w:val="17"/>
          <w:color w:val="auto"/>
        </w:rPr>
        <w:t xml:space="preserve"> D. H</w:t>
      </w:r>
      <w:r>
        <w:rPr>
          <w:rFonts w:ascii="Arial" w:cs="Arial" w:eastAsia="Arial" w:hAnsi="Arial"/>
          <w:sz w:val="14"/>
          <w:szCs w:val="14"/>
          <w:color w:val="auto"/>
        </w:rPr>
        <w:t>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Marc D. Hamburg</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NATIONAL INDEMNITY COMPANY</w:t>
      </w:r>
    </w:p>
    <w:p>
      <w:pPr>
        <w:spacing w:after="0" w:line="23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D</w:t>
      </w:r>
      <w:r>
        <w:rPr>
          <w:rFonts w:ascii="Arial" w:cs="Arial" w:eastAsia="Arial" w:hAnsi="Arial"/>
          <w:sz w:val="14"/>
          <w:szCs w:val="14"/>
          <w:color w:val="auto"/>
        </w:rPr>
        <w:t>ALE</w:t>
      </w:r>
      <w:r>
        <w:rPr>
          <w:rFonts w:ascii="Arial" w:cs="Arial" w:eastAsia="Arial" w:hAnsi="Arial"/>
          <w:sz w:val="17"/>
          <w:szCs w:val="17"/>
          <w:color w:val="auto"/>
        </w:rPr>
        <w:t xml:space="preserve"> D. G</w:t>
      </w:r>
      <w:r>
        <w:rPr>
          <w:rFonts w:ascii="Arial" w:cs="Arial" w:eastAsia="Arial" w:hAnsi="Arial"/>
          <w:sz w:val="14"/>
          <w:szCs w:val="14"/>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Controller</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NATIONAL FIRE &amp; MARINE INSURANCE COMPANY</w:t>
      </w:r>
    </w:p>
    <w:p>
      <w:pPr>
        <w:spacing w:after="0" w:line="23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D</w:t>
      </w:r>
      <w:r>
        <w:rPr>
          <w:rFonts w:ascii="Arial" w:cs="Arial" w:eastAsia="Arial" w:hAnsi="Arial"/>
          <w:sz w:val="14"/>
          <w:szCs w:val="14"/>
          <w:color w:val="auto"/>
        </w:rPr>
        <w:t>ALE</w:t>
      </w:r>
      <w:r>
        <w:rPr>
          <w:rFonts w:ascii="Arial" w:cs="Arial" w:eastAsia="Arial" w:hAnsi="Arial"/>
          <w:sz w:val="17"/>
          <w:szCs w:val="17"/>
          <w:color w:val="auto"/>
        </w:rPr>
        <w:t xml:space="preserve"> D. G</w:t>
      </w:r>
      <w:r>
        <w:rPr>
          <w:rFonts w:ascii="Arial" w:cs="Arial" w:eastAsia="Arial" w:hAnsi="Arial"/>
          <w:sz w:val="14"/>
          <w:szCs w:val="14"/>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Controller</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NATIONAL INDEMNITY COMPANY OF MID AMERICA</w:t>
      </w:r>
    </w:p>
    <w:p>
      <w:pPr>
        <w:spacing w:after="0" w:line="23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D</w:t>
      </w:r>
      <w:r>
        <w:rPr>
          <w:rFonts w:ascii="Arial" w:cs="Arial" w:eastAsia="Arial" w:hAnsi="Arial"/>
          <w:sz w:val="14"/>
          <w:szCs w:val="14"/>
          <w:color w:val="auto"/>
        </w:rPr>
        <w:t>ALE</w:t>
      </w:r>
      <w:r>
        <w:rPr>
          <w:rFonts w:ascii="Arial" w:cs="Arial" w:eastAsia="Arial" w:hAnsi="Arial"/>
          <w:sz w:val="17"/>
          <w:szCs w:val="17"/>
          <w:color w:val="auto"/>
        </w:rPr>
        <w:t xml:space="preserve"> D. G</w:t>
      </w:r>
      <w:r>
        <w:rPr>
          <w:rFonts w:ascii="Arial" w:cs="Arial" w:eastAsia="Arial" w:hAnsi="Arial"/>
          <w:sz w:val="14"/>
          <w:szCs w:val="14"/>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Controller</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BERKSHIRE HATHAWAY HOMESTATE INSURANCE COMPANY</w:t>
      </w:r>
    </w:p>
    <w:p>
      <w:pPr>
        <w:spacing w:after="0" w:line="23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D</w:t>
      </w:r>
      <w:r>
        <w:rPr>
          <w:rFonts w:ascii="Arial" w:cs="Arial" w:eastAsia="Arial" w:hAnsi="Arial"/>
          <w:sz w:val="14"/>
          <w:szCs w:val="14"/>
          <w:color w:val="auto"/>
        </w:rPr>
        <w:t>ONALD</w:t>
      </w:r>
      <w:r>
        <w:rPr>
          <w:rFonts w:ascii="Arial" w:cs="Arial" w:eastAsia="Arial" w:hAnsi="Arial"/>
          <w:sz w:val="17"/>
          <w:szCs w:val="17"/>
          <w:color w:val="auto"/>
        </w:rPr>
        <w:t xml:space="preserve"> F. W</w:t>
      </w:r>
      <w:r>
        <w:rPr>
          <w:rFonts w:ascii="Arial" w:cs="Arial" w:eastAsia="Arial" w:hAnsi="Arial"/>
          <w:sz w:val="14"/>
          <w:szCs w:val="14"/>
          <w:color w:val="auto"/>
        </w:rPr>
        <w:t>URSTER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Donald F. Wurster</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NATIONAL LIABILITY &amp; FIRE INSURANCE COMPANY</w:t>
      </w:r>
    </w:p>
    <w:p>
      <w:pPr>
        <w:spacing w:after="0" w:line="239"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February 12, 2014</w:t>
      </w:r>
      <w:r>
        <w:rPr>
          <w:sz w:val="20"/>
          <w:szCs w:val="20"/>
          <w:color w:val="auto"/>
        </w:rPr>
        <w:tab/>
      </w:r>
      <w:r>
        <w:rPr>
          <w:rFonts w:ascii="Arial" w:cs="Arial" w:eastAsia="Arial" w:hAnsi="Arial"/>
          <w:sz w:val="17"/>
          <w:szCs w:val="17"/>
          <w:color w:val="auto"/>
        </w:rPr>
        <w:t>/S/ D</w:t>
      </w:r>
      <w:r>
        <w:rPr>
          <w:rFonts w:ascii="Arial" w:cs="Arial" w:eastAsia="Arial" w:hAnsi="Arial"/>
          <w:sz w:val="14"/>
          <w:szCs w:val="14"/>
          <w:color w:val="auto"/>
        </w:rPr>
        <w:t>ALE</w:t>
      </w:r>
      <w:r>
        <w:rPr>
          <w:rFonts w:ascii="Arial" w:cs="Arial" w:eastAsia="Arial" w:hAnsi="Arial"/>
          <w:sz w:val="17"/>
          <w:szCs w:val="17"/>
          <w:color w:val="auto"/>
        </w:rPr>
        <w:t xml:space="preserve"> D. G</w:t>
      </w:r>
      <w:r>
        <w:rPr>
          <w:rFonts w:ascii="Arial" w:cs="Arial" w:eastAsia="Arial" w:hAnsi="Arial"/>
          <w:sz w:val="14"/>
          <w:szCs w:val="14"/>
          <w:color w:val="auto"/>
        </w:rPr>
        <w:t>EISTKEMPER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14605</wp:posOffset>
            </wp:positionV>
            <wp:extent cx="3533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6"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By:</w:t>
        <w:tab/>
        <w:t>Dale D. Geistkemper</w:t>
      </w:r>
    </w:p>
    <w:p>
      <w:pPr>
        <w:spacing w:after="0" w:line="23"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Treasurer and Controller</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2019-12-05T16:06:55Z</dcterms:created>
  <dcterms:modified xsi:type="dcterms:W3CDTF">2019-12-05T16:06:55Z</dcterms:modified>
</cp:coreProperties>
</file>