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6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64"/>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 w:lineRule="exact"/>
        <w:rPr>
          <w:sz w:val="24"/>
          <w:szCs w:val="24"/>
          <w:color w:val="auto"/>
        </w:rPr>
      </w:pPr>
    </w:p>
    <w:p>
      <w:pPr>
        <w:ind w:left="336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21088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805"/>
                    </a:xfrm>
                    <a:prstGeom prst="rect">
                      <a:avLst/>
                    </a:prstGeom>
                    <a:noFill/>
                  </pic:spPr>
                </pic:pic>
              </a:graphicData>
            </a:graphic>
          </wp:anchor>
        </w:drawing>
        <w:t xml:space="preserve">1300 NORTH 17TH STREET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ARLINGTON, VA 22209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You are cordially invited to the 2024 Annual Meeting of Shareholders of Graham Holdings Company (the “Company”) which will be held at The Hamilton, 600 14th Street, N.W., Washington, D.C. 20005, on Tuesday, May 7, 2024, at 8:30 a.m., Eastern Daylight Time.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At the Company’s 2024 Annual Meeting of Shareholders (the “Meeting”), there will be a report on the Company’s activities and Directors will be elected for the ensuing year. In addition, the Class A Shareholders will have an advisory vote on whether to approve the compensation awarded to the Company’s named executive officers for 2023.</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To reduce costs and the environmental impact of the Meeting, we have elected to provide access to our Proxy materials online under the U.S. Securities and Exchange Commission’s “notice and access” rules. It is important that your shares are represented at the Meeting. You may cast your vote online or by telephone, or if you requested to receive printed Proxy materials, by mailing a Proxy or voting direction card. If you plan to attend the Meeting in person, kindly so indicate in the space provided on the Proxy. Please review the instructions on each of your voting options described in this Proxy Statement and in the Notice of Internet Availability of Proxy Materials that you received in the mail.</w:t>
      </w:r>
    </w:p>
    <w:p>
      <w:pPr>
        <w:spacing w:after="0" w:line="1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171450</wp:posOffset>
            </wp:positionV>
            <wp:extent cx="182562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56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NNE</w:t>
      </w:r>
      <w:r>
        <w:rPr>
          <w:rFonts w:ascii="Times New Roman" w:cs="Times New Roman" w:eastAsia="Times New Roman" w:hAnsi="Times New Roman"/>
          <w:sz w:val="18"/>
          <w:szCs w:val="18"/>
          <w:color w:val="auto"/>
        </w:rPr>
        <w:t xml:space="preserve"> M. M</w:t>
      </w:r>
      <w:r>
        <w:rPr>
          <w:rFonts w:ascii="Times New Roman" w:cs="Times New Roman" w:eastAsia="Times New Roman" w:hAnsi="Times New Roman"/>
          <w:sz w:val="14"/>
          <w:szCs w:val="14"/>
          <w:color w:val="auto"/>
        </w:rPr>
        <w:t>ULCAHY</w:t>
      </w:r>
    </w:p>
    <w:p>
      <w:pPr>
        <w:spacing w:after="0" w:line="2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Chair</w:t>
      </w:r>
    </w:p>
    <w:p>
      <w:pPr>
        <w:sectPr>
          <w:pgSz w:w="11900" w:h="16838" w:orient="portrait"/>
          <w:cols w:equalWidth="0" w:num="1">
            <w:col w:w="11020"/>
          </w:cols>
          <w:pgMar w:left="440" w:top="125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 — May 7, 2024</w:t>
      </w:r>
    </w:p>
    <w:p>
      <w:pPr>
        <w:spacing w:after="0" w:line="200" w:lineRule="exact"/>
        <w:rPr>
          <w:sz w:val="20"/>
          <w:szCs w:val="20"/>
          <w:color w:val="auto"/>
        </w:rPr>
      </w:pPr>
    </w:p>
    <w:p>
      <w:pPr>
        <w:spacing w:after="0" w:line="235"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The 2024 Annual Meeting of Shareholders of Graham Holdings Company will be held at The Hamilton, 600 14th Street, N.W., Washington, D.C. 20005, on Tuesday, May 7, 2024, at 8:30 a.m., Eastern Daylight Time, for the following purposes:</w:t>
      </w:r>
    </w:p>
    <w:p>
      <w:pPr>
        <w:spacing w:after="0" w:line="67" w:lineRule="exact"/>
        <w:rPr>
          <w:sz w:val="20"/>
          <w:szCs w:val="20"/>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for the ensuing year, as more fully described in the accompanying Proxy Statement.</w:t>
      </w:r>
    </w:p>
    <w:p>
      <w:pPr>
        <w:spacing w:after="0" w:line="130" w:lineRule="exact"/>
        <w:rPr>
          <w:rFonts w:ascii="Times New Roman" w:cs="Times New Roman" w:eastAsia="Times New Roman" w:hAnsi="Times New Roman"/>
          <w:sz w:val="18"/>
          <w:szCs w:val="18"/>
          <w:color w:val="auto"/>
        </w:rPr>
      </w:pPr>
    </w:p>
    <w:p>
      <w:pPr>
        <w:ind w:left="2500" w:right="180" w:hanging="641"/>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whether to approve the compensation awarded to the named executive officers of the Company for 2023.</w:t>
      </w:r>
    </w:p>
    <w:p>
      <w:pPr>
        <w:spacing w:after="0" w:line="67" w:lineRule="exact"/>
        <w:rPr>
          <w:rFonts w:ascii="Times New Roman" w:cs="Times New Roman" w:eastAsia="Times New Roman" w:hAnsi="Times New Roman"/>
          <w:sz w:val="18"/>
          <w:szCs w:val="18"/>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March 13, 2024, as the record date for the determination of shareholders entitled to notice of and to vote at the Meeting.</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reduce costs and the environmental impact of the Meeting, we have elected to provide access to our Proxy materials online under the U.S. Securities and Exchange Commission’s “notice and access” rules. It is important that your shares are represented at the Meeting. You may cast your vote online or by telephone, or if you requested to receive printed Proxy materials, by mailing a Proxy or voting direction card. If you plan to attend the Meeting in person, kindly so indicate in the space provided on the Proxy. Please review the instructions on each of your voting options described in this Proxy Statement and in the Notice of Internet Availability of Proxy Materials that you received in the mail. You may revoke your Proxy at any time before it has been voted at the Meeting. You may vote in person at the Meeting even if you returned a Proxy, provided that you first revoke your previously voted Proxy.</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NICOLE M. MADDREY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w:t>
      </w:r>
    </w:p>
    <w:p>
      <w:pPr>
        <w:spacing w:after="0" w:line="200" w:lineRule="exact"/>
        <w:rPr>
          <w:sz w:val="20"/>
          <w:szCs w:val="20"/>
          <w:color w:val="auto"/>
        </w:rPr>
      </w:pPr>
    </w:p>
    <w:p>
      <w:pPr>
        <w:spacing w:after="0" w:line="21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7, 2024. This Proxy Statement and the Annual Report to Shareholders are available at www.ghco.com/2024-annual-meeting-shareholders.</w:t>
      </w:r>
    </w:p>
    <w:p>
      <w:pPr>
        <w:sectPr>
          <w:pgSz w:w="11900" w:h="16838" w:orient="portrait"/>
          <w:cols w:equalWidth="0" w:num="1">
            <w:col w:w="11000"/>
          </w:cols>
          <w:pgMar w:left="440" w:top="28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GRAHAM HOLDINGS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1300 North 17th Street, Suite 1700, Arlington, VA 22209</w:t>
      </w:r>
    </w:p>
    <w:p>
      <w:pPr>
        <w:spacing w:after="0" w:line="207"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March 26, 2024</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the 2024 Annual Meeting of Shareholders of Graham Holdings Company to be held at The Hamilton, 600 14th Street, N.W., Washington, D.C. 20005, on Tuesday, May 7, 2024, at 8:30 a.m., Eastern Daylight Time, or any adjournments thereof, for the purposes set forth in the accompanying Notice of the 2024 Annual Meeting of Shareholders. This Proxy Statement and the accompanying forms of Proxy and voting instructions are being delivered to shareholders on or about March 26, 2024. The Board of Directors of the Company is making this Proxy solicitation.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ectPr>
          <w:pgSz w:w="11900" w:h="16838" w:orient="portrait"/>
          <w:cols w:equalWidth="0" w:num="1">
            <w:col w:w="11020"/>
          </w:cols>
          <w:pgMar w:left="440" w:top="293"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200" w:lineRule="exact"/>
        <w:rPr>
          <w:sz w:val="20"/>
          <w:szCs w:val="20"/>
          <w:color w:val="auto"/>
        </w:rPr>
      </w:pPr>
    </w:p>
    <w:p>
      <w:pPr>
        <w:sectPr>
          <w:pgSz w:w="11900" w:h="16838" w:orient="portrait"/>
          <w:cols w:equalWidth="0" w:num="2">
            <w:col w:w="240" w:space="140"/>
            <w:col w:w="10640"/>
          </w:cols>
          <w:pgMar w:left="440" w:top="29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You are voting on the election of Directors for a term of one year. A Board of nine Directors is to be elected, six by the holders of Class A Common</w:t>
      </w:r>
    </w:p>
    <w:p>
      <w:pPr>
        <w:sectPr>
          <w:pgSz w:w="11900" w:h="16838" w:orient="portrait"/>
          <w:cols w:equalWidth="0" w:num="1">
            <w:col w:w="11020"/>
          </w:cols>
          <w:pgMar w:left="440" w:top="293" w:right="439" w:bottom="1440" w:gutter="0" w:footer="0" w:header="0"/>
          <w:type w:val="continuous"/>
        </w:sectPr>
      </w:pPr>
    </w:p>
    <w:p>
      <w:pPr>
        <w:spacing w:after="0" w:line="3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are a holder of Class A Common Stock, you are also voting on whether to approve the compensation awarded to the Company’s named executive officers for 2023. In accordance with the rules of the U.S. Securities and Exchange Commission (the “SEC”), this vote is advisory in nature and non-binding.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your shares entitles you to one vote with respect to each matter on which you may vote.</w:t>
      </w:r>
    </w:p>
    <w:p>
      <w:pPr>
        <w:sectPr>
          <w:pgSz w:w="11900" w:h="16838" w:orient="portrait"/>
          <w:cols w:equalWidth="0" w:num="1">
            <w:col w:w="11020"/>
          </w:cols>
          <w:pgMar w:left="440" w:top="293" w:right="4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voting recommendations of the Board?</w:t>
      </w:r>
    </w:p>
    <w:p>
      <w:pPr>
        <w:spacing w:after="0" w:line="200" w:lineRule="exact"/>
        <w:rPr>
          <w:sz w:val="20"/>
          <w:szCs w:val="20"/>
          <w:color w:val="auto"/>
        </w:rPr>
      </w:pPr>
    </w:p>
    <w:p>
      <w:pPr>
        <w:sectPr>
          <w:pgSz w:w="11900" w:h="16838" w:orient="portrait"/>
          <w:cols w:equalWidth="0" w:num="2">
            <w:col w:w="240" w:space="140"/>
            <w:col w:w="10640"/>
          </w:cols>
          <w:pgMar w:left="440" w:top="29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Board recommends voting for each of the nominated Directors listed on the Proxy card. The Board knows of no reason that would cause any</w:t>
      </w:r>
    </w:p>
    <w:p>
      <w:pPr>
        <w:sectPr>
          <w:pgSz w:w="11900" w:h="16838" w:orient="portrait"/>
          <w:cols w:equalWidth="0" w:num="1">
            <w:col w:w="11020"/>
          </w:cols>
          <w:pgMar w:left="440" w:top="293"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to be unable to act or to refuse to accept nomination or election.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also recommends voting for the approval of the compensation awarded to the Company’s named executive officers for 2023.</w:t>
      </w:r>
    </w:p>
    <w:p>
      <w:pPr>
        <w:sectPr>
          <w:pgSz w:w="11900" w:h="16838" w:orient="portrait"/>
          <w:cols w:equalWidth="0" w:num="1">
            <w:col w:w="11020"/>
          </w:cols>
          <w:pgMar w:left="440" w:top="293"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any other matters be voted on?</w:t>
      </w:r>
    </w:p>
    <w:p>
      <w:pPr>
        <w:spacing w:after="0" w:line="200" w:lineRule="exact"/>
        <w:rPr>
          <w:sz w:val="20"/>
          <w:szCs w:val="20"/>
          <w:color w:val="auto"/>
        </w:rPr>
      </w:pPr>
    </w:p>
    <w:p>
      <w:pPr>
        <w:sectPr>
          <w:pgSz w:w="11900" w:h="16838" w:orient="portrait"/>
          <w:cols w:equalWidth="0" w:num="2">
            <w:col w:w="240" w:space="140"/>
            <w:col w:w="10640"/>
          </w:cols>
          <w:pgMar w:left="440" w:top="29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We are not aware of any matters to be voted on other than the election of Directors and the Class A Shareholder advisory vote on compensation</w:t>
      </w:r>
    </w:p>
    <w:p>
      <w:pPr>
        <w:sectPr>
          <w:pgSz w:w="11900" w:h="16838" w:orient="portrait"/>
          <w:cols w:equalWidth="0" w:num="1">
            <w:col w:w="11020"/>
          </w:cols>
          <w:pgMar w:left="440" w:top="293" w:right="439" w:bottom="1440" w:gutter="0" w:footer="0" w:header="0"/>
          <w:type w:val="continuous"/>
        </w:sectPr>
      </w:pPr>
    </w:p>
    <w:p>
      <w:pPr>
        <w:spacing w:after="0" w:line="3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awarded to the Company’s named executive officers for 2023. If any other matter is properly brought before the Meeting and you have submitted a Proxy, Timothy J. O’Shaughnessy, Wallace R. Cooney, Jacob M. Maas and Nicole M. Maddrey, acting as your proxies, will vote for you at their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There are four ways to vote:</w:t>
      </w:r>
    </w:p>
    <w:p>
      <w:pPr>
        <w:spacing w:after="0" w:line="77" w:lineRule="exact"/>
        <w:rPr>
          <w:sz w:val="20"/>
          <w:szCs w:val="20"/>
          <w:color w:val="auto"/>
        </w:rPr>
      </w:pPr>
    </w:p>
    <w:p>
      <w:pPr>
        <w:ind w:left="1200" w:right="20" w:hanging="219"/>
        <w:spacing w:after="0" w:line="257"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For shares registered on the books of the Company via Computershare, go to www.envisionreports.com/ GHC to vote. For shares held through your bank or brokerage account, please see the instructions on the Notice of Internet Availability of Proxy Materials for the website to vote your shares. We encourage you to vote this way;</w:t>
      </w:r>
    </w:p>
    <w:p>
      <w:pPr>
        <w:spacing w:after="0" w:line="1"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if you received a printed copy of the Proxy materials; or</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3" w:right="439" w:bottom="1440" w:gutter="0" w:footer="0" w:header="0"/>
          <w:type w:val="continuous"/>
        </w:sectPr>
      </w:pPr>
    </w:p>
    <w:bookmarkStart w:id="4" w:name="page5"/>
    <w:bookmarkEnd w:id="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If you vote by internet or telephone, your vote must be received by 5:00 p.m., Eastern Daylight Time, on the day before the Annual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Times New Roman" w:cs="Times New Roman" w:eastAsia="Times New Roman" w:hAnsi="Times New Roman"/>
          <w:sz w:val="18"/>
          <w:szCs w:val="18"/>
          <w:b w:val="1"/>
          <w:bCs w:val="1"/>
          <w:i w:val="1"/>
          <w:iCs w:val="1"/>
          <w:color w:val="auto"/>
        </w:rPr>
        <w:t>your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direction must be received no later than 11:00 p.m., Eastern Daylight Time, on May 2, 2024, which is earlier than the time at which votes must be received for shares held outside of these plans.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awarded to the Company’s named executive officers for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 if I participate in one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401(k) plans?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A:  As a participant in one of the Company’s 401(k) plans with Graham Holdings Company Class B Common Stock allocated to your account, you can direct the Plan Trustee on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401(k) Savings Plan for GHC Affiliates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Annual Meeting or not, you should direct the Plan Trustee how you wish to vote your Plan shares </w:t>
      </w:r>
      <w:r>
        <w:rPr>
          <w:rFonts w:ascii="Times New Roman" w:cs="Times New Roman" w:eastAsia="Times New Roman" w:hAnsi="Times New Roman"/>
          <w:sz w:val="18"/>
          <w:szCs w:val="18"/>
          <w:b w:val="1"/>
          <w:bCs w:val="1"/>
          <w:i w:val="1"/>
          <w:iCs w:val="1"/>
          <w:color w:val="auto"/>
        </w:rPr>
        <w:t>no later than 11:00 p.m., Eastern Daylight Time, on May 2,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You can vote if you were a shareholder of record as of the close of business on March 13, 2024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2023 Compensation Awarded to Named Executive Officers.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Yes. You can change your vote or revoke your Proxy at any time before the Meeting:</w:t>
      </w:r>
    </w:p>
    <w:p>
      <w:pPr>
        <w:spacing w:after="0" w:line="77" w:lineRule="exact"/>
        <w:rPr>
          <w:sz w:val="20"/>
          <w:szCs w:val="20"/>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telephone;</w:t>
      </w:r>
    </w:p>
    <w:p>
      <w:pPr>
        <w:spacing w:after="0" w:line="27"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a later-dated Proxy card; or</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 provided you first revoke your previously voted Proxy.</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If you are a participant in one of the Company’s 401(k) plans with Graham Holdings Company Class B Common Stock and wish to change your vote or revoke your Proxy, you must do so </w:t>
      </w:r>
      <w:r>
        <w:rPr>
          <w:rFonts w:ascii="Times New Roman" w:cs="Times New Roman" w:eastAsia="Times New Roman" w:hAnsi="Times New Roman"/>
          <w:sz w:val="18"/>
          <w:szCs w:val="18"/>
          <w:b w:val="1"/>
          <w:bCs w:val="1"/>
          <w:i w:val="1"/>
          <w:iCs w:val="1"/>
          <w:color w:val="auto"/>
        </w:rPr>
        <w:t>no later than 11:00 p.m., Eastern Daylight Time, on May 2, 2024,</w:t>
      </w:r>
      <w:r>
        <w:rPr>
          <w:rFonts w:ascii="Times New Roman" w:cs="Times New Roman" w:eastAsia="Times New Roman" w:hAnsi="Times New Roman"/>
          <w:sz w:val="18"/>
          <w:szCs w:val="18"/>
          <w:color w:val="auto"/>
        </w:rPr>
        <w:t xml:space="preserve"> by instructing the Plan Trustee in a manner described in the Question “How do I vote if I participate in one of the Company’s 401(k) plans?” above</w:t>
      </w:r>
      <w:r>
        <w:rPr>
          <w:rFonts w:ascii="Times New Roman" w:cs="Times New Roman" w:eastAsia="Times New Roman" w:hAnsi="Times New Roman"/>
          <w:sz w:val="18"/>
          <w:szCs w:val="18"/>
          <w:b w:val="1"/>
          <w:bCs w:val="1"/>
          <w:i w:val="1"/>
          <w:i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a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-220980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140"/>
            <w:col w:w="10600"/>
          </w:cols>
          <w:pgMar w:left="440" w:top="293" w:right="479" w:bottom="1440" w:gutter="0" w:footer="0" w:header="0"/>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Directors will be elected by a plurality of the votes cast at the Meeting. This means that the six Class A Shareholder nominees receiving the highest</w:t>
      </w:r>
    </w:p>
    <w:p>
      <w:pPr>
        <w:sectPr>
          <w:pgSz w:w="11900" w:h="16838" w:orient="portrait"/>
          <w:cols w:equalWidth="0" w:num="1">
            <w:col w:w="10980"/>
          </w:cols>
          <w:pgMar w:left="440" w:top="293" w:right="479" w:bottom="1440" w:gutter="0" w:footer="0" w:header="0"/>
          <w:type w:val="continuous"/>
        </w:sectPr>
      </w:pPr>
    </w:p>
    <w:p>
      <w:pPr>
        <w:spacing w:after="0" w:line="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While Proposal 2 to approve the 2023 compensation awarded to the Company’s named executive officers is non-binding and advisory in nature, it will be approved only on the favorable vote of a majority of the Class A Shareholders present or represented at the Meeting.</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Broker non-votes and abstentions will be counted for purposes of determining whether a quorum is present. Only “FOR” and “AGAINST” votes are counted for purposes of determining the votes received in connection with Proposal 2. Broker non-votes will have no impact on the voting results for any of the proposals presented at the Meeting, and abstentions will have the effect of a vote against Proposal 2 to approve the 2023 compensation awarded to the Company’s named executive officers.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ectPr>
          <w:pgSz w:w="11900" w:h="16838" w:orient="portrait"/>
          <w:cols w:equalWidth="0" w:num="1">
            <w:col w:w="10980"/>
          </w:cols>
          <w:pgMar w:left="440" w:top="293" w:right="47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will count the vote?</w:t>
      </w:r>
    </w:p>
    <w:p>
      <w:pPr>
        <w:spacing w:after="0" w:line="200" w:lineRule="exact"/>
        <w:rPr>
          <w:sz w:val="20"/>
          <w:szCs w:val="20"/>
          <w:color w:val="auto"/>
        </w:rPr>
      </w:pPr>
    </w:p>
    <w:p>
      <w:pPr>
        <w:sectPr>
          <w:pgSz w:w="11900" w:h="16838" w:orient="portrait"/>
          <w:cols w:equalWidth="0" w:num="2">
            <w:col w:w="240" w:space="140"/>
            <w:col w:w="10600"/>
          </w:cols>
          <w:pgMar w:left="440" w:top="293" w:right="479" w:bottom="1440" w:gutter="0" w:footer="0" w:header="0"/>
          <w:type w:val="continuous"/>
        </w:sectPr>
      </w:pPr>
    </w:p>
    <w:p>
      <w:pPr>
        <w:spacing w:after="0" w:line="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Computershare, the Company’s transfer agent and registrar, will count the vote. One of its representatives will be included among the persons authorized to certify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attend the Meeting?</w:t>
      </w:r>
    </w:p>
    <w:p>
      <w:pPr>
        <w:sectPr>
          <w:pgSz w:w="11900" w:h="16838" w:orient="portrait"/>
          <w:cols w:equalWidth="0" w:num="1">
            <w:col w:w="10980"/>
          </w:cols>
          <w:pgMar w:left="440" w:top="293" w:right="47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shareholders of record as of the close of business on March 13, 2024, can attend.</w:t>
      </w:r>
    </w:p>
    <w:p>
      <w:pPr>
        <w:spacing w:after="0" w:line="200" w:lineRule="exact"/>
        <w:rPr>
          <w:sz w:val="20"/>
          <w:szCs w:val="20"/>
          <w:color w:val="auto"/>
        </w:rPr>
      </w:pPr>
    </w:p>
    <w:p>
      <w:pPr>
        <w:sectPr>
          <w:pgSz w:w="11900" w:h="16838" w:orient="portrait"/>
          <w:cols w:equalWidth="0" w:num="2">
            <w:col w:w="220" w:space="120"/>
            <w:col w:w="10640"/>
          </w:cols>
          <w:pgMar w:left="440" w:top="293" w:right="47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 I need to do to attend the Meeting?</w:t>
      </w:r>
    </w:p>
    <w:p>
      <w:pPr>
        <w:spacing w:after="0" w:line="200" w:lineRule="exact"/>
        <w:rPr>
          <w:sz w:val="20"/>
          <w:szCs w:val="20"/>
          <w:color w:val="auto"/>
        </w:rPr>
      </w:pPr>
    </w:p>
    <w:p>
      <w:pPr>
        <w:sectPr>
          <w:pgSz w:w="11900" w:h="16838" w:orient="portrait"/>
          <w:cols w:equalWidth="0" w:num="2">
            <w:col w:w="240" w:space="140"/>
            <w:col w:w="10600"/>
          </w:cols>
          <w:pgMar w:left="440" w:top="293" w:right="4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 attend the Meeting, please follow these instructions:</w:t>
      </w:r>
    </w:p>
    <w:p>
      <w:pPr>
        <w:spacing w:after="0" w:line="27" w:lineRule="exact"/>
        <w:rPr>
          <w:sz w:val="20"/>
          <w:szCs w:val="20"/>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using the Proxy card, check the appropriate box on the card.</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or telephone, follow the instructions provided for attendance.</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bring proof of your ownership with you to the Meeting.</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Seating at the Meeting will be on a first-come, first-served basis upon arrival at the Meeting. Participants in the Company’s 401(k) plans with Graham Holdings Company Class B Common Stock may attend the Meeting, but may not vote Plan shares at the Meeting and should instead rely on the procedures described in the Question “How do I vote if I participate in one of the Company’s 401(k) plans?”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bring a guest?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 The Meeting is for shareholders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quorum requirement of the Meeting?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A majority of the outstanding shares on March 13, 2024, constitutes a quorum for voting at the Annual Meeting, except that (i) for purposes of the election of six Directors by the holders of Class A Common Stock (Proposal 1) and the advisory vote on whether to approve the compensation awarded to the named executive officers of the Company in 2023 (Proposal 2), a quorum requires a majority of the outstanding shares of Class A Common Stock on March 13, 2024, and (ii) for purposes of the election of three Directors by the holders of Class B Common Stock (Proposal 1), a quorum requires a majority of the outstanding shares of Class B Common Stock on March 13, 2024. If you vote, your shares will be part of the quorum. All Class B Common Stock allocated to the accounts of participants in one of the Company’s 401(k) plans will be voted and will be counted in determining a quorum, unless contrary to ERISA. Abstentions will be counted in determining the quorum. On March 13, 2024, there were 964,001 shares of Class A Common Stock and 3,493,008 shares of Class B Common Stock, in each case, outstanding and entitled to vote.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3"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Who is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-220980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140"/>
            <w:col w:w="10580"/>
          </w:cols>
          <w:pgMar w:left="440" w:top="293" w:right="499" w:bottom="1440" w:gutter="0" w:footer="0" w:header="0"/>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Solicitation of Proxies is being made by the Company’s management through the mail, at the Meeting, on the internet or by telephone, without any</w:t>
      </w:r>
    </w:p>
    <w:p>
      <w:pPr>
        <w:sectPr>
          <w:pgSz w:w="11900" w:h="16838" w:orient="portrait"/>
          <w:cols w:equalWidth="0" w:num="1">
            <w:col w:w="10960"/>
          </w:cols>
          <w:pgMar w:left="440" w:top="293" w:right="499" w:bottom="1440" w:gutter="0" w:footer="0" w:header="0"/>
          <w:type w:val="continuous"/>
        </w:sectPr>
      </w:pPr>
    </w:p>
    <w:p>
      <w:pPr>
        <w:spacing w:after="0" w:line="39"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ectPr>
          <w:pgSz w:w="11900" w:h="16838" w:orient="portrait"/>
          <w:cols w:equalWidth="0" w:num="1">
            <w:col w:w="10960"/>
          </w:cols>
          <w:pgMar w:left="440" w:top="293" w:right="49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are the shareholder proposals due for the Company’s 2025 Annual Meeting of Shareholders?</w:t>
      </w:r>
    </w:p>
    <w:p>
      <w:pPr>
        <w:spacing w:after="0" w:line="133" w:lineRule="exact"/>
        <w:rPr>
          <w:sz w:val="20"/>
          <w:szCs w:val="20"/>
          <w:color w:val="auto"/>
        </w:rPr>
      </w:pPr>
    </w:p>
    <w:p>
      <w:pPr>
        <w:sectPr>
          <w:pgSz w:w="11900" w:h="16838" w:orient="portrait"/>
          <w:cols w:equalWidth="0" w:num="2">
            <w:col w:w="240" w:space="140"/>
            <w:col w:w="10580"/>
          </w:cols>
          <w:pgMar w:left="440" w:top="2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A:   Shareholder proposals submitted by shareholders entitled to vote on such matters, meeting the requirements of the SEC’s proxy rules, must be in</w:t>
      </w:r>
    </w:p>
    <w:p>
      <w:pPr>
        <w:sectPr>
          <w:pgSz w:w="11900" w:h="16838" w:orient="portrait"/>
          <w:cols w:equalWidth="0" w:num="1">
            <w:col w:w="10960"/>
          </w:cols>
          <w:pgMar w:left="440" w:top="293" w:right="499" w:bottom="1440" w:gutter="0" w:footer="0" w:header="0"/>
          <w:type w:val="continuous"/>
        </w:sectPr>
      </w:pPr>
    </w:p>
    <w:p>
      <w:pPr>
        <w:spacing w:after="0" w:line="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writing, received by November 26, 2024,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9, 2025, to be considered a timely submission.</w:t>
      </w:r>
    </w:p>
    <w:p>
      <w:pPr>
        <w:spacing w:after="0" w:line="18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2025 Annual Meeting of Shareholders.</w:t>
      </w:r>
    </w:p>
    <w:p>
      <w:pPr>
        <w:spacing w:after="0" w:line="16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March 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other information about Graham Holdings Company is available?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information is available:</w:t>
      </w:r>
    </w:p>
    <w:p>
      <w:pPr>
        <w:spacing w:after="0" w:line="252" w:lineRule="exact"/>
        <w:rPr>
          <w:sz w:val="20"/>
          <w:szCs w:val="20"/>
          <w:color w:val="auto"/>
        </w:rPr>
      </w:pPr>
    </w:p>
    <w:p>
      <w:pPr>
        <w:ind w:left="960" w:right="140" w:hanging="424"/>
        <w:spacing w:after="0" w:line="25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on its website, www.ghco.com, copies of the Annual Report on Form 10-K, the Annual Report to Shareholders, the Company’s Corporate Governance Guidelines, the Statement of Ethical Principles, the Code of Business Conduct, the Audit Committee Charter, the Compensation Committee Charter and other information about the Company.</w:t>
      </w:r>
    </w:p>
    <w:p>
      <w:pPr>
        <w:spacing w:after="0" w:line="1" w:lineRule="exact"/>
        <w:rPr>
          <w:rFonts w:ascii="Times New Roman" w:cs="Times New Roman" w:eastAsia="Times New Roman" w:hAnsi="Times New Roman"/>
          <w:sz w:val="18"/>
          <w:szCs w:val="18"/>
          <w:color w:val="auto"/>
        </w:rPr>
      </w:pPr>
    </w:p>
    <w:p>
      <w:pPr>
        <w:ind w:left="960" w:right="120" w:hanging="424"/>
        <w:spacing w:after="0" w:line="253"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printed copies of the Annual Report on Form 10-K and the Annual Report to Shareholders, the Company’s Corporate Governance Guidelines, the Statement of Ethical Principles, the Code of Business Conduct, the Audit Committee Charter and the Compensation Committee Charter will be furnished without charge to any shareholder upon written request addressed to the Treasurer of the Company at 1300 North 17th Street, Suite 1700, Arlington, VA 22209.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did I receive a Notice of Internet Availability of Proxy Materials in the mail instead of a printed set of proxy materials?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may provide you with access to Proxy materials over the internet rather than by mailing the materials to you. To reduce costs and conserve resources, we are sending a Notice of Internet Availability of Proxy Materials to our shareholders. The notice provides instructions for accessing this Proxy Statement and our 2023 Annual Report at www.envisionreports.com/GHC. The notice also explains how shareholders may request printed Proxy materials for this or future annual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householding?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Secretary of the Company at 1300 North 17th Street, Suite 1700, Arlington, VA 22209.</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93" w:right="4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BOARD OF DIRECTORS</w:t>
      </w:r>
    </w:p>
    <w:p>
      <w:pPr>
        <w:spacing w:after="0" w:line="229"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8"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The Company is a diversified holding company whose operations include: education; television broadcasting; online, print and local TV news; manufacturing; home health and hospice care; automotive dealerships; and other businesses including a consumer internet company that builds creator-driven brands in lifestyle and home and art design categories, restaurants, a custom framing service company, a marketing solutions provider, and a customer data and analytics software company.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complex organizations (both for-profit and non-profit), and law firms and gained expertise in core management skills, such as strategy and business development, innovation, line operations, brand management, finance, compensation and leadership development, diversity, equity, and inclusion initiatives, and compliance and risk management. They have significant experience in corporate governance and oversight through their positions as senior executives and as Directors (or Trustees) of public companies and other institutions, and as partners in law firms,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S. Gayner</w:t>
      </w:r>
    </w:p>
    <w:p>
      <w:pPr>
        <w:spacing w:after="0" w:line="229"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Mr. Gayner, age 62, has served as Chief Executive Officer of Markel Corporation, a publicly traded financial holding company headquartered in Glen Allen, VA, since January 2023 and prior to that was Co-Chief Executive Officer from January 2016 through 2022. Prior to that, he served as President and Chief Investment Officer of Markel Corporation since May 2010. Mr. Gayner has served as a Director of the Company since January 2007. He is Chairman of the Audit Committee and a member of the Finance Committee. Since 1990, he served as a Director of Markel Corporation from 1998 to 2003 and since 2016. Previously, he was a certified public accountant at PricewaterhouseCoopers LLP and a Vice President of Davenport &amp; Company of Virginia. Mr. Gayner serves on the Board of Directors of The Coca-Cola Company and the Davis Series Mutual Funds.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E. Graham</w:t>
      </w:r>
    </w:p>
    <w:p>
      <w:pPr>
        <w:spacing w:after="0" w:line="229"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Mr. Graham, age 78, is Chairman Emeritus of the Company. He served as Chairman of the Board of the Company from September 1993 until May 2023,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a member of the Finance and Executive Committees of the Board. By virtue of his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8" w:name="page9"/>
    <w:bookmarkEnd w:id="8"/>
    <w:p>
      <w:pPr>
        <w:ind w:left="760"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ownership of 55.9% of the outstanding Class A Stock of the Company and additional voting rights as a trustee of a family trust, Mr. Graham effectively votes a total of 56.7% of the Class A shares. Mr. Graham was a Director of Facebook, Inc. from December 2008 until June 2015. Mr. Graham is a Trustee of the Federal City Council. He also 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J. O’Shaughnessy</w:t>
      </w:r>
    </w:p>
    <w:p>
      <w:pPr>
        <w:spacing w:after="0" w:line="229"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Mr. O’Shaughnessy, age 42,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 commerce and marketing company grew sales to nearly $2 billion. Mr. O’Shaughnessy also worked at several media and technology companies, including AOL and Revolution Health. He is a graduate of Georgetown University and is an officer of the Federal City Council. He is married to Laura Graham O’Shaughnessy, a daughter of Donald E. Graham.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Mulcahy</w:t>
      </w:r>
    </w:p>
    <w:p>
      <w:pPr>
        <w:spacing w:after="0" w:line="229"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Mrs. Mulcahy, age 71,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 of the Board and Chair of the Executive and Compensation Committees.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and LPL Financial.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Richard Wagoner, Jr.</w:t>
      </w:r>
    </w:p>
    <w:p>
      <w:pPr>
        <w:spacing w:after="0" w:line="229"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17"/>
          <w:szCs w:val="17"/>
          <w:color w:val="auto"/>
        </w:rPr>
        <w:t>Mr. Wagoner, age 71,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Chair of the Board of Invesco Ltd., and privately held Excelitas Technologies, and a director of ChargePoint Holdings, Inc. In addition, he advises finance firms, start-ups and early-stage ventures. Mr. Wagoner is a member of the Duke University Health Systems Board of Directors and chairs the Duke Kunshan University Global Advisory Board. He is a Trustee Emeritus of Duke University and a former Board Chair, and served on the Virginia Commonwealth University Board of Visitors.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Katharine Weymouth</w:t>
      </w:r>
    </w:p>
    <w:p>
      <w:pPr>
        <w:spacing w:after="0" w:line="229"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Ms. Weymouth, age 57, is the Chief Operating Officer of ShineTogether, a digital start-up in the mental health space. Ms. Weymouth has been a Director of the Company since 2010 and currently serves on the Finance Committee and the Compensation Committee of the Board. Ms. Weymouth is a niece of the Chairman Emeritus of the Board of the</w:t>
      </w:r>
    </w:p>
    <w:p>
      <w:pPr>
        <w:spacing w:after="0" w:line="1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97" w:right="439" w:bottom="1440" w:gutter="0" w:footer="0" w:header="0"/>
        </w:sectPr>
      </w:pPr>
    </w:p>
    <w:bookmarkStart w:id="9" w:name="page10"/>
    <w:bookmarkEnd w:id="9"/>
    <w:p>
      <w:pPr>
        <w:ind w:left="7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Ms. Weymouth served as Publisher and Chief Executive Officer of The Washington Post, the newspaper division of The Washington Post Company, from 2008 through 2014. Prior to becoming Publisher and Chief Executive Officer, Ms. Weymouth worked in various roles in the Post’s advertising department, including serving as vice president of the advertising department. She began her career as an attorney, working for four years in the legal office of The Washington Post in both print and digital after having worked for three years as a litigator at the law firm of Williams &amp; Connolly LLP. Ms. Weymouth serves on the Board of Republic Services, Xometry, Cable One and Sequoia Mutual Fund. She serves as a Trustee of the Philip L. Graham Fund and of the Greater Washington Community Foundation.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 Allen</w:t>
      </w:r>
    </w:p>
    <w:p>
      <w:pPr>
        <w:spacing w:after="0" w:line="229"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8"/>
          <w:szCs w:val="18"/>
          <w:color w:val="auto"/>
        </w:rPr>
        <w:t>Dr. Allen, age 53, has served as the 12th President of Delaware State University, a public historically black land grant research university founded in 1891, since January 2020. Prior to becoming President, Dr. Allen served as Provost beginning in June of 2017. Dr. Allen led the Biden Presidential Inaugural Committee and served on the Advisory Board of the Biden Transition Team. Previously, Dr. Allen served as Managing Director, Corporate Reputation, at Bank of America from January 2006 until August 2017. He began his financial services career as an Executive Vice President at MBNA America. Dr. Allen is a member of the Economic and Community Advisory Council for the Federal Reserve Bank of Philadelphia, the founding President of the Metropolitan Wilmington Urban League, Principal Advisor to the James H. Gilliam Fund for Social Justice &amp; Equity, Co-Founder of Public Allies Delaware, and Chair Emeritus of the National Urban Fellows.</w:t>
      </w:r>
    </w:p>
    <w:p>
      <w:pPr>
        <w:spacing w:after="0" w:line="3" w:lineRule="exact"/>
        <w:rPr>
          <w:sz w:val="20"/>
          <w:szCs w:val="20"/>
          <w:color w:val="auto"/>
        </w:rPr>
      </w:pPr>
    </w:p>
    <w:p>
      <w:pPr>
        <w:ind w:left="760" w:right="140"/>
        <w:spacing w:after="0" w:line="253" w:lineRule="auto"/>
        <w:rPr>
          <w:sz w:val="20"/>
          <w:szCs w:val="20"/>
          <w:color w:val="auto"/>
        </w:rPr>
      </w:pPr>
      <w:r>
        <w:rPr>
          <w:rFonts w:ascii="Times New Roman" w:cs="Times New Roman" w:eastAsia="Times New Roman" w:hAnsi="Times New Roman"/>
          <w:sz w:val="18"/>
          <w:szCs w:val="18"/>
          <w:color w:val="auto"/>
        </w:rPr>
        <w:t>Dr. Allen is the recipient of numerous awards, including the Whitney M. Young Award for Advancing Racial Equality, the Excellence in Education Award given by the Delaware Barristers Association, and Lifetime Achievement Awards from the National Urban Fellows and Public Allies. Dr. Allen became a Director in February 2021. Dr. Allen brings an understanding of the higher education landscape, corporate operations and communications expertise and deep knowledge of the financial services sector to his work on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Danielle Conley</w:t>
      </w:r>
    </w:p>
    <w:p>
      <w:pPr>
        <w:spacing w:after="0" w:line="229"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8"/>
          <w:szCs w:val="18"/>
          <w:color w:val="auto"/>
        </w:rPr>
        <w:t>Ms. Conley, age 45, is a partner in the law firm of Latham &amp; Watkins LLP where she advises companies, educational institutions, and other large organizations on challenging regulatory, enforcement, and internal matters that involve substantial reputational risk. Ms. Conley has served as a Director of the Company since September 2022. From January 2021 to June 2022, Ms. Conley served as Deputy Counsel to the President of the United States in the Office of the White House Counsel, where she advised the President, Vice President and other senior White House officials on legal matters pertaining to a wide array of domestic policy issues. She also worked closely with senior officials at the Department of Justice and agency general counsels on policy, regulatory matters, and litigation related to the administration’s equity agenda. From April 2017 to January 2021, Ms. Conley was a partner in the Washington, D.C. office of an international law firm where she led the firm’s anti-discrimination practice and represented multinational corporations and educational institutions in sensitive internal and government investigations and litigation matters. Prior to that, Ms. Conley served as Associate Deputy Attorney General at the United States Department of Justice, where she was a key advisor on civil rights litigation and enforcement matters. Ms. Conley’s significant experience in U.S. policy, litigation and investigatory challenges facing companies of comparable size and scope as the Company is highly valuable to the Company’s businesses which operate in highly regulated industries. Her deep experience conducting sensitive internal investigations, leading internal reviews and risk assessments on issues pertaining to racial and gender equity and counseling on best practices for developing and implementing anti-harassment compliance programs and corporate diversity, equity, and inclusion initiatives, serves to strengthen the Board’s role in risk oversight and its focus on ESG.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C. Davis</w:t>
      </w:r>
    </w:p>
    <w:p>
      <w:pPr>
        <w:spacing w:after="0" w:line="121"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8"/>
          <w:szCs w:val="18"/>
          <w:color w:val="auto"/>
        </w:rPr>
        <w:t>Mr. Davis, age 58, has been a Director of Graham Holdings Company since January 2006 and is a member of the Audit and Executive Committees of the Board and Chairman of the Finance Committee. Mr. Davis became lead independent Director in May 2011. Mr. Davis is Chairman of Davis Selected Advisers, L.P., an independent investment management firm founded in 1969. Mr. Davis is also a Director and officer of a number of mutual funds advised by Davis Selected Advisers, L.P., as well as other entities controlled by Davis Selected Advisers, L.P. He is also a Director of The Coca- Cola Company and Berkshire Hathaway, Inc. Mr. Davis is a Director of the Hudson Highland Land Trust, The Hudson Highland Fjord Trail and a Trustee of the American Museum of Natural History, the Shelby Cullom Davis Charitable Fund and the Christopher C. Davis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RECOMMENDS A VOTE “FOR” THE ELECTION OF EACH OF THE NOMINATED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standing committees of the Board are the Audit Committee, Compensation Committee, Finance Committee and Executive Committee.</w:t>
      </w:r>
    </w:p>
    <w:p>
      <w:pPr>
        <w:spacing w:after="0" w:line="23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Company’s information security and privacy program, including management of risks from cybersecurity threats; (v) the qualifications and independence of the Company’s outside auditor; (vi) the performance of the Company’s internal audit function; (vii) the outside auditor’s annual audit of the Company’s financial statements; and (viii) 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Christopher C. Davis, Thomas S. Gayner (Chairman) and G. Richard Wagoner, Jr. served on the Audit Committee in 2023.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the authority to obtain advice from internal or external legal or other advisers.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Audit Committee held seven meetings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(iv) reviewing the Company’s Diversity, Equity and Inclusion (DEI) strategy and initiatives to provide oversight and advice as the Company seeks to meet its DEI goals; and (v) 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93" w:right="459" w:bottom="1440" w:gutter="0" w:footer="0" w:header="0"/>
        </w:sectPr>
      </w:pPr>
    </w:p>
    <w:bookmarkStart w:id="11" w:name="page12"/>
    <w:bookmarkEnd w:id="11"/>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Anne M. Mulcahy (Chair), Katharine Weymouth and Tony Allen served on the Compensation Committee in 2023. All members of the Compensation Committee are non-employee Directors and have been determined to be “independent” within the meaning of the listing requirements of the New York Stock Exchange applicable to service on compensation committees.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Compensation Committee held six meetings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68" w:lineRule="exact"/>
        <w:rPr>
          <w:sz w:val="20"/>
          <w:szCs w:val="20"/>
          <w:color w:val="auto"/>
        </w:rPr>
      </w:pPr>
    </w:p>
    <w:p>
      <w:pPr>
        <w:ind w:left="440" w:right="1640" w:firstLine="551"/>
        <w:spacing w:after="0" w:line="282" w:lineRule="auto"/>
        <w:rPr>
          <w:sz w:val="20"/>
          <w:szCs w:val="20"/>
          <w:color w:val="auto"/>
        </w:rPr>
      </w:pPr>
      <w:r>
        <w:rPr>
          <w:rFonts w:ascii="Times New Roman" w:cs="Times New Roman" w:eastAsia="Times New Roman" w:hAnsi="Times New Roman"/>
          <w:sz w:val="18"/>
          <w:szCs w:val="18"/>
          <w:color w:val="auto"/>
        </w:rPr>
        <w:t>Christopher C. Davis (Chairman), Thomas S. Gayner, Donald E. Graham, Timothy J. O’Shaughnessy and Katharine Weymouth served on the Finance Committee in 2023.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Finance Committee held one meeting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Executive Committee has exercised and may exercise all of the powers of the Board that may be delegated by law in the management of the business and affairs of the Company and exercises the authority of the Board between meetings.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Christopher C. Davis, Donald E. Graham, Anne M. Mulcahy (Chair) and Timothy J. O’Shaughnessy served on the Executive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Executive Committee held no meetings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Board held a total of five meetings in 2023. Each Director attended at least 75% of the meetings of the Board and the Committees of the Board on which the Director served.</w:t>
      </w:r>
    </w:p>
    <w:p>
      <w:pPr>
        <w:spacing w:after="0" w:line="162" w:lineRule="exact"/>
        <w:rPr>
          <w:sz w:val="20"/>
          <w:szCs w:val="20"/>
          <w:color w:val="auto"/>
        </w:rPr>
      </w:pPr>
    </w:p>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t>The Board does not have a policy of requiring Directors to attend annual meetings of shareholders and leaves it at the discretion of each Director as to whether he or she will attend the Meeting. In addition to the Chairman, eight Directors joined the 2023 Annual Meeting of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2023, non-employee Directors received the following:</w:t>
      </w:r>
    </w:p>
    <w:p>
      <w:pPr>
        <w:spacing w:after="0" w:line="50" w:lineRule="exact"/>
        <w:rPr>
          <w:sz w:val="20"/>
          <w:szCs w:val="20"/>
          <w:color w:val="auto"/>
        </w:rPr>
      </w:pPr>
    </w:p>
    <w:p>
      <w:pPr>
        <w:ind w:left="2180" w:hanging="429"/>
        <w:spacing w:after="0"/>
        <w:tabs>
          <w:tab w:leader="none" w:pos="2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in cash or a combination of cash and shares of the Company’s Class B common stock; and</w:t>
      </w:r>
    </w:p>
    <w:p>
      <w:pPr>
        <w:spacing w:after="0" w:line="49"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for the meetings attended.</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Each non-employee Chair of a Committee of the Board received an additional $20,000 annual retainer for such service. Members of the Audit Committee received an additional $20,000 annual retainer for such service. Employee Directors received no compensation for serving on the Board.</w:t>
      </w:r>
    </w:p>
    <w:p>
      <w:pPr>
        <w:spacing w:after="0" w:line="6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Under the Company’s Director Share Purchase Program, beginning July 1, 2022, Directors became eligible to elect to receive up to 50% of their quarterly Director fees in the form of fully vested shares of the Company’s Class B common stock. The Company does not otherwise provide equity-based compensation to non-employee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7" w:right="459" w:bottom="1440" w:gutter="0" w:footer="0" w:header="0"/>
        </w:sectPr>
      </w:pPr>
    </w:p>
    <w:bookmarkStart w:id="12" w:name="page13"/>
    <w:bookmarkEnd w:id="1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total 2023 compensation of non-employee Directors is shown in the following table:</w:t>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5360" w:type="dxa"/>
            <w:vAlign w:val="bottom"/>
            <w:tcBorders>
              <w:top w:val="single" w:sz="8" w:color="auto"/>
              <w:left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tcBorders>
              <w:top w:val="single" w:sz="8" w:color="auto"/>
              <w:right w:val="single" w:sz="8" w:color="auto"/>
            </w:tcBorders>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rPr>
              <w:t>Change in Pension Value</w:t>
            </w:r>
          </w:p>
        </w:tc>
        <w:tc>
          <w:tcPr>
            <w:tcW w:w="1420" w:type="dxa"/>
            <w:vAlign w:val="bottom"/>
            <w:tcBorders>
              <w:top w:val="single" w:sz="8" w:color="auto"/>
              <w:right w:val="single" w:sz="8" w:color="auto"/>
            </w:tcBorders>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Borders>
              <w:top w:val="single" w:sz="8" w:color="auto"/>
              <w:right w:val="single" w:sz="8" w:color="auto"/>
            </w:tcBorders>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60" w:type="dxa"/>
            <w:vAlign w:val="bottom"/>
            <w:tcBorders>
              <w:left w:val="single" w:sz="8" w:color="auto"/>
              <w:right w:val="single" w:sz="8" w:color="auto"/>
            </w:tcBorders>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Borders>
              <w:right w:val="single" w:sz="8" w:color="auto"/>
            </w:tcBorders>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tcBorders>
              <w:right w:val="single" w:sz="8" w:color="auto"/>
            </w:tcBorders>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and non-qualified Deferred</w:t>
            </w:r>
          </w:p>
        </w:tc>
        <w:tc>
          <w:tcPr>
            <w:tcW w:w="14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or Stock ($)</w:t>
            </w:r>
            <w:r>
              <w:rPr>
                <w:rFonts w:ascii="Times New Roman" w:cs="Times New Roman" w:eastAsia="Times New Roman" w:hAnsi="Times New Roman"/>
                <w:sz w:val="10"/>
                <w:szCs w:val="10"/>
                <w:b w:val="1"/>
                <w:bCs w:val="1"/>
                <w:color w:val="auto"/>
              </w:rPr>
              <w:t>(1)</w:t>
            </w:r>
          </w:p>
        </w:tc>
        <w:tc>
          <w:tcPr>
            <w:tcW w:w="2020" w:type="dxa"/>
            <w:vAlign w:val="bottom"/>
            <w:tcBorders>
              <w:bottom w:val="single" w:sz="8" w:color="auto"/>
              <w:right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Compensation Earnings ($)</w:t>
            </w:r>
          </w:p>
        </w:tc>
        <w:tc>
          <w:tcPr>
            <w:tcW w:w="1420" w:type="dxa"/>
            <w:vAlign w:val="bottom"/>
            <w:tcBorders>
              <w:bottom w:val="single" w:sz="8" w:color="auto"/>
              <w:right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6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Tony Allen</w:t>
            </w:r>
          </w:p>
        </w:tc>
        <w:tc>
          <w:tcPr>
            <w:tcW w:w="126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20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Danielle Conley</w:t>
            </w:r>
          </w:p>
        </w:tc>
        <w:tc>
          <w:tcPr>
            <w:tcW w:w="126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20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Christopher C. Davis</w:t>
            </w:r>
          </w:p>
        </w:tc>
        <w:tc>
          <w:tcPr>
            <w:tcW w:w="126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20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Thomas S. Gayner</w:t>
            </w:r>
          </w:p>
        </w:tc>
        <w:tc>
          <w:tcPr>
            <w:tcW w:w="126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20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Anne M. Mulcahy</w:t>
            </w:r>
          </w:p>
        </w:tc>
        <w:tc>
          <w:tcPr>
            <w:tcW w:w="126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20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 Richard Wagoner, Jr.</w:t>
            </w:r>
          </w:p>
        </w:tc>
        <w:tc>
          <w:tcPr>
            <w:tcW w:w="126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20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4,000</w:t>
            </w:r>
            <w:r>
              <w:rPr>
                <w:rFonts w:ascii="Times New Roman" w:cs="Times New Roman" w:eastAsia="Times New Roman" w:hAnsi="Times New Roman"/>
                <w:sz w:val="10"/>
                <w:szCs w:val="10"/>
                <w:color w:val="auto"/>
              </w:rPr>
              <w:t>(2)</w:t>
            </w:r>
          </w:p>
        </w:tc>
        <w:tc>
          <w:tcPr>
            <w:tcW w:w="86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204,000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Katharine Weymouth</w:t>
            </w:r>
          </w:p>
        </w:tc>
        <w:tc>
          <w:tcPr>
            <w:tcW w:w="126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20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4" w:right="200" w:hanging="424"/>
        <w:spacing w:after="0" w:line="227" w:lineRule="auto"/>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Director Share Purchase Program, Directors may elect to receive a portion of the quarterly fees received for service as a director in stock in lieu of cash. The number of shares of common stock awarded in 2023 to each of the Directors under the Director Share Purchase Program in respect of each calendar quarter are as follows (with grant date fair values, determined in accordance with FASB ASC Topic 718, of $609, $593, $572, and $582, respectively): Dr. Allen, 15, 15, 15 and 15; Ms. Conley 36, 37, 39, and 38 shares; Mr. Davis, 45, 46, 48, and 47 shares; Ms. Mulcahy, 41, 42, 43, and 42 shares; and Mr. Wagoner 41, 42, 43 and 42 shares.</w:t>
      </w:r>
    </w:p>
    <w:p>
      <w:pPr>
        <w:ind w:left="424" w:hanging="424"/>
        <w:spacing w:after="0"/>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Charitable contribution made pursuant to the Company’s matching gift program.</w:t>
      </w:r>
    </w:p>
    <w:p>
      <w:pPr>
        <w:spacing w:after="0" w:line="192"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has a voluntary Deferred Compensation Plan for Directors of the Company that was closed to new participants and new deferrals for existing participants as of December 2015. This plan provided an opportunity for participants to elect to defer the receipt of either all or a portion of the fees received for service as a Director. Deferred amounts earn investment credits in accordance with participant elections from a choice of investment funds (based on the funds available under the Company’s 401(k) plan), none of which provides above-market interest. Deferred amounts are payable upon separation from service or such other future date as specified by the participant at the time of election.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Danielle Conley, Christopher C. Davis, Thomas S. Gayner, Anne M. Mulcahy,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and the provision of, services in the ordinary course of business that were made on arm’s-length terms under circumstances and in amounts that did not affect the relevant Directors’ independence.</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Meetings of the Non-Management Directors</w:t>
      </w:r>
    </w:p>
    <w:p>
      <w:pPr>
        <w:spacing w:after="0" w:line="229"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one time in 2023 and expect to meet in executive session in 2024 as appropriate.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Anne M. Mulcahy (Chair), Tony Allen and Katharine Weymouth served as members of the Compensation Committee in 2023.</w:t>
      </w:r>
    </w:p>
    <w:p>
      <w:pPr>
        <w:spacing w:after="0" w:line="27" w:lineRule="exact"/>
        <w:rPr>
          <w:sz w:val="20"/>
          <w:szCs w:val="20"/>
          <w:color w:val="auto"/>
        </w:rPr>
      </w:pPr>
    </w:p>
    <w:p>
      <w:pPr>
        <w:ind w:left="4" w:right="140"/>
        <w:spacing w:after="0" w:line="255" w:lineRule="auto"/>
        <w:rPr>
          <w:sz w:val="20"/>
          <w:szCs w:val="20"/>
          <w:color w:val="auto"/>
        </w:rPr>
      </w:pPr>
      <w:r>
        <w:rPr>
          <w:rFonts w:ascii="Times New Roman" w:cs="Times New Roman" w:eastAsia="Times New Roman" w:hAnsi="Times New Roman"/>
          <w:sz w:val="18"/>
          <w:szCs w:val="18"/>
          <w:color w:val="auto"/>
        </w:rPr>
        <w:t>Mrs. Mulcahy and Dr. Allen have never been employees of the 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97"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Board Leadership Structure and Role in Risk Oversight</w:t>
      </w:r>
    </w:p>
    <w:p>
      <w:pPr>
        <w:spacing w:after="0" w:line="121"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While as a “controlled company,” the Company is not legally required to have a majority of independent Directors, the majority of the Board, in fact, comprises independent Directors and the Chair of the Board, Anne Mulcahy, is an independent director. The Board also appoints a Lead Independent Director and Christopher C. Davis serves in this capacity. The Lead Independent Director typically chairs the executive sessions of Board meetings and consults with Mr. O’Shaughnessy and senior management regarding issues to be included in Board meeting agendas. The Lead Independent Director is also expected to collaborate with Mr. O’Shaughnessy in reviewing key operational and other matters and to act as a liaison between Mr. O’Shaughnessy and the independent Directors. The Board believes its current leadership structure, in which the roles of Chair and CEO are separated and the Board appoints a Lead Independent Director, best serves the Board’s ability to provide oversight of management and corporate governance matters.</w:t>
      </w:r>
    </w:p>
    <w:p>
      <w:pPr>
        <w:spacing w:after="0" w:line="19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The Board as a whole actively considers strategic decisions proposed by management, including matters affecting the business strategy and competitive and financial positions of the Company, monitors the Company’s risk profile, and reviews and discusses significant risks affecting the Company’s businesses, including matters escalated by its committees.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 The Audit Committee reviews and assesses significant risk events, emerging risks and drivers of risks; reviews risk control issues and reports identified by the internal audit, Sarbanes-Oxley compliance, and information security and privacy groups; oversees privacy programs and cybersecurity programs including threats, defenses, response capabilities and company-wide metrics relating to information security controls; oversees the Code of Business Conduct; addresses material conflicts of interests; and provides escalation of risks to the full Board. 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Kaplan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Directors</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Interested parties may communicate concerns to the Lead Independent Director or to the other Directors of the Company through NAVEX Global, the Company’s third-party-managed hotline, via telephone at 1-866-687-8972 or online at ghco.ethicspoint.com.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HOLDINGS OF CERTAIN BENEFICIAL OWNERS AND MANAGEMENT</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information in the following two tables relates to each person who, on February 1, 2024,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 The number of shares and the percentages of beneficial ownership set forth below are calculated as of February 1, 2024, unless otherwise noted, based on 964,001 shares of Class A Stock outstanding and 3,500,380 shares of Class B Stock outstanding.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3" w:right="459" w:bottom="1440" w:gutter="0" w:footer="0" w:header="0"/>
        </w:sectPr>
      </w:pPr>
    </w:p>
    <w:bookmarkStart w:id="14" w:name="page15"/>
    <w:bookmarkEnd w:id="14"/>
    <w:p>
      <w:pPr>
        <w:jc w:val="center"/>
        <w:ind w:right="-4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Principal Holders of Stock</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8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Class A Stock</w:t>
            </w:r>
          </w:p>
        </w:tc>
        <w:tc>
          <w:tcPr>
            <w:tcW w:w="132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113"/>
        </w:trPr>
        <w:tc>
          <w:tcPr>
            <w:tcW w:w="82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Donald E. Graham</w:t>
            </w:r>
            <w:r>
              <w:rPr>
                <w:rFonts w:ascii="Times New Roman" w:cs="Times New Roman" w:eastAsia="Times New Roman" w:hAnsi="Times New Roman"/>
                <w:sz w:val="9"/>
                <w:szCs w:val="9"/>
                <w:color w:val="auto"/>
              </w:rPr>
              <w:t>(a)</w:t>
            </w:r>
          </w:p>
        </w:tc>
        <w:tc>
          <w:tcPr>
            <w:tcW w:w="1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546,311 (56.7%)</w:t>
            </w:r>
          </w:p>
        </w:tc>
        <w:tc>
          <w:tcPr>
            <w:tcW w:w="260" w:type="dxa"/>
            <w:vAlign w:val="bottom"/>
            <w:tcBorders>
              <w:top w:val="single" w:sz="8" w:color="CCEEFF"/>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561,102 (13.9%)*</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0"/>
                <w:szCs w:val="10"/>
                <w:color w:val="auto"/>
              </w:rPr>
              <w:t>(b)</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51,326 (5.3%)</w:t>
            </w:r>
          </w:p>
        </w:tc>
        <w:tc>
          <w:tcPr>
            <w:tcW w:w="26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212,295 (5.8%)*</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Elizabeth G. Weymouth</w:t>
            </w:r>
            <w:r>
              <w:rPr>
                <w:rFonts w:ascii="Times New Roman" w:cs="Times New Roman" w:eastAsia="Times New Roman" w:hAnsi="Times New Roman"/>
                <w:sz w:val="10"/>
                <w:szCs w:val="10"/>
                <w:color w:val="auto"/>
              </w:rPr>
              <w:t>(c)</w:t>
            </w:r>
          </w:p>
        </w:tc>
        <w:tc>
          <w:tcPr>
            <w:tcW w:w="1180" w:type="dxa"/>
            <w:vAlign w:val="bottom"/>
            <w:gridSpan w:val="2"/>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237,625 (24.6%)</w:t>
            </w: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284,263 (7.6%)*</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Daniel L. Mosley</w:t>
            </w:r>
            <w:r>
              <w:rPr>
                <w:rFonts w:ascii="Times New Roman" w:cs="Times New Roman" w:eastAsia="Times New Roman" w:hAnsi="Times New Roman"/>
                <w:sz w:val="10"/>
                <w:szCs w:val="10"/>
                <w:color w:val="auto"/>
              </w:rPr>
              <w:t>(d)</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950,501 (98.6%)</w:t>
            </w:r>
          </w:p>
        </w:tc>
        <w:tc>
          <w:tcPr>
            <w:tcW w:w="26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1,006,270 (22.6%)*</w:t>
            </w:r>
          </w:p>
        </w:tc>
        <w:tc>
          <w:tcPr>
            <w:tcW w:w="0" w:type="dxa"/>
            <w:vAlign w:val="bottom"/>
          </w:tcPr>
          <w:p>
            <w:pPr>
              <w:spacing w:after="0"/>
              <w:rPr>
                <w:sz w:val="1"/>
                <w:szCs w:val="1"/>
                <w:color w:val="auto"/>
              </w:rPr>
            </w:pPr>
          </w:p>
        </w:tc>
      </w:tr>
      <w:tr>
        <w:trPr>
          <w:trHeight w:val="149"/>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825 Eighth Avenue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New York, NY</w:t>
            </w:r>
          </w:p>
        </w:tc>
        <w:tc>
          <w:tcPr>
            <w:tcW w:w="11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197,205 (20.5%)</w:t>
            </w:r>
          </w:p>
        </w:tc>
        <w:tc>
          <w:tcPr>
            <w:tcW w:w="2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201,304 (5.4%)</w:t>
            </w:r>
          </w:p>
        </w:tc>
        <w:tc>
          <w:tcPr>
            <w:tcW w:w="0" w:type="dxa"/>
            <w:vAlign w:val="bottom"/>
          </w:tcPr>
          <w:p>
            <w:pPr>
              <w:spacing w:after="0"/>
              <w:rPr>
                <w:sz w:val="1"/>
                <w:szCs w:val="1"/>
                <w:color w:val="auto"/>
              </w:rPr>
            </w:pPr>
          </w:p>
        </w:tc>
      </w:tr>
      <w:tr>
        <w:trPr>
          <w:trHeight w:val="148"/>
        </w:trPr>
        <w:tc>
          <w:tcPr>
            <w:tcW w:w="8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Laura G. O’Shaughnessy</w:t>
            </w:r>
            <w:r>
              <w:rPr>
                <w:rFonts w:ascii="Times New Roman" w:cs="Times New Roman" w:eastAsia="Times New Roman" w:hAnsi="Times New Roman"/>
                <w:sz w:val="10"/>
                <w:szCs w:val="10"/>
                <w:color w:val="auto"/>
              </w:rPr>
              <w:t>(e)</w:t>
            </w: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1300 North 17th Street, Suite 1700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10"/>
                <w:szCs w:val="10"/>
                <w:color w:val="auto"/>
              </w:rPr>
              <w:t>(f)</w:t>
            </w:r>
          </w:p>
        </w:tc>
        <w:tc>
          <w:tcPr>
            <w:tcW w:w="1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463,100 (13.2%)</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55 East 52nd Street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10"/>
                <w:szCs w:val="10"/>
                <w:color w:val="auto"/>
              </w:rPr>
              <w:t>(g)</w:t>
            </w:r>
          </w:p>
        </w:tc>
        <w:tc>
          <w:tcPr>
            <w:tcW w:w="100" w:type="dxa"/>
            <w:vAlign w:val="bottom"/>
          </w:tcPr>
          <w:p>
            <w:pPr>
              <w:spacing w:after="0"/>
              <w:rPr>
                <w:sz w:val="10"/>
                <w:szCs w:val="10"/>
                <w:color w:val="auto"/>
              </w:rPr>
            </w:pPr>
          </w:p>
        </w:tc>
        <w:tc>
          <w:tcPr>
            <w:tcW w:w="13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350,606 (10.0%)</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100 Vanguard Boulevard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Malvern, PA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Dimensional Fund Advisors LP</w:t>
            </w:r>
            <w:r>
              <w:rPr>
                <w:rFonts w:ascii="Times New Roman" w:cs="Times New Roman" w:eastAsia="Times New Roman" w:hAnsi="Times New Roman"/>
                <w:sz w:val="10"/>
                <w:szCs w:val="10"/>
                <w:color w:val="auto"/>
              </w:rPr>
              <w:t>(h)</w:t>
            </w:r>
          </w:p>
        </w:tc>
        <w:tc>
          <w:tcPr>
            <w:tcW w:w="1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293,906 (8.4%)</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6300 Bee Cave Road, Building One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Austin, TX</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4"/>
          <w:szCs w:val="14"/>
          <w:color w:val="auto"/>
        </w:rPr>
        <w:t>*   The calculations set forth in this table relating to percentage ownership of Class B Stock for Messrs. Graham, O’Shaughnessy, Mosley and Mrs. Weymouth include shares of Class B Stock issuable upon conversion of shares of Class A Common Stock.</w:t>
      </w:r>
    </w:p>
    <w:p>
      <w:pPr>
        <w:spacing w:after="0" w:line="14" w:lineRule="exact"/>
        <w:rPr>
          <w:sz w:val="20"/>
          <w:szCs w:val="20"/>
          <w:color w:val="auto"/>
        </w:rPr>
      </w:pPr>
    </w:p>
    <w:p>
      <w:pPr>
        <w:ind w:left="424" w:right="140" w:hanging="424"/>
        <w:spacing w:after="0" w:line="233" w:lineRule="auto"/>
        <w:tabs>
          <w:tab w:leader="none" w:pos="4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2024, and available to the Company, Mr. Donald Graham has voting and investment power with respect to shares of Class A Stock as follows: sole voting and investment power, 333,481 (34.6%) shares, which includes 150,469 shares in a trust that Mr. Donald Graham has the power to amend or revoke and 183,012 shares in certain trusts for which Mr. Donald Graham is a co-trustee and can exercise a casting vote; sole voting and shared investment power, 116,830 (12.1%) shares; and shared voting and investment power, 96,000 (10.0%) shares, each of which excludes the previously referenced 183,012 shares, in certain trusts for which Mr. Donald Graham is a co-trustee and can exercise a casting vote.</w:t>
      </w:r>
    </w:p>
    <w:p>
      <w:pPr>
        <w:spacing w:after="0" w:line="29" w:lineRule="exact"/>
        <w:rPr>
          <w:sz w:val="20"/>
          <w:szCs w:val="20"/>
          <w:color w:val="auto"/>
        </w:rPr>
      </w:pPr>
    </w:p>
    <w:p>
      <w:pPr>
        <w:ind w:left="424" w:right="100" w:hanging="424"/>
        <w:spacing w:after="0" w:line="233" w:lineRule="auto"/>
        <w:tabs>
          <w:tab w:leader="none" w:pos="4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546,311 (13.5%) shares issuable upon conversion of shares of Class A Stock deemed to be beneficially owned by Mr. Graham. Includes 60 shares held by Mr. Graham’s spouse.</w:t>
      </w:r>
    </w:p>
    <w:p>
      <w:pPr>
        <w:spacing w:after="0" w:line="29" w:lineRule="exact"/>
        <w:rPr>
          <w:sz w:val="20"/>
          <w:szCs w:val="20"/>
          <w:color w:val="auto"/>
        </w:rPr>
      </w:pPr>
    </w:p>
    <w:p>
      <w:pPr>
        <w:ind w:left="424" w:right="40" w:hanging="424"/>
        <w:spacing w:after="0" w:line="236"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Stock includes 2,700 shares held by Mr. O’Shaughnessy’s spouse and 48,626 shares held in a trust for Mr. O’Shaughnessy’s spouse. Class B Stock includes 4,099 shares held by Mr. O’Shaughnessy’s spouse and 5,600 shares held in trusts for the benefit of Mr. O’Shaughnessy’s spouse and children. He is a trustee but not a beneficiary of such trusts and disclaims beneficial ownership. Class B stock includes 132,415 shares Mr. O’Shaughnessy has the right to purchase, pursuant to stock options, and 51,326 (1.4%) shares issuable upon conversion of shares of Class A Stock deemed to be beneficially owned by Mr. O’Shaughnessy.</w:t>
      </w:r>
    </w:p>
    <w:p>
      <w:pPr>
        <w:spacing w:after="0" w:line="28" w:lineRule="exact"/>
        <w:rPr>
          <w:rFonts w:ascii="Times New Roman" w:cs="Times New Roman" w:eastAsia="Times New Roman" w:hAnsi="Times New Roman"/>
          <w:sz w:val="14"/>
          <w:szCs w:val="14"/>
          <w:color w:val="auto"/>
        </w:rPr>
      </w:pPr>
    </w:p>
    <w:p>
      <w:pPr>
        <w:ind w:left="424" w:right="60" w:hanging="424"/>
        <w:spacing w:after="0" w:line="233"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2024,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may be deemed to be the beneficial owner of 69,625 (7.2%) shares of Class A Stock. In addition, Mrs. Elizabeth Weymouth has shared voting and investment power with respect to 43,363 (1.2%) shares of Class B stock. In addition, Mrs. Weymouth, as the beneficiary of a trust (even though she has no voting or investment power with respect thereto), is deemed to be the beneficial owner of 3,275 (less than 1%) shares of Class B Stock.</w:t>
      </w:r>
    </w:p>
    <w:p>
      <w:pPr>
        <w:spacing w:after="0" w:line="28" w:lineRule="exact"/>
        <w:rPr>
          <w:rFonts w:ascii="Times New Roman" w:cs="Times New Roman" w:eastAsia="Times New Roman" w:hAnsi="Times New Roman"/>
          <w:sz w:val="14"/>
          <w:szCs w:val="14"/>
          <w:color w:val="auto"/>
        </w:rPr>
      </w:pPr>
    </w:p>
    <w:p>
      <w:pPr>
        <w:ind w:left="424" w:right="40" w:hanging="424"/>
        <w:spacing w:after="0" w:line="227"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2024, and available to the Company, Mr. Daniel Mosley, as a trustee of various trusts, has voting and investment power with respect to shares of Class A Stock as follows: sole voting and investment power, 26,250 (2.7%) shares; shared voting and sole investment power, 194,505 (20.2%) shares; shared voting and investment power, 516,916 (53.6%) shares, which includes 150,469 shares in a trust for which Mr. Daniel Mosley is a co-trustee with Mr. Donald Graham and Mr. Donald Graham has the power to amend or revoke and 183,012 shares in certain trusts for which Mr. Daniel Mosley is a co-trustee with Mr. Donald Graham and Mr. Donald Graham can exercise a casting vote; and sole voting and shared investment power, 212,830 (22.1%) shares. In addition, Mr. Mosley has voting and investment power, with respect to shares of Class B Stock as follows: shared voting and investment power, 55,769 (1.3%)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(21.4%) shares issuable upon conversion of shares of Class A Stock deemed to be beneficially owned by Mr. Mosley as a Trustee of various trusts.</w:t>
      </w:r>
    </w:p>
    <w:p>
      <w:pPr>
        <w:spacing w:after="0" w:line="33" w:lineRule="exact"/>
        <w:rPr>
          <w:rFonts w:ascii="Times New Roman" w:cs="Times New Roman" w:eastAsia="Times New Roman" w:hAnsi="Times New Roman"/>
          <w:sz w:val="14"/>
          <w:szCs w:val="14"/>
          <w:color w:val="auto"/>
        </w:rPr>
      </w:pPr>
    </w:p>
    <w:p>
      <w:pPr>
        <w:ind w:left="424" w:right="140" w:hanging="424"/>
        <w:spacing w:after="0" w:line="233"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2024, and available to the Company, Mrs. O’Shaughnessy has voting and investment power with respect to shares of Class A Stock as follows: shared voting power and investment power, 2,700 (less than 1%) shares; shared voting power, 145,879 (15.13%) shares held in trust for siblings of Mrs. O’Shaughnessy for which Mrs. O’Shaughnessy has voting control by virtue of a revocable voting proxy granted by Mr. Daniel Mosley, trustee; and shared voting power, 48,626 shares held in trust for Mrs. O’Shaughnessy for which Mrs. O’Shaughnessy has voting control by virtue of a revocable proxy granted by Mr. Daniel Mosley, as trustee. Mrs. O’Shaughnessy also has voting and investment power with respect to</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93" w:right="439" w:bottom="1440" w:gutter="0" w:footer="0" w:header="0"/>
        </w:sectPr>
      </w:pPr>
    </w:p>
    <w:bookmarkStart w:id="15" w:name="page16"/>
    <w:bookmarkEnd w:id="15"/>
    <w:p>
      <w:pPr>
        <w:ind w:left="424" w:right="160"/>
        <w:spacing w:after="0" w:line="24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shares of Class B Stock as follows: shared voting and investment power, 4,099 (less than 1%) shares. In addition, Mrs. O’Shaughnessy, as beneficiary of a trust (even though she has no voting or investment power with respect thereto), may be deemed to be the beneficial owner of 5,600 (less than 1%) shares of Class B Stock. Mrs. O’Shaughnessy expressly disclaims beneficial ownership of such shares held in trust.</w:t>
      </w:r>
    </w:p>
    <w:p>
      <w:pPr>
        <w:spacing w:after="0" w:line="28" w:lineRule="exact"/>
        <w:rPr>
          <w:sz w:val="20"/>
          <w:szCs w:val="20"/>
          <w:color w:val="auto"/>
        </w:rPr>
      </w:pPr>
    </w:p>
    <w:p>
      <w:pPr>
        <w:ind w:left="424" w:right="200" w:hanging="424"/>
        <w:spacing w:after="0" w:line="26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13G/A filed on January 23, 2024, BlackRock, Inc. (“BlackRock”), a parent holding company or control person, was deemed to be the beneficial owner of 463,100 (13.2%) shares of Class B Stock. According to the Schedule 13G/A, BlackRock has sole voting power over 454,860 shares and sole dispositive power over 463,100 shares.</w:t>
      </w:r>
    </w:p>
    <w:p>
      <w:pPr>
        <w:spacing w:after="0" w:line="14" w:lineRule="exact"/>
        <w:rPr>
          <w:rFonts w:ascii="Times New Roman" w:cs="Times New Roman" w:eastAsia="Times New Roman" w:hAnsi="Times New Roman"/>
          <w:sz w:val="14"/>
          <w:szCs w:val="14"/>
          <w:color w:val="auto"/>
        </w:rPr>
      </w:pPr>
    </w:p>
    <w:p>
      <w:pPr>
        <w:ind w:left="424" w:right="340" w:hanging="424"/>
        <w:spacing w:after="0" w:line="24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13G/A filed on February 13, 2024, The Vanguard Group (“Vanguard”), an investment adviser, was deemed to be the beneficial owner of 350,606 (10%) shares of Class B Stock. According to the Schedule 13G/A, Vanguard has sole voting power over no shares, shared voting power over 3,551 shares, shared dispositive power over 7,375 shares, and sole dispositive power over 343,23161,803 shares.</w:t>
      </w:r>
    </w:p>
    <w:p>
      <w:pPr>
        <w:spacing w:after="0" w:line="28" w:lineRule="exact"/>
        <w:rPr>
          <w:rFonts w:ascii="Times New Roman" w:cs="Times New Roman" w:eastAsia="Times New Roman" w:hAnsi="Times New Roman"/>
          <w:sz w:val="14"/>
          <w:szCs w:val="14"/>
          <w:color w:val="auto"/>
        </w:rPr>
      </w:pPr>
    </w:p>
    <w:p>
      <w:pPr>
        <w:jc w:val="both"/>
        <w:ind w:left="424" w:right="240" w:hanging="424"/>
        <w:spacing w:after="0" w:line="24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13G/A filed on February 9, 2024, Dimensional Fund Advisors LP (“Dimensional Fund”), an investment adviser, was deemed to be the beneficial owner of 293,906 (8.4%) shares of Class B Stock. According to the Schedule 13G/A, Dimensional Fund has sole voting power over 289,884 shares and sole dispositive power over 293,906 shares.</w:t>
      </w:r>
    </w:p>
    <w:p>
      <w:pPr>
        <w:spacing w:after="0" w:line="18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table below, which is based on information furnished to the Company by its Directors and officers, shows as of February 1, 2024,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Holdings of Directors and Officers*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52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10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r>
              <w:rPr>
                <w:rFonts w:ascii="Times New Roman" w:cs="Times New Roman" w:eastAsia="Times New Roman" w:hAnsi="Times New Roman"/>
                <w:sz w:val="10"/>
                <w:szCs w:val="10"/>
                <w:b w:val="1"/>
                <w:bCs w:val="1"/>
                <w:color w:val="auto"/>
              </w:rPr>
              <w:t>(a)</w:t>
            </w:r>
          </w:p>
        </w:tc>
        <w:tc>
          <w:tcPr>
            <w:tcW w:w="520" w:type="dxa"/>
            <w:vAlign w:val="bottom"/>
          </w:tcPr>
          <w:p>
            <w:pPr>
              <w:spacing w:after="0"/>
              <w:rPr>
                <w:sz w:val="12"/>
                <w:szCs w:val="12"/>
                <w:color w:val="auto"/>
              </w:rPr>
            </w:pPr>
          </w:p>
        </w:tc>
      </w:tr>
      <w:tr>
        <w:trPr>
          <w:trHeight w:val="142"/>
        </w:trPr>
        <w:tc>
          <w:tcPr>
            <w:tcW w:w="7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Tony Allen^</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520" w:type="dxa"/>
            <w:vAlign w:val="bottom"/>
            <w:tcBorders>
              <w:top w:val="single" w:sz="8" w:color="CCEEFF"/>
            </w:tcBorders>
            <w:shd w:val="clear" w:color="auto" w:fill="CCEEFF"/>
          </w:tcPr>
          <w:p>
            <w:pPr>
              <w:jc w:val="right"/>
              <w:ind w:right="332"/>
              <w:spacing w:after="0" w:line="121" w:lineRule="exact"/>
              <w:rPr>
                <w:sz w:val="20"/>
                <w:szCs w:val="20"/>
                <w:color w:val="auto"/>
              </w:rPr>
            </w:pPr>
            <w:r>
              <w:rPr>
                <w:rFonts w:ascii="Times New Roman" w:cs="Times New Roman" w:eastAsia="Times New Roman" w:hAnsi="Times New Roman"/>
                <w:sz w:val="11"/>
                <w:szCs w:val="11"/>
                <w:color w:val="auto"/>
                <w:w w:val="77"/>
              </w:rPr>
              <w:t>(b)</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Danielle Conley^</w:t>
            </w:r>
          </w:p>
        </w:tc>
        <w:tc>
          <w:tcPr>
            <w:tcW w:w="10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2"/>
                <w:szCs w:val="12"/>
                <w:color w:val="auto"/>
              </w:rPr>
              <w:t>223</w:t>
            </w:r>
            <w:r>
              <w:rPr>
                <w:rFonts w:ascii="Times New Roman" w:cs="Times New Roman" w:eastAsia="Times New Roman" w:hAnsi="Times New Roman"/>
                <w:sz w:val="17"/>
                <w:szCs w:val="17"/>
                <w:color w:val="auto"/>
                <w:vertAlign w:val="superscript"/>
              </w:rPr>
              <w:t>(b)</w:t>
            </w:r>
          </w:p>
        </w:tc>
      </w:tr>
      <w:tr>
        <w:trPr>
          <w:trHeight w:val="148"/>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r>
              <w:rPr>
                <w:rFonts w:ascii="Times New Roman" w:cs="Times New Roman" w:eastAsia="Times New Roman" w:hAnsi="Times New Roman"/>
                <w:sz w:val="10"/>
                <w:szCs w:val="10"/>
                <w:color w:val="auto"/>
              </w:rPr>
              <w:t>+(c)</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5,316</w:t>
            </w:r>
            <w:r>
              <w:rPr>
                <w:rFonts w:ascii="Times New Roman" w:cs="Times New Roman" w:eastAsia="Times New Roman" w:hAnsi="Times New Roman"/>
                <w:sz w:val="10"/>
                <w:szCs w:val="10"/>
                <w:color w:val="auto"/>
              </w:rPr>
              <w:t>(b)</w:t>
            </w: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C. Davis^</w:t>
            </w:r>
          </w:p>
        </w:tc>
        <w:tc>
          <w:tcPr>
            <w:tcW w:w="10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5,322</w:t>
            </w:r>
            <w:r>
              <w:rPr>
                <w:rFonts w:ascii="Times New Roman" w:cs="Times New Roman" w:eastAsia="Times New Roman" w:hAnsi="Times New Roman"/>
                <w:sz w:val="10"/>
                <w:szCs w:val="10"/>
                <w:color w:val="auto"/>
              </w:rPr>
              <w:t>(b)</w:t>
            </w:r>
          </w:p>
        </w:tc>
      </w:tr>
      <w:tr>
        <w:trPr>
          <w:trHeight w:val="148"/>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S. Gayner^</w:t>
            </w:r>
            <w:r>
              <w:rPr>
                <w:rFonts w:ascii="Times New Roman" w:cs="Times New Roman" w:eastAsia="Times New Roman" w:hAnsi="Times New Roman"/>
                <w:sz w:val="10"/>
                <w:szCs w:val="10"/>
                <w:color w:val="auto"/>
              </w:rPr>
              <w:t>(d)</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5,800</w:t>
            </w:r>
            <w:r>
              <w:rPr>
                <w:rFonts w:ascii="Times New Roman" w:cs="Times New Roman" w:eastAsia="Times New Roman" w:hAnsi="Times New Roman"/>
                <w:sz w:val="10"/>
                <w:szCs w:val="10"/>
                <w:color w:val="auto"/>
              </w:rPr>
              <w:t>(b)</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10"/>
                <w:szCs w:val="10"/>
                <w:color w:val="auto"/>
              </w:rPr>
              <w:t>(e)</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546,311 (56.7%)</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561,102</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(13.9%)</w:t>
            </w:r>
          </w:p>
        </w:tc>
      </w:tr>
      <w:tr>
        <w:trPr>
          <w:trHeight w:val="148"/>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Jacob M. Maas</w:t>
            </w:r>
            <w:r>
              <w:rPr>
                <w:rFonts w:ascii="Times New Roman" w:cs="Times New Roman" w:eastAsia="Times New Roman" w:hAnsi="Times New Roman"/>
                <w:sz w:val="10"/>
                <w:szCs w:val="10"/>
                <w:color w:val="auto"/>
              </w:rPr>
              <w:t>+(f)</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4,552</w:t>
            </w:r>
            <w:r>
              <w:rPr>
                <w:rFonts w:ascii="Times New Roman" w:cs="Times New Roman" w:eastAsia="Times New Roman" w:hAnsi="Times New Roman"/>
                <w:sz w:val="10"/>
                <w:szCs w:val="10"/>
                <w:color w:val="auto"/>
              </w:rPr>
              <w:t>(b)</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Nicole M. Maddrey</w:t>
            </w:r>
            <w:r>
              <w:rPr>
                <w:rFonts w:ascii="Times New Roman" w:cs="Times New Roman" w:eastAsia="Times New Roman" w:hAnsi="Times New Roman"/>
                <w:sz w:val="10"/>
                <w:szCs w:val="10"/>
                <w:color w:val="auto"/>
              </w:rPr>
              <w:t>+</w:t>
            </w:r>
          </w:p>
        </w:tc>
        <w:tc>
          <w:tcPr>
            <w:tcW w:w="10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3,822</w:t>
            </w:r>
            <w:r>
              <w:rPr>
                <w:rFonts w:ascii="Times New Roman" w:cs="Times New Roman" w:eastAsia="Times New Roman" w:hAnsi="Times New Roman"/>
                <w:sz w:val="10"/>
                <w:szCs w:val="10"/>
                <w:color w:val="auto"/>
              </w:rPr>
              <w:t>(b)</w:t>
            </w:r>
          </w:p>
        </w:tc>
      </w:tr>
      <w:tr>
        <w:trPr>
          <w:trHeight w:val="149"/>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Anne M. Mulcahy^</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495</w:t>
            </w:r>
            <w:r>
              <w:rPr>
                <w:rFonts w:ascii="Times New Roman" w:cs="Times New Roman" w:eastAsia="Times New Roman" w:hAnsi="Times New Roman"/>
                <w:sz w:val="10"/>
                <w:szCs w:val="10"/>
                <w:color w:val="auto"/>
              </w:rPr>
              <w:t>(b)</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0"/>
                <w:szCs w:val="10"/>
                <w:color w:val="auto"/>
              </w:rPr>
              <w:t>+(g)</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51,326 (5.3%)</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212,295</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(5.8%)</w:t>
            </w:r>
          </w:p>
        </w:tc>
      </w:tr>
      <w:tr>
        <w:trPr>
          <w:trHeight w:val="148"/>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r>
              <w:rPr>
                <w:rFonts w:ascii="Times New Roman" w:cs="Times New Roman" w:eastAsia="Times New Roman" w:hAnsi="Times New Roman"/>
                <w:sz w:val="10"/>
                <w:szCs w:val="10"/>
                <w:color w:val="auto"/>
              </w:rPr>
              <w:t>+(h)</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40,429</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 Richard Wagoner, Jr.^</w:t>
            </w:r>
            <w:r>
              <w:rPr>
                <w:rFonts w:ascii="Times New Roman" w:cs="Times New Roman" w:eastAsia="Times New Roman" w:hAnsi="Times New Roman"/>
                <w:sz w:val="10"/>
                <w:szCs w:val="10"/>
                <w:color w:val="auto"/>
              </w:rPr>
              <w:t>(i)</w:t>
            </w:r>
          </w:p>
        </w:tc>
        <w:tc>
          <w:tcPr>
            <w:tcW w:w="10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1,291</w:t>
            </w:r>
            <w:r>
              <w:rPr>
                <w:rFonts w:ascii="Times New Roman" w:cs="Times New Roman" w:eastAsia="Times New Roman" w:hAnsi="Times New Roman"/>
                <w:sz w:val="10"/>
                <w:szCs w:val="10"/>
                <w:color w:val="auto"/>
              </w:rPr>
              <w:t>(b)</w:t>
            </w:r>
          </w:p>
        </w:tc>
      </w:tr>
      <w:tr>
        <w:trPr>
          <w:trHeight w:val="148"/>
        </w:trPr>
        <w:tc>
          <w:tcPr>
            <w:tcW w:w="7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Katharine Weymouth^</w:t>
            </w:r>
          </w:p>
        </w:tc>
        <w:tc>
          <w:tcPr>
            <w:tcW w:w="10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2,549</w:t>
            </w:r>
            <w:r>
              <w:rPr>
                <w:rFonts w:ascii="Times New Roman" w:cs="Times New Roman" w:eastAsia="Times New Roman" w:hAnsi="Times New Roman"/>
                <w:sz w:val="10"/>
                <w:szCs w:val="10"/>
                <w:color w:val="auto"/>
              </w:rPr>
              <w:t>(b)</w:t>
            </w:r>
          </w:p>
        </w:tc>
      </w:tr>
      <w:tr>
        <w:trPr>
          <w:trHeight w:val="18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 eliminating duplications (15 individuals)</w:t>
            </w:r>
            <w:r>
              <w:rPr>
                <w:rFonts w:ascii="Times New Roman" w:cs="Times New Roman" w:eastAsia="Times New Roman" w:hAnsi="Times New Roman"/>
                <w:sz w:val="10"/>
                <w:szCs w:val="10"/>
                <w:color w:val="auto"/>
              </w:rPr>
              <w:t>(j)</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597,637 (62.0%)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844,809</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Unless otherwise indicated, the Directors and officers listed have sole voting and investment power with respect to such securities. None of the securities has been pledged as security.</w:t>
      </w:r>
    </w:p>
    <w:p>
      <w:pPr>
        <w:spacing w:after="0" w:line="109" w:lineRule="exact"/>
        <w:rPr>
          <w:sz w:val="20"/>
          <w:szCs w:val="20"/>
          <w:color w:val="auto"/>
        </w:rPr>
      </w:pPr>
    </w:p>
    <w:p>
      <w:pPr>
        <w:ind w:left="324" w:hanging="324"/>
        <w:spacing w:after="0"/>
        <w:tabs>
          <w:tab w:leader="none" w:pos="3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w:t>
      </w:r>
    </w:p>
    <w:p>
      <w:pPr>
        <w:spacing w:after="0" w:line="55" w:lineRule="exact"/>
        <w:rPr>
          <w:sz w:val="20"/>
          <w:szCs w:val="20"/>
          <w:color w:val="auto"/>
        </w:rPr>
      </w:pPr>
    </w:p>
    <w:p>
      <w:pPr>
        <w:ind w:left="324" w:hanging="324"/>
        <w:spacing w:after="0"/>
        <w:tabs>
          <w:tab w:leader="none" w:pos="3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w:t>
      </w:r>
    </w:p>
    <w:p>
      <w:pPr>
        <w:spacing w:after="0" w:line="55" w:lineRule="exact"/>
        <w:rPr>
          <w:sz w:val="20"/>
          <w:szCs w:val="20"/>
          <w:color w:val="auto"/>
        </w:rPr>
      </w:pPr>
    </w:p>
    <w:p>
      <w:pPr>
        <w:ind w:left="324" w:right="600" w:hanging="324"/>
        <w:spacing w:after="0" w:line="261" w:lineRule="auto"/>
        <w:tabs>
          <w:tab w:leader="none" w:pos="3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set forth in this table relating to percentage ownership of Class B stock for Messrs. Graham and O’Shaughnessy include shares of Class B Stock issuable upon conversion of shares of Class A Common Stock.</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 shares of Class B Stock that Mr. Cooney has the right to purchase, pursuant to stock options.</w:t>
      </w:r>
    </w:p>
    <w:p>
      <w:pPr>
        <w:spacing w:after="0" w:line="55" w:lineRule="exact"/>
        <w:rPr>
          <w:rFonts w:ascii="Times New Roman" w:cs="Times New Roman" w:eastAsia="Times New Roman" w:hAnsi="Times New Roman"/>
          <w:sz w:val="14"/>
          <w:szCs w:val="14"/>
          <w:color w:val="auto"/>
        </w:rPr>
      </w:pPr>
    </w:p>
    <w:p>
      <w:pPr>
        <w:ind w:left="324" w:right="40" w:hanging="324"/>
        <w:spacing w:after="0" w:line="261" w:lineRule="auto"/>
        <w:tabs>
          <w:tab w:leader="none" w:pos="3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5,200 shares of Class B Stock held for the account of a number of beneficial owners in which Mr. Gayner disclaims beneficial ownership. (e) See Table of “Principal Holders of Stock” on page 14.</w:t>
      </w:r>
    </w:p>
    <w:p>
      <w:pPr>
        <w:spacing w:after="0" w:line="14" w:lineRule="exact"/>
        <w:rPr>
          <w:sz w:val="20"/>
          <w:szCs w:val="20"/>
          <w:color w:val="auto"/>
        </w:rPr>
      </w:pPr>
    </w:p>
    <w:p>
      <w:pPr>
        <w:ind w:left="324" w:right="120" w:hanging="324"/>
        <w:spacing w:after="0" w:line="236" w:lineRule="auto"/>
        <w:tabs>
          <w:tab w:leader="none" w:pos="3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 shares of Class B Stock that Mr. Maas has the right to purchase pursuant to stock options. Does not include 1,000 restricted stock units granted to Mr. Maas that are subject to a price-based vesting condition because the condition may not necessarily be satisfied within 60 days of February 1, 2024. In addition, following satisfaction of such price-based condition, Mr. Maas is eligible for vesting of additional restricted stock units with respect to Class B shares in 1,000 share increments if additional price-based vesting conditions are met on or before December 31, 2027, which are also not reflected in the table above because the price-based vesting condition was not achieved as of February 1, 2024.</w:t>
      </w:r>
    </w:p>
    <w:p>
      <w:pPr>
        <w:spacing w:after="0" w:line="28"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(b) to the Table of “Principal Holders of Stock” on page 14.</w:t>
      </w:r>
    </w:p>
    <w:p>
      <w:pPr>
        <w:spacing w:after="0" w:line="55" w:lineRule="exact"/>
        <w:rPr>
          <w:rFonts w:ascii="Times New Roman" w:cs="Times New Roman" w:eastAsia="Times New Roman" w:hAnsi="Times New Roman"/>
          <w:sz w:val="14"/>
          <w:szCs w:val="14"/>
          <w:color w:val="auto"/>
        </w:rPr>
      </w:pPr>
    </w:p>
    <w:p>
      <w:pPr>
        <w:ind w:left="324" w:right="340" w:hanging="324"/>
        <w:spacing w:after="0" w:line="261" w:lineRule="auto"/>
        <w:tabs>
          <w:tab w:leader="none" w:pos="3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 shares of Class B Common Stock held in a family trust. Mr. Rosen disclaims beneficial ownership of the securities held by the trust. In addition to the stock set forth above, Mr. Rosen holds 7,206 shares of Kaplan stock, which represents less than 1% of the total outstanding stock of Kaplan, Inc.</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held in a revocable trust.</w:t>
      </w:r>
    </w:p>
    <w:p>
      <w:pPr>
        <w:spacing w:after="0" w:line="55" w:lineRule="exact"/>
        <w:rPr>
          <w:rFonts w:ascii="Times New Roman" w:cs="Times New Roman" w:eastAsia="Times New Roman" w:hAnsi="Times New Roman"/>
          <w:sz w:val="14"/>
          <w:szCs w:val="14"/>
          <w:color w:val="auto"/>
        </w:rPr>
      </w:pPr>
    </w:p>
    <w:p>
      <w:pPr>
        <w:ind w:left="324" w:right="20" w:hanging="324"/>
        <w:spacing w:after="0" w:line="261" w:lineRule="auto"/>
        <w:tabs>
          <w:tab w:leader="none" w:pos="3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136,415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3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9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Delinquent Section 16(a) Reports</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2023 were made in a timely manner.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ADVISORY VOTE TO APPROVE 2023 COMPENSATION AWARDED TO NAMED EXECUTIVE OFFICERS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2023. On May 4, 2023,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awarded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90"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awarded to the Company’s named executive officers for 2023,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1"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CLASS A SHAREHOLDERS VOTE “FOR” THE APPROVAL OF THE FOREGOING RESOLUTION.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Compensation Discussion and Analysis</w:t>
      </w:r>
    </w:p>
    <w:p>
      <w:pPr>
        <w:spacing w:after="0" w:line="22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executive compensation principles and programs, with a focus on the decisions of the Compensation Committee of the Board (the “Committee”) regarding 2023 compensation for the Company’s named executive officers. The named executive officers for 2023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Timothy J. O’Shaughnessy</w:t>
            </w:r>
          </w:p>
        </w:tc>
        <w:tc>
          <w:tcPr>
            <w:tcW w:w="560" w:type="dxa"/>
            <w:vAlign w:val="bottom"/>
            <w:vMerge w:val="continue"/>
          </w:tcPr>
          <w:p>
            <w:pPr>
              <w:spacing w:after="0"/>
              <w:rPr>
                <w:sz w:val="16"/>
                <w:szCs w:val="16"/>
                <w:color w:val="auto"/>
              </w:rPr>
            </w:pPr>
          </w:p>
        </w:tc>
        <w:tc>
          <w:tcPr>
            <w:tcW w:w="5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Wallace R. Cooney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 Maas</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 Rosen</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Chairman–Kaplan, Inc. and Executive Vice President–Graham Holdings Company</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M. Maddrey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chaired by Anne M. Mulcahy and including Tony Allen and Katharine Weymouth, seeks to establish total compensation packages that are attractive to employees and based on performance goals established to increase value for shareholders by facilitating the long-term growth of the Company. The Committee considers both the Company’s short-term and long-term plans in determining compensation in order to motivate and reward management for achieving specific yearly goals and cumulative long-term goals, both of which are expected to enhance the long-term value of the Company. The Company has historically favored cash compensation over non-cash compensation, as the Committee believes that cash incentives provide more targeted rewards for specific performance, however, the Committee will select the method of compensation thought most likely to lead to achievement of the particular goal.</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named executive officers receive an annual salary and participate in performance-based annual bonus plans and three- or four-year cash-based Long-Term Incentive Plans (“LTIPs”)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 and Responsibility</w:t>
      </w:r>
    </w:p>
    <w:p>
      <w:pPr>
        <w:spacing w:after="0" w:line="22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Board has delegated to the Committee the responsibility of overseeing the administration of the Company’s compensation plans and the preparation of all related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and evaluates performance in light of these goals and objectives. The Committee also approves any incentive-based compensation plans under which the senior executives of the Company, including the named executive officers are compensated.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 annually (i) the President and Chief Executive Officer’s recommendations as to a successor, should he become disabled or unable to perform his duties for an extended period of time, (ii) a dashboard outlining leadership talent assessments and succession planning for each of the businesses, and (iii) the Company’s efforts to develop management. The Committee also reviews Diversity, Equity and Inclusion initiatives across the Company.</w:t>
      </w:r>
    </w:p>
    <w:p>
      <w:pPr>
        <w:spacing w:after="0" w:line="194"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the authority to retain or terminate any compensation consultant used to assist in the evaluation of Director, President and Chief Executive Officer or senior management compensation and has sole authority to approve the consultant’s fees and other retention terms. The Committee also has the authority to obtain advice and assistance from internal or external legal, accounting or other advisers. In 2023 the Committee engaged external consulting firm Semler Brossy to assist with compensation benchmarking for the President and Chief Executive Officer as well as several other senior leaders. The Committee reviews on a regular basis the performance, independence and potential conflicts of interest of its compensation consultant, and no issues with Semler Brossy were identified in the most recent such review.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3"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Role of Executive Officers in Compensation Decisions</w:t>
      </w:r>
    </w:p>
    <w:p>
      <w:pPr>
        <w:spacing w:after="0" w:line="229"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Mr. O’Shaughnessy, President and Chief Executive Officer, and Ms. Sandra Stonesifer, the Vice President–Chief Human Resources Officer and secretary of the Committee, attended all six Committee meetings in 2023.</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Mr. O’Shaughnessy and Ms. Stonesifer recommend to the Committee the size of each component of compensation for each of the executive officers (other than their own) and for all employees earning more than $750,000 in target annual cash compensation, inclusive of both annual base salary and bonus targets.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recommended compensation to better reflect the goals of the Company. The Committee makes all compensation decisions for the executive officers of the Company and relevant employees, except with respect to any perquisites under $200,000 per named executive officer that may be approved by Mr. O’Shaughnessy (other than for himself).</w:t>
      </w:r>
    </w:p>
    <w:p>
      <w:pPr>
        <w:spacing w:after="0" w:line="18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Mr. O’Shaughnessy and Ms. Stonesifer were not present during the portion of the Committee meetings when his or her compensation, as applicable, was discussed by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Company adopts a holistic view on executive compensation. The Company compares its named executive officer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In 2023, the Committee retained Semler Brossy to review the compensation package of Mr. O’Shaughnessy.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The Committee reviews the peer group on an annual basis, and for 2023 the peer group consisted of the following companies: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AdaptHealth Corp.</w:t>
            </w:r>
          </w:p>
        </w:tc>
        <w:tc>
          <w:tcPr>
            <w:tcW w:w="900" w:type="dxa"/>
            <w:vAlign w:val="bottom"/>
            <w:tcBorders>
              <w:top w:val="single" w:sz="8" w:color="auto"/>
              <w:bottom w:val="single" w:sz="8" w:color="auto"/>
            </w:tcBorders>
          </w:tcPr>
          <w:p>
            <w:pPr>
              <w:spacing w:after="0"/>
              <w:rPr>
                <w:sz w:val="19"/>
                <w:szCs w:val="19"/>
                <w:color w:val="auto"/>
              </w:rPr>
            </w:pPr>
          </w:p>
        </w:tc>
        <w:tc>
          <w:tcPr>
            <w:tcW w:w="4500" w:type="dxa"/>
            <w:vAlign w:val="bottom"/>
            <w:tcBorders>
              <w:top w:val="single" w:sz="8" w:color="auto"/>
              <w:bottom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Laureate Education, Inc.</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Adtalem Global Education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News Corporation</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AMC Networks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Nexstar Media Group, Inc.</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Scholastic Corporation</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E.W. Scripps Company</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Select Medical Holdings Corporation</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Franchise Group,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Sinclair Broadcast Group Inc.</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Gannett Company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Strategic Education Inc.</w:t>
            </w:r>
          </w:p>
        </w:tc>
      </w:tr>
      <w:tr>
        <w:trPr>
          <w:trHeight w:val="209"/>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Gray Television,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8"/>
              </w:rPr>
              <w:t>Tegna Inc.</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iHeartMedia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8"/>
              </w:rPr>
              <w:t>The New York Times Company</w:t>
            </w:r>
          </w:p>
        </w:tc>
      </w:tr>
      <w:tr>
        <w:trPr>
          <w:trHeight w:val="210"/>
        </w:trPr>
        <w:tc>
          <w:tcPr>
            <w:tcW w:w="56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John Wiley &amp; Sons, Inc.</w:t>
            </w:r>
          </w:p>
        </w:tc>
        <w:tc>
          <w:tcPr>
            <w:tcW w:w="9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spacing w:after="0"/>
              <w:rPr>
                <w:sz w:val="18"/>
                <w:szCs w:val="18"/>
                <w:color w:val="auto"/>
              </w:rPr>
            </w:pPr>
          </w:p>
        </w:tc>
      </w:tr>
      <w:tr>
        <w:trPr>
          <w:trHeight w:val="425"/>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Program, Recoupment and Hedging Policies</w:t>
            </w:r>
          </w:p>
        </w:tc>
        <w:tc>
          <w:tcPr>
            <w:tcW w:w="4500" w:type="dxa"/>
            <w:vAlign w:val="bottom"/>
          </w:tcPr>
          <w:p>
            <w:pPr>
              <w:spacing w:after="0"/>
              <w:rPr>
                <w:sz w:val="24"/>
                <w:szCs w:val="24"/>
                <w:color w:val="auto"/>
              </w:rPr>
            </w:pPr>
          </w:p>
        </w:tc>
      </w:tr>
    </w:tbl>
    <w:p>
      <w:pPr>
        <w:spacing w:after="0" w:line="198" w:lineRule="exact"/>
        <w:rPr>
          <w:sz w:val="20"/>
          <w:szCs w:val="20"/>
          <w:color w:val="auto"/>
        </w:rPr>
      </w:pPr>
    </w:p>
    <w:p>
      <w:pPr>
        <w:ind w:right="20" w:firstLine="991"/>
        <w:spacing w:after="0" w:line="270" w:lineRule="auto"/>
        <w:rPr>
          <w:sz w:val="20"/>
          <w:szCs w:val="20"/>
          <w:color w:val="auto"/>
        </w:rPr>
      </w:pPr>
      <w:r>
        <w:rPr>
          <w:rFonts w:ascii="Times New Roman" w:cs="Times New Roman" w:eastAsia="Times New Roman" w:hAnsi="Times New Roman"/>
          <w:sz w:val="17"/>
          <w:szCs w:val="17"/>
          <w:color w:val="auto"/>
        </w:rPr>
        <w:t>During 2023, the Committee met with Mr. O’Shaughnessy and Ms. Stonesifer to review and discuss the impact of executive compensation programs on organizational risk. The Committee determined that compensation programs have sufficient risk mitigation features in each of the plans and do not encourage or reward employees for taking excessive or unnecessary risk. The Committee believes that the Company’s compensation programs constitute an appropriate mix of short-and long-term incentive compensation that rewards employees while balancing risks through the delayed payment of long-term awards. As a result of the compensation risk review, the Committee determined that the overall risk of compensation programs exposing the organization to unnecessary or excessive risks that threaten the value of the Company is low. In addition, the Company’s insider trading policy, which prohibits directors and executive officers from engaging in hedging transactions with respect to the Company’s securities in order to hedge the economic risk of owning the Company’s securities, is intended to enhance the Company’s efforts at risk mitigation. The Company has a policy, administered by the Committee, that requires the recoupment or “clawback” from executive officers of incentive-based compensation that is based on the attainment of a financial reporting measure in the event of an accounting restatement in accordance with the requirement of the Dodd-Frank Act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3" w:right="439" w:bottom="1440" w:gutter="0" w:footer="0" w:header="0"/>
        </w:sectPr>
      </w:pPr>
    </w:p>
    <w:bookmarkStart w:id="19" w:name="page20"/>
    <w:bookmarkEnd w:id="19"/>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NYSE listing requirements (the “clawback rules”). In 2023, the Company corrected an error related to certain balance sheet accounts as of December 31, 2022. As a result, the Company analyzed the impact of the correction under the Company’s clawback policy to determine whether a clawback was required and determined that no clawback was required because no incentive compensation was “received” (within the meaning of the clawback rules) based on the financial reporting measures related to the correction and no incentive compensation was “received” (within the meaning of the clawback rules) based on the Company’s stock price during the applicable period.</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left="4" w:right="120" w:firstLine="991"/>
        <w:spacing w:after="0" w:line="290" w:lineRule="auto"/>
        <w:rPr>
          <w:sz w:val="20"/>
          <w:szCs w:val="20"/>
          <w:color w:val="auto"/>
        </w:rPr>
      </w:pPr>
      <w:r>
        <w:rPr>
          <w:rFonts w:ascii="Times New Roman" w:cs="Times New Roman" w:eastAsia="Times New Roman" w:hAnsi="Times New Roman"/>
          <w:sz w:val="17"/>
          <w:szCs w:val="17"/>
          <w:color w:val="auto"/>
        </w:rPr>
        <w:t>As described below, a significant portion of the Company’s executive compensation is linked directly to business unit and corporate performance and stock appreciation. The compensation package offered by the Company to its executive officers comprises the following components:</w:t>
      </w:r>
    </w:p>
    <w:p>
      <w:pPr>
        <w:ind w:left="2184" w:hanging="429"/>
        <w:spacing w:after="0"/>
        <w:tabs>
          <w:tab w:leader="none" w:pos="2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base salary;</w:t>
      </w:r>
    </w:p>
    <w:p>
      <w:pPr>
        <w:spacing w:after="0" w:line="49" w:lineRule="exact"/>
        <w:rPr>
          <w:rFonts w:ascii="Times New Roman" w:cs="Times New Roman" w:eastAsia="Times New Roman" w:hAnsi="Times New Roman"/>
          <w:sz w:val="18"/>
          <w:szCs w:val="18"/>
          <w:color w:val="auto"/>
        </w:rPr>
      </w:pPr>
    </w:p>
    <w:p>
      <w:pPr>
        <w:ind w:left="2184" w:hanging="429"/>
        <w:spacing w:after="0"/>
        <w:tabs>
          <w:tab w:leader="none" w:pos="2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compensation in the form of performance-based annual bonuses;</w:t>
      </w:r>
    </w:p>
    <w:p>
      <w:pPr>
        <w:spacing w:after="0" w:line="49" w:lineRule="exact"/>
        <w:rPr>
          <w:rFonts w:ascii="Times New Roman" w:cs="Times New Roman" w:eastAsia="Times New Roman" w:hAnsi="Times New Roman"/>
          <w:sz w:val="18"/>
          <w:szCs w:val="18"/>
          <w:color w:val="auto"/>
        </w:rPr>
      </w:pPr>
    </w:p>
    <w:p>
      <w:pPr>
        <w:ind w:left="2184" w:hanging="429"/>
        <w:spacing w:after="0"/>
        <w:tabs>
          <w:tab w:leader="none" w:pos="2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cash incentive compensation, typically based on performance over three or more years;</w:t>
      </w:r>
    </w:p>
    <w:p>
      <w:pPr>
        <w:spacing w:after="0" w:line="49" w:lineRule="exact"/>
        <w:rPr>
          <w:rFonts w:ascii="Times New Roman" w:cs="Times New Roman" w:eastAsia="Times New Roman" w:hAnsi="Times New Roman"/>
          <w:sz w:val="18"/>
          <w:szCs w:val="18"/>
          <w:color w:val="auto"/>
        </w:rPr>
      </w:pPr>
    </w:p>
    <w:p>
      <w:pPr>
        <w:ind w:left="2184" w:right="20" w:hanging="429"/>
        <w:spacing w:after="0" w:line="273" w:lineRule="auto"/>
        <w:tabs>
          <w:tab w:leader="none" w:pos="2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restricted stock, restricted stock units and/or stock options; and</w:t>
      </w:r>
    </w:p>
    <w:p>
      <w:pPr>
        <w:spacing w:after="0" w:line="1" w:lineRule="exact"/>
        <w:rPr>
          <w:rFonts w:ascii="Times New Roman" w:cs="Times New Roman" w:eastAsia="Times New Roman" w:hAnsi="Times New Roman"/>
          <w:sz w:val="18"/>
          <w:szCs w:val="18"/>
          <w:color w:val="auto"/>
        </w:rPr>
      </w:pPr>
    </w:p>
    <w:p>
      <w:pPr>
        <w:ind w:left="2184" w:hanging="429"/>
        <w:spacing w:after="0"/>
        <w:tabs>
          <w:tab w:leader="none" w:pos="2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provided by outside surveys or publicly available information. Salaries for named executive officers are typically reviewed on a 24-month or longer cycle, except when there is a significant change in an executive’s responsibilities during such cycle. Such adjustments are determined by evaluating</w:t>
      </w:r>
    </w:p>
    <w:p>
      <w:pPr>
        <w:spacing w:after="0" w:line="3" w:lineRule="exact"/>
        <w:rPr>
          <w:sz w:val="20"/>
          <w:szCs w:val="20"/>
          <w:color w:val="auto"/>
        </w:rPr>
      </w:pPr>
    </w:p>
    <w:p>
      <w:pPr>
        <w:ind w:left="4" w:right="60" w:hanging="4"/>
        <w:spacing w:after="0" w:line="260"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new responsibilities, (ii) the competitive market value of that role, (iii) the performance of the individual and (iv) the performance of the Company. The named executive officers did not receive a salary increase in 2023.</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The Company provides key employees, including named executive officers, with the opportunity to earn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determined on an individual basis, taking into account the responsibilities, prior experience and recent performance of the relevant employee, and set at the beginning of the year. The 2023 target annual bonus award for each of the named executive officers, as a percentage of base salary, was as follows: Mr. O’Shaughnessy, 100%; Mr. Rosen, 100%; Mr. Cooney, 50%; Mr. Maas, 50%; and Ms. Maddrey, 40%. There were no changes in annual bonus targets from 2022 to 2023 for any of the named executive officers.</w:t>
      </w:r>
    </w:p>
    <w:p>
      <w:pPr>
        <w:spacing w:after="0" w:line="189"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In 2023,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Potential payouts ranged from 0% to 200% of target, with a threshold achievement of 80% of the diluted earnings per share target necessary for any amounts to be paid (which would be paid at a threshold level of 50%), and the maximum potential payout available in the event 140% of the diluted earnings per share target is attained. The Committee believes that the targets are challenging, but achievable, as evidenced by the fact that payouts have been at or above target in two out of the past five years.</w:t>
      </w:r>
    </w:p>
    <w:p>
      <w:pPr>
        <w:spacing w:after="0" w:line="18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 diluted earnings per share goal for 2023 was $41.47. In evaluating performance achievement, the actual results are subject to adjustment for certain items, to the extent that actual amounts varied from those in the 2023 annual budget (whether to the detriment or the benefit of the Company). Specifically, these adjustments included additions for unbudgeted goodwill and other long-lived asset impairment charges, a pension budget variance, foreign exchange losses, and a Kaplan stock compensation expense variance. These additions were offset by unbudgeted net gains on marketable and other equity securities and gains on unbudgeted new acquisitions, investments and dispositions of businesses.</w:t>
      </w:r>
    </w:p>
    <w:p>
      <w:pPr>
        <w:spacing w:after="0" w:line="183"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In addition, the Committee exercised its discretion to exclude certain unusual and unbudgeted items, including: (i) additions for an unbudgeted interest expense related to the fair value adjustment of the mandatorily redeemable noncontrolling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97" w:right="45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interest at Graham Healthcare Group; unbudgeted restructuring related costs, unbudgeted losses and gains from equity and cost method investments, net and unbudgeted costs at Hoover, Slate, Foreign Policy and the Leaf businesses; and (ii) deductions for the favorable impact from lower than budgeted amortization expense, an unbudgeted benefit related to the impact of the Company’s stock repurchases on the reported diluted earnings per share, and an unbudgeted benefit related to a favorable income tax rate. The Committee adjusted for these items as they do not relate to the regular operating results that are customarily considered by the Committee in determining bonus amounts. Page 53 of the Company’s 2023 Annual Report on Form 10-K, filed with the SEC on February 23, 2024, detailed $0.90 in diluted earnings per share net additions, which comprise most of these discretionary items.</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Taking into account these adjustments, the Company’s 2023 diluted earnings per share, as adjusted for purposes of the bonus determination, was $40.43 (compared to reported diluted earnings per share of $43.82), resulting in the Company’s achievement of 97.5% of its earnings per share goal for 2023. As a result, the annual bonus payout was approximately 93.7% of target, based on the established annual formula.</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For Mr. Rosen, 25% of his bonus was based on the same diluted earnings per share targets as the other named executive officers, and the remaining 75% was tied to Kaplan’s performance. For the portion tied to Kaplan’s performance, 80% was based on Kaplan’s enterprise operating income target of $104.4 million and 20% was based on Kaplan’s enterprise revenue target of $1,432 million. The potential payouts for the Kaplan components of Mr. Rosen’s bonus amount ranged from 0% to 200% of target, with a threshold achievement of 65% for the enterprise operating income target, and 90% for the enterprise revenue target. The maximum potential payouts were available upon achievement of 161% of the enterprise operating income target and 113% of the enterprise revenue target. When aggregating the potential payouts for all components of Mr. Rosen’s annual bonus, the potential payouts ranged from 0% to 193% of target. In calculating Kaplan’s enterprise operating income, on this basis, Kaplan achieved adjusted enterprise operating income of $126.8 million (adjusted for unbudgeted foreign exchange impact) versus a target of $104.4 million, or 122% achievement, which resulted in a 129% payout of the portion of Mr. Rosen’s bonus attributable to Kaplan’s enterprise operating income. Kaplan enterprise revenue totaled $1,592 million (adjusted for unbudgeted foreign exchange impact) versus a target of $1,432 million, or 111% achievement, which resulted in a 142% payout of Mr. Rosen’s bonus attributable to Kaplan’s enterprise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To align the interests of the Company’s shareholders and management and to ensure that the full potential of an executive’s compensation package cannot be realized unless stock appreciation occurs over a number of years, the Company has granted awards under two equity plans, the 2012 Incentive Compensation Plan in May 2012 (the “Legacy Plan”) and the 2022 Incentive Compensation Plan (the “2022 Plan”). In granting individual equity awards, the Committee considers the estimated value of shares held by the employee, the level of contribution the employee has previously made and the potential of the employee to bring additional value to the Company. For restricted stock, the shares generally cliff vest at the conclusion of a four-year vesting period and do not have provisions providing for accelerated vesting. The named executive officers, excluding Mr. O’Shaughnessy, generally receive grants of restricted stock every other year. Restricted stock grants were made in January 2021, vesting in January 2025, and January 2023, vesting in January 2027. In connection with Mr. Mass’ promotion to executive vice president in 2022, he received a restricted stock unit award subject to price-based vesting conditions, which remains unvested.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229"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To highlight specific long-term financial goals, the Company grants Performance Units. Performance-based goals relating to individual business unit performance of the Company’s operating divisions are determined at the beginning of each four-year award cycle, and the Committee believes that such goals are challenging, but achievable. Each Performance Unit has a target value of $100 and a maximum potential payout of $200. The payment of a total award to any individual at the end of an award cycle may not exceed $5 million.</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 new four-year cycle commences every two years, with the result that there are always two overlapping cycles in progress (currently 2021–2024 and 2023–2026). No executive is entitled to a payout until the end of a cycle, and the Committee retains discretion to modify the payout at the end of each cycle.</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Currently, Mr. O’Shaughnessy holds 12,000 units in each cycle, Mr. Cooney holds 6,500 units in each cycle, Ms. Maddrey holds 5,000 units in each cycle, Mr. Maas holds 5,000 units in the 2021–2024 cycle and 6,500 units in the 2023–2026 cycle, and Mr. Rosen has no units in either cycle.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7"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2024 Cycle</w:t>
      </w:r>
    </w:p>
    <w:p>
      <w:pPr>
        <w:spacing w:after="0" w:line="229"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Payouts under the 2021–2024 cycle are based on seven performance criteria consisting of: (1) Kaplan’s cumulative operating income, excluding amortization of intangibles, Kaplan stock compensation and restructuring charges (up to 27.5% of the maximum payout); (2) the value of a Performance Unit under the Graham Media Group (“GMG”) valuation, as described below (up to 25% of the maximum payout); (3) cumulative operating income excluding amortization of intangibles for Hoover, Dekko, Joyce and Forney (up to 10% of the maximum payout); (4) cumulative operating income excluding amortization of intangibles for Graham Healthcare Group (including equity in earnings of affiliates) (up to 12.5% of the total maximum payout); (5) Framebridge’s cumulative gross profit (up to 10% of maximum payout); (6) cumulative operating income excluding amortization of intangibles for Graham Automotive (excluding certain entities), Clyde’s Restaurant Group, Code3, Decile, Slate, Foreign Policy, Pinna and CyberVista (up to 10% of the maximum payout); and (7) cumulative operating income of Leaf Group, excluding amortization of intangibles (up to 5% of the maximum payout). In February 2023, the Committee approved an amendment to the 2021–2024 cycle to update business unit cumulative operating income goals to reflect acquisitions completed in 2021 and 2022.</w:t>
      </w:r>
    </w:p>
    <w:p>
      <w:pPr>
        <w:spacing w:after="0" w:line="19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performance criteria related to GMG’s business for the 2021–2024 cycle is GMG’s cumulative cash flow margin ranking compared to the cash flow margins of selected peer companies at the end of the award cycle. Cash flow margin is computed based on operating income before corporate allocation and before charges for interest, depreciation and amortization. Furthermore, the payout value tied to GMG will be reduced by 50% if GMG does not produce operating income (excluding amortization of intangible assets and impairments of long-lived assets) in one of the four years during the award cycle and there will be no payout tied to GMG if GMG does not produce operating income for at least two years in the cycle.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2026 Cycle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Awards under the 2023–2026 cycle are based on seven performance criteria: (1) Kaplan’s cumulative operating income excluding amortization of intangibles, pension service cost, Kaplan stock compensation and restructuring charges (up to 25% of the maximum payout); (2) the value of a Performance Unit under the GMG valuation, as described below (up to 20% of the maximum payout); (3) cumulative operating income excluding amortization of intangibles and pension service cost for Hoover, Dekko, Joyce, and Forney (up to 10% of the maximum payout); (4) cumulative operating income excluding amortization of intangibles and pension service cost for Graham Healthcare Group (including equity in earnings of affiliates) (up to 15% of the maximum payout); (5) cumulative operating income excluding amortization of intangibles for Graham Automotive (excluding certain entities) (up to 10% of the maximum payout); (6) cumulative gross profit for Framebridge (up to 10% of the total maximum payout); and (7) cumulative operating income excluding amortization of intangibles for the Leaf Group, Clyde’s Restaurant Group, Code3, Decile, Slate, Foreign Policy, and Pinna, excluding any significant pension plan changes, (up to 10% of the maximum payout).</w:t>
      </w:r>
    </w:p>
    <w:p>
      <w:pPr>
        <w:spacing w:after="0" w:line="188"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For the 2023–2026 award cycle, the performance criteria related to GMG are based on three performance indicators: (1) 50% based on achieving operating income excluding retirement cost and credits, deferred compensation, and retransmission revenue and expense; (2) 25% based on net/net digital revenue (exclusive of programmatic) and new business goals; and (3) 25% based on achieving targeted net revenue growth (exclusive of retransmission and political revenue/expense).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Kaplan Long-Term Incentive Plans</w:t>
      </w:r>
    </w:p>
    <w:p>
      <w:pPr>
        <w:spacing w:after="0" w:line="22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Mr. Rosen participates in the Kaplan Milestone Plan, which provides for an award pool that is funded based on the achievement of annual operating income milestones, as adjusted for acquisitions and unexpected changes in capital expenditures, foreign exchange impact, and excluding restructuring costs, amortization of intangible assets and impairments of long-lived assets. Mr. Rosen’s share of the award pool is 20%. A participant must remain employed through the date a milestone is achieved, with payouts occurring the following March. In 2023, Kaplan achieved adjusted enterprise operating income of $124.2 million (adjusted for milestone exchange rates), which surpassed the first adjusted milestone of $113.4 million (adjusted for acquisitions). This resulted in a payout of Mr. Rosen’s first milestone award of $1.2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Committee grants stock options only when a key employee has made a significant contribution to the Company and demonstrates the ability to make additional contributions. The options generally vest over six years and expire 10 years from the grant date. No stock options were granted to the Company’s named executive officers in 2023.</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93"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Retirement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Contribution and Defined Benefit Plan</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Most employees of the Company, including certain named executive officers, are eligible to participate in the Company’s qualified defined contribution 401(k) savings plan and a defined benefit retirement plan. Benefits under these plans are determined on the basis of base salary only, exclusive of all bonuses, deferred compensation and other forms of remuneration.</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Eligible Corporate employees hired or rehired by the Company on or after September 1, 2009, participated in the Cash Balance Retirement Program (“CBRP”). Eligible Corporate employees who were actively employed on or after August 1, 2012, also participated in the Secure Retirement Account (“SRA”). Both the CBRP and the SRA are non-contributory defined benefit programs expressed in the form of hypothetical account balances that grow through quarterly pay-based credits and quarterly interest credits. 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Cash pension supplements are also provided to assist in the payment of retiree medical coverage. The annual cash pension supplement is equal to $200 multiplied by the number of years of credited service under the Graham Schedule. An additional temporary Pre-Age 65 pension supplement of $250 per month ($2,075 per month for those participants who have attained age 50 with five years of vesting service as of September 1, 2018) is provided to participants under the Graham Schedule who retire and commence benefit payment at or after age 55, but prior to age 65, and who had 10 years of vesting service at retirement. The temporary Pre-Age 65 supplement is discontinued when the retiree qualifies for Medicare (the month prior to the 65th birthday).</w:t>
      </w:r>
    </w:p>
    <w:p>
      <w:pPr>
        <w:spacing w:after="0" w:line="19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Starting in January 2024, the Company is consolidating most employer contributions into the Company Contribution Plan (formerly known as the Cash Balance Retirement Program). Eligible corporate employees actively employed on or after January 1, 2024, will participate in the Company Contribution Plan, which is a non-contributory defined benefit program expressed in the form of a hypothetical account balance that grows through monthly pay-based credits and monthly interest credits. Pension benefits accrued in the Company Contribution Plan become vested after one year of service or upon reaching age 65 while actively employed. The Company Contribution Plan replaces contributions employees may have previously received through the 401(k) savings plan, Cash Balance (CBRP), and Secure Retirement Account (SRA). Corporate employees hired prior to September 1, 2009, will continue to participate in the “Graham Schedule” as described above as well as receive new benefits through the Company Contribution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Executive Retirement Plans</w:t>
      </w:r>
    </w:p>
    <w:p>
      <w:pPr>
        <w:spacing w:after="0" w:line="121"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Company maintains an unfunded non-qualified supplemental executive retirement plan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To offset limitations placed on the income that can be considered in the formulas of retirement plans and benefits that can be payable from the plans, the SERP provides a “supplemental retirement benefit.” In 2023,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under the SERP. Benefits provided under the SRA of the qualified retirement plan are not covered by the SERP.</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SERP also provides tax-deferred accruals of amounts proportionate to the benefits available to non-highly compensated participants in the Company’s 401(k) savings plan, to the extent that such accruals exceed those under the Company’s basic plans because of the tax law limitations ($66,000 in 2023). At this point, Mr. Rosen is the only active participant and the plan is not open to new participants. Mr. Rosen was required to defer compensation to the SERP savings plan in order to receive the applicable matching Company contribution eligible for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Company also maintains a Deferred Compensation Plan, which has been closed to new participants and new deferrals for existing participants since December 2015. Mr. Rosen participates in this plan. The Deferred Compensation Plan 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3" w:right="459" w:bottom="1440" w:gutter="0" w:footer="0" w:header="0"/>
        </w:sectPr>
      </w:pPr>
    </w:p>
    <w:bookmarkStart w:id="23" w:name="page24"/>
    <w:bookmarkEnd w:id="2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Packages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O’Shaughnessy’s Agreement</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entered into a letter agreement with Mr. O’Shaughnessy in October 2014 in connection with his becoming President of the Company. Mr. O’Shaughnessy’s letter agreement does not provide for any severance compensation or benefits. 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Rosen’s Agreement</w:t>
      </w:r>
    </w:p>
    <w:p>
      <w:pPr>
        <w:spacing w:after="0" w:line="22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Company entered into a letter agreement with Mr. Rosen in April 2014 in connection with his becoming Chairman of Kaplan and Executive Vice President of the Company.</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76"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Maas’ Agreement</w:t>
      </w:r>
    </w:p>
    <w:p>
      <w:pPr>
        <w:spacing w:after="0" w:line="229"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The Company entered into a letter agreement with Mr. Maas in August 2015 in connection with his becoming Senior Vice President– Planning and Development in the Corporate Office of Graham Holdings Company. Mr. Maas’ letter agreement does not provide for any severance compensation or benefits.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At the 2023 Annual Meeting of Shareholders, the Company’s Class A Shareholders unanimously approved the overall 2022 compensation for its named executive officers, including the policies and practices related thereto. The Company believes this vote reflected Class A Shareholder approval of its pay-for-performance philosophy and the absence of pay practices that Class A Shareholders consider problematic. Accordingly, the Committee generally continued to apply the same principles in determining the amounts and types of executive compensation for 2023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7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Anne M. Mulcahy, Chair</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Dr. Tony Allen</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4" w:name="page25"/>
    <w:bookmarkEnd w:id="2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shows the compensation paid by the Company during the most recent three years to our named executive officers.</w:t>
      </w:r>
    </w:p>
    <w:p>
      <w:pPr>
        <w:spacing w:after="0" w:line="113"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4460" w:type="dxa"/>
            <w:vAlign w:val="bottom"/>
            <w:tcBorders>
              <w:top w:val="single" w:sz="8" w:color="auto"/>
              <w:left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jc w:val="center"/>
              <w:ind w:right="9"/>
              <w:spacing w:after="0" w:line="13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7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4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70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60" w:type="dxa"/>
            <w:vAlign w:val="bottom"/>
            <w:tcBorders>
              <w:left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0" w:type="dxa"/>
            <w:vAlign w:val="bottom"/>
          </w:tcPr>
          <w:p>
            <w:pPr>
              <w:spacing w:after="0"/>
              <w:rPr>
                <w:sz w:val="11"/>
                <w:szCs w:val="11"/>
                <w:color w:val="auto"/>
              </w:rPr>
            </w:pPr>
          </w:p>
        </w:tc>
        <w:tc>
          <w:tcPr>
            <w:tcW w:w="4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6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Plan</w:t>
            </w:r>
          </w:p>
        </w:tc>
        <w:tc>
          <w:tcPr>
            <w:tcW w:w="1040" w:type="dxa"/>
            <w:vAlign w:val="bottom"/>
            <w:tcBorders>
              <w:right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tcBorders>
              <w:right w:val="single" w:sz="8" w:color="auto"/>
            </w:tcBorders>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Compen-</w:t>
            </w:r>
          </w:p>
        </w:tc>
        <w:tc>
          <w:tcPr>
            <w:tcW w:w="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(f)</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Borders>
              <w:right w:val="single" w:sz="8" w:color="auto"/>
            </w:tcBorders>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bottom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w:t>
            </w:r>
          </w:p>
        </w:tc>
        <w:tc>
          <w:tcPr>
            <w:tcW w:w="76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w:t>
            </w:r>
            <w:r>
              <w:rPr>
                <w:rFonts w:ascii="Times New Roman" w:cs="Times New Roman" w:eastAsia="Times New Roman" w:hAnsi="Times New Roman"/>
                <w:sz w:val="10"/>
                <w:szCs w:val="10"/>
                <w:b w:val="1"/>
                <w:bCs w:val="1"/>
                <w:color w:val="auto"/>
              </w:rPr>
              <w:t>(1)</w:t>
            </w:r>
          </w:p>
        </w:tc>
        <w:tc>
          <w:tcPr>
            <w:tcW w:w="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(e)</w:t>
            </w:r>
            <w:r>
              <w:rPr>
                <w:rFonts w:ascii="Times New Roman" w:cs="Times New Roman" w:eastAsia="Times New Roman" w:hAnsi="Times New Roman"/>
                <w:sz w:val="10"/>
                <w:szCs w:val="10"/>
                <w:b w:val="1"/>
                <w:bCs w:val="1"/>
                <w:color w:val="auto"/>
              </w:rPr>
              <w:t>(2)</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10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(g)</w:t>
            </w:r>
            <w:r>
              <w:rPr>
                <w:rFonts w:ascii="Times New Roman" w:cs="Times New Roman" w:eastAsia="Times New Roman" w:hAnsi="Times New Roman"/>
                <w:sz w:val="10"/>
                <w:szCs w:val="10"/>
                <w:b w:val="1"/>
                <w:bCs w:val="1"/>
                <w:color w:val="auto"/>
              </w:rPr>
              <w:t>(3)</w:t>
            </w:r>
          </w:p>
        </w:tc>
        <w:tc>
          <w:tcPr>
            <w:tcW w:w="1040" w:type="dxa"/>
            <w:vAlign w:val="bottom"/>
            <w:tcBorders>
              <w:bottom w:val="single" w:sz="8" w:color="auto"/>
              <w:right w:val="single" w:sz="8" w:color="auto"/>
            </w:tcBorders>
          </w:tcPr>
          <w:p>
            <w:pPr>
              <w:jc w:val="center"/>
              <w:ind w:right="9"/>
              <w:spacing w:after="0" w:line="169" w:lineRule="exact"/>
              <w:rPr>
                <w:sz w:val="20"/>
                <w:szCs w:val="20"/>
                <w:color w:val="auto"/>
              </w:rPr>
            </w:pPr>
            <w:r>
              <w:rPr>
                <w:rFonts w:ascii="Times New Roman" w:cs="Times New Roman" w:eastAsia="Times New Roman" w:hAnsi="Times New Roman"/>
                <w:sz w:val="19"/>
                <w:szCs w:val="19"/>
                <w:b w:val="1"/>
                <w:bCs w:val="1"/>
                <w:color w:val="auto"/>
                <w:vertAlign w:val="subscript"/>
              </w:rPr>
              <w:t>(h)</w:t>
            </w:r>
            <w:r>
              <w:rPr>
                <w:rFonts w:ascii="Times New Roman" w:cs="Times New Roman" w:eastAsia="Times New Roman" w:hAnsi="Times New Roman"/>
                <w:sz w:val="9"/>
                <w:szCs w:val="9"/>
                <w:b w:val="1"/>
                <w:bCs w:val="1"/>
                <w:color w:val="auto"/>
              </w:rPr>
              <w:t>(4)</w:t>
            </w:r>
          </w:p>
        </w:tc>
        <w:tc>
          <w:tcPr>
            <w:tcW w:w="70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0"/>
                <w:szCs w:val="10"/>
                <w:b w:val="1"/>
                <w:bCs w:val="1"/>
                <w:color w:val="auto"/>
              </w:rPr>
              <w:t>(5)</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w:t>
            </w: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480" w:type="dxa"/>
            <w:vAlign w:val="bottom"/>
            <w:tcBorders>
              <w:right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843,574 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34,382 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3,300 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1,781,256</w:t>
            </w:r>
          </w:p>
        </w:tc>
        <w:tc>
          <w:tcPr>
            <w:tcW w:w="0" w:type="dxa"/>
            <w:vAlign w:val="bottom"/>
          </w:tcPr>
          <w:p>
            <w:pPr>
              <w:spacing w:after="0"/>
              <w:rPr>
                <w:sz w:val="1"/>
                <w:szCs w:val="1"/>
                <w:color w:val="auto"/>
              </w:rPr>
            </w:pPr>
          </w:p>
        </w:tc>
      </w:tr>
      <w:tr>
        <w:trPr>
          <w:trHeight w:val="193"/>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2,561,506 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22,908 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3,050 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3,487,464</w:t>
            </w:r>
          </w:p>
        </w:tc>
        <w:tc>
          <w:tcPr>
            <w:tcW w:w="0" w:type="dxa"/>
            <w:vAlign w:val="bottom"/>
          </w:tcPr>
          <w:p>
            <w:pPr>
              <w:spacing w:after="0"/>
              <w:rPr>
                <w:sz w:val="1"/>
                <w:szCs w:val="1"/>
                <w:color w:val="auto"/>
              </w:rPr>
            </w:pPr>
          </w:p>
        </w:tc>
      </w:tr>
      <w:tr>
        <w:trPr>
          <w:trHeight w:val="231"/>
        </w:trPr>
        <w:tc>
          <w:tcPr>
            <w:tcW w:w="446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1,500,000 </w:t>
            </w:r>
          </w:p>
        </w:tc>
        <w:tc>
          <w:tcPr>
            <w:tcW w:w="1040" w:type="dxa"/>
            <w:vAlign w:val="bottom"/>
            <w:tcBorders>
              <w:bottom w:val="single" w:sz="8" w:color="CCEEFF"/>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19,561 </w:t>
            </w:r>
          </w:p>
        </w:tc>
        <w:tc>
          <w:tcPr>
            <w:tcW w:w="7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2,900 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2,272,461</w:t>
            </w:r>
          </w:p>
        </w:tc>
        <w:tc>
          <w:tcPr>
            <w:tcW w:w="0" w:type="dxa"/>
            <w:vAlign w:val="bottom"/>
          </w:tcPr>
          <w:p>
            <w:pPr>
              <w:spacing w:after="0"/>
              <w:rPr>
                <w:sz w:val="1"/>
                <w:szCs w:val="1"/>
                <w:color w:val="auto"/>
              </w:rPr>
            </w:pPr>
          </w:p>
        </w:tc>
      </w:tr>
      <w:tr>
        <w:trPr>
          <w:trHeight w:val="182"/>
        </w:trPr>
        <w:tc>
          <w:tcPr>
            <w:tcW w:w="4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480" w:type="dxa"/>
            <w:vAlign w:val="bottom"/>
            <w:tcBorders>
              <w:top w:val="single" w:sz="8" w:color="auto"/>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675,000</w:t>
            </w:r>
          </w:p>
        </w:tc>
        <w:tc>
          <w:tcPr>
            <w:tcW w:w="5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316,340 </w:t>
            </w:r>
          </w:p>
        </w:tc>
        <w:tc>
          <w:tcPr>
            <w:tcW w:w="1040" w:type="dxa"/>
            <w:vAlign w:val="bottom"/>
            <w:tcBorders>
              <w:top w:val="single" w:sz="8" w:color="auto"/>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171,097 </w:t>
            </w:r>
          </w:p>
        </w:tc>
        <w:tc>
          <w:tcPr>
            <w:tcW w:w="7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11,986 </w:t>
            </w:r>
          </w:p>
        </w:tc>
        <w:tc>
          <w:tcPr>
            <w:tcW w:w="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1,549,579</w:t>
            </w:r>
          </w:p>
        </w:tc>
        <w:tc>
          <w:tcPr>
            <w:tcW w:w="0" w:type="dxa"/>
            <w:vAlign w:val="bottom"/>
          </w:tcPr>
          <w:p>
            <w:pPr>
              <w:spacing w:after="0"/>
              <w:rPr>
                <w:sz w:val="1"/>
                <w:szCs w:val="1"/>
                <w:color w:val="auto"/>
              </w:rPr>
            </w:pPr>
          </w:p>
        </w:tc>
      </w:tr>
      <w:tr>
        <w:trPr>
          <w:trHeight w:val="193"/>
        </w:trPr>
        <w:tc>
          <w:tcPr>
            <w:tcW w:w="4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Senior Vice President–Finance and Chief</w:t>
            </w:r>
          </w:p>
        </w:tc>
        <w:tc>
          <w:tcPr>
            <w:tcW w:w="480" w:type="dxa"/>
            <w:vAlign w:val="bottom"/>
            <w:tcBorders>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675,000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1,200,565 </w:t>
            </w:r>
          </w:p>
        </w:tc>
        <w:tc>
          <w:tcPr>
            <w:tcW w:w="104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11,266 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1,886,831</w:t>
            </w: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Financial Officer</w:t>
            </w:r>
          </w:p>
        </w:tc>
        <w:tc>
          <w:tcPr>
            <w:tcW w:w="480" w:type="dxa"/>
            <w:vAlign w:val="bottom"/>
            <w:tcBorders>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620,000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375,323</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620,000 </w:t>
            </w:r>
          </w:p>
        </w:tc>
        <w:tc>
          <w:tcPr>
            <w:tcW w:w="104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104,382 </w:t>
            </w:r>
          </w:p>
        </w:tc>
        <w:tc>
          <w:tcPr>
            <w:tcW w:w="7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10,752 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1,730,457</w:t>
            </w:r>
          </w:p>
        </w:tc>
        <w:tc>
          <w:tcPr>
            <w:tcW w:w="0" w:type="dxa"/>
            <w:vAlign w:val="bottom"/>
          </w:tcPr>
          <w:p>
            <w:pPr>
              <w:spacing w:after="0"/>
              <w:rPr>
                <w:sz w:val="1"/>
                <w:szCs w:val="1"/>
                <w:color w:val="auto"/>
              </w:rPr>
            </w:pPr>
          </w:p>
        </w:tc>
      </w:tr>
      <w:tr>
        <w:trPr>
          <w:trHeight w:val="2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480" w:type="dxa"/>
            <w:vAlign w:val="bottom"/>
            <w:tcBorders>
              <w:right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1,625,000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300,247</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3,182,007 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1,188,072 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49,100 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6,344,426</w:t>
            </w:r>
          </w:p>
        </w:tc>
        <w:tc>
          <w:tcPr>
            <w:tcW w:w="0" w:type="dxa"/>
            <w:vAlign w:val="bottom"/>
          </w:tcPr>
          <w:p>
            <w:pPr>
              <w:spacing w:after="0"/>
              <w:rPr>
                <w:sz w:val="1"/>
                <w:szCs w:val="1"/>
                <w:color w:val="auto"/>
              </w:rPr>
            </w:pPr>
          </w:p>
        </w:tc>
      </w:tr>
      <w:tr>
        <w:trPr>
          <w:trHeight w:val="193"/>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Chairman–Kaplan Inc. and Executive</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1,625,000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1,578,343 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51,372 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3,254,715</w:t>
            </w:r>
          </w:p>
        </w:tc>
        <w:tc>
          <w:tcPr>
            <w:tcW w:w="0" w:type="dxa"/>
            <w:vAlign w:val="bottom"/>
          </w:tcPr>
          <w:p>
            <w:pPr>
              <w:spacing w:after="0"/>
              <w:rPr>
                <w:sz w:val="1"/>
                <w:szCs w:val="1"/>
                <w:color w:val="auto"/>
              </w:rPr>
            </w:pPr>
          </w:p>
        </w:tc>
      </w:tr>
      <w:tr>
        <w:trPr>
          <w:trHeight w:val="231"/>
        </w:trPr>
        <w:tc>
          <w:tcPr>
            <w:tcW w:w="4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Vice President–Graham Holdings Co.</w:t>
            </w: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1,625,000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300,258</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2,995,846 </w:t>
            </w:r>
          </w:p>
        </w:tc>
        <w:tc>
          <w:tcPr>
            <w:tcW w:w="1040" w:type="dxa"/>
            <w:vAlign w:val="bottom"/>
            <w:tcBorders>
              <w:bottom w:val="single" w:sz="8" w:color="CCEEFF"/>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18,074 </w:t>
            </w:r>
          </w:p>
        </w:tc>
        <w:tc>
          <w:tcPr>
            <w:tcW w:w="7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51,285 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4,990,463</w:t>
            </w:r>
          </w:p>
        </w:tc>
        <w:tc>
          <w:tcPr>
            <w:tcW w:w="0" w:type="dxa"/>
            <w:vAlign w:val="bottom"/>
          </w:tcPr>
          <w:p>
            <w:pPr>
              <w:spacing w:after="0"/>
              <w:rPr>
                <w:sz w:val="1"/>
                <w:szCs w:val="1"/>
                <w:color w:val="auto"/>
              </w:rPr>
            </w:pPr>
          </w:p>
        </w:tc>
      </w:tr>
      <w:tr>
        <w:trPr>
          <w:trHeight w:val="182"/>
        </w:trPr>
        <w:tc>
          <w:tcPr>
            <w:tcW w:w="4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480" w:type="dxa"/>
            <w:vAlign w:val="bottom"/>
            <w:tcBorders>
              <w:top w:val="single" w:sz="8" w:color="auto"/>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328,056 </w:t>
            </w:r>
          </w:p>
        </w:tc>
        <w:tc>
          <w:tcPr>
            <w:tcW w:w="1040" w:type="dxa"/>
            <w:vAlign w:val="bottom"/>
            <w:tcBorders>
              <w:top w:val="single" w:sz="8" w:color="auto"/>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32,847 </w:t>
            </w:r>
          </w:p>
        </w:tc>
        <w:tc>
          <w:tcPr>
            <w:tcW w:w="7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11,986 </w:t>
            </w:r>
          </w:p>
        </w:tc>
        <w:tc>
          <w:tcPr>
            <w:tcW w:w="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1,448,045</w:t>
            </w:r>
          </w:p>
        </w:tc>
        <w:tc>
          <w:tcPr>
            <w:tcW w:w="0" w:type="dxa"/>
            <w:vAlign w:val="bottom"/>
          </w:tcPr>
          <w:p>
            <w:pPr>
              <w:spacing w:after="0"/>
              <w:rPr>
                <w:sz w:val="1"/>
                <w:szCs w:val="1"/>
                <w:color w:val="auto"/>
              </w:rPr>
            </w:pPr>
          </w:p>
        </w:tc>
      </w:tr>
      <w:tr>
        <w:trPr>
          <w:trHeight w:val="193"/>
        </w:trPr>
        <w:tc>
          <w:tcPr>
            <w:tcW w:w="4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Executive Vice President</w:t>
            </w:r>
          </w:p>
        </w:tc>
        <w:tc>
          <w:tcPr>
            <w:tcW w:w="480" w:type="dxa"/>
            <w:vAlign w:val="bottom"/>
            <w:tcBorders>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3,494,076</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1,036,141 </w:t>
            </w:r>
          </w:p>
        </w:tc>
        <w:tc>
          <w:tcPr>
            <w:tcW w:w="104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22,834 </w:t>
            </w:r>
          </w:p>
        </w:tc>
        <w:tc>
          <w:tcPr>
            <w:tcW w:w="7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11,266 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5,264,317</w:t>
            </w: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620,000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375,323</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496,000 </w:t>
            </w:r>
          </w:p>
        </w:tc>
        <w:tc>
          <w:tcPr>
            <w:tcW w:w="104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19,511 </w:t>
            </w:r>
          </w:p>
        </w:tc>
        <w:tc>
          <w:tcPr>
            <w:tcW w:w="7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10,752 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1,521,586</w:t>
            </w:r>
          </w:p>
        </w:tc>
        <w:tc>
          <w:tcPr>
            <w:tcW w:w="0" w:type="dxa"/>
            <w:vAlign w:val="bottom"/>
          </w:tcPr>
          <w:p>
            <w:pPr>
              <w:spacing w:after="0"/>
              <w:rPr>
                <w:sz w:val="1"/>
                <w:szCs w:val="1"/>
                <w:color w:val="auto"/>
              </w:rPr>
            </w:pPr>
          </w:p>
        </w:tc>
      </w:tr>
      <w:tr>
        <w:trPr>
          <w:trHeight w:val="2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480" w:type="dxa"/>
            <w:vAlign w:val="bottom"/>
            <w:tcBorders>
              <w:right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350,187</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243,699 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140,573 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11,035 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1,395,494</w:t>
            </w:r>
          </w:p>
        </w:tc>
        <w:tc>
          <w:tcPr>
            <w:tcW w:w="0" w:type="dxa"/>
            <w:vAlign w:val="bottom"/>
          </w:tcPr>
          <w:p>
            <w:pPr>
              <w:spacing w:after="0"/>
              <w:rPr>
                <w:sz w:val="1"/>
                <w:szCs w:val="1"/>
                <w:color w:val="auto"/>
              </w:rPr>
            </w:pPr>
          </w:p>
        </w:tc>
      </w:tr>
      <w:tr>
        <w:trPr>
          <w:trHeight w:val="193"/>
        </w:trPr>
        <w:tc>
          <w:tcPr>
            <w:tcW w:w="4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Senior Vice President, General Counsel</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923,991 </w:t>
            </w:r>
          </w:p>
        </w:tc>
        <w:tc>
          <w:tcPr>
            <w:tcW w:w="1040" w:type="dxa"/>
            <w:vAlign w:val="bottom"/>
            <w:tcBorders>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9,983 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1,583,974</w:t>
            </w:r>
          </w:p>
        </w:tc>
        <w:tc>
          <w:tcPr>
            <w:tcW w:w="0" w:type="dxa"/>
            <w:vAlign w:val="bottom"/>
          </w:tcPr>
          <w:p>
            <w:pPr>
              <w:spacing w:after="0"/>
              <w:rPr>
                <w:sz w:val="1"/>
                <w:szCs w:val="1"/>
                <w:color w:val="auto"/>
              </w:rPr>
            </w:pPr>
          </w:p>
        </w:tc>
      </w:tr>
      <w:tr>
        <w:trPr>
          <w:trHeight w:val="206"/>
        </w:trPr>
        <w:tc>
          <w:tcPr>
            <w:tcW w:w="4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Secretary</w:t>
            </w: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320,096</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492,000 </w:t>
            </w:r>
          </w:p>
        </w:tc>
        <w:tc>
          <w:tcPr>
            <w:tcW w:w="1040" w:type="dxa"/>
            <w:vAlign w:val="bottom"/>
            <w:tcBorders>
              <w:bottom w:val="single" w:sz="8" w:color="CCEEFF"/>
              <w:right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73,647 </w:t>
            </w:r>
          </w:p>
        </w:tc>
        <w:tc>
          <w:tcPr>
            <w:tcW w:w="7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9,526 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1,510,269</w:t>
            </w:r>
          </w:p>
        </w:tc>
        <w:tc>
          <w:tcPr>
            <w:tcW w:w="0" w:type="dxa"/>
            <w:vAlign w:val="bottom"/>
          </w:tcPr>
          <w:p>
            <w:pPr>
              <w:spacing w:after="0"/>
              <w:rPr>
                <w:sz w:val="1"/>
                <w:szCs w:val="1"/>
                <w:color w:val="auto"/>
              </w:rPr>
            </w:pPr>
          </w:p>
        </w:tc>
      </w:tr>
      <w:tr>
        <w:trPr>
          <w:trHeight w:val="20"/>
        </w:trPr>
        <w:tc>
          <w:tcPr>
            <w:tcW w:w="4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base salary earned for each of the named executive officers.</w:t>
      </w:r>
    </w:p>
    <w:p>
      <w:pPr>
        <w:spacing w:after="0" w:line="55"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these columns represent the grant date fair value of stock and option awards computed in accordance with FASB ASC Topic 718 and reflect the grant date fair value of stock and option grants made through the close of the 2023 fiscal year, rather than amounts paid to or realized by the named executive officers. In 2022, the Company granted a restricted stock unit award to Mr. Maas that is subject to price-based vesting conditions. The award provides Mr. Maas with the right to receive 1,000 shares of the Company’s Class B common stock each time the Company’s closing share price meets or exceeds a certain share price target for a 90 consecutive day period; the award period expires on December 31, 2027. Mr. Maas’ award vests as follows: 1,000 shares will vest if the Company’s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 The grant date fair value of the stock award was estimated using a Monte Carlo simulation and is recognized over the derived service period of each tranche. No portion of this award vested in 2022 or 2023. There can be no assurance that the amounts calculated will be realized, and amounts realized could ultimately exceed the amounts calculated. See Note 14 of the Notes to the Consolidated Financial Statements contained in the Company’s Annual Report on Form 10-K, filed on February 23, 2024, for a discussion of the assumptions used in the valuation of the stock awards. The Company did not grant any option awards for the years reported. Additional information regarding these awards can be found under “Compensation Discussion and Analysis: Performance-Based Incentive Compensation – Restricted Stock and Restricted Stock Units.”</w:t>
      </w:r>
    </w:p>
    <w:p>
      <w:pPr>
        <w:spacing w:after="0" w:line="78" w:lineRule="exact"/>
        <w:rPr>
          <w:rFonts w:ascii="Times New Roman" w:cs="Times New Roman" w:eastAsia="Times New Roman" w:hAnsi="Times New Roman"/>
          <w:sz w:val="14"/>
          <w:szCs w:val="14"/>
          <w:color w:val="auto"/>
        </w:rPr>
      </w:pPr>
    </w:p>
    <w:p>
      <w:pPr>
        <w:ind w:left="424" w:right="40" w:hanging="424"/>
        <w:spacing w:after="0"/>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2023 represent payments under the 2023 annual bonus plan. In the case of Mr. Rosen, the amount in this column for 2023 represents payments under the 2023 annual bonus plan and Kaplan’s long-term incentive plan as follows: $1,982,007 in annual bonus, $1,200,000 in Kaplan’s long-term incentive plan. Amounts in this column for 2022 represent payments under the 2022 annual bonus plan and the 2019–2022 Performance Unit Plan as follows: Mr. O’Shaughnessy, $1,121,506 in annual bonus, $1,440,000 in Performance Units; Mr. Cooney, $420,565 in annual bonus, $780,000 in Performance Units; Mr. Rosen, $1,578,343 in annual bonus; Mr. Maas, $436,141 in annual bonus, $600,000 in Performance Units; Ms. Maddrey, $323,991 in annual bonus, $600,000 in Performance Units. Amounts in this column for 2021 represent payments under the 2021 annual bonus plan. In the case of Mr. Rosen, the amount in this column for 2021 represents payments under the 2021 annual bonus plan and Kaplan’s long-term incentive plan as follows: $2,456,889 in annual bonus, $538,957 in Kaplan’s long-term incentive plan. Additional information can be found in “Compensation Discussion and Analysis: Performance-Based Incentive Compensation – Annual Bonuses.”</w:t>
      </w:r>
    </w:p>
    <w:p>
      <w:pPr>
        <w:spacing w:after="0" w:line="128" w:lineRule="exact"/>
        <w:rPr>
          <w:rFonts w:ascii="Times New Roman" w:cs="Times New Roman" w:eastAsia="Times New Roman" w:hAnsi="Times New Roman"/>
          <w:sz w:val="14"/>
          <w:szCs w:val="14"/>
          <w:color w:val="auto"/>
        </w:rPr>
      </w:pPr>
    </w:p>
    <w:p>
      <w:pPr>
        <w:ind w:left="424" w:right="60" w:hanging="424"/>
        <w:spacing w:after="0" w:line="233"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above-market or preferential earnings on compensation deferred on a non-tax-qualified basis, and therefore, no such earnings are reflected in the amounts shown in this column.Therefore, the amounts in this column solely represent changes in the value of accumulated pension benefits. For purposes of calculating such value and the resulting changes, 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December 31, 2023, December 31, 2022 or December 31, 2021). Assumed benefit commencement ages are shown below, rounded to the nearest age:</w:t>
      </w:r>
    </w:p>
    <w:p>
      <w:pPr>
        <w:sectPr>
          <w:pgSz w:w="11900" w:h="16838" w:orient="portrait"/>
          <w:cols w:equalWidth="0" w:num="1">
            <w:col w:w="11024"/>
          </w:cols>
          <w:pgMar w:left="436" w:top="297" w:right="439" w:bottom="1440" w:gutter="0" w:footer="0" w:header="0"/>
        </w:sectPr>
      </w:pPr>
    </w:p>
    <w:p>
      <w:pPr>
        <w:spacing w:after="0" w:line="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color w:val="auto"/>
        </w:rPr>
        <w:t>O’Shaughnessy:</w:t>
      </w:r>
    </w:p>
    <w:p>
      <w:pPr>
        <w:ind w:left="884"/>
        <w:spacing w:after="0" w:line="226" w:lineRule="auto"/>
        <w:rPr>
          <w:sz w:val="20"/>
          <w:szCs w:val="20"/>
          <w:color w:val="auto"/>
        </w:rPr>
      </w:pPr>
      <w:r>
        <w:rPr>
          <w:rFonts w:ascii="Times New Roman" w:cs="Times New Roman" w:eastAsia="Times New Roman" w:hAnsi="Times New Roman"/>
          <w:sz w:val="14"/>
          <w:szCs w:val="14"/>
          <w:color w:val="auto"/>
        </w:rPr>
        <w:t>Cooney:</w:t>
      </w:r>
    </w:p>
    <w:p>
      <w:pPr>
        <w:ind w:left="884"/>
        <w:spacing w:after="0" w:line="222" w:lineRule="auto"/>
        <w:rPr>
          <w:sz w:val="20"/>
          <w:szCs w:val="20"/>
          <w:color w:val="auto"/>
        </w:rPr>
      </w:pPr>
      <w:r>
        <w:rPr>
          <w:rFonts w:ascii="Times New Roman" w:cs="Times New Roman" w:eastAsia="Times New Roman" w:hAnsi="Times New Roman"/>
          <w:sz w:val="14"/>
          <w:szCs w:val="14"/>
          <w:color w:val="auto"/>
        </w:rPr>
        <w:t>Rosen:</w:t>
      </w:r>
    </w:p>
    <w:p>
      <w:pPr>
        <w:ind w:left="884"/>
        <w:spacing w:after="0" w:line="221" w:lineRule="auto"/>
        <w:rPr>
          <w:sz w:val="20"/>
          <w:szCs w:val="20"/>
          <w:color w:val="auto"/>
        </w:rPr>
      </w:pPr>
      <w:r>
        <w:rPr>
          <w:rFonts w:ascii="Times New Roman" w:cs="Times New Roman" w:eastAsia="Times New Roman" w:hAnsi="Times New Roman"/>
          <w:sz w:val="14"/>
          <w:szCs w:val="14"/>
          <w:color w:val="auto"/>
        </w:rPr>
        <w:t>Maddrey:</w:t>
      </w:r>
    </w:p>
    <w:p>
      <w:pPr>
        <w:ind w:left="884"/>
        <w:spacing w:after="0"/>
        <w:rPr>
          <w:sz w:val="20"/>
          <w:szCs w:val="20"/>
          <w:color w:val="auto"/>
        </w:rPr>
      </w:pPr>
      <w:r>
        <w:rPr>
          <w:rFonts w:ascii="Times New Roman" w:cs="Times New Roman" w:eastAsia="Times New Roman" w:hAnsi="Times New Roman"/>
          <w:sz w:val="14"/>
          <w:szCs w:val="14"/>
          <w:color w:val="auto"/>
        </w:rPr>
        <w:t>Maas: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226" w:lineRule="auto"/>
        <w:rPr>
          <w:sz w:val="20"/>
          <w:szCs w:val="20"/>
          <w:color w:val="auto"/>
        </w:rPr>
      </w:pPr>
      <w:r>
        <w:rPr>
          <w:rFonts w:ascii="Times New Roman" w:cs="Times New Roman" w:eastAsia="Times New Roman" w:hAnsi="Times New Roman"/>
          <w:sz w:val="14"/>
          <w:szCs w:val="14"/>
          <w:color w:val="auto"/>
        </w:rPr>
        <w:t>age 64 (will be eligible for unreduced benefits under the Rule of 90*)</w:t>
      </w:r>
    </w:p>
    <w:p>
      <w:pPr>
        <w:spacing w:after="0" w:line="222" w:lineRule="auto"/>
        <w:rPr>
          <w:sz w:val="20"/>
          <w:szCs w:val="20"/>
          <w:color w:val="auto"/>
        </w:rPr>
      </w:pPr>
      <w:r>
        <w:rPr>
          <w:rFonts w:ascii="Times New Roman" w:cs="Times New Roman" w:eastAsia="Times New Roman" w:hAnsi="Times New Roman"/>
          <w:sz w:val="14"/>
          <w:szCs w:val="14"/>
          <w:color w:val="auto"/>
        </w:rPr>
        <w:t>age 63 (is currently eligible for unreduced benefits under the Rule of 90*)</w:t>
      </w:r>
    </w:p>
    <w:p>
      <w:pPr>
        <w:spacing w:after="0" w:line="221" w:lineRule="auto"/>
        <w:rPr>
          <w:sz w:val="20"/>
          <w:szCs w:val="20"/>
          <w:color w:val="auto"/>
        </w:rPr>
      </w:pPr>
      <w:r>
        <w:rPr>
          <w:rFonts w:ascii="Times New Roman" w:cs="Times New Roman" w:eastAsia="Times New Roman" w:hAnsi="Times New Roman"/>
          <w:sz w:val="14"/>
          <w:szCs w:val="14"/>
          <w:color w:val="auto"/>
        </w:rPr>
        <w:t>age 65</w:t>
      </w: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200" w:lineRule="exact"/>
        <w:rPr>
          <w:sz w:val="20"/>
          <w:szCs w:val="20"/>
          <w:color w:val="auto"/>
        </w:rPr>
      </w:pPr>
    </w:p>
    <w:p>
      <w:pPr>
        <w:sectPr>
          <w:pgSz w:w="11900" w:h="16838" w:orient="portrait"/>
          <w:cols w:equalWidth="0" w:num="2">
            <w:col w:w="1844" w:space="460"/>
            <w:col w:w="8720"/>
          </w:cols>
          <w:pgMar w:left="436" w:top="297" w:right="439" w:bottom="1440" w:gutter="0" w:footer="0" w:header="0"/>
          <w:type w:val="continuous"/>
        </w:sectPr>
      </w:pPr>
    </w:p>
    <w:p>
      <w:pPr>
        <w:spacing w:after="0" w:line="15" w:lineRule="exact"/>
        <w:rPr>
          <w:sz w:val="20"/>
          <w:szCs w:val="20"/>
          <w:color w:val="auto"/>
        </w:rPr>
      </w:pPr>
    </w:p>
    <w:p>
      <w:pPr>
        <w:ind w:left="764" w:hanging="332"/>
        <w:spacing w:after="0"/>
        <w:tabs>
          <w:tab w:leader="none" w:pos="76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 plus service is greater than 90, with age at least 55</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97" w:right="439" w:bottom="1440" w:gutter="0" w:footer="0" w:header="0"/>
          <w:type w:val="continuous"/>
        </w:sectPr>
      </w:pPr>
    </w:p>
    <w:bookmarkStart w:id="25" w:name="page26"/>
    <w:bookmarkEnd w:id="25"/>
    <w:p>
      <w:pPr>
        <w:ind w:left="424" w:right="80" w:hanging="424"/>
        <w:spacing w:after="0" w:line="226" w:lineRule="auto"/>
        <w:tabs>
          <w:tab w:leader="none" w:pos="4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Changes in the present value of benefits in 2023 are attributable to the Retirement Plan and the corresponding benefit under the SERP are as follows: Mr. O’Shaughnessy – $34,282 Retirement Plan; Mr. Cooney – $171,097 Retirement Plan; Mr. Maas – $32,847 Retirement Plan; Mr. Rosen – $49,386 Retirement Plan, $1,138,686 the SERP; and Ms. Maddrey – $140,573 Retirement Plan. The values of accumulated plan benefits were determined using a discount rate of 5.20% (5.10% for SERP) at December 31, 2023, 5.50 at December 31, 2022 and 2.90% at December 31, 2021, with PRI-2012 Fully Generational Mortality Table for males and females using Scale MP-2021 with a 90% white-collar and 10% blue-collar blend (100% white-collar for Nonqualified benefits) at December 31, 2023, December 31, 2022 and December 31, 2021. In addition, 50% of the benefit accumulated under the qualified Graham Schedule is valued as a lump-sum, and 50% valued as an annuity payable for life. It is also assumed that benefits under the Cash Balance and Secure Retirement Account Schedules will be taken as a lump-sum with a 90% probability and an annuity with a 10% probability. At December 31, 2023, the annuity was converted into a lump-sum value using the 2024 PPA combined unisex mortality for single-sum payments and interest rates of 5.45% for payments in the first 5 years, 5.52% for payments in years 5 through 20 and 5.43% for years thereafter. At December 31, 2022, the annuity was converted into a lump-sum value using the 2023 PPA combined unisex mortality for single-sum payments and interest rates of 3.79% for payments in the first 5 years, 4.62% for payments in years 5 through 20 and 4.69% for years thereafter. At December 31, 2021, the annuity was converted into a lump-sum value using the 2022 PPA combined unisex mortality for single-sum payments and interest rates of 0.66% for payments in the first 5 years, 2.50% for payments in years 5 through 20 and 3.12% for years thereafter.</w:t>
      </w:r>
    </w:p>
    <w:p>
      <w:pPr>
        <w:spacing w:after="0" w:line="8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4"/>
          <w:szCs w:val="14"/>
          <w:color w:val="auto"/>
        </w:rPr>
        <w:t>5. </w:t>
      </w:r>
      <w:r>
        <w:rPr>
          <w:sz w:val="20"/>
          <w:szCs w:val="20"/>
          <w:color w:val="auto"/>
        </w:rPr>
        <w:tab/>
      </w:r>
      <w:r>
        <w:rPr>
          <w:rFonts w:ascii="Times New Roman" w:cs="Times New Roman" w:eastAsia="Times New Roman" w:hAnsi="Times New Roman"/>
          <w:sz w:val="14"/>
          <w:szCs w:val="14"/>
          <w:color w:val="auto"/>
        </w:rPr>
        <w:t>2023, the amounts shown include the information detailed in the following table:</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For</w:t>
      </w:r>
    </w:p>
    <w:p>
      <w:pPr>
        <w:spacing w:after="0" w:line="1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3140" w:type="dxa"/>
            <w:vAlign w:val="bottom"/>
            <w:tcBorders>
              <w:top w:val="single" w:sz="8" w:color="auto"/>
              <w:left w:val="single" w:sz="8" w:color="auto"/>
              <w:right w:val="single" w:sz="8" w:color="auto"/>
            </w:tcBorders>
          </w:tcPr>
          <w:p>
            <w:pPr>
              <w:spacing w:after="0"/>
              <w:rPr>
                <w:sz w:val="11"/>
                <w:szCs w:val="11"/>
                <w:color w:val="auto"/>
              </w:rPr>
            </w:pPr>
          </w:p>
        </w:tc>
        <w:tc>
          <w:tcPr>
            <w:tcW w:w="1280" w:type="dxa"/>
            <w:vAlign w:val="bottom"/>
            <w:tcBorders>
              <w:top w:val="single" w:sz="8" w:color="auto"/>
              <w:right w:val="single" w:sz="8" w:color="auto"/>
            </w:tcBorders>
          </w:tcPr>
          <w:p>
            <w:pPr>
              <w:spacing w:after="0"/>
              <w:rPr>
                <w:sz w:val="11"/>
                <w:szCs w:val="11"/>
                <w:color w:val="auto"/>
              </w:rPr>
            </w:pPr>
          </w:p>
        </w:tc>
        <w:tc>
          <w:tcPr>
            <w:tcW w:w="1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401(k) Company</w:t>
            </w:r>
          </w:p>
        </w:tc>
        <w:tc>
          <w:tcPr>
            <w:tcW w:w="240" w:type="dxa"/>
            <w:vAlign w:val="bottom"/>
            <w:tcBorders>
              <w:top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SERP Company</w:t>
            </w:r>
          </w:p>
        </w:tc>
        <w:tc>
          <w:tcPr>
            <w:tcW w:w="1280" w:type="dxa"/>
            <w:vAlign w:val="bottom"/>
            <w:tcBorders>
              <w:top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140" w:type="dxa"/>
            <w:vAlign w:val="bottom"/>
            <w:tcBorders>
              <w:left w:val="single" w:sz="8" w:color="auto"/>
              <w:right w:val="single" w:sz="8" w:color="auto"/>
            </w:tcBorders>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Perquisites ($)</w:t>
            </w:r>
          </w:p>
        </w:tc>
        <w:tc>
          <w:tcPr>
            <w:tcW w:w="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12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6"/>
              </w:rPr>
              <w:t>   Total ($)</w:t>
            </w:r>
          </w:p>
        </w:tc>
        <w:tc>
          <w:tcPr>
            <w:tcW w:w="0" w:type="dxa"/>
            <w:vAlign w:val="bottom"/>
          </w:tcPr>
          <w:p>
            <w:pPr>
              <w:spacing w:after="0"/>
              <w:rPr>
                <w:sz w:val="1"/>
                <w:szCs w:val="1"/>
                <w:color w:val="auto"/>
              </w:rPr>
            </w:pPr>
          </w:p>
        </w:tc>
      </w:tr>
      <w:tr>
        <w:trPr>
          <w:trHeight w:val="148"/>
        </w:trPr>
        <w:tc>
          <w:tcPr>
            <w:tcW w:w="3140" w:type="dxa"/>
            <w:vAlign w:val="bottom"/>
            <w:tcBorders>
              <w:left w:val="single" w:sz="8" w:color="auto"/>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460" w:type="dxa"/>
            <w:vAlign w:val="bottom"/>
            <w:tcBorders>
              <w:right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0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Dividends ($)</w:t>
            </w:r>
          </w:p>
        </w:tc>
        <w:tc>
          <w:tcPr>
            <w:tcW w:w="2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Compensation</w:t>
            </w: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40" w:type="dxa"/>
            <w:vAlign w:val="bottom"/>
            <w:tcBorders>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(a)</w:t>
            </w:r>
          </w:p>
        </w:tc>
        <w:tc>
          <w:tcPr>
            <w:tcW w:w="12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w:t>
            </w:r>
          </w:p>
        </w:tc>
        <w:tc>
          <w:tcPr>
            <w:tcW w:w="1040" w:type="dxa"/>
            <w:vAlign w:val="bottom"/>
            <w:tcBorders>
              <w:bottom w:val="single" w:sz="8" w:color="auto"/>
            </w:tcBorders>
          </w:tcPr>
          <w:p>
            <w:pPr>
              <w:ind w:left="480"/>
              <w:spacing w:after="0" w:line="176" w:lineRule="exact"/>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20"/>
                <w:szCs w:val="20"/>
                <w:b w:val="1"/>
                <w:bCs w:val="1"/>
                <w:color w:val="auto"/>
                <w:vertAlign w:val="superscript"/>
              </w:rPr>
              <w:t>(1)</w:t>
            </w:r>
          </w:p>
        </w:tc>
        <w:tc>
          <w:tcPr>
            <w:tcW w:w="24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(f)</w:t>
            </w:r>
          </w:p>
        </w:tc>
        <w:tc>
          <w:tcPr>
            <w:tcW w:w="100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89"/>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28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7"/>
              </w:rPr>
              <w:t>3,300 </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3,300 </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7"/>
              </w:rPr>
              <w:t>3,300 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6"/>
              </w:rPr>
              <w:t>8,686 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11,986 </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28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7"/>
              </w:rPr>
              <w:t>3,300 </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xml:space="preserve">38,850       </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6"/>
              </w:rPr>
              <w:t>6,950 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49,100 </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7"/>
              </w:rPr>
              <w:t>3,300 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6"/>
              </w:rPr>
              <w:t>8,686 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11,986 </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28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7"/>
              </w:rPr>
              <w:t>3,300 </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6"/>
              </w:rPr>
              <w:t>7,735 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11,035 </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4" w:right="300" w:hanging="424"/>
        <w:spacing w:after="0" w:line="261" w:lineRule="auto"/>
        <w:tabs>
          <w:tab w:leader="none" w:pos="4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dividends attributable to Company stock granted under the Company’s Legacy Plan and 2022 Plan that are not included in the grant date fair value of such restricted stock awards reported in column (e) of the Summary Compensation Table.</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92" w:right="479" w:bottom="1440" w:gutter="0" w:footer="0" w:header="0"/>
        </w:sectPr>
      </w:pPr>
    </w:p>
    <w:bookmarkStart w:id="26" w:name="page27"/>
    <w:bookmarkEnd w:id="26"/>
    <w:p>
      <w:pPr>
        <w:jc w:val="both"/>
        <w:ind w:left="4" w:right="2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provides information on awards made under the 2022 Plan to each of the named executive officers in 2023. Awards granted to the named executive officers under the 2022 Plan in 2023 include annual incentive awards, Performance Units and restricted stock awards.</w:t>
      </w:r>
    </w:p>
    <w:p>
      <w:pPr>
        <w:spacing w:after="0" w:line="13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0"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1640" w:type="dxa"/>
            <w:vAlign w:val="bottom"/>
            <w:tcBorders>
              <w:top w:val="single" w:sz="8" w:color="auto"/>
              <w:left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2320" w:type="dxa"/>
            <w:vAlign w:val="bottom"/>
            <w:tcBorders>
              <w:top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780" w:type="dxa"/>
            <w:vAlign w:val="bottom"/>
            <w:tcBorders>
              <w:top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Future</w:t>
            </w:r>
          </w:p>
        </w:tc>
        <w:tc>
          <w:tcPr>
            <w:tcW w:w="66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178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Equity</w:t>
            </w: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c>
          <w:tcPr>
            <w:tcW w:w="7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8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6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on</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tcBorders>
              <w:right w:val="single" w:sz="8" w:color="auto"/>
            </w:tcBorders>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 ($)</w:t>
            </w:r>
          </w:p>
        </w:tc>
        <w:tc>
          <w:tcPr>
            <w:tcW w:w="78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Different</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7"/>
        </w:trPr>
        <w:tc>
          <w:tcPr>
            <w:tcW w:w="164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(g)</w:t>
            </w:r>
          </w:p>
        </w:tc>
        <w:tc>
          <w:tcPr>
            <w:tcW w:w="5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(h)</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O’Shaughnessy</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1,800,000</w:t>
            </w:r>
          </w:p>
        </w:tc>
        <w:tc>
          <w:tcPr>
            <w:tcW w:w="780" w:type="dxa"/>
            <w:vAlign w:val="bottom"/>
            <w:tcBorders>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12,000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2,400,000</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168,750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337,500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675,000</w:t>
            </w:r>
          </w:p>
        </w:tc>
        <w:tc>
          <w:tcPr>
            <w:tcW w:w="7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650,000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1,300,000</w:t>
            </w:r>
          </w:p>
        </w:tc>
        <w:tc>
          <w:tcPr>
            <w:tcW w:w="7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1/3/2023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616</w:t>
            </w:r>
          </w:p>
        </w:tc>
        <w:tc>
          <w:tcPr>
            <w:tcW w:w="8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605,313</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1,625,000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3,128,125</w:t>
            </w:r>
          </w:p>
        </w:tc>
        <w:tc>
          <w:tcPr>
            <w:tcW w:w="780" w:type="dxa"/>
            <w:vAlign w:val="bottom"/>
            <w:tcBorders>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7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1/3/2023</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493</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300,247</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175,000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350,000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700,000</w:t>
            </w:r>
          </w:p>
        </w:tc>
        <w:tc>
          <w:tcPr>
            <w:tcW w:w="7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7"/>
                <w:szCs w:val="17"/>
                <w:color w:val="auto"/>
              </w:rPr>
            </w:pPr>
          </w:p>
        </w:tc>
        <w:tc>
          <w:tcPr>
            <w:tcW w:w="6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650,000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1,300,000</w:t>
            </w:r>
          </w:p>
        </w:tc>
        <w:tc>
          <w:tcPr>
            <w:tcW w:w="7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1/3/2023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616</w:t>
            </w:r>
          </w:p>
        </w:tc>
        <w:tc>
          <w:tcPr>
            <w:tcW w:w="8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520,000</w:t>
            </w:r>
          </w:p>
        </w:tc>
        <w:tc>
          <w:tcPr>
            <w:tcW w:w="780" w:type="dxa"/>
            <w:vAlign w:val="bottom"/>
            <w:tcBorders>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1,000,000</w:t>
            </w:r>
          </w:p>
        </w:tc>
        <w:tc>
          <w:tcPr>
            <w:tcW w:w="780" w:type="dxa"/>
            <w:vAlign w:val="bottom"/>
            <w:tcBorders>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1/3/2023</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575</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350,187</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424" w:right="20" w:hanging="424"/>
        <w:spacing w:after="0" w:line="229" w:lineRule="auto"/>
        <w:tabs>
          <w:tab w:leader="none" w:pos="42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the threshold, target and maximum payouts under the annual bonus. The amount in column (d) represents the minimum payment level, which is 50% of the target; in the case for Mr. Rosen, it is 37.3%%. The amount shown in column (f) represents the maximum payout level, which is 200% of the target; in the case for Mr. Rosen, it is 192.5% of the target. In the event that the threshold performance level with respect to the performance goals set by the Committee (i.e., 80% of the target performance goal; in the case of</w:t>
      </w:r>
    </w:p>
    <w:p>
      <w:pPr>
        <w:ind w:left="424" w:right="26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Rosen, for the Kaplan component, 65% of enterprise operating income target performance goal, 90% of enterprise revenue target performance goal) is not attained, no amount would be paid. Additional information can be found in “Compensation Discussion and Analysis: Performance-Based Incentive Compensation—Annual Bonuses.”</w:t>
      </w:r>
    </w:p>
    <w:p>
      <w:pPr>
        <w:spacing w:after="0" w:line="27" w:lineRule="exact"/>
        <w:rPr>
          <w:rFonts w:ascii="Times New Roman" w:cs="Times New Roman" w:eastAsia="Times New Roman" w:hAnsi="Times New Roman"/>
          <w:sz w:val="14"/>
          <w:szCs w:val="14"/>
          <w:color w:val="auto"/>
        </w:rPr>
      </w:pPr>
    </w:p>
    <w:p>
      <w:pPr>
        <w:ind w:left="424" w:right="220" w:hanging="424"/>
        <w:spacing w:after="0"/>
        <w:tabs>
          <w:tab w:leader="none" w:pos="42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represent Performance Units granted as part of a four-year award cycle. The Committee has set the performance-based goals for these grants, which are to be paid in fiscal year 2027. The amount in column (d) represents the minimum payout per unit, which is $5.00 per unit.The amount shown in column (e) represents the target value of each unit,which is $100 per unit, and the amount in column (f) represents the maximum payout per unit,which is $200 per unit. In the event that the goals set by the Committee for these grants are not attained, no amount will be paid. Additional information can be found in “Compensation Discussion and Analysis: Performance-Based Incentive Compensation – Performance Units.”</w:t>
      </w:r>
    </w:p>
    <w:p>
      <w:pPr>
        <w:spacing w:after="0" w:line="166" w:lineRule="exact"/>
        <w:rPr>
          <w:rFonts w:ascii="Times New Roman" w:cs="Times New Roman" w:eastAsia="Times New Roman" w:hAnsi="Times New Roman"/>
          <w:sz w:val="14"/>
          <w:szCs w:val="14"/>
          <w:color w:val="auto"/>
        </w:rPr>
      </w:pPr>
    </w:p>
    <w:p>
      <w:pPr>
        <w:ind w:left="424" w:right="80" w:hanging="424"/>
        <w:spacing w:after="0" w:line="241" w:lineRule="auto"/>
        <w:tabs>
          <w:tab w:leader="none" w:pos="42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represent shares of restricted stock. These awards will vest on January 4, 2027. Grant date fair value calculated using the average of high and low prices of a share of the Company’s Class B Common stock as of January 3, 2023 ($609.02). Additional information can be found in “Compensation Discussion and Analysis: Performance-Based Incentive Compensation – Restricted Stock and Restricted Stock Units.”</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97" w:right="479" w:bottom="1440" w:gutter="0" w:footer="0" w:header="0"/>
        </w:sectPr>
      </w:pPr>
    </w:p>
    <w:bookmarkStart w:id="27" w:name="page28"/>
    <w:bookmarkEnd w:id="27"/>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shows the number of shares covered by exercisable and unexercisable options and unvested restricted stock and restricted stock units held by the Company’s named executive officers on December 31, 2023.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7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(2)</w:t>
            </w: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0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Payout</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880" w:type="dxa"/>
            <w:vAlign w:val="bottom"/>
            <w:tcBorders>
              <w:right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or Units</w:t>
            </w:r>
          </w:p>
        </w:tc>
        <w:tc>
          <w:tcPr>
            <w:tcW w:w="8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Shares or</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Unexercised</w:t>
            </w:r>
          </w:p>
        </w:tc>
        <w:tc>
          <w:tcPr>
            <w:tcW w:w="7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Exercise</w:t>
            </w:r>
          </w:p>
        </w:tc>
        <w:tc>
          <w:tcPr>
            <w:tcW w:w="8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right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Exercisable</w:t>
            </w:r>
          </w:p>
        </w:tc>
        <w:tc>
          <w:tcPr>
            <w:tcW w:w="10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Unexercisable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Expiration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8"/>
        </w:trPr>
        <w:tc>
          <w:tcPr>
            <w:tcW w:w="300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Borders>
              <w:right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300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(a)</w:t>
            </w: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74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(g</w:t>
            </w:r>
            <w:r>
              <w:rPr>
                <w:rFonts w:ascii="Times New Roman" w:cs="Times New Roman" w:eastAsia="Times New Roman" w:hAnsi="Times New Roman"/>
                <w:sz w:val="9"/>
                <w:szCs w:val="9"/>
                <w:b w:val="1"/>
                <w:bCs w:val="1"/>
                <w:color w:val="auto"/>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0"/>
                <w:szCs w:val="10"/>
                <w:b w:val="1"/>
                <w:bCs w:val="1"/>
                <w:color w:val="auto"/>
              </w:rPr>
              <w:t>(3)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82"/>
        </w:trPr>
        <w:tc>
          <w:tcPr>
            <w:tcW w:w="30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9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32,415</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38,630</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426.86</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9/10/2030</w:t>
            </w: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Borders>
              <w:left w:val="single" w:sz="8" w:color="auto"/>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22,742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872.01</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11/12/2025</w:t>
            </w: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300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77,258</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719.15</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11/3/2024</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CCEEFF"/>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080" w:type="dxa"/>
            <w:vAlign w:val="bottom"/>
            <w:tcBorders>
              <w:top w:val="single" w:sz="8" w:color="auto"/>
              <w:bottom w:val="single" w:sz="8" w:color="auto"/>
              <w:right w:val="single" w:sz="8" w:color="auto"/>
            </w:tcBorders>
          </w:tcPr>
          <w:p>
            <w:pPr>
              <w:spacing w:after="0"/>
              <w:rPr>
                <w:sz w:val="16"/>
                <w:szCs w:val="16"/>
                <w:color w:val="auto"/>
              </w:rPr>
            </w:pP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845.72</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4/1/2027</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1,316</w:t>
            </w:r>
          </w:p>
        </w:tc>
        <w:tc>
          <w:tcPr>
            <w:tcW w:w="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916,620</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top w:val="single" w:sz="8" w:color="auto"/>
              <w:bottom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1,053</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733,436</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804.80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10/26/2025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1,316</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916,620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Borders>
              <w:left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3,494,076</w:t>
            </w:r>
          </w:p>
        </w:tc>
        <w:tc>
          <w:tcPr>
            <w:tcW w:w="0" w:type="dxa"/>
            <w:vAlign w:val="bottom"/>
          </w:tcPr>
          <w:p>
            <w:pPr>
              <w:spacing w:after="0"/>
              <w:rPr>
                <w:sz w:val="1"/>
                <w:szCs w:val="1"/>
                <w:color w:val="auto"/>
              </w:rPr>
            </w:pP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1,172</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816,321</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4" w:right="80" w:hanging="424"/>
        <w:spacing w:after="0" w:line="241"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O’Shaughnessy received a special new-hire option grant, an option grant in connection with his promotion to Chief Executive Officer and an option grant in 2020 that each vested or vests ratably over a six-year period. Mr. Cooney received an option grant in connection with his promotion to Chief Financial Officer and Mr. Maas received a special new-hire option grant; both grants vested ratably over a six-year period. The following are the vesting dates of outstanding options granted to the named executive officers: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1</w:t>
            </w:r>
          </w:p>
        </w:tc>
        <w:tc>
          <w:tcPr>
            <w:tcW w:w="50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6</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Vested at</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5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2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71,045</w:t>
            </w: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9/10/2021</w:t>
            </w:r>
          </w:p>
        </w:tc>
        <w:tc>
          <w:tcPr>
            <w:tcW w:w="500" w:type="dxa"/>
            <w:vAlign w:val="bottom"/>
            <w:tcBorders>
              <w:top w:val="single" w:sz="8" w:color="CCEEFF"/>
            </w:tcBorders>
            <w:shd w:val="clear" w:color="auto" w:fill="CCEEFF"/>
          </w:tcPr>
          <w:p>
            <w:pPr>
              <w:ind w:left="240"/>
              <w:spacing w:after="0" w:line="119" w:lineRule="exact"/>
              <w:rPr>
                <w:sz w:val="20"/>
                <w:szCs w:val="20"/>
                <w:color w:val="auto"/>
              </w:rPr>
            </w:pPr>
            <w:r>
              <w:rPr>
                <w:rFonts w:ascii="Times New Roman" w:cs="Times New Roman" w:eastAsia="Times New Roman" w:hAnsi="Times New Roman"/>
                <w:sz w:val="13"/>
                <w:szCs w:val="13"/>
                <w:color w:val="auto"/>
              </w:rPr>
              <w:t>to</w:t>
            </w:r>
          </w:p>
        </w:tc>
        <w:tc>
          <w:tcPr>
            <w:tcW w:w="10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9/10/2026</w:t>
            </w: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32,415</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38,630</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22,742</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11/12/2016</w:t>
            </w:r>
          </w:p>
        </w:tc>
        <w:tc>
          <w:tcPr>
            <w:tcW w:w="5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11/12/2021</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22,742</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77,258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11/3/2015</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11/3/2020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77,258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4/1/2018</w:t>
            </w:r>
          </w:p>
        </w:tc>
        <w:tc>
          <w:tcPr>
            <w:tcW w:w="5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Jacob M. Maas</w:t>
            </w:r>
          </w:p>
        </w:tc>
        <w:tc>
          <w:tcPr>
            <w:tcW w:w="11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10/26/2016</w:t>
            </w:r>
          </w:p>
        </w:tc>
        <w:tc>
          <w:tcPr>
            <w:tcW w:w="5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10/26/2021</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424" w:right="100" w:hanging="424"/>
        <w:spacing w:after="0" w:line="26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other than the 2022 grant of restricted stock units to Mr. Maas, have been granted in the form of restricted stock under the Company’s Legacy Plan and 2022 Plan as of December 31, 2023. All of the awards listed below vest 100% at the end of the relevant award cycle. The following are the vesting dates of the grants to the named executive officers:</w:t>
      </w:r>
    </w:p>
    <w:p>
      <w:pPr>
        <w:spacing w:after="0" w:line="175" w:lineRule="exact"/>
        <w:rPr>
          <w:sz w:val="20"/>
          <w:szCs w:val="20"/>
          <w:color w:val="auto"/>
        </w:rPr>
      </w:pPr>
    </w:p>
    <w:tbl>
      <w:tblPr>
        <w:tblLayout w:type="fixed"/>
        <w:tblInd w:w="2204"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w:t>
            </w:r>
          </w:p>
        </w:tc>
      </w:tr>
      <w:tr>
        <w:trPr>
          <w:trHeight w:val="173"/>
        </w:trPr>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19"/>
        </w:trPr>
        <w:tc>
          <w:tcPr>
            <w:tcW w:w="350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Wallace R. Cooney</w:t>
            </w:r>
          </w:p>
        </w:tc>
        <w:tc>
          <w:tcPr>
            <w:tcW w:w="6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616</w:t>
            </w:r>
          </w:p>
        </w:tc>
        <w:tc>
          <w:tcPr>
            <w:tcW w:w="6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1/4/2027</w:t>
            </w:r>
          </w:p>
        </w:tc>
      </w:tr>
      <w:tr>
        <w:trPr>
          <w:trHeight w:val="171"/>
        </w:trPr>
        <w:tc>
          <w:tcPr>
            <w:tcW w:w="35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700</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Andrew S. Rosen</w:t>
            </w:r>
          </w:p>
        </w:tc>
        <w:tc>
          <w:tcPr>
            <w:tcW w:w="1680" w:type="dxa"/>
            <w:vAlign w:val="bottom"/>
            <w:gridSpan w:val="2"/>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493</w:t>
            </w:r>
          </w:p>
        </w:tc>
        <w:tc>
          <w:tcPr>
            <w:tcW w:w="6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71"/>
        </w:trPr>
        <w:tc>
          <w:tcPr>
            <w:tcW w:w="3500" w:type="dxa"/>
            <w:vAlign w:val="bottom"/>
          </w:tcPr>
          <w:p>
            <w:pPr>
              <w:spacing w:after="0"/>
              <w:rPr>
                <w:sz w:val="14"/>
                <w:szCs w:val="14"/>
                <w:color w:val="auto"/>
              </w:rPr>
            </w:pPr>
          </w:p>
        </w:tc>
        <w:tc>
          <w:tcPr>
            <w:tcW w:w="168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rPr>
              <w:t>560</w:t>
            </w:r>
          </w:p>
        </w:tc>
        <w:tc>
          <w:tcPr>
            <w:tcW w:w="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Jacob M. Maas</w:t>
            </w:r>
          </w:p>
        </w:tc>
        <w:tc>
          <w:tcPr>
            <w:tcW w:w="1680" w:type="dxa"/>
            <w:vAlign w:val="bottom"/>
            <w:gridSpan w:val="2"/>
            <w:shd w:val="clear" w:color="auto" w:fill="CCEEFF"/>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616</w:t>
            </w:r>
          </w:p>
        </w:tc>
        <w:tc>
          <w:tcPr>
            <w:tcW w:w="6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71"/>
        </w:trPr>
        <w:tc>
          <w:tcPr>
            <w:tcW w:w="35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700</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Nicole M. Maddrey</w:t>
            </w:r>
          </w:p>
        </w:tc>
        <w:tc>
          <w:tcPr>
            <w:tcW w:w="1680" w:type="dxa"/>
            <w:vAlign w:val="bottom"/>
            <w:gridSpan w:val="2"/>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575</w:t>
            </w:r>
          </w:p>
        </w:tc>
        <w:tc>
          <w:tcPr>
            <w:tcW w:w="6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88"/>
        </w:trPr>
        <w:tc>
          <w:tcPr>
            <w:tcW w:w="3500" w:type="dxa"/>
            <w:vAlign w:val="bottom"/>
          </w:tcPr>
          <w:p>
            <w:pPr>
              <w:spacing w:after="0"/>
              <w:rPr>
                <w:sz w:val="16"/>
                <w:szCs w:val="16"/>
                <w:color w:val="auto"/>
              </w:rPr>
            </w:pPr>
          </w:p>
        </w:tc>
        <w:tc>
          <w:tcPr>
            <w:tcW w:w="168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rPr>
              <w:t>597</w:t>
            </w:r>
          </w:p>
        </w:tc>
        <w:tc>
          <w:tcPr>
            <w:tcW w:w="6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1/2/2025</w:t>
            </w:r>
          </w:p>
        </w:tc>
      </w:tr>
    </w:tbl>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2022, Mr. Maas received a restricted stock unit award that is subject to price-based vesting conditions. Mr. Maas’ award vests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follows: 1,000 shares will vest if the Company’s Class B common stock’s closing share price meets or exceeds $700 per share for 90 consecutive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calendar days; and an additional 1,000 shares will vest following each incremental increase of $100 per share (above $700) in the Company’s share price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90 consecutive calendar days. Each target can only be achieved once through the award’s expiration date. The grant date fair value of the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award was estimated using a Monte Carlo simulation and is recognized over the derived service period of each tranche. No portion of this award vested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2022 or 2023.</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97" w:right="439" w:bottom="1440" w:gutter="0" w:footer="0" w:header="0"/>
        </w:sectPr>
      </w:pPr>
    </w:p>
    <w:bookmarkStart w:id="28" w:name="page29"/>
    <w:bookmarkEnd w:id="28"/>
    <w:p>
      <w:pPr>
        <w:spacing w:after="0"/>
        <w:tabs>
          <w:tab w:leader="none" w:pos="4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3. </w:t>
      </w:r>
      <w:r>
        <w:rPr>
          <w:sz w:val="20"/>
          <w:szCs w:val="20"/>
          <w:color w:val="auto"/>
        </w:rPr>
        <w:tab/>
      </w:r>
      <w:r>
        <w:rPr>
          <w:rFonts w:ascii="Times New Roman" w:cs="Times New Roman" w:eastAsia="Times New Roman" w:hAnsi="Times New Roman"/>
          <w:sz w:val="14"/>
          <w:szCs w:val="14"/>
          <w:color w:val="auto"/>
        </w:rPr>
        <w:t>Calculated using the closing price of a share of the Company’s Class B Common Stock as of December 29, 2023 ($696.52).</w:t>
      </w:r>
    </w:p>
    <w:p>
      <w:pPr>
        <w:spacing w:after="0" w:line="10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Class B shares acquired upon the exercise of options and/or vesting of stock awards held by the named executive officers in fiscal year 2023 and the value realized upon such vesting.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4"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5800" w:type="dxa"/>
            <w:vAlign w:val="bottom"/>
            <w:tcBorders>
              <w:top w:val="single" w:sz="8" w:color="auto"/>
              <w:left w:val="single" w:sz="8" w:color="auto"/>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right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580" w:type="dxa"/>
            <w:vAlign w:val="bottom"/>
            <w:tcBorders>
              <w:top w:val="single" w:sz="8" w:color="auto"/>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5800" w:type="dxa"/>
            <w:vAlign w:val="bottom"/>
            <w:tcBorders>
              <w:left w:val="single" w:sz="8" w:color="auto"/>
              <w:right w:val="single" w:sz="8" w:color="auto"/>
            </w:tcBorders>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40" w:type="dxa"/>
            <w:vAlign w:val="bottom"/>
            <w:tcBorders>
              <w:right w:val="single" w:sz="8" w:color="auto"/>
            </w:tcBorders>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3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   Value Realized</w:t>
            </w:r>
          </w:p>
        </w:tc>
        <w:tc>
          <w:tcPr>
            <w:tcW w:w="0" w:type="dxa"/>
            <w:vAlign w:val="bottom"/>
          </w:tcPr>
          <w:p>
            <w:pPr>
              <w:spacing w:after="0"/>
              <w:rPr>
                <w:sz w:val="1"/>
                <w:szCs w:val="1"/>
                <w:color w:val="auto"/>
              </w:rPr>
            </w:pPr>
          </w:p>
        </w:tc>
      </w:tr>
      <w:tr>
        <w:trPr>
          <w:trHeight w:val="148"/>
        </w:trPr>
        <w:tc>
          <w:tcPr>
            <w:tcW w:w="5800" w:type="dxa"/>
            <w:vAlign w:val="bottom"/>
            <w:tcBorders>
              <w:left w:val="single" w:sz="8" w:color="auto"/>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12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2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Shares Acquired</w:t>
            </w:r>
          </w:p>
        </w:tc>
        <w:tc>
          <w:tcPr>
            <w:tcW w:w="1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1220" w:type="dxa"/>
            <w:vAlign w:val="bottom"/>
            <w:tcBorders>
              <w:right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92"/>
              </w:rPr>
              <w:t>   on Exercise ($)</w:t>
            </w:r>
          </w:p>
        </w:tc>
        <w:tc>
          <w:tcPr>
            <w:tcW w:w="1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187"/>
        </w:trPr>
        <w:tc>
          <w:tcPr>
            <w:tcW w:w="5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(b)</w:t>
            </w:r>
          </w:p>
        </w:tc>
        <w:tc>
          <w:tcPr>
            <w:tcW w:w="1220" w:type="dxa"/>
            <w:vAlign w:val="bottom"/>
            <w:tcBorders>
              <w:bottom w:val="single" w:sz="8" w:color="auto"/>
              <w:right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90"/>
        </w:trPr>
        <w:tc>
          <w:tcPr>
            <w:tcW w:w="5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Timothy J. O’Shaughnessy</w:t>
            </w: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right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3,060</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448,418</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Wallace R. Cooney</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600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365,412</w:t>
            </w: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Andrew S. Rosen</w:t>
            </w: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820</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499,396</w:t>
            </w: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Jacob M. Maas</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600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365,412</w:t>
            </w: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Nicole M. Maddrey</w:t>
            </w: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500</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304,510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92" w:right="4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 VERSUS PERFORMANCE</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and supporting graphics provide information regarding the relationship between executive compensation actually paid (as defined by SEC rules) and the Company’s financial performance as required by Item 402(v) of SEC Regulation S-K. For further information about how the Company aligns executive compensation with performance, see “Compensation Discussion and Analysis” in this Proxy Statement. The amounts in the table below are calculated in accordance with SEC rules and do not represent amounts actually earned or realized by the named executive officers (NEOs).</w:t>
      </w:r>
    </w:p>
    <w:p>
      <w:pPr>
        <w:spacing w:after="0" w:line="209"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2160" w:type="dxa"/>
            <w:vAlign w:val="bottom"/>
            <w:tcBorders>
              <w:top w:val="single" w:sz="8" w:color="auto"/>
              <w:left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60" w:type="dxa"/>
            <w:vAlign w:val="bottom"/>
            <w:tcBorders>
              <w:top w:val="single" w:sz="8" w:color="auto"/>
              <w:right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7"/>
        </w:trPr>
        <w:tc>
          <w:tcPr>
            <w:tcW w:w="2160" w:type="dxa"/>
            <w:vAlign w:val="bottom"/>
            <w:tcBorders>
              <w:left w:val="single" w:sz="8" w:color="auto"/>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vMerge w:val="restart"/>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tcBorders>
              <w:right w:val="single" w:sz="8" w:color="auto"/>
            </w:tcBorders>
            <w:vMerge w:val="restart"/>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vMerge w:val="restart"/>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77"/>
        </w:trPr>
        <w:tc>
          <w:tcPr>
            <w:tcW w:w="2160" w:type="dxa"/>
            <w:vAlign w:val="bottom"/>
            <w:tcBorders>
              <w:left w:val="single" w:sz="8" w:color="auto"/>
              <w:right w:val="single" w:sz="8" w:color="auto"/>
            </w:tcBorders>
          </w:tcPr>
          <w:p>
            <w:pPr>
              <w:spacing w:after="0"/>
              <w:rPr>
                <w:sz w:val="6"/>
                <w:szCs w:val="6"/>
                <w:color w:val="auto"/>
              </w:rPr>
            </w:pPr>
          </w:p>
        </w:tc>
        <w:tc>
          <w:tcPr>
            <w:tcW w:w="118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9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9"/>
        </w:trPr>
        <w:tc>
          <w:tcPr>
            <w:tcW w:w="2160" w:type="dxa"/>
            <w:vAlign w:val="bottom"/>
            <w:tcBorders>
              <w:left w:val="single" w:sz="8" w:color="auto"/>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tcBorders>
              <w:right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8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1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to Non-CEO</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CEO ($)</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 CEO ($)</w:t>
            </w:r>
          </w:p>
        </w:tc>
        <w:tc>
          <w:tcPr>
            <w:tcW w:w="118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NEOs ($)</w:t>
            </w:r>
          </w:p>
        </w:tc>
        <w:tc>
          <w:tcPr>
            <w:tcW w:w="11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NEOs ($)</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10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9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11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87"/>
        </w:trPr>
        <w:tc>
          <w:tcPr>
            <w:tcW w:w="216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18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w:t>
            </w:r>
          </w:p>
        </w:tc>
        <w:tc>
          <w:tcPr>
            <w:tcW w:w="114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w:t>
            </w:r>
          </w:p>
        </w:tc>
        <w:tc>
          <w:tcPr>
            <w:tcW w:w="10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9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10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shd w:val="clear" w:color="auto" w:fill="CCEEFF"/>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118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1,781,256</w:t>
            </w:r>
          </w:p>
        </w:tc>
        <w:tc>
          <w:tcPr>
            <w:tcW w:w="11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4,259,793</w:t>
            </w:r>
          </w:p>
        </w:tc>
        <w:tc>
          <w:tcPr>
            <w:tcW w:w="118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2,684,386</w:t>
            </w:r>
          </w:p>
        </w:tc>
        <w:tc>
          <w:tcPr>
            <w:tcW w:w="114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2,909,823</w:t>
            </w:r>
          </w:p>
        </w:tc>
        <w:tc>
          <w:tcPr>
            <w:tcW w:w="102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114.15</w:t>
            </w:r>
          </w:p>
        </w:tc>
        <w:tc>
          <w:tcPr>
            <w:tcW w:w="10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91.38</w:t>
            </w:r>
          </w:p>
        </w:tc>
        <w:tc>
          <w:tcPr>
            <w:tcW w:w="96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211.7</w:t>
            </w:r>
          </w:p>
        </w:tc>
        <w:tc>
          <w:tcPr>
            <w:tcW w:w="110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218.5</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118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3,487,464</w:t>
            </w:r>
          </w:p>
        </w:tc>
        <w:tc>
          <w:tcPr>
            <w:tcW w:w="11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4,277,957</w:t>
            </w:r>
          </w:p>
        </w:tc>
        <w:tc>
          <w:tcPr>
            <w:tcW w:w="118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2,997,459</w:t>
            </w:r>
          </w:p>
        </w:tc>
        <w:tc>
          <w:tcPr>
            <w:tcW w:w="114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3,254,318</w:t>
            </w:r>
          </w:p>
        </w:tc>
        <w:tc>
          <w:tcPr>
            <w:tcW w:w="102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97.93</w:t>
            </w:r>
          </w:p>
        </w:tc>
        <w:tc>
          <w:tcPr>
            <w:tcW w:w="10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80.53</w:t>
            </w:r>
          </w:p>
        </w:tc>
        <w:tc>
          <w:tcPr>
            <w:tcW w:w="96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70.4</w:t>
            </w:r>
          </w:p>
        </w:tc>
        <w:tc>
          <w:tcPr>
            <w:tcW w:w="110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shd w:val="clear" w:color="auto" w:fill="CCEEFF"/>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118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2,272,461</w:t>
            </w:r>
          </w:p>
        </w:tc>
        <w:tc>
          <w:tcPr>
            <w:tcW w:w="11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7,665,501</w:t>
            </w:r>
          </w:p>
        </w:tc>
        <w:tc>
          <w:tcPr>
            <w:tcW w:w="118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2,438,194</w:t>
            </w:r>
          </w:p>
        </w:tc>
        <w:tc>
          <w:tcPr>
            <w:tcW w:w="114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2,712,613</w:t>
            </w:r>
          </w:p>
        </w:tc>
        <w:tc>
          <w:tcPr>
            <w:tcW w:w="102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100.99</w:t>
            </w:r>
          </w:p>
        </w:tc>
        <w:tc>
          <w:tcPr>
            <w:tcW w:w="10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66.93</w:t>
            </w:r>
          </w:p>
        </w:tc>
        <w:tc>
          <w:tcPr>
            <w:tcW w:w="96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353.3</w:t>
            </w:r>
          </w:p>
        </w:tc>
        <w:tc>
          <w:tcPr>
            <w:tcW w:w="110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118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9,652,756</w:t>
            </w:r>
          </w:p>
        </w:tc>
        <w:tc>
          <w:tcPr>
            <w:tcW w:w="11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16,264,685</w:t>
            </w:r>
          </w:p>
        </w:tc>
        <w:tc>
          <w:tcPr>
            <w:tcW w:w="118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2,815,080</w:t>
            </w:r>
          </w:p>
        </w:tc>
        <w:tc>
          <w:tcPr>
            <w:tcW w:w="114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1,824,204</w:t>
            </w:r>
          </w:p>
        </w:tc>
        <w:tc>
          <w:tcPr>
            <w:tcW w:w="102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84.68</w:t>
            </w:r>
          </w:p>
        </w:tc>
        <w:tc>
          <w:tcPr>
            <w:tcW w:w="10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132.43</w:t>
            </w:r>
          </w:p>
        </w:tc>
        <w:tc>
          <w:tcPr>
            <w:tcW w:w="96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300.0</w:t>
            </w:r>
          </w:p>
        </w:tc>
        <w:tc>
          <w:tcPr>
            <w:tcW w:w="110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(b). </w:t>
      </w:r>
      <w:r>
        <w:rPr>
          <w:rFonts w:ascii="Times New Roman" w:cs="Times New Roman" w:eastAsia="Times New Roman" w:hAnsi="Times New Roman"/>
          <w:sz w:val="18"/>
          <w:szCs w:val="18"/>
          <w:color w:val="auto"/>
        </w:rPr>
        <w:t>Reflects compensation amounts reported in the “Summary Compensation Table” for our CEO, Timothy J. O’Shaughnessy,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respective years shown.</w:t>
      </w:r>
    </w:p>
    <w:p>
      <w:pPr>
        <w:spacing w:after="0" w:line="155" w:lineRule="exact"/>
        <w:rPr>
          <w:sz w:val="20"/>
          <w:szCs w:val="20"/>
          <w:color w:val="auto"/>
        </w:rPr>
      </w:pPr>
    </w:p>
    <w:p>
      <w:pPr>
        <w:ind w:right="1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(c). </w:t>
      </w:r>
      <w:r>
        <w:rPr>
          <w:rFonts w:ascii="Times New Roman" w:cs="Times New Roman" w:eastAsia="Times New Roman" w:hAnsi="Times New Roman"/>
          <w:sz w:val="18"/>
          <w:szCs w:val="18"/>
          <w:color w:val="auto"/>
        </w:rPr>
        <w:t>“Compensation actually paid” to the CEO in each of 2023, 2022, 2021 and 2020 reflects the respective amounts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column (b) of the table above, adjusted as set forth in the table below, as determined in accordance with Item 402(v) of Regulation S-K. The dollar amounts reflected in the table above do not reflect the actual amount of compensation earned or paid to the CEO during the applicable year. The adjustments in the table below were made to Mr. O’Shaughnessy’s total compensation for each year to determine the compensation actually paid:</w:t>
      </w:r>
    </w:p>
    <w:p>
      <w:pPr>
        <w:spacing w:after="0" w:line="206"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732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Mr. O’Shaughnessy</w:t>
            </w: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8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$1,781,256</w:t>
            </w:r>
          </w:p>
        </w:tc>
        <w:tc>
          <w:tcPr>
            <w:tcW w:w="8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$3,487,464</w:t>
            </w: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$2,272,461</w:t>
            </w:r>
          </w:p>
        </w:tc>
        <w:tc>
          <w:tcPr>
            <w:tcW w:w="94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$9,652,756</w:t>
            </w: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Change in Pension Value and Non-Qualified Deferred Compensation Earnings reported in SCT</w:t>
            </w:r>
          </w:p>
        </w:tc>
        <w:tc>
          <w:tcPr>
            <w:tcW w:w="86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(34,382)</w:t>
            </w:r>
          </w:p>
        </w:tc>
        <w:tc>
          <w:tcPr>
            <w:tcW w:w="86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(22,908)</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(19,561)</w:t>
            </w:r>
          </w:p>
        </w:tc>
        <w:tc>
          <w:tcPr>
            <w:tcW w:w="94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(19,356)</w:t>
            </w:r>
          </w:p>
        </w:tc>
        <w:tc>
          <w:tcPr>
            <w:tcW w:w="0" w:type="dxa"/>
            <w:vAlign w:val="bottom"/>
          </w:tcPr>
          <w:p>
            <w:pPr>
              <w:spacing w:after="0"/>
              <w:rPr>
                <w:sz w:val="1"/>
                <w:szCs w:val="1"/>
                <w:color w:val="auto"/>
              </w:rPr>
            </w:pPr>
          </w:p>
        </w:tc>
      </w:tr>
      <w:tr>
        <w:trPr>
          <w:trHeight w:val="119"/>
        </w:trPr>
        <w:tc>
          <w:tcPr>
            <w:tcW w:w="732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Pension value attributable to current year’s service cost and any change in pension value attributable to plan</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18,178</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17,528</w:t>
            </w:r>
          </w:p>
        </w:tc>
        <w:tc>
          <w:tcPr>
            <w:tcW w:w="14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16,048</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15,472</w:t>
            </w:r>
          </w:p>
        </w:tc>
        <w:tc>
          <w:tcPr>
            <w:tcW w:w="0" w:type="dxa"/>
            <w:vAlign w:val="bottom"/>
          </w:tcPr>
          <w:p>
            <w:pPr>
              <w:spacing w:after="0"/>
              <w:rPr>
                <w:sz w:val="1"/>
                <w:szCs w:val="1"/>
                <w:color w:val="auto"/>
              </w:rPr>
            </w:pPr>
          </w:p>
        </w:tc>
      </w:tr>
      <w:tr>
        <w:trPr>
          <w:trHeight w:val="171"/>
        </w:trPr>
        <w:tc>
          <w:tcPr>
            <w:tcW w:w="7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amendments made in the current year</w:t>
            </w: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(7,245,719)</w:t>
            </w: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Plus: Fair value of equity compensation granted in current year that are outstanding and unvested as of year-end</w:t>
            </w:r>
          </w:p>
        </w:tc>
        <w:tc>
          <w:tcPr>
            <w:tcW w:w="8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14,125,853</w:t>
            </w:r>
          </w:p>
        </w:tc>
        <w:tc>
          <w:tcPr>
            <w:tcW w:w="0" w:type="dxa"/>
            <w:vAlign w:val="bottom"/>
          </w:tcPr>
          <w:p>
            <w:pPr>
              <w:spacing w:after="0"/>
              <w:rPr>
                <w:sz w:val="1"/>
                <w:szCs w:val="1"/>
                <w:color w:val="auto"/>
              </w:rPr>
            </w:pPr>
          </w:p>
        </w:tc>
      </w:tr>
      <w:tr>
        <w:trPr>
          <w:trHeight w:val="119"/>
        </w:trPr>
        <w:tc>
          <w:tcPr>
            <w:tcW w:w="732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vesting date for awards made in prior fiscal years that vested during</w:t>
            </w:r>
          </w:p>
        </w:tc>
        <w:tc>
          <w:tcPr>
            <w:tcW w:w="8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(314,046)</w:t>
            </w:r>
          </w:p>
        </w:tc>
        <w:tc>
          <w:tcPr>
            <w:tcW w:w="8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(187,892)</w:t>
            </w:r>
          </w:p>
        </w:tc>
        <w:tc>
          <w:tcPr>
            <w:tcW w:w="14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757,186</w:t>
            </w:r>
          </w:p>
        </w:tc>
        <w:tc>
          <w:tcPr>
            <w:tcW w:w="9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(326,380)</w:t>
            </w:r>
          </w:p>
        </w:tc>
        <w:tc>
          <w:tcPr>
            <w:tcW w:w="0" w:type="dxa"/>
            <w:vAlign w:val="bottom"/>
          </w:tcPr>
          <w:p>
            <w:pPr>
              <w:spacing w:after="0"/>
              <w:rPr>
                <w:sz w:val="1"/>
                <w:szCs w:val="1"/>
                <w:color w:val="auto"/>
              </w:rPr>
            </w:pPr>
          </w:p>
        </w:tc>
      </w:tr>
      <w:tr>
        <w:trPr>
          <w:trHeight w:val="171"/>
        </w:trPr>
        <w:tc>
          <w:tcPr>
            <w:tcW w:w="73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current fiscal year</w:t>
            </w: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end of current fiscal year for awards made in prior fiscal years that</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2,808,787</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983,765</w:t>
            </w:r>
          </w:p>
        </w:tc>
        <w:tc>
          <w:tcPr>
            <w:tcW w:w="14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4,639,367</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62,059</w:t>
            </w:r>
          </w:p>
        </w:tc>
        <w:tc>
          <w:tcPr>
            <w:tcW w:w="0" w:type="dxa"/>
            <w:vAlign w:val="bottom"/>
          </w:tcPr>
          <w:p>
            <w:pPr>
              <w:spacing w:after="0"/>
              <w:rPr>
                <w:sz w:val="1"/>
                <w:szCs w:val="1"/>
                <w:color w:val="auto"/>
              </w:rPr>
            </w:pPr>
          </w:p>
        </w:tc>
      </w:tr>
      <w:tr>
        <w:trPr>
          <w:trHeight w:val="171"/>
        </w:trPr>
        <w:tc>
          <w:tcPr>
            <w:tcW w:w="7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were unvested at end of current fiscal year</w:t>
            </w: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732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Dividends or other earnings paid on stock or option awards in the current fiscal year prior to the vesting date that are not</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otherwise included in the total compensation for the current fiscal year</w:t>
            </w: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Compensation Actually Paid to CEO</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$4,259,793</w:t>
            </w:r>
          </w:p>
        </w:tc>
        <w:tc>
          <w:tcPr>
            <w:tcW w:w="8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$4,277,957</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7,665,501</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$16,264,685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w:t>
      </w:r>
    </w:p>
    <w:p>
      <w:pPr>
        <w:spacing w:after="0" w:line="64"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(d). </w:t>
      </w:r>
      <w:r>
        <w:rPr>
          <w:rFonts w:ascii="Times New Roman" w:cs="Times New Roman" w:eastAsia="Times New Roman" w:hAnsi="Times New Roman"/>
          <w:sz w:val="18"/>
          <w:szCs w:val="18"/>
          <w:color w:val="auto"/>
        </w:rPr>
        <w:t>The dollar amounts reported under Average Summary Compensation Total for non-CEO NEOs represent the average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reported for the Company’s named executive officers (NEOs) as a group (excluding any individual serving as the CEO for such year) in the “Total” column of the “Summary Compensation Table” for the respective years shown. The names of the NEOs included for purposes of calculating the average amounts in each applicable year are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2020: Wallace R. Cooney, Andrew S. Rosen, Nicole M. Maddrey, Denise M. Demeter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93"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2021: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2022: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2023: Wallace R. Cooney, Andrew S. Rosen, Jacob M. Maas, Nicole M. Maddrey</w:t>
      </w:r>
    </w:p>
    <w:p>
      <w:pPr>
        <w:spacing w:after="0" w:line="221" w:lineRule="exact"/>
        <w:rPr>
          <w:sz w:val="20"/>
          <w:szCs w:val="20"/>
          <w:color w:val="auto"/>
        </w:rPr>
      </w:pPr>
    </w:p>
    <w:p>
      <w:pPr>
        <w:ind w:left="120"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(e). </w:t>
      </w:r>
      <w:r>
        <w:rPr>
          <w:rFonts w:ascii="Times New Roman" w:cs="Times New Roman" w:eastAsia="Times New Roman" w:hAnsi="Times New Roman"/>
          <w:sz w:val="18"/>
          <w:szCs w:val="18"/>
          <w:color w:val="auto"/>
        </w:rPr>
        <w:t>Average “compensation actually paid” for the non-CEO NEOs in each of 2023, 2022, 2021 and 2020 reflects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set forth in column (d) of the table above, adjusted as set forth in the table below, as determined in accordance with Item 402(v) of Regulation S-K. The dollar amounts reflected in the table above do not reflect the actual amount of compensation earned or paid to the non-CEO NEOs during the applicable year. The adjustments in the table below were made to non-CEO NEOs total compensation for each year to determine the compensation actually paid:</w:t>
      </w:r>
    </w:p>
    <w:p>
      <w:pPr>
        <w:spacing w:after="0" w:line="208" w:lineRule="exact"/>
        <w:rPr>
          <w:sz w:val="20"/>
          <w:szCs w:val="20"/>
          <w:color w:val="auto"/>
        </w:rPr>
      </w:pPr>
    </w:p>
    <w:tbl>
      <w:tblPr>
        <w:tblLayout w:type="fixed"/>
        <w:tblInd w:w="190" w:type="dxa"/>
        <w:tblCellMar>
          <w:top w:w="0" w:type="dxa"/>
          <w:left w:w="0" w:type="dxa"/>
          <w:bottom w:w="0" w:type="dxa"/>
          <w:right w:w="0" w:type="dxa"/>
        </w:tblCellMar>
      </w:tblPr>
      <w:tr>
        <w:trPr>
          <w:trHeight w:val="162"/>
        </w:trPr>
        <w:tc>
          <w:tcPr>
            <w:tcW w:w="7420" w:type="dxa"/>
            <w:vAlign w:val="bottom"/>
            <w:tcBorders>
              <w:top w:val="single" w:sz="8" w:color="auto"/>
              <w:left w:val="single" w:sz="8" w:color="auto"/>
              <w:right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Non-CEO NEO Averages</w:t>
            </w: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$2,684,386</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$2,997,459</w:t>
            </w:r>
          </w:p>
        </w:tc>
        <w:tc>
          <w:tcPr>
            <w:tcW w:w="88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$2,438,194</w:t>
            </w:r>
          </w:p>
        </w:tc>
        <w:tc>
          <w:tcPr>
            <w:tcW w:w="90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$2,815,080</w:t>
            </w: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Change in Pension Value and Non-Qualified Deferred Compensation Earnings reported in SCT</w:t>
            </w:r>
          </w:p>
        </w:tc>
        <w:tc>
          <w:tcPr>
            <w:tcW w:w="86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(383,147)</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(5,709)</w:t>
            </w:r>
          </w:p>
        </w:tc>
        <w:tc>
          <w:tcPr>
            <w:tcW w:w="88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(53,904)</w:t>
            </w:r>
          </w:p>
        </w:tc>
        <w:tc>
          <w:tcPr>
            <w:tcW w:w="90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(1,063,996)</w:t>
            </w:r>
          </w:p>
        </w:tc>
        <w:tc>
          <w:tcPr>
            <w:tcW w:w="0" w:type="dxa"/>
            <w:vAlign w:val="bottom"/>
          </w:tcPr>
          <w:p>
            <w:pPr>
              <w:spacing w:after="0"/>
              <w:rPr>
                <w:sz w:val="1"/>
                <w:szCs w:val="1"/>
                <w:color w:val="auto"/>
              </w:rPr>
            </w:pPr>
          </w:p>
        </w:tc>
      </w:tr>
      <w:tr>
        <w:trPr>
          <w:trHeight w:val="119"/>
        </w:trPr>
        <w:tc>
          <w:tcPr>
            <w:tcW w:w="742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Pension value attributable to current year’s service cost and any change in pension value attributable to plan</w:t>
            </w:r>
          </w:p>
        </w:tc>
        <w:tc>
          <w:tcPr>
            <w:tcW w:w="86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165,774</w:t>
            </w:r>
          </w:p>
        </w:tc>
        <w:tc>
          <w:tcPr>
            <w:tcW w:w="86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221,244</w:t>
            </w:r>
          </w:p>
        </w:tc>
        <w:tc>
          <w:tcPr>
            <w:tcW w:w="88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219,571</w:t>
            </w:r>
          </w:p>
        </w:tc>
        <w:tc>
          <w:tcPr>
            <w:tcW w:w="90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215,268</w:t>
            </w:r>
          </w:p>
        </w:tc>
        <w:tc>
          <w:tcPr>
            <w:tcW w:w="0" w:type="dxa"/>
            <w:vAlign w:val="bottom"/>
          </w:tcPr>
          <w:p>
            <w:pPr>
              <w:spacing w:after="0"/>
              <w:rPr>
                <w:sz w:val="1"/>
                <w:szCs w:val="1"/>
                <w:color w:val="auto"/>
              </w:rPr>
            </w:pPr>
          </w:p>
        </w:tc>
      </w:tr>
      <w:tr>
        <w:trPr>
          <w:trHeight w:val="171"/>
        </w:trPr>
        <w:tc>
          <w:tcPr>
            <w:tcW w:w="74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amendments made in the current year</w:t>
            </w: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86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(350,187)</w:t>
            </w:r>
          </w:p>
        </w:tc>
        <w:tc>
          <w:tcPr>
            <w:tcW w:w="86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(873,519)</w:t>
            </w:r>
          </w:p>
        </w:tc>
        <w:tc>
          <w:tcPr>
            <w:tcW w:w="88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(342,750)</w:t>
            </w:r>
          </w:p>
        </w:tc>
        <w:tc>
          <w:tcPr>
            <w:tcW w:w="90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(9,439)</w:t>
            </w: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Plus: Fair value of equity compensation granted in current year that are outstanding and unvested as of year-end</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401,083</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928,991</w:t>
            </w:r>
          </w:p>
        </w:tc>
        <w:tc>
          <w:tcPr>
            <w:tcW w:w="88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392,407</w:t>
            </w:r>
          </w:p>
        </w:tc>
        <w:tc>
          <w:tcPr>
            <w:tcW w:w="90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Plus: Fair value of equity compensation granted and vested in current year</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106,699</w:t>
            </w:r>
          </w:p>
        </w:tc>
        <w:tc>
          <w:tcPr>
            <w:tcW w:w="0" w:type="dxa"/>
            <w:vAlign w:val="bottom"/>
          </w:tcPr>
          <w:p>
            <w:pPr>
              <w:spacing w:after="0"/>
              <w:rPr>
                <w:sz w:val="1"/>
                <w:szCs w:val="1"/>
                <w:color w:val="auto"/>
              </w:rPr>
            </w:pPr>
          </w:p>
        </w:tc>
      </w:tr>
      <w:tr>
        <w:trPr>
          <w:trHeight w:val="119"/>
        </w:trPr>
        <w:tc>
          <w:tcPr>
            <w:tcW w:w="742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vesting date for awards made in prior fiscal years that vested during</w:t>
            </w:r>
          </w:p>
        </w:tc>
        <w:tc>
          <w:tcPr>
            <w:tcW w:w="86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86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688</w:t>
            </w:r>
          </w:p>
        </w:tc>
        <w:tc>
          <w:tcPr>
            <w:tcW w:w="88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2,363</w:t>
            </w:r>
          </w:p>
        </w:tc>
        <w:tc>
          <w:tcPr>
            <w:tcW w:w="90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71"/>
        </w:trPr>
        <w:tc>
          <w:tcPr>
            <w:tcW w:w="74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current fiscal year</w:t>
            </w: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end of current fiscal year for awards made in prior fiscal years that were</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390,704</w:t>
            </w:r>
          </w:p>
        </w:tc>
        <w:tc>
          <w:tcPr>
            <w:tcW w:w="8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(14,836)</w:t>
            </w:r>
          </w:p>
        </w:tc>
        <w:tc>
          <w:tcPr>
            <w:tcW w:w="8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56,732</w:t>
            </w:r>
          </w:p>
        </w:tc>
        <w:tc>
          <w:tcPr>
            <w:tcW w:w="9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(107,031)</w:t>
            </w:r>
          </w:p>
        </w:tc>
        <w:tc>
          <w:tcPr>
            <w:tcW w:w="0" w:type="dxa"/>
            <w:vAlign w:val="bottom"/>
          </w:tcPr>
          <w:p>
            <w:pPr>
              <w:spacing w:after="0"/>
              <w:rPr>
                <w:sz w:val="1"/>
                <w:szCs w:val="1"/>
                <w:color w:val="auto"/>
              </w:rPr>
            </w:pPr>
          </w:p>
        </w:tc>
      </w:tr>
      <w:tr>
        <w:trPr>
          <w:trHeight w:val="171"/>
        </w:trPr>
        <w:tc>
          <w:tcPr>
            <w:tcW w:w="74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unvested at end of current fiscal year</w:t>
            </w: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(127,430)</w:t>
            </w:r>
          </w:p>
        </w:tc>
        <w:tc>
          <w:tcPr>
            <w:tcW w:w="0" w:type="dxa"/>
            <w:vAlign w:val="bottom"/>
          </w:tcPr>
          <w:p>
            <w:pPr>
              <w:spacing w:after="0"/>
              <w:rPr>
                <w:sz w:val="1"/>
                <w:szCs w:val="1"/>
                <w:color w:val="auto"/>
              </w:rPr>
            </w:pPr>
          </w:p>
        </w:tc>
      </w:tr>
      <w:tr>
        <w:trPr>
          <w:trHeight w:val="119"/>
        </w:trPr>
        <w:tc>
          <w:tcPr>
            <w:tcW w:w="742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Dividends or other earnings paid on stock or option awards in the current fiscal year prior to the vesting date that are not</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otherwise included in the total compensation for the current fiscal year</w:t>
            </w: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Average Compensation Actually Paid to Non-CEO NEOs</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$2,909,823</w:t>
            </w:r>
          </w:p>
        </w:tc>
        <w:tc>
          <w:tcPr>
            <w:tcW w:w="8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$3,254,318</w:t>
            </w:r>
          </w:p>
        </w:tc>
        <w:tc>
          <w:tcPr>
            <w:tcW w:w="88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$2,712,613</w:t>
            </w:r>
          </w:p>
        </w:tc>
        <w:tc>
          <w:tcPr>
            <w:tcW w:w="90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$1,824,204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stock award grant date fair values are calculated using the stock price as of date of grant. Adjustments to the restricted stock fair values have been made using the stock price as of year end and as of each date of vesting. The grant date fair value of Mr. Maas’ restricted stock unit award was estimated using a Monte Carlo simulation. An adjustment to Mr. Maas’ restricted stock unit award has been made using a Monte Carlo simulation as of year end 2023 and 2022 using the stock price as of the measurement date and updated assumptions (i.e., volatility, dividend yield, risk free rate) as of the measurement date.</w:t>
      </w:r>
    </w:p>
    <w:p>
      <w:pPr>
        <w:spacing w:after="0" w:line="185" w:lineRule="exact"/>
        <w:rPr>
          <w:sz w:val="20"/>
          <w:szCs w:val="20"/>
          <w:color w:val="auto"/>
        </w:rPr>
      </w:pPr>
    </w:p>
    <w:p>
      <w:pPr>
        <w:ind w:left="120"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Column (f). </w:t>
      </w:r>
      <w:r>
        <w:rPr>
          <w:rFonts w:ascii="Times New Roman" w:cs="Times New Roman" w:eastAsia="Times New Roman" w:hAnsi="Times New Roman"/>
          <w:sz w:val="18"/>
          <w:szCs w:val="18"/>
          <w:color w:val="auto"/>
        </w:rPr>
        <w:t>The Total Shareholder Return (TSR) reflects the value as of each measurement date (December 31, 2023, 2022, 2021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of an initial investment of $100 on December 31, 2019 in the Company’s Class B Common Stock. For purposes of the TSR, it has been assumed that quarterly dividends were reinvested.</w:t>
      </w:r>
    </w:p>
    <w:p>
      <w:pPr>
        <w:spacing w:after="0" w:line="171" w:lineRule="exact"/>
        <w:rPr>
          <w:sz w:val="20"/>
          <w:szCs w:val="20"/>
          <w:color w:val="auto"/>
        </w:rPr>
      </w:pPr>
    </w:p>
    <w:p>
      <w:pPr>
        <w:ind w:left="120"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(g). </w:t>
      </w:r>
      <w:r>
        <w:rPr>
          <w:rFonts w:ascii="Times New Roman" w:cs="Times New Roman" w:eastAsia="Times New Roman" w:hAnsi="Times New Roman"/>
          <w:sz w:val="18"/>
          <w:szCs w:val="18"/>
          <w:color w:val="auto"/>
        </w:rPr>
        <w:t>The Peer Group TSR reflects the value as of each measurement date (December 31, 2023, 2022, 2021 and 2020) of an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of $100 on December 31, 2019 in a custom peer group index comprised of a composite group of education and television broadcasting companies weighted by market capitalization, which includes Adtalem Global Education Inc., Chegg, Inc., The E.W. Scripps Company, Grand Canyon Education Inc., Nexstar Media Group Inc., Gray Television Inc., New Oriental Education &amp; Technology Group Inc., Pearson plc and Tegna Inc. For purposes of the Peer Group TSR it has been assumed that dividends were reinvested on a quarterly basis.</w:t>
      </w:r>
    </w:p>
    <w:p>
      <w:pPr>
        <w:spacing w:after="0" w:line="179"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(h). </w:t>
      </w:r>
      <w:r>
        <w:rPr>
          <w:rFonts w:ascii="Times New Roman" w:cs="Times New Roman" w:eastAsia="Times New Roman" w:hAnsi="Times New Roman"/>
          <w:sz w:val="18"/>
          <w:szCs w:val="18"/>
          <w:color w:val="auto"/>
        </w:rPr>
        <w:t>Reflects “Net Income” in the Company’s Consolidated Statements of Operations included in the Company’s Annual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for each of the years ended December 31, 2023, 2022, 2021 and 2020, respectively.</w:t>
      </w:r>
    </w:p>
    <w:p>
      <w:pPr>
        <w:spacing w:after="0" w:line="155"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(i). </w:t>
      </w:r>
      <w:r>
        <w:rPr>
          <w:rFonts w:ascii="Times New Roman" w:cs="Times New Roman" w:eastAsia="Times New Roman" w:hAnsi="Times New Roman"/>
          <w:sz w:val="18"/>
          <w:szCs w:val="18"/>
          <w:color w:val="auto"/>
        </w:rPr>
        <w:t>The Company’s selected measure is “Operating Income before Amortization and Impairments” reported as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before Amortization of Intangible Assets and Impairment of Goodwill and Other Long-Lived Assets in Note 19. Business Segments of the Company’s Financial Statements included in the Annual Reports on Form 10-K for each of the years ended December 31, 2023, 2022, 2021 and 2020, respectively.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ind w:left="120" w:right="180" w:firstLine="991"/>
        <w:spacing w:after="0" w:line="258" w:lineRule="auto"/>
        <w:rPr>
          <w:sz w:val="20"/>
          <w:szCs w:val="20"/>
          <w:color w:val="auto"/>
        </w:rPr>
      </w:pPr>
      <w:r>
        <w:rPr>
          <w:rFonts w:ascii="Times New Roman" w:cs="Times New Roman" w:eastAsia="Times New Roman" w:hAnsi="Times New Roman"/>
          <w:sz w:val="18"/>
          <w:szCs w:val="18"/>
          <w:color w:val="auto"/>
        </w:rPr>
        <w:t>As described in greater detail in the “Compensation Discussion and Analysis” in this Proxy Statement, the Company’s approach to executive compensation is designed to directly link pay to performance, attract, retain and motivate qualified, talented and diverse employees who are enthusiastic about the Company’s mission and culture, and reward executives for making decisions that will enhance long-term value of the Company. The most important financial and non-financial measures used by the Company to link compensation actually paid (as defined by SEC rules) to the Company’s named executive officers for the most recently completed fiscal year to the Company’s performance are: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                           Performance Measures 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-5080</wp:posOffset>
            </wp:positionV>
            <wp:extent cx="3187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7065" cy="82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Operating Income before Amortization and Impairments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Adjusted Operating Cash Flow (non-GAAP measure)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Compliance with Laws and Regulations (Kaplan)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Company utilizes several performance measures to align executive compensation with performance; all of those measures are not presented in the Pay versus Performance table. However, the Company generally seeks to incentivize executives for making decisions that will enhance the long-term value of the Company, and therefore does not specifically align the Company’s performance measures with compensation actually paid for a particular year as computed in accordance with Item 402(v) of Regulation S-K. The Company is providing the following graphic descriptions of the relationships between information presented in the Pay versus Performance table.</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“Compensation actually paid”, as required under Item 402(v) of Regulation S-K, reflects adjusted values to unvested and vested equity awards during the years shown in the table based on year-end stock prices and various accounting valuation assumptions, but does not necessarily reflect actual amounts paid out for those awards. “Compensation actually paid” generally fluctuates due to stock price achievement.</w:t>
      </w:r>
    </w:p>
    <w:p>
      <w:pPr>
        <w:spacing w:after="0" w:line="176"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cumulative total shareholder return (TSR) for the Company and custom peer group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42995" cy="2160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4299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net income compared to “compensation actually paid” in accordance with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operating income before amortization and impairments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42995"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429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80"/>
          </w:cols>
          <w:pgMar w:left="320" w:top="482" w:right="7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PENSION BENEFITS</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Pension Benefits Table includes information related to the Company’s funded and tax-qualified defined benefit plan, The Retirement Plan, as well as the associated unfunded and non-qualified supplemental executive retirement plan, the SERP. This information reflects the plan provisions in effect as of December 31, 2023. As noted in the Retirement Benefits section above, certain changes were made to the tax-qualified Retirement Plan effective as of January 1, 2024.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9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SERP provides supplemental defined benefit retirement benefits that are calculated based on the formulas in The Retirement Plan, and includes in the calculation compensation from annual bonuses in the case of Mr. Rosen, rather than just base salary, without regard to (i) the salary limitation applicable to tax-qualified plans ($330,000 in 2023) or (ii) the benefit limitation applicable to tax-qualified plans ($265,000 in 2023, commencing at age 65). The SERP provides benefits only to the extent that the benefit described above exceeds the benefit in The Retirement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Schedule</w:t>
      </w:r>
    </w:p>
    <w:p>
      <w:pPr>
        <w:spacing w:after="0" w:line="22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Mr. Cooney, Mr. Rosen and Ms. Maddrey are participants in the Graham Schedule. Benefits payable under the Graham Schedule include the following, subject to the limitations on tax-qualified plans mentioned above:</w:t>
      </w:r>
    </w:p>
    <w:p>
      <w:pPr>
        <w:spacing w:after="0" w:line="67" w:lineRule="exact"/>
        <w:rPr>
          <w:sz w:val="20"/>
          <w:szCs w:val="20"/>
          <w:color w:val="auto"/>
        </w:rPr>
      </w:pPr>
    </w:p>
    <w:p>
      <w:pPr>
        <w:ind w:left="1760" w:right="160" w:hanging="225"/>
        <w:spacing w:after="0" w:line="254" w:lineRule="auto"/>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to up to 30 years, until the plan was amended in 2011 to recognize credited service in excess of 30 years).</w:t>
      </w:r>
    </w:p>
    <w:p>
      <w:pPr>
        <w:spacing w:after="0" w:line="97" w:lineRule="exact"/>
        <w:rPr>
          <w:rFonts w:ascii="Times New Roman" w:cs="Times New Roman" w:eastAsia="Times New Roman" w:hAnsi="Times New Roman"/>
          <w:sz w:val="18"/>
          <w:szCs w:val="18"/>
          <w:color w:val="auto"/>
        </w:rPr>
      </w:pPr>
    </w:p>
    <w:p>
      <w:pPr>
        <w:ind w:left="1760" w:hanging="225"/>
        <w:spacing w:after="0"/>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$200 multiplied by years of credited service.</w:t>
      </w:r>
    </w:p>
    <w:p>
      <w:pPr>
        <w:spacing w:after="0" w:line="130" w:lineRule="exact"/>
        <w:rPr>
          <w:rFonts w:ascii="Times New Roman" w:cs="Times New Roman" w:eastAsia="Times New Roman" w:hAnsi="Times New Roman"/>
          <w:sz w:val="18"/>
          <w:szCs w:val="18"/>
          <w:color w:val="auto"/>
        </w:rPr>
      </w:pPr>
    </w:p>
    <w:p>
      <w:pPr>
        <w:ind w:left="1760" w:right="80" w:hanging="225"/>
        <w:spacing w:after="0" w:line="258" w:lineRule="auto"/>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Vested benefits under The Retirement Plan are generally payable in the form of a single life annuity or lump-sum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Newsweek Schedule</w:t>
      </w:r>
    </w:p>
    <w:p>
      <w:pPr>
        <w:spacing w:after="0" w:line="22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67" w:lineRule="exact"/>
        <w:rPr>
          <w:sz w:val="20"/>
          <w:szCs w:val="20"/>
          <w:color w:val="auto"/>
        </w:rPr>
      </w:pPr>
    </w:p>
    <w:p>
      <w:pPr>
        <w:ind w:left="1760" w:right="100" w:hanging="225"/>
        <w:spacing w:after="0" w:line="282" w:lineRule="auto"/>
        <w:tabs>
          <w:tab w:leader="none" w:pos="1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67" w:lineRule="exact"/>
        <w:rPr>
          <w:rFonts w:ascii="Times New Roman" w:cs="Times New Roman" w:eastAsia="Times New Roman" w:hAnsi="Times New Roman"/>
          <w:sz w:val="18"/>
          <w:szCs w:val="18"/>
          <w:color w:val="auto"/>
        </w:rPr>
      </w:pPr>
    </w:p>
    <w:p>
      <w:pPr>
        <w:ind w:left="1760" w:hanging="225"/>
        <w:spacing w:after="0"/>
        <w:tabs>
          <w:tab w:leader="none" w:pos="1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$150, multiplied by years of credited service (up to 30 years).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93" w:right="439" w:bottom="1440" w:gutter="0" w:footer="0" w:header="0"/>
        </w:sectPr>
      </w:pPr>
    </w:p>
    <w:bookmarkStart w:id="34" w:name="page35"/>
    <w:bookmarkEnd w:id="3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Newsweek Schedule permits early retirement with full benefits at various combinations of age and service. Mr. Rosen became eligible for an unreduced early retirement benefit at age 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Kaplan CBRP Schedule</w:t>
      </w:r>
    </w:p>
    <w:p>
      <w:pPr>
        <w:spacing w:after="0" w:line="22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A portion of Mr. Rosen’s pension benefit is earned under the Kaplan CBRP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SRA Schedule</w:t>
      </w:r>
    </w:p>
    <w:p>
      <w:pPr>
        <w:spacing w:after="0" w:line="22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A portion of Mr. O’Shaughnessy’s, Mr. Cooney’s, Mr. Maas’, Mr. Rosen’s and Ms. Maddrey’s pension benefit is earned under the SRA Schedule. Under this Schedule, each employee has an account (expressed as a lump-sum amount, rather than as an annuity) that is credited with quarterly pay-based credits and interest credits. Pay-based credits vary from 6.72% to 9.45% for Mr. Cooney and Ms. Maddrey, and 3.20% to 4.50% for Mr. O’Shaughnessy, Mr. Maas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CBRP Schedule</w:t>
      </w:r>
    </w:p>
    <w:p>
      <w:pPr>
        <w:spacing w:after="0" w:line="22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A portion of Mr. O’Shaughnessy’s and Mr. Maas’ pension benefit is earned under the Graham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SERP Benefits</w:t>
      </w:r>
    </w:p>
    <w:p>
      <w:pPr>
        <w:spacing w:after="0" w:line="121"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As explained above, the SERP, closed to new participants since December 2015, provides benefits to certain eligible employees (including Mr. Rosen) under the formulas outlined above, including bonuses in addition to salary, in the case of Mr. Rosen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4" w:lineRule="exact"/>
        <w:rPr>
          <w:sz w:val="20"/>
          <w:szCs w:val="20"/>
          <w:color w:val="auto"/>
        </w:rPr>
      </w:pPr>
    </w:p>
    <w:tbl>
      <w:tblPr>
        <w:tblLayout w:type="fixed"/>
        <w:tblInd w:w="70" w:type="dxa"/>
        <w:tblCellMar>
          <w:top w:w="0" w:type="dxa"/>
          <w:left w:w="0" w:type="dxa"/>
          <w:bottom w:w="0" w:type="dxa"/>
          <w:right w:w="0" w:type="dxa"/>
        </w:tblCellMar>
      </w:tblPr>
      <w:tr>
        <w:trPr>
          <w:trHeight w:val="137"/>
        </w:trPr>
        <w:tc>
          <w:tcPr>
            <w:tcW w:w="1980" w:type="dxa"/>
            <w:vAlign w:val="bottom"/>
            <w:tcBorders>
              <w:top w:val="single" w:sz="8" w:color="auto"/>
              <w:left w:val="single" w:sz="8" w:color="auto"/>
              <w:right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78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jc w:val="center"/>
              <w:ind w:left="128"/>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right w:val="single" w:sz="8" w:color="auto"/>
            </w:tcBorders>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Present</w:t>
            </w:r>
          </w:p>
        </w:tc>
        <w:tc>
          <w:tcPr>
            <w:tcW w:w="920" w:type="dxa"/>
            <w:vAlign w:val="bottom"/>
            <w:tcBorders>
              <w:top w:val="single" w:sz="8" w:color="auto"/>
              <w:right w:val="single" w:sz="8" w:color="auto"/>
            </w:tcBorders>
          </w:tcPr>
          <w:p>
            <w:pPr>
              <w:jc w:val="center"/>
              <w:ind w:left="88"/>
              <w:spacing w:after="0" w:line="137"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7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08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20" w:type="dxa"/>
            <w:vAlign w:val="bottom"/>
            <w:tcBorders>
              <w:right w:val="single" w:sz="8" w:color="auto"/>
            </w:tcBorders>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5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94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Borders>
              <w:right w:val="single" w:sz="8" w:color="auto"/>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78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920" w:type="dxa"/>
            <w:vAlign w:val="bottom"/>
            <w:tcBorders>
              <w:right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Borders>
              <w:bottom w:val="single" w:sz="8" w:color="auto"/>
            </w:tcBorders>
          </w:tcPr>
          <w:p>
            <w:pPr>
              <w:spacing w:after="0"/>
              <w:rPr>
                <w:sz w:val="16"/>
                <w:szCs w:val="16"/>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940" w:type="dxa"/>
            <w:vAlign w:val="bottom"/>
            <w:tcBorders>
              <w:bottom w:val="single" w:sz="8" w:color="auto"/>
              <w:right w:val="single" w:sz="8" w:color="auto"/>
            </w:tcBorders>
          </w:tcPr>
          <w:p>
            <w:pPr>
              <w:jc w:val="center"/>
              <w:ind w:left="148"/>
              <w:spacing w:after="0" w:line="187" w:lineRule="exact"/>
              <w:rPr>
                <w:sz w:val="20"/>
                <w:szCs w:val="20"/>
                <w:color w:val="auto"/>
              </w:rPr>
            </w:pPr>
            <w:r>
              <w:rPr>
                <w:rFonts w:ascii="Times New Roman" w:cs="Times New Roman" w:eastAsia="Times New Roman" w:hAnsi="Times New Roman"/>
                <w:sz w:val="14"/>
                <w:szCs w:val="14"/>
                <w:b w:val="1"/>
                <w:bCs w:val="1"/>
                <w:color w:val="auto"/>
                <w:w w:val="87"/>
              </w:rPr>
              <w:t>(c)</w:t>
            </w:r>
            <w:r>
              <w:rPr>
                <w:rFonts w:ascii="Times New Roman" w:cs="Times New Roman" w:eastAsia="Times New Roman" w:hAnsi="Times New Roman"/>
                <w:sz w:val="21"/>
                <w:szCs w:val="21"/>
                <w:b w:val="1"/>
                <w:bCs w:val="1"/>
                <w:color w:val="auto"/>
                <w:w w:val="87"/>
                <w:vertAlign w:val="superscript"/>
              </w:rPr>
              <w:t>(1)</w:t>
            </w:r>
          </w:p>
        </w:tc>
        <w:tc>
          <w:tcPr>
            <w:tcW w:w="1080" w:type="dxa"/>
            <w:vAlign w:val="bottom"/>
            <w:tcBorders>
              <w:bottom w:val="single" w:sz="8" w:color="auto"/>
              <w:right w:val="single" w:sz="8" w:color="auto"/>
            </w:tcBorders>
          </w:tcPr>
          <w:p>
            <w:pPr>
              <w:jc w:val="center"/>
              <w:ind w:left="148"/>
              <w:spacing w:after="0" w:line="187" w:lineRule="exact"/>
              <w:rPr>
                <w:sz w:val="20"/>
                <w:szCs w:val="20"/>
                <w:color w:val="auto"/>
              </w:rPr>
            </w:pPr>
            <w:r>
              <w:rPr>
                <w:rFonts w:ascii="Times New Roman" w:cs="Times New Roman" w:eastAsia="Times New Roman" w:hAnsi="Times New Roman"/>
                <w:sz w:val="14"/>
                <w:szCs w:val="14"/>
                <w:b w:val="1"/>
                <w:bCs w:val="1"/>
                <w:color w:val="auto"/>
                <w:w w:val="89"/>
              </w:rPr>
              <w:t>(d)</w:t>
            </w:r>
            <w:r>
              <w:rPr>
                <w:rFonts w:ascii="Times New Roman" w:cs="Times New Roman" w:eastAsia="Times New Roman" w:hAnsi="Times New Roman"/>
                <w:sz w:val="21"/>
                <w:szCs w:val="21"/>
                <w:b w:val="1"/>
                <w:bCs w:val="1"/>
                <w:color w:val="auto"/>
                <w:w w:val="89"/>
                <w:vertAlign w:val="superscript"/>
              </w:rPr>
              <w:t>(2)</w:t>
            </w:r>
          </w:p>
        </w:tc>
        <w:tc>
          <w:tcPr>
            <w:tcW w:w="92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6000" w:type="dxa"/>
            <w:vAlign w:val="bottom"/>
            <w:tcBorders>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940" w:type="dxa"/>
            <w:vAlign w:val="bottom"/>
            <w:tcBorders>
              <w:right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162,742</w:t>
            </w:r>
          </w:p>
        </w:tc>
        <w:tc>
          <w:tcPr>
            <w:tcW w:w="920" w:type="dxa"/>
            <w:vAlign w:val="bottom"/>
            <w:tcBorders>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198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6000" w:type="dxa"/>
            <w:vAlign w:val="bottom"/>
            <w:tcBorders>
              <w:bottom w:val="single" w:sz="8" w:color="CCEEFF"/>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940" w:type="dxa"/>
            <w:vAlign w:val="bottom"/>
            <w:tcBorders>
              <w:bottom w:val="single" w:sz="8" w:color="CCEEFF"/>
              <w:right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tcBorders>
              <w:bottom w:val="single" w:sz="8" w:color="CCEEFF"/>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162,742</w:t>
            </w:r>
          </w:p>
        </w:tc>
        <w:tc>
          <w:tcPr>
            <w:tcW w:w="920" w:type="dxa"/>
            <w:vAlign w:val="bottom"/>
            <w:tcBorders>
              <w:bottom w:val="single" w:sz="8" w:color="CCEEFF"/>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60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940" w:type="dxa"/>
            <w:vAlign w:val="bottom"/>
            <w:tcBorders>
              <w:top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22</w:t>
            </w:r>
          </w:p>
        </w:tc>
        <w:tc>
          <w:tcPr>
            <w:tcW w:w="1080" w:type="dxa"/>
            <w:vAlign w:val="bottom"/>
            <w:tcBorders>
              <w:top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1,417,473</w:t>
            </w:r>
          </w:p>
        </w:tc>
        <w:tc>
          <w:tcPr>
            <w:tcW w:w="920" w:type="dxa"/>
            <w:vAlign w:val="bottom"/>
            <w:tcBorders>
              <w:top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tcPr>
          <w:p>
            <w:pPr>
              <w:spacing w:after="0"/>
              <w:rPr>
                <w:sz w:val="16"/>
                <w:szCs w:val="16"/>
                <w:color w:val="auto"/>
              </w:rPr>
            </w:pPr>
          </w:p>
        </w:tc>
        <w:tc>
          <w:tcPr>
            <w:tcW w:w="600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940" w:type="dxa"/>
            <w:vAlign w:val="bottom"/>
            <w:tcBorders>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22</w:t>
            </w:r>
          </w:p>
        </w:tc>
        <w:tc>
          <w:tcPr>
            <w:tcW w:w="1080" w:type="dxa"/>
            <w:vAlign w:val="bottom"/>
            <w:tcBorders>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1,417,473</w:t>
            </w:r>
          </w:p>
        </w:tc>
        <w:tc>
          <w:tcPr>
            <w:tcW w:w="920" w:type="dxa"/>
            <w:vAlign w:val="bottom"/>
            <w:tcBorders>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6000" w:type="dxa"/>
            <w:vAlign w:val="bottom"/>
            <w:tcBorders>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94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37</w:t>
            </w:r>
          </w:p>
        </w:tc>
        <w:tc>
          <w:tcPr>
            <w:tcW w:w="108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657,743</w:t>
            </w:r>
          </w:p>
        </w:tc>
        <w:tc>
          <w:tcPr>
            <w:tcW w:w="920" w:type="dxa"/>
            <w:vAlign w:val="bottom"/>
            <w:tcBorders>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7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94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37</w:t>
            </w:r>
          </w:p>
        </w:tc>
        <w:tc>
          <w:tcPr>
            <w:tcW w:w="108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25,187,561</w:t>
            </w:r>
          </w:p>
        </w:tc>
        <w:tc>
          <w:tcPr>
            <w:tcW w:w="920" w:type="dxa"/>
            <w:vAlign w:val="bottom"/>
            <w:tcBorders>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19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7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940" w:type="dxa"/>
            <w:vAlign w:val="bottom"/>
            <w:tcBorders>
              <w:bottom w:val="single" w:sz="8" w:color="CCEEFF"/>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37</w:t>
            </w:r>
          </w:p>
        </w:tc>
        <w:tc>
          <w:tcPr>
            <w:tcW w:w="1080" w:type="dxa"/>
            <w:vAlign w:val="bottom"/>
            <w:tcBorders>
              <w:bottom w:val="single" w:sz="8" w:color="CCEEFF"/>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25,845,304</w:t>
            </w:r>
          </w:p>
        </w:tc>
        <w:tc>
          <w:tcPr>
            <w:tcW w:w="920" w:type="dxa"/>
            <w:vAlign w:val="bottom"/>
            <w:tcBorders>
              <w:bottom w:val="single" w:sz="8" w:color="CCEEFF"/>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600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940" w:type="dxa"/>
            <w:vAlign w:val="bottom"/>
            <w:tcBorders>
              <w:top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17</w:t>
            </w:r>
          </w:p>
        </w:tc>
        <w:tc>
          <w:tcPr>
            <w:tcW w:w="1080" w:type="dxa"/>
            <w:vAlign w:val="bottom"/>
            <w:tcBorders>
              <w:top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964,428</w:t>
            </w:r>
          </w:p>
        </w:tc>
        <w:tc>
          <w:tcPr>
            <w:tcW w:w="920" w:type="dxa"/>
            <w:vAlign w:val="bottom"/>
            <w:tcBorders>
              <w:top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tcPr>
          <w:p>
            <w:pPr>
              <w:spacing w:after="0"/>
              <w:rPr>
                <w:sz w:val="16"/>
                <w:szCs w:val="16"/>
                <w:color w:val="auto"/>
              </w:rPr>
            </w:pPr>
          </w:p>
        </w:tc>
        <w:tc>
          <w:tcPr>
            <w:tcW w:w="600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940" w:type="dxa"/>
            <w:vAlign w:val="bottom"/>
            <w:tcBorders>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17</w:t>
            </w:r>
          </w:p>
        </w:tc>
        <w:tc>
          <w:tcPr>
            <w:tcW w:w="1080" w:type="dxa"/>
            <w:vAlign w:val="bottom"/>
            <w:tcBorders>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964,428</w:t>
            </w:r>
          </w:p>
        </w:tc>
        <w:tc>
          <w:tcPr>
            <w:tcW w:w="920" w:type="dxa"/>
            <w:vAlign w:val="bottom"/>
            <w:tcBorders>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gridSpan w:val="2"/>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6000" w:type="dxa"/>
            <w:vAlign w:val="bottom"/>
            <w:tcBorders>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940" w:type="dxa"/>
            <w:vAlign w:val="bottom"/>
            <w:tcBorders>
              <w:right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tcBorders>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145,626</w:t>
            </w:r>
          </w:p>
        </w:tc>
        <w:tc>
          <w:tcPr>
            <w:tcW w:w="920" w:type="dxa"/>
            <w:vAlign w:val="bottom"/>
            <w:tcBorders>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98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000" w:type="dxa"/>
            <w:vAlign w:val="bottom"/>
            <w:tcBorders>
              <w:bottom w:val="single" w:sz="8" w:color="CCEEFF"/>
              <w:right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940" w:type="dxa"/>
            <w:vAlign w:val="bottom"/>
            <w:tcBorders>
              <w:bottom w:val="single" w:sz="8" w:color="CCEEFF"/>
              <w:right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tcBorders>
              <w:bottom w:val="single" w:sz="8" w:color="CCEEFF"/>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145,626</w:t>
            </w:r>
          </w:p>
        </w:tc>
        <w:tc>
          <w:tcPr>
            <w:tcW w:w="920" w:type="dxa"/>
            <w:vAlign w:val="bottom"/>
            <w:tcBorders>
              <w:bottom w:val="single" w:sz="8" w:color="CCEEFF"/>
              <w:right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7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97" w:right="479" w:bottom="1440" w:gutter="0" w:footer="0" w:header="0"/>
        </w:sectPr>
      </w:pPr>
    </w:p>
    <w:bookmarkStart w:id="35" w:name="page36"/>
    <w:bookmarkEnd w:id="35"/>
    <w:p>
      <w:pPr>
        <w:ind w:left="324" w:right="480" w:hanging="324"/>
        <w:spacing w:after="0" w:line="261" w:lineRule="auto"/>
        <w:tabs>
          <w:tab w:leader="none" w:pos="3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Data in this column represents the number of years of credited service earned by the named executive officer as of December 31, 2023. Mr. Rosen has prior service with Kaplan, Newsweek and Graham Holdings Company. All are included in this column.</w:t>
      </w:r>
    </w:p>
    <w:p>
      <w:pPr>
        <w:spacing w:after="0" w:line="68" w:lineRule="exact"/>
        <w:rPr>
          <w:rFonts w:ascii="Times New Roman" w:cs="Times New Roman" w:eastAsia="Times New Roman" w:hAnsi="Times New Roman"/>
          <w:sz w:val="14"/>
          <w:szCs w:val="14"/>
          <w:color w:val="auto"/>
        </w:rPr>
      </w:pPr>
    </w:p>
    <w:p>
      <w:pPr>
        <w:ind w:left="324" w:right="40" w:hanging="324"/>
        <w:spacing w:after="0" w:line="236" w:lineRule="auto"/>
        <w:tabs>
          <w:tab w:leader="none" w:pos="3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actuarial present value of the named executive officer’s accumulated benefits under the plan as of December 31, 2023. The benefits valued for Mr. O’Shaughnessy and Mr. Maas include benefits under the SRA and CBRP Schedules. The benefits valued for Mr. Rosen include the Graham Schedule, Newsweek Schedule, Kaplan Schedule, SRA Schedule and SERP amounts. The value of Mr. Rosen’s accumulated benefits in this column are based on the assumption that he terminates and retires immediately at December 31, 2023. The benefits valued for Mr. Cooney and Ms. Maddrey include the Graham Schedule and SRA Schedule.</w:t>
      </w:r>
    </w:p>
    <w:p>
      <w:pPr>
        <w:spacing w:after="0" w:line="82" w:lineRule="exact"/>
        <w:rPr>
          <w:sz w:val="20"/>
          <w:szCs w:val="20"/>
          <w:color w:val="auto"/>
        </w:rPr>
      </w:pPr>
    </w:p>
    <w:p>
      <w:pPr>
        <w:ind w:left="324" w:right="20" w:hanging="324"/>
        <w:spacing w:after="0" w:line="26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in determining the present value of accumulated benefits are the PRI-2012 Fully Generational Mortality Table for males and females, using Scale MP-2021 with a 90% white-collar and 10% blue-collar blend (100% white-collar for Nonqualified benefits) and a discount rate of 5.20% (5.10% for SERP) at December 31, 2023.</w:t>
      </w:r>
    </w:p>
    <w:p>
      <w:pPr>
        <w:spacing w:after="0" w:line="68" w:lineRule="exact"/>
        <w:rPr>
          <w:rFonts w:ascii="Times New Roman" w:cs="Times New Roman" w:eastAsia="Times New Roman" w:hAnsi="Times New Roman"/>
          <w:sz w:val="14"/>
          <w:szCs w:val="14"/>
          <w:color w:val="auto"/>
        </w:rPr>
      </w:pPr>
    </w:p>
    <w:p>
      <w:pPr>
        <w:ind w:left="324" w:hanging="324"/>
        <w:spacing w:after="0" w:line="23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valued reflect service and earnings through December 31, 2023,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Schedule is valued as a lump-sum and 50% as an annuity payable for life. It is also assumed that benefits under the Cash Balance and Secure Retirement Account Schedules will be taken as a lump-sum with a 90% probability and an annuity with a 10% probability. The annuity was converted to a lump-sum value using the 2024 PPA combined unisex mortality for single-sum payments and interest rates of 5.45% for payments in the first five years, 5.52% for payments in years 5 through 20, and 5.43% for years thereafter.</w:t>
      </w:r>
    </w:p>
    <w:p>
      <w:pPr>
        <w:spacing w:after="0" w:line="17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The following table includes information related to the SERP and the Deferred Compensation Plan. Among the benefits provided under the SERP, closed to new participants since December 2015, is a supplemental defined contribution plan benefit wherein the Company provides a matching contribution percentage up to 4% of the participating executive’s base salary in excess of the annual covered compensation limit applied to qualified plan benefits ($330,000 in 2023). The executive is required to make contributions to the SERP in order to receive the applicable matching Company credit each year. The Deferred Compensation Plan, closed to new and existing participants since December 2015, provided an opportunity for participants to voluntarily defer the receipt of all or a portion of annual bonus and/or certain long-term cash awards made under the Legacy Plan.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w:t>
      </w:r>
    </w:p>
    <w:p>
      <w:pPr>
        <w:spacing w:after="0" w:line="217" w:lineRule="exact"/>
        <w:rPr>
          <w:sz w:val="20"/>
          <w:szCs w:val="20"/>
          <w:color w:val="auto"/>
        </w:rPr>
      </w:pPr>
    </w:p>
    <w:tbl>
      <w:tblPr>
        <w:tblLayout w:type="fixed"/>
        <w:tblInd w:w="194" w:type="dxa"/>
        <w:tblCellMar>
          <w:top w:w="0" w:type="dxa"/>
          <w:left w:w="0" w:type="dxa"/>
          <w:bottom w:w="0" w:type="dxa"/>
          <w:right w:w="0" w:type="dxa"/>
        </w:tblCellMar>
      </w:tblPr>
      <w:tr>
        <w:trPr>
          <w:trHeight w:val="137"/>
        </w:trPr>
        <w:tc>
          <w:tcPr>
            <w:tcW w:w="3140" w:type="dxa"/>
            <w:vAlign w:val="bottom"/>
            <w:tcBorders>
              <w:top w:val="single" w:sz="8" w:color="auto"/>
              <w:left w:val="single" w:sz="8" w:color="auto"/>
              <w:right w:val="single" w:sz="8" w:color="auto"/>
            </w:tcBorders>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Executive Contributions</w:t>
            </w:r>
          </w:p>
        </w:tc>
        <w:tc>
          <w:tcPr>
            <w:tcW w:w="16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Registrant Contributions</w:t>
            </w:r>
          </w:p>
        </w:tc>
        <w:tc>
          <w:tcPr>
            <w:tcW w:w="13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Earnings  </w:t>
            </w:r>
          </w:p>
        </w:tc>
        <w:tc>
          <w:tcPr>
            <w:tcW w:w="16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Withdrawals/  </w:t>
            </w:r>
          </w:p>
        </w:tc>
        <w:tc>
          <w:tcPr>
            <w:tcW w:w="12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8"/>
        </w:trPr>
        <w:tc>
          <w:tcPr>
            <w:tcW w:w="314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FYE ($)</w:t>
            </w:r>
          </w:p>
        </w:tc>
        <w:tc>
          <w:tcPr>
            <w:tcW w:w="0" w:type="dxa"/>
            <w:vAlign w:val="bottom"/>
          </w:tcPr>
          <w:p>
            <w:pPr>
              <w:spacing w:after="0"/>
              <w:rPr>
                <w:sz w:val="1"/>
                <w:szCs w:val="1"/>
                <w:color w:val="auto"/>
              </w:rPr>
            </w:pPr>
          </w:p>
        </w:tc>
      </w:tr>
      <w:tr>
        <w:trPr>
          <w:trHeight w:val="187"/>
        </w:trPr>
        <w:tc>
          <w:tcPr>
            <w:tcW w:w="314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 xml:space="preserve">(a) </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89"/>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38,850</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38,850</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1,030,233</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7,897,890</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1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4" w:hanging="324"/>
        <w:spacing w:after="0"/>
        <w:tabs>
          <w:tab w:leader="none" w:pos="3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contribution by Mr. Rosen of $38,850 to the SERP. It is included in the Salary column of the Summary Compensation Table.</w:t>
      </w:r>
    </w:p>
    <w:p>
      <w:pPr>
        <w:spacing w:after="0" w:line="109" w:lineRule="exact"/>
        <w:rPr>
          <w:rFonts w:ascii="Times New Roman" w:cs="Times New Roman" w:eastAsia="Times New Roman" w:hAnsi="Times New Roman"/>
          <w:sz w:val="14"/>
          <w:szCs w:val="14"/>
          <w:color w:val="auto"/>
        </w:rPr>
      </w:pPr>
    </w:p>
    <w:p>
      <w:pPr>
        <w:ind w:left="324" w:right="760" w:hanging="324"/>
        <w:spacing w:after="0" w:line="261" w:lineRule="auto"/>
        <w:tabs>
          <w:tab w:leader="none" w:pos="3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Company contribution of $38,850 to the SERP for Mr. Rosen. It is included in the All Other Compensation column of the Summary Compensation Table.</w:t>
      </w:r>
    </w:p>
    <w:p>
      <w:pPr>
        <w:spacing w:after="0" w:line="68" w:lineRule="exact"/>
        <w:rPr>
          <w:rFonts w:ascii="Times New Roman" w:cs="Times New Roman" w:eastAsia="Times New Roman" w:hAnsi="Times New Roman"/>
          <w:sz w:val="14"/>
          <w:szCs w:val="14"/>
          <w:color w:val="auto"/>
        </w:rPr>
      </w:pPr>
    </w:p>
    <w:p>
      <w:pPr>
        <w:ind w:left="324" w:hanging="324"/>
        <w:spacing w:after="0" w:line="241" w:lineRule="auto"/>
        <w:tabs>
          <w:tab w:leader="none" w:pos="3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investment gains or losses to the SERP and to the Deferred Compensation Plan, based on Mr. Rosen’s investment elections as follows: $411,867 to the SERP and $618,366 to the Deferred Compensation Plan. These gains or losses are not included in the Summary Compensation Table; the gains or losses reflect market performance of investment indexes selected by Mr. Rosen.</w:t>
      </w:r>
    </w:p>
    <w:p>
      <w:pPr>
        <w:spacing w:after="0" w:line="82"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Mr. Rosen’s balances at December 31, 2023, for the SERP and the Deferred Compensation Plan as follows: $3,185,553 in the SERP and</w:t>
      </w:r>
    </w:p>
    <w:p>
      <w:pPr>
        <w:spacing w:after="0" w:line="3" w:lineRule="exact"/>
        <w:rPr>
          <w:rFonts w:ascii="Times New Roman" w:cs="Times New Roman" w:eastAsia="Times New Roman" w:hAnsi="Times New Roman"/>
          <w:sz w:val="14"/>
          <w:szCs w:val="14"/>
          <w:color w:val="auto"/>
        </w:rPr>
      </w:pPr>
    </w:p>
    <w:p>
      <w:pPr>
        <w:ind w:left="3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$4,712,337 in the Deferred Compensation Plan. An amount of $295,463 was reported as compensation in the Summary Compensation Table for years beginning 2019 (excluding 2023).</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with any of the named executive officers that provide payments in conjunction with a change in control. A description and quantification of the estimated dollar value of potential severance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92" w:right="47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and other benefits that would be provided to the named executive officers (or, in the case of death, to their respective estates or beneficiaries) under the named executive officer’s respective letter or employment agreements, option award agreements and other individual arrangements following a termination of their employment is described below, assuming, in accordance with the SEC regulations, all relevant events occurred on December 31, 2023. For purposes of the valuations below, the price of Class B Common Stock (to which all applicable equity awards relate) is assumed to be $696.52, which was the closing share price on December 29, 2023.</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a termination of employment, each of Messrs. O’Shaughnessy, Cooney, Rosen,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addition, in the case of a termination by the Company other than for cause, Mr. O’Shaughnessy would be entitled to accelerated vesting of the next tranche of options that is scheduled to vest following such termination. Assuming a termination of employment as of December 31, 2023, Mr. O’Shaughnessy would be entitled to accelerated vesting of 12,876 stock options (representing a value of $3,472,142 based on their exercise price of $426.86 per share), subject to his signing of a release of claims in favor of the Company that has become irrevocable.</w:t>
      </w:r>
    </w:p>
    <w:p>
      <w:pPr>
        <w:spacing w:after="0" w:line="180"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In the case of a termination by the Company other than for cause, Mr. Rosen would be entitled to (1) accelerated vesting of a pro rata portion of his outstanding and unvested restricted stock, which, assuming a termination of employment as of December 31, 2023, would result in accelerated vesting of 543 shares of Company restricted stock (representing a value of</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$378,210) and (2) a severance payment of $3,500,000, payable in a lump-sum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76"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Each of Messrs. O’Shaughnessy and Rosen are subject to restrictive covenants that apply following termination for any reason, as described above in “Executive Compensation: Employment Agreements and Severance Packages.”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Ratio of CEO Pay to Median Employee Pay</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In the Company’s 2023 Proxy Statement, filed on March 23, 2023, the Company described the methodology it used to identify the median employee for 2022. In light of the fact that the Company’s pay demographics remain consistent with 2022, the Company determined that there have been no changes that would result in a significant impact to its pay ratio disclosure. Therefore, in accordance with SEC regulation, for purposes of calculating the pay ratio in this Proxy Statement the Company elected to use the same median employee that was used to determine the pay ratio in its 2023 Proxy Statement.</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For 2023, the Company estimates that the ratio of CEO pay to median employee pay was 37:1. The median employee’s annual compensation in 2023 was $48,789. As reflected in the Summary Compensation Table, the 2023 annual total compensation of the Company’s CEO was $1,781,256. This ratio represents an estimate calculated in a manner consistent with SEC regulations.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97" w:right="479" w:bottom="1440" w:gutter="0" w:footer="0" w:header="0"/>
        </w:sectPr>
      </w:pPr>
    </w:p>
    <w:bookmarkStart w:id="37" w:name="page38"/>
    <w:bookmarkEnd w:id="3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COMMITTEE REPORT</w:t>
      </w:r>
    </w:p>
    <w:p>
      <w:pPr>
        <w:spacing w:after="0" w:line="22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One of the standing committees of the Board of Directors of the Company is the Audit Committee. The Audit Committee operates under a written charter adopted by the Board of Directors, which is available on our website at https:// www.ghco.com/corporate-governance. Currently, there are three non-employee members of the Board on the Audit Committee: Christopher C. Davis; Thomas S. Gayner, who serves as Chairman of the Audit Committee;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w:t>
      </w:r>
    </w:p>
    <w:p>
      <w:pPr>
        <w:spacing w:after="0" w:line="5" w:lineRule="exact"/>
        <w:rPr>
          <w:sz w:val="20"/>
          <w:szCs w:val="20"/>
          <w:color w:val="auto"/>
        </w:rPr>
      </w:pPr>
    </w:p>
    <w:p>
      <w:pPr>
        <w:ind w:left="4" w:right="180" w:hanging="4"/>
        <w:spacing w:after="0" w:line="260"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1" w:lineRule="exact"/>
        <w:rPr>
          <w:sz w:val="20"/>
          <w:szCs w:val="20"/>
          <w:color w:val="auto"/>
        </w:rPr>
      </w:pPr>
    </w:p>
    <w:p>
      <w:pPr>
        <w:ind w:left="4" w:right="20" w:firstLine="991"/>
        <w:spacing w:after="0" w:line="281" w:lineRule="auto"/>
        <w:rPr>
          <w:sz w:val="20"/>
          <w:szCs w:val="20"/>
          <w:color w:val="auto"/>
        </w:rPr>
      </w:pPr>
      <w:r>
        <w:rPr>
          <w:rFonts w:ascii="Times New Roman" w:cs="Times New Roman" w:eastAsia="Times New Roman" w:hAnsi="Times New Roman"/>
          <w:sz w:val="17"/>
          <w:szCs w:val="17"/>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64"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8"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fiscal year 2023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8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2023,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Thomas S. Gayner, Chairman</w:t>
      </w:r>
    </w:p>
    <w:p>
      <w:pPr>
        <w:spacing w:after="0" w:line="27"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Christopher C. Davis</w:t>
      </w:r>
    </w:p>
    <w:p>
      <w:pPr>
        <w:spacing w:after="0" w:line="9"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G. Richard Wagoner, Jr.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93"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Policy for Preapproval of Audit and Permitted Non-audit Services</w:t>
      </w:r>
    </w:p>
    <w:p>
      <w:pPr>
        <w:spacing w:after="0" w:line="22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In 2023, the Audit Committee again reviewed and reauthorized its policies and procedures with regard to the preapproval of audit and non-audit services performed by the independent auditor in order to ensure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7"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the annual audit, statutory audits and reviews of financial statements included in the Company’s quarterly filings, including reimbursable expenses, were $5,345,000 in 2023 and $5,231,000 in 2022, which fees were reviewed and approved by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tax compliance, tax advice and tax planning, including reimbursable expenses, were $0 in 2023 and $36,000 in 2022, which fees were reviewed and approved by the Audit Committee. These fees were primarily for federal, multi-state and international tax consulting, as well as tax due diligence and transaction analysis.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860" w:firstLine="991"/>
        <w:spacing w:after="0" w:line="312" w:lineRule="auto"/>
        <w:rPr>
          <w:sz w:val="20"/>
          <w:szCs w:val="20"/>
          <w:color w:val="auto"/>
        </w:rPr>
      </w:pPr>
      <w:r>
        <w:rPr>
          <w:rFonts w:ascii="Times New Roman" w:cs="Times New Roman" w:eastAsia="Times New Roman" w:hAnsi="Times New Roman"/>
          <w:sz w:val="17"/>
          <w:szCs w:val="17"/>
          <w:color w:val="auto"/>
        </w:rPr>
        <w:t>PricewaterhouseCoopers LLP’s fees for other services, including a finance and accounting research tool provided by PricewaterhouseCoopers LLP, were $76,100 in 2023 and $89,000 in 2022, which fees were reviewed and approved by the Audit Committee.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93"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Transactions with Related Persons, Promoters and Certain Control Persons</w:t>
      </w:r>
    </w:p>
    <w:p>
      <w:pPr>
        <w:spacing w:after="0" w:line="22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Mrs. Elizabeth G. Weymouth, the daughter of the late Mrs. Katharine Graham, the sister of Mr. Donald E. Graham and the mother of Katharine Weymouth, is employed as an Editor-at-Large of the Company’s publications and websites. In 2023, she received $300,000 in compensation. Mrs. Weymouth’s base salary for 2024 is $300,000.</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THAT MAY COME BEFORE THE MEETING</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has selected PricewaterhouseCoopers LLP as the Company’s independent registered accountant to audit and report on its financial statements for the fiscal year 2024.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2023 and the firm’s relationship with the Company and will be available to respond to appropriate questions from shareholders.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93"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Notice of</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Annual Meeting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Proxy Statement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3170555</wp:posOffset>
            </wp:positionV>
            <wp:extent cx="3909060" cy="557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09060" cy="557530"/>
                    </a:xfrm>
                    <a:prstGeom prst="rect">
                      <a:avLst/>
                    </a:prstGeom>
                    <a:noFill/>
                  </pic:spPr>
                </pic:pic>
              </a:graphicData>
            </a:graphic>
          </wp:anchor>
        </w:drawing>
      </w:r>
    </w:p>
    <w:p>
      <w:pPr>
        <w:sectPr>
          <w:pgSz w:w="11900" w:h="16838" w:orient="portrait"/>
          <w:cols w:equalWidth="0" w:num="1">
            <w:col w:w="9019"/>
          </w:cols>
          <w:pgMar w:left="1440" w:top="1236" w:right="1440"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 "/>
      <w:numFmt w:val="bullet"/>
      <w:start w:val="1"/>
    </w:lvl>
  </w:abstractNum>
  <w:abstractNum w:abstractNumId="14">
    <w:nsid w:val="79838CB2"/>
    <w:multiLevelType w:val="hybridMultilevel"/>
    <w:lvl w:ilvl="0">
      <w:lvlJc w:val="left"/>
      <w:lvlText w:val="(%1)"/>
      <w:numFmt w:val="lowerLetter"/>
      <w:start w:val="2"/>
    </w:lvl>
  </w:abstractNum>
  <w:abstractNum w:abstractNumId="15">
    <w:nsid w:val="4353D0CD"/>
    <w:multiLevelType w:val="hybridMultilevel"/>
    <w:lvl w:ilvl="0">
      <w:lvlJc w:val="left"/>
      <w:lvlText w:val="(%1)"/>
      <w:numFmt w:val="lowerLetter"/>
      <w:start w:val="6"/>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6"/>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2024-03-26T08:24:45Z</dcterms:created>
  <dcterms:modified xsi:type="dcterms:W3CDTF">2024-03-26T08:24:45Z</dcterms:modified>
</cp:coreProperties>
</file>