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GRAHAM HOLDINGS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Class B Common Stock $1.00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939640 10 8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720" w:hanging="361"/>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720" w:hanging="361"/>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720" w:hanging="361"/>
        <w:spacing w:after="0"/>
        <w:tabs>
          <w:tab w:leader="none" w:pos="7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894715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3"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1"/>
        </w:trPr>
        <w:tc>
          <w:tcPr>
            <w:tcW w:w="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w:t>
            </w: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9"/>
              </w:rPr>
              <w:t>939640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13G</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w:t>
            </w:r>
          </w:p>
        </w:tc>
        <w:tc>
          <w:tcPr>
            <w:tcW w:w="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10 8</w:t>
            </w:r>
          </w:p>
        </w:tc>
        <w:tc>
          <w:tcPr>
            <w:tcW w:w="160" w:type="dxa"/>
            <w:vAlign w:val="bottom"/>
            <w:tcBorders>
              <w:bottom w:val="single" w:sz="8" w:color="auto"/>
              <w:right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0" w:type="dxa"/>
            <w:vAlign w:val="bottom"/>
            <w:tcBorders>
              <w:bottom w:val="single" w:sz="8" w:color="auto"/>
            </w:tcBorders>
            <w:gridSpan w:val="6"/>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00" w:type="dxa"/>
            <w:vAlign w:val="bottom"/>
            <w:tcBorders>
              <w:left w:val="single" w:sz="8" w:color="auto"/>
            </w:tcBorders>
          </w:tcPr>
          <w:p>
            <w:pPr>
              <w:jc w:val="center"/>
              <w:ind w:left="472"/>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97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Elizabeth G. Weymouth</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9600" w:type="dxa"/>
            <w:vAlign w:val="bottom"/>
            <w:tcBorders>
              <w:bottom w:val="single" w:sz="8" w:color="auto"/>
            </w:tcBorders>
            <w:gridSpan w:val="6"/>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800" w:type="dxa"/>
            <w:vAlign w:val="bottom"/>
            <w:tcBorders>
              <w:left w:val="single" w:sz="8" w:color="auto"/>
            </w:tcBorders>
            <w:vMerge w:val="restart"/>
          </w:tcPr>
          <w:p>
            <w:pPr>
              <w:jc w:val="center"/>
              <w:ind w:left="472"/>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00" w:type="dxa"/>
            <w:vAlign w:val="bottom"/>
            <w:tcBorders>
              <w:left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82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8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tcBorders>
            <w:vMerge w:val="restart"/>
          </w:tcPr>
          <w:p>
            <w:pPr>
              <w:jc w:val="center"/>
              <w:ind w:left="472"/>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300" w:type="dxa"/>
            <w:vAlign w:val="bottom"/>
            <w:gridSpan w:val="5"/>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00" w:type="dxa"/>
            <w:vAlign w:val="bottom"/>
            <w:tcBorders>
              <w:lef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60" w:type="dxa"/>
            <w:vAlign w:val="bottom"/>
            <w:tcBorders>
              <w:right w:val="single" w:sz="8" w:color="BFBFBF"/>
            </w:tcBorders>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0" w:type="dxa"/>
            <w:vAlign w:val="bottom"/>
            <w:tcBorders>
              <w:left w:val="single" w:sz="8" w:color="auto"/>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right w:val="single" w:sz="8" w:color="BFBFBF"/>
            </w:tcBorders>
            <w:shd w:val="clear" w:color="auto" w:fill="BFBFBF"/>
          </w:tcPr>
          <w:p>
            <w:pPr>
              <w:spacing w:after="0"/>
              <w:rPr>
                <w:sz w:val="23"/>
                <w:szCs w:val="23"/>
                <w:color w:val="auto"/>
              </w:rPr>
            </w:pPr>
          </w:p>
        </w:tc>
        <w:tc>
          <w:tcPr>
            <w:tcW w:w="46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tcBorders>
            <w:shd w:val="clear" w:color="auto" w:fill="BFBFBF"/>
          </w:tcPr>
          <w:p>
            <w:pPr>
              <w:spacing w:after="0"/>
              <w:rPr>
                <w:sz w:val="23"/>
                <w:szCs w:val="23"/>
                <w:color w:val="auto"/>
              </w:rPr>
            </w:pPr>
          </w:p>
        </w:tc>
        <w:tc>
          <w:tcPr>
            <w:tcW w:w="4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tcBorders>
            <w:vMerge w:val="restart"/>
          </w:tcPr>
          <w:p>
            <w:pPr>
              <w:jc w:val="center"/>
              <w:ind w:left="472"/>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00" w:type="dxa"/>
            <w:vAlign w:val="bottom"/>
            <w:tcBorders>
              <w:lef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3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0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211,363</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5"/>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200" w:type="dxa"/>
            <w:vAlign w:val="bottom"/>
          </w:tcPr>
          <w:p>
            <w:pPr>
              <w:spacing w:after="0"/>
              <w:rPr>
                <w:sz w:val="18"/>
                <w:szCs w:val="18"/>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40" w:type="dxa"/>
            <w:vAlign w:val="bottom"/>
            <w:tcBorders>
              <w:left w:val="single" w:sz="8" w:color="auto"/>
              <w:right w:val="single" w:sz="8" w:color="auto"/>
            </w:tcBorders>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tc>
        <w:tc>
          <w:tcPr>
            <w:tcW w:w="200" w:type="dxa"/>
            <w:vAlign w:val="bottom"/>
          </w:tcPr>
          <w:p>
            <w:pPr>
              <w:spacing w:after="0"/>
              <w:rPr>
                <w:sz w:val="16"/>
                <w:szCs w:val="16"/>
                <w:color w:val="auto"/>
              </w:rPr>
            </w:pPr>
          </w:p>
        </w:tc>
        <w:tc>
          <w:tcPr>
            <w:tcW w:w="46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040" w:type="dxa"/>
            <w:vAlign w:val="bottom"/>
            <w:tcBorders>
              <w:left w:val="single" w:sz="8" w:color="auto"/>
              <w:right w:val="single" w:sz="8" w:color="auto"/>
            </w:tcBorders>
            <w:gridSpan w:val="5"/>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80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0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211,363</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gridSpan w:val="2"/>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tcBorders>
            <w:vMerge w:val="restart"/>
          </w:tcPr>
          <w:p>
            <w:pPr>
              <w:jc w:val="center"/>
              <w:ind w:left="472"/>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800" w:type="dxa"/>
            <w:vAlign w:val="bottom"/>
            <w:tcBorders>
              <w:left w:val="single" w:sz="8" w:color="auto"/>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1"/>
              </w:rPr>
              <w:t xml:space="preserve">211,363 </w:t>
            </w:r>
            <w:r>
              <w:rPr>
                <w:rFonts w:ascii="Times New Roman" w:cs="Times New Roman" w:eastAsia="Times New Roman" w:hAnsi="Times New Roman"/>
                <w:sz w:val="29"/>
                <w:szCs w:val="29"/>
                <w:color w:val="auto"/>
                <w:w w:val="91"/>
                <w:vertAlign w:val="superscript"/>
              </w:rPr>
              <w:t>(1)</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 w:type="dxa"/>
            <w:vAlign w:val="bottom"/>
            <w:tcBorders>
              <w:left w:val="single" w:sz="8" w:color="auto"/>
            </w:tcBorders>
            <w:gridSpan w:val="2"/>
            <w:vMerge w:val="restart"/>
          </w:tcPr>
          <w:p>
            <w:pPr>
              <w:jc w:val="center"/>
              <w:ind w:left="392"/>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540" w:type="dxa"/>
            <w:vAlign w:val="bottom"/>
            <w:tcBorders>
              <w:right w:val="single" w:sz="8" w:color="auto"/>
            </w:tcBorders>
          </w:tcPr>
          <w:p>
            <w:pPr>
              <w:spacing w:after="0"/>
              <w:rPr>
                <w:sz w:val="21"/>
                <w:szCs w:val="21"/>
                <w:color w:val="auto"/>
              </w:rPr>
            </w:pP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880" w:type="dxa"/>
            <w:vAlign w:val="bottom"/>
            <w:tcBorders>
              <w:left w:val="single" w:sz="8" w:color="auto"/>
            </w:tcBorders>
            <w:gridSpan w:val="2"/>
            <w:vMerge w:val="continue"/>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82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80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800" w:type="dxa"/>
            <w:vAlign w:val="bottom"/>
            <w:tcBorders>
              <w:left w:val="single" w:sz="8" w:color="auto"/>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tcBorders>
            <w:gridSpan w:val="2"/>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80" w:type="dxa"/>
            <w:vAlign w:val="bottom"/>
            <w:tcBorders>
              <w:left w:val="single" w:sz="8" w:color="auto"/>
            </w:tcBorders>
            <w:gridSpan w:val="2"/>
            <w:vMerge w:val="restart"/>
          </w:tcPr>
          <w:p>
            <w:pPr>
              <w:jc w:val="center"/>
              <w:ind w:left="412"/>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40" w:type="dxa"/>
            <w:vAlign w:val="bottom"/>
            <w:tcBorders>
              <w:right w:val="single" w:sz="8" w:color="auto"/>
            </w:tcBorders>
          </w:tcPr>
          <w:p>
            <w:pPr>
              <w:spacing w:after="0"/>
              <w:rPr>
                <w:sz w:val="24"/>
                <w:szCs w:val="24"/>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5.8%</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80" w:type="dxa"/>
            <w:vAlign w:val="bottom"/>
            <w:tcBorders>
              <w:left w:val="single" w:sz="8" w:color="auto"/>
            </w:tcBorders>
            <w:gridSpan w:val="2"/>
            <w:vMerge w:val="continue"/>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97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Calculated based on 3,641,761 shares of Class B Common Stock outstanding (3,473,761 shares of Class B Common Stock</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7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outstanding as of April 26, 2024, </w:t>
            </w:r>
            <w:r>
              <w:rPr>
                <w:rFonts w:ascii="Times New Roman" w:cs="Times New Roman" w:eastAsia="Times New Roman" w:hAnsi="Times New Roman"/>
                <w:sz w:val="18"/>
                <w:szCs w:val="18"/>
                <w:b w:val="1"/>
                <w:bCs w:val="1"/>
                <w:i w:val="1"/>
                <w:iCs w:val="1"/>
                <w:color w:val="auto"/>
              </w:rPr>
              <w:t>plus</w:t>
            </w:r>
            <w:r>
              <w:rPr>
                <w:rFonts w:ascii="Times New Roman" w:cs="Times New Roman" w:eastAsia="Times New Roman" w:hAnsi="Times New Roman"/>
                <w:sz w:val="18"/>
                <w:szCs w:val="18"/>
                <w:b w:val="1"/>
                <w:bCs w:val="1"/>
                <w:color w:val="auto"/>
              </w:rPr>
              <w:t xml:space="preserve"> 168,000 shares issuable upon conversion of Class A Common Stock beneficially owned</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97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by the Reporting Person, share for share, into Class B Common Stock)</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gridSpan w:val="2"/>
          </w:tcPr>
          <w:p>
            <w:pPr>
              <w:spacing w:after="0"/>
              <w:rPr>
                <w:sz w:val="21"/>
                <w:szCs w:val="21"/>
                <w:color w:val="auto"/>
              </w:rPr>
            </w:pPr>
          </w:p>
        </w:tc>
        <w:tc>
          <w:tcPr>
            <w:tcW w:w="660" w:type="dxa"/>
            <w:vAlign w:val="bottom"/>
            <w:tcBorders>
              <w:bottom w:val="single" w:sz="8" w:color="auto"/>
            </w:tcBorders>
            <w:gridSpan w:val="2"/>
          </w:tcPr>
          <w:p>
            <w:pPr>
              <w:spacing w:after="0"/>
              <w:rPr>
                <w:sz w:val="21"/>
                <w:szCs w:val="21"/>
                <w:color w:val="auto"/>
              </w:rPr>
            </w:pPr>
          </w:p>
        </w:tc>
        <w:tc>
          <w:tcPr>
            <w:tcW w:w="8320" w:type="dxa"/>
            <w:vAlign w:val="bottom"/>
            <w:tcBorders>
              <w:bottom w:val="single" w:sz="8" w:color="auto"/>
            </w:tcBorders>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80" w:type="dxa"/>
            <w:vAlign w:val="bottom"/>
            <w:tcBorders>
              <w:left w:val="single" w:sz="8" w:color="auto"/>
            </w:tcBorders>
            <w:gridSpan w:val="2"/>
            <w:vMerge w:val="restart"/>
          </w:tcPr>
          <w:p>
            <w:pPr>
              <w:jc w:val="center"/>
              <w:ind w:left="392"/>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40" w:type="dxa"/>
            <w:vAlign w:val="bottom"/>
            <w:tcBorders>
              <w:right w:val="single" w:sz="8" w:color="auto"/>
            </w:tcBorders>
          </w:tcPr>
          <w:p>
            <w:pPr>
              <w:spacing w:after="0"/>
              <w:rPr>
                <w:sz w:val="20"/>
                <w:szCs w:val="20"/>
                <w:color w:val="auto"/>
              </w:rPr>
            </w:pP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80" w:type="dxa"/>
            <w:vAlign w:val="bottom"/>
            <w:tcBorders>
              <w:left w:val="single" w:sz="8" w:color="auto"/>
            </w:tcBorders>
            <w:gridSpan w:val="2"/>
            <w:vMerge w:val="continue"/>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20" w:right="20" w:hanging="412"/>
        <w:spacing w:after="0" w:line="261" w:lineRule="auto"/>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amount reported as beneficially owned in Row 9 does not include 69,625 Class A shares and 3,275 Class B shares held in trusts for the benefit of Mrs. Weymouth, for which she has no voting or investment power and expressly disclaims beneficial ownership.</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9" w:lineRule="exact"/>
        <w:rPr>
          <w:sz w:val="20"/>
          <w:szCs w:val="20"/>
          <w:color w:val="auto"/>
        </w:rPr>
      </w:pPr>
    </w:p>
    <w:p>
      <w:pPr>
        <w:ind w:left="1460" w:hanging="359"/>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25" w:lineRule="exact"/>
        <w:rPr>
          <w:rFonts w:ascii="Times New Roman" w:cs="Times New Roman" w:eastAsia="Times New Roman" w:hAnsi="Times New Roman"/>
          <w:sz w:val="18"/>
          <w:szCs w:val="18"/>
          <w:color w:val="auto"/>
        </w:rPr>
      </w:pPr>
    </w:p>
    <w:p>
      <w:pPr>
        <w:ind w:left="1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Graham Holdings Company</w:t>
      </w:r>
    </w:p>
    <w:p>
      <w:pPr>
        <w:spacing w:after="0" w:line="225" w:lineRule="exact"/>
        <w:rPr>
          <w:rFonts w:ascii="Times New Roman" w:cs="Times New Roman" w:eastAsia="Times New Roman" w:hAnsi="Times New Roman"/>
          <w:sz w:val="18"/>
          <w:szCs w:val="18"/>
          <w:color w:val="auto"/>
        </w:rPr>
      </w:pPr>
    </w:p>
    <w:p>
      <w:pPr>
        <w:ind w:left="1460" w:hanging="359"/>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rFonts w:ascii="Times New Roman" w:cs="Times New Roman" w:eastAsia="Times New Roman" w:hAnsi="Times New Roman"/>
          <w:sz w:val="18"/>
          <w:szCs w:val="18"/>
          <w:color w:val="auto"/>
        </w:rPr>
      </w:pPr>
    </w:p>
    <w:p>
      <w:pPr>
        <w:ind w:left="1460" w:right="814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1300 North 17th Street Arlington, VA 22209</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9" w:lineRule="exact"/>
        <w:rPr>
          <w:sz w:val="20"/>
          <w:szCs w:val="20"/>
          <w:color w:val="auto"/>
        </w:rPr>
      </w:pPr>
    </w:p>
    <w:p>
      <w:pPr>
        <w:ind w:left="1420" w:hanging="346"/>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25"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being filed by Elizabeth G. Weymouth.</w:t>
      </w:r>
    </w:p>
    <w:p>
      <w:pPr>
        <w:spacing w:after="0" w:line="225" w:lineRule="exact"/>
        <w:rPr>
          <w:rFonts w:ascii="Times New Roman" w:cs="Times New Roman" w:eastAsia="Times New Roman" w:hAnsi="Times New Roman"/>
          <w:sz w:val="18"/>
          <w:szCs w:val="18"/>
          <w:color w:val="auto"/>
        </w:rPr>
      </w:pPr>
    </w:p>
    <w:p>
      <w:pPr>
        <w:ind w:left="1420" w:right="5480" w:hanging="346"/>
        <w:spacing w:after="0" w:line="500"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The principal business office of Elizabeth G. Weymouth is:</w:t>
      </w:r>
    </w:p>
    <w:p>
      <w:pPr>
        <w:spacing w:after="0" w:line="1" w:lineRule="exact"/>
        <w:rPr>
          <w:rFonts w:ascii="Times New Roman" w:cs="Times New Roman" w:eastAsia="Times New Roman" w:hAnsi="Times New Roman"/>
          <w:sz w:val="18"/>
          <w:szCs w:val="18"/>
          <w:color w:val="auto"/>
        </w:rPr>
      </w:pPr>
    </w:p>
    <w:p>
      <w:pPr>
        <w:ind w:left="1420" w:right="8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1300 North 17th Street Arlington, VA 22209</w:t>
      </w:r>
    </w:p>
    <w:p>
      <w:pPr>
        <w:spacing w:after="0" w:line="161" w:lineRule="exact"/>
        <w:rPr>
          <w:rFonts w:ascii="Times New Roman" w:cs="Times New Roman" w:eastAsia="Times New Roman" w:hAnsi="Times New Roman"/>
          <w:sz w:val="18"/>
          <w:szCs w:val="18"/>
          <w:color w:val="auto"/>
        </w:rPr>
      </w:pPr>
    </w:p>
    <w:p>
      <w:pPr>
        <w:ind w:left="1420" w:hanging="346"/>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5"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Elizabeth G. Weymouth is a citizen of the United States of America.</w:t>
      </w:r>
    </w:p>
    <w:p>
      <w:pPr>
        <w:spacing w:after="0" w:line="225" w:lineRule="exact"/>
        <w:rPr>
          <w:rFonts w:ascii="Times New Roman" w:cs="Times New Roman" w:eastAsia="Times New Roman" w:hAnsi="Times New Roman"/>
          <w:sz w:val="18"/>
          <w:szCs w:val="18"/>
          <w:color w:val="auto"/>
        </w:rPr>
      </w:pPr>
    </w:p>
    <w:p>
      <w:pPr>
        <w:ind w:left="1420" w:hanging="346"/>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Class B Common Stock $1.00 par value</w:t>
      </w:r>
    </w:p>
    <w:p>
      <w:pPr>
        <w:spacing w:after="0" w:line="225" w:lineRule="exact"/>
        <w:rPr>
          <w:rFonts w:ascii="Times New Roman" w:cs="Times New Roman" w:eastAsia="Times New Roman" w:hAnsi="Times New Roman"/>
          <w:sz w:val="18"/>
          <w:szCs w:val="18"/>
          <w:color w:val="auto"/>
        </w:rPr>
      </w:pPr>
    </w:p>
    <w:p>
      <w:pPr>
        <w:ind w:left="1420" w:hanging="346"/>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939640 10 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3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Rules 13d-1(b), or 13d-2(b) or (c), check whether the person filing is a:</w:t>
            </w:r>
          </w:p>
        </w:tc>
      </w:tr>
      <w:tr>
        <w:trPr>
          <w:trHeight w:val="432"/>
        </w:trPr>
        <w:tc>
          <w:tcPr>
            <w:tcW w:w="920" w:type="dxa"/>
            <w:vAlign w:val="bottom"/>
          </w:tcPr>
          <w:p>
            <w:pPr>
              <w:spacing w:after="0"/>
              <w:rPr>
                <w:sz w:val="24"/>
                <w:szCs w:val="24"/>
                <w:color w:val="auto"/>
              </w:rPr>
            </w:pPr>
          </w:p>
        </w:tc>
        <w:tc>
          <w:tcPr>
            <w:tcW w:w="10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3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432"/>
        </w:trPr>
        <w:tc>
          <w:tcPr>
            <w:tcW w:w="920" w:type="dxa"/>
            <w:vAlign w:val="bottom"/>
          </w:tcPr>
          <w:p>
            <w:pPr>
              <w:spacing w:after="0"/>
              <w:rPr>
                <w:sz w:val="24"/>
                <w:szCs w:val="24"/>
                <w:color w:val="auto"/>
              </w:rPr>
            </w:pPr>
          </w:p>
        </w:tc>
        <w:tc>
          <w:tcPr>
            <w:tcW w:w="10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information in Row 1 and Rows 5 though 11 on the cover page of this Schedule 13G is incorporated herein by reference.</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3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378"/>
        </w:trPr>
        <w:tc>
          <w:tcPr>
            <w:tcW w:w="920" w:type="dxa"/>
            <w:vAlign w:val="bottom"/>
          </w:tcPr>
          <w:p>
            <w:pPr>
              <w:spacing w:after="0"/>
              <w:rPr>
                <w:sz w:val="24"/>
                <w:szCs w:val="24"/>
                <w:color w:val="auto"/>
              </w:rPr>
            </w:pPr>
          </w:p>
        </w:tc>
        <w:tc>
          <w:tcPr>
            <w:tcW w:w="10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w:t>
            </w:r>
          </w:p>
        </w:tc>
      </w:tr>
      <w:tr>
        <w:trPr>
          <w:trHeight w:val="303"/>
        </w:trPr>
        <w:tc>
          <w:tcPr>
            <w:tcW w:w="920" w:type="dxa"/>
            <w:vAlign w:val="bottom"/>
          </w:tcPr>
          <w:p>
            <w:pPr>
              <w:spacing w:after="0"/>
              <w:rPr>
                <w:sz w:val="24"/>
                <w:szCs w:val="24"/>
                <w:color w:val="auto"/>
              </w:rPr>
            </w:pPr>
          </w:p>
        </w:tc>
        <w:tc>
          <w:tcPr>
            <w:tcW w:w="10320" w:type="dxa"/>
            <w:vAlign w:val="bottom"/>
          </w:tcPr>
          <w:p>
            <w:pPr>
              <w:ind w:left="380"/>
              <w:spacing w:after="0" w:line="207" w:lineRule="exact"/>
              <w:rPr>
                <w:sz w:val="20"/>
                <w:szCs w:val="20"/>
                <w:color w:val="auto"/>
              </w:rPr>
            </w:pPr>
            <w:r>
              <w:rPr>
                <w:rFonts w:ascii="Times New Roman" w:cs="Times New Roman" w:eastAsia="Times New Roman" w:hAnsi="Times New Roman"/>
                <w:sz w:val="18"/>
                <w:szCs w:val="18"/>
                <w:color w:val="auto"/>
              </w:rPr>
              <w:t xml:space="preserve">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r>
      <w:tr>
        <w:trPr>
          <w:trHeight w:val="399"/>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414"/>
        </w:trPr>
        <w:tc>
          <w:tcPr>
            <w:tcW w:w="920" w:type="dxa"/>
            <w:vAlign w:val="bottom"/>
          </w:tcPr>
          <w:p>
            <w:pPr>
              <w:spacing w:after="0"/>
              <w:rPr>
                <w:sz w:val="24"/>
                <w:szCs w:val="24"/>
                <w:color w:val="auto"/>
              </w:rPr>
            </w:pPr>
          </w:p>
        </w:tc>
        <w:tc>
          <w:tcPr>
            <w:tcW w:w="10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There are other persons known by the reporting person to have the power to direct the receipt of dividends from, and the proceeds from</w:t>
            </w:r>
          </w:p>
        </w:tc>
      </w:tr>
      <w:tr>
        <w:trPr>
          <w:trHeight w:val="234"/>
        </w:trPr>
        <w:tc>
          <w:tcPr>
            <w:tcW w:w="920" w:type="dxa"/>
            <w:vAlign w:val="bottom"/>
          </w:tcPr>
          <w:p>
            <w:pPr>
              <w:spacing w:after="0"/>
              <w:rPr>
                <w:sz w:val="20"/>
                <w:szCs w:val="20"/>
                <w:color w:val="auto"/>
              </w:rPr>
            </w:pPr>
          </w:p>
        </w:tc>
        <w:tc>
          <w:tcPr>
            <w:tcW w:w="10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sale of, the securities reported herein.</w:t>
            </w:r>
          </w:p>
        </w:tc>
      </w:tr>
      <w:tr>
        <w:trPr>
          <w:trHeight w:val="432"/>
        </w:trPr>
        <w:tc>
          <w:tcPr>
            <w:tcW w:w="920" w:type="dxa"/>
            <w:vAlign w:val="bottom"/>
          </w:tcPr>
          <w:p>
            <w:pPr>
              <w:spacing w:after="0"/>
              <w:rPr>
                <w:sz w:val="24"/>
                <w:szCs w:val="24"/>
                <w:color w:val="auto"/>
              </w:rPr>
            </w:pPr>
          </w:p>
        </w:tc>
        <w:tc>
          <w:tcPr>
            <w:tcW w:w="10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Daniel L. Mosley’s interest in the securities reported herein relates to 5.8% of the Class B Common Stock.</w:t>
            </w:r>
          </w:p>
        </w:tc>
      </w:tr>
      <w:tr>
        <w:trPr>
          <w:trHeight w:val="773"/>
        </w:trPr>
        <w:tc>
          <w:tcPr>
            <w:tcW w:w="920" w:type="dxa"/>
            <w:vAlign w:val="bottom"/>
          </w:tcPr>
          <w:p>
            <w:pPr>
              <w:spacing w:after="0"/>
              <w:rPr>
                <w:sz w:val="24"/>
                <w:szCs w:val="24"/>
                <w:color w:val="auto"/>
              </w:rPr>
            </w:pPr>
          </w:p>
        </w:tc>
        <w:tc>
          <w:tcPr>
            <w:tcW w:w="10320" w:type="dxa"/>
            <w:vAlign w:val="bottom"/>
          </w:tcPr>
          <w:p>
            <w:pPr>
              <w:ind w:left="4660"/>
              <w:spacing w:after="0"/>
              <w:rPr>
                <w:sz w:val="20"/>
                <w:szCs w:val="20"/>
                <w:color w:val="auto"/>
              </w:rPr>
            </w:pPr>
            <w:r>
              <w:rPr>
                <w:rFonts w:ascii="Times New Roman" w:cs="Times New Roman" w:eastAsia="Times New Roman" w:hAnsi="Times New Roman"/>
                <w:sz w:val="14"/>
                <w:szCs w:val="14"/>
                <w:color w:val="auto"/>
              </w:rPr>
              <w:t>3</w:t>
            </w:r>
          </w:p>
        </w:tc>
      </w:tr>
      <w:tr>
        <w:trPr>
          <w:trHeight w:val="44"/>
        </w:trPr>
        <w:tc>
          <w:tcPr>
            <w:tcW w:w="920" w:type="dxa"/>
            <w:vAlign w:val="bottom"/>
            <w:tcBorders>
              <w:bottom w:val="single" w:sz="8" w:color="BFBFBF"/>
            </w:tcBorders>
          </w:tcPr>
          <w:p>
            <w:pPr>
              <w:spacing w:after="0"/>
              <w:rPr>
                <w:sz w:val="3"/>
                <w:szCs w:val="3"/>
                <w:color w:val="auto"/>
              </w:rPr>
            </w:pPr>
          </w:p>
        </w:tc>
        <w:tc>
          <w:tcPr>
            <w:tcW w:w="10320" w:type="dxa"/>
            <w:vAlign w:val="bottom"/>
            <w:tcBorders>
              <w:bottom w:val="single" w:sz="8" w:color="BFBFBF"/>
            </w:tcBorders>
          </w:tcPr>
          <w:p>
            <w:pPr>
              <w:spacing w:after="0"/>
              <w:rPr>
                <w:sz w:val="3"/>
                <w:szCs w:val="3"/>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549" w:right="939" w:bottom="1440" w:gutter="0" w:footer="0" w:header="0"/>
        </w:sectPr>
      </w:pPr>
    </w:p>
    <w:bookmarkStart w:id="4" w:name="page5"/>
    <w:bookmarkEnd w:id="4"/>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2024</w:t>
      </w:r>
    </w:p>
    <w:p>
      <w:pPr>
        <w:spacing w:after="0" w:line="200" w:lineRule="exact"/>
        <w:rPr>
          <w:sz w:val="20"/>
          <w:szCs w:val="20"/>
          <w:color w:val="auto"/>
        </w:rPr>
      </w:pPr>
    </w:p>
    <w:p>
      <w:pPr>
        <w:spacing w:after="0" w:line="241" w:lineRule="exact"/>
        <w:rPr>
          <w:sz w:val="20"/>
          <w:szCs w:val="20"/>
          <w:color w:val="auto"/>
        </w:rPr>
      </w:pPr>
    </w:p>
    <w:p>
      <w:pPr>
        <w:ind w:left="6320"/>
        <w:spacing w:after="0"/>
        <w:tabs>
          <w:tab w:leader="none" w:pos="6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Elizabeth G. Weymouth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17145</wp:posOffset>
            </wp:positionV>
            <wp:extent cx="29057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05760" cy="1714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Name: Elizabeth G. Weymouth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5</w:t>
      </w:r>
    </w:p>
    <w:sectPr>
      <w:pgSz w:w="11900" w:h="16838" w:orient="portrait"/>
      <w:cols w:equalWidth="0" w:num="1">
        <w:col w:w="10760"/>
      </w:cols>
      <w:pgMar w:left="320" w:top="333"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2024-05-13T15:50:23Z</dcterms:created>
  <dcterms:modified xsi:type="dcterms:W3CDTF">2024-05-13T15:50:23Z</dcterms:modified>
</cp:coreProperties>
</file>