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14, 2023</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640" w:type="dxa"/>
        <w:tblCellMar>
          <w:top w:w="0" w:type="dxa"/>
          <w:left w:w="0" w:type="dxa"/>
          <w:bottom w:w="0" w:type="dxa"/>
          <w:right w:w="0" w:type="dxa"/>
        </w:tblCellMar>
      </w:tblPr>
      <w:tr>
        <w:trPr>
          <w:trHeight w:val="220"/>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6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8"/>
              </w:rPr>
              <w:t>53-0182885</w:t>
            </w:r>
          </w:p>
        </w:tc>
      </w:tr>
      <w:tr>
        <w:trPr>
          <w:trHeight w:val="216"/>
        </w:trPr>
        <w:tc>
          <w:tcPr>
            <w:tcW w:w="4160" w:type="dxa"/>
            <w:vAlign w:val="bottom"/>
          </w:tcPr>
          <w:p>
            <w:pPr>
              <w:jc w:val="center"/>
              <w:ind w:right="17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6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4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North 17th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Arlington, VA 22209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Savings Plan for Graham Holdings Company</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401(k) Savings Plan for GHC Affiliates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Kaplan, Inc. Tax Deferred Savings Plan for Salaried Employees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Nicole M. Maddrey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Graham Holdings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North 17th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Arlington, VA 22209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(703)-345-6300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0" w:lineRule="exact"/>
        <w:rPr>
          <w:sz w:val="24"/>
          <w:szCs w:val="24"/>
          <w:color w:val="auto"/>
        </w:rPr>
      </w:pPr>
    </w:p>
    <w:p>
      <w:pPr>
        <w:spacing w:after="0" w:line="35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71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71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7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63"/>
        </w:trPr>
        <w:tc>
          <w:tcPr>
            <w:tcW w:w="71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493"/>
        </w:trPr>
        <w:tc>
          <w:tcPr>
            <w:tcW w:w="7120" w:type="dxa"/>
            <w:vAlign w:val="bottom"/>
            <w:tcBorders>
              <w:bottom w:val="single" w:sz="8" w:color="BFBFBF"/>
            </w:tcBorders>
          </w:tcPr>
          <w:p>
            <w:pPr>
              <w:spacing w:after="0"/>
              <w:rPr>
                <w:sz w:val="24"/>
                <w:szCs w:val="24"/>
                <w:color w:val="auto"/>
              </w:rPr>
            </w:pPr>
          </w:p>
        </w:tc>
        <w:tc>
          <w:tcPr>
            <w:tcW w:w="3920" w:type="dxa"/>
            <w:vAlign w:val="bottom"/>
            <w:tcBorders>
              <w:bottom w:val="single" w:sz="8" w:color="BFBFBF"/>
            </w:tcBorders>
          </w:tcPr>
          <w:p>
            <w:pPr>
              <w:spacing w:after="0"/>
              <w:rPr>
                <w:sz w:val="24"/>
                <w:szCs w:val="24"/>
                <w:color w:val="auto"/>
              </w:rPr>
            </w:pPr>
          </w:p>
        </w:tc>
        <w:tc>
          <w:tcPr>
            <w:tcW w:w="20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is filed by Graham Holdings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register (i)</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500,000 shares of its Class B Common Stock, par value $1.00 per share of the Company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issuable to eligible employees under the Savings Plan for Graham Holdings Company, the 401(k) Savings Plan for GHC Affiliates and the Kaplan, Inc. Tax Deferred Savings Plan for Salaried Employees (each,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including any additional shares that may become issuable in connection with any stock split, stock dividend or similar transaction and (ii) pursuant to Rule 416(c)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also covers an indeterminate amount of interests to be offered or sold pursuant to the Plans.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Information required by Part I of Form S-8 to be contained in the Section 10(a) prospectus is omitted from the Registration Statement in accordance with Rule 428 under the Securities Act and the Note to Part I of Form S-8.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Information required by Part I of Form S-8 to be contained in the Section 10(a) prospectus is omitted from the Registration Statement in accordance with Rule 428 under the Securities Act and the Note to Part I of Form S-8.</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Certain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of the Company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are incorporated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by reference and made a part hereof:</w:t>
      </w:r>
    </w:p>
    <w:p>
      <w:pPr>
        <w:spacing w:after="0" w:line="20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2022, filed with the Commission on February 24, 2023;</w:t>
      </w:r>
    </w:p>
    <w:p>
      <w:pPr>
        <w:spacing w:after="0" w:line="225"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Reports on Form 10-Q for the quarter ended March 31, 2023, filed with the Commission on May 3, 2023, for the quarter ended June 30, 2023, filed with the Commission on August 2, 2023, and for the quarter ended September 30, 2023, filed with the Commission on November 1, 2023;</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Current Reports on Form 8-K filed with the Commission on March 23, 2023 and May 5, 2023;</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Company’s Class B Common Stock contained in the Company’s Registration Statement on Form 8-A filed on January 1, 1990, including any amendments or reports filed for the purposes of updating such description.</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filed pursuant to Section 13(a), 13(c), 14 or 15(d)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except for such reports and/or documents (or portions thereof) that are only “furnished” to the Commission or that are otherwise not deemed to be filed with the Commission pursuant to such Exchange Act sections, after the date of the Registration Statement and prior to the filing of a post-effective amendment which indicates that all securities offered hereby have been sold or which deregisters all securities then remaining unsold shall be deemed to be incorporated by reference into the Registration Statement and to be a part hereof from the date of filing of such documents.</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the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Section 145(a)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its request in such capacity in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or, with respect to any criminal action or proceeding, had reasonable cause to believe that such person’s conduct was unlawful.</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that a corporation may indemnify any person serving in such capacity who was or is a party or is threatened to be made a party to any threatened, pending or completed action or suit by or in the right of the corporation to procure a judgment in its favor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Section 145(c) of the DGCL provides that to the extent that a present or former director or officer of a corporation has been successful on the merits or otherwise in defense of any action, suit or proceeding referred to above, or in defense of any claim, issue or matter, such person shall be indemnified against expenses, including attorneys’ fees, actually and reasonably incurred by such person.</w:t>
      </w:r>
    </w:p>
    <w:p>
      <w:pPr>
        <w:spacing w:after="0" w:line="17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permitted by Section 102(b)(7) of the DGCL, Paragraph A of Article Ninth of Graham Holdings Company’s Amended and Restated Certificate of Incorporation, as amended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provides that no director of Graham Holdings Company shall be personally liable to Graham Holdings Company or its stockholders for monetary damages for breach of fiduciary duty by such director for corporate actions as a director to the fullest extent permitted by the DGCL. Paragraph B of the Certificate also provides that Graham Holdings Company shall indemnify its officers and directors to the fullest extent permitted by the DGCL. The Certificate provides that each person who was or is made a party or is threatened to be made a party to or is otherwise involved in any claim, action, suit or proceeding, whether civil, criminal, administrative or investigative (hereinafter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an officer of Graham Holdings Company or such director or officer of Graham Holdings Company is or was serving at the request of Graham Holdings Company as a director, officer, employee, or agent of another corporation or of a partnership, joint venture, trust or other enterprise, including service with respect to an employee benefit plan (hereinafter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shall be indemnified by Graham Holdings Company to the fullest extent authorized by the DGCL as then in effect. The Certificate requires Graham Holdings Company to advance expenses to its indemnitees, provided that, if the DGCL so requires, they undertake to repay the amount advanced if it is ultimately determined by a court that they are not entitled to indemnification for such expenses.</w:t>
      </w:r>
    </w:p>
    <w:p>
      <w:pPr>
        <w:spacing w:after="0" w:line="190"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Graham Holdings Company maintains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directors or officers of Graham Holdings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5"/>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75"/>
        </w:trPr>
        <w:tc>
          <w:tcPr>
            <w:tcW w:w="240" w:type="dxa"/>
            <w:vAlign w:val="bottom"/>
            <w:tcBorders>
              <w:top w:val="single" w:sz="8" w:color="auto"/>
              <w:bottom w:val="single" w:sz="8" w:color="0000EE"/>
            </w:tcBorders>
          </w:tcPr>
          <w:p>
            <w:pPr>
              <w:spacing w:after="0" w:line="176" w:lineRule="exact"/>
              <w:rPr>
                <w:rFonts w:ascii="Times New Roman" w:cs="Times New Roman" w:eastAsia="Times New Roman" w:hAnsi="Times New Roman"/>
                <w:sz w:val="18"/>
                <w:szCs w:val="18"/>
                <w:color w:val="0000EE"/>
                <w:w w:val="97"/>
              </w:rPr>
            </w:pPr>
            <w:hyperlink r:id="rId13">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80" w:type="dxa"/>
            <w:vAlign w:val="bottom"/>
            <w:tcBorders>
              <w:top w:val="single" w:sz="8" w:color="auto"/>
              <w:bottom w:val="single" w:sz="8" w:color="0000EE"/>
            </w:tcBorders>
            <w:gridSpan w:val="9"/>
          </w:tcPr>
          <w:p>
            <w:pPr>
              <w:ind w:left="20"/>
              <w:spacing w:after="0" w:line="17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Restated Certificate of Incorporation of the Company dated November 13, 2003, filed as Exhibit 3.1 to the Company’s Annual Report on</w:t>
              </w:r>
            </w:hyperlink>
          </w:p>
        </w:tc>
        <w:tc>
          <w:tcPr>
            <w:tcW w:w="120" w:type="dxa"/>
            <w:vAlign w:val="bottom"/>
            <w:tcBorders>
              <w:top w:val="single" w:sz="8" w:color="auto"/>
            </w:tcBorders>
          </w:tcPr>
          <w:p>
            <w:pPr>
              <w:spacing w:after="0"/>
              <w:rPr>
                <w:sz w:val="15"/>
                <w:szCs w:val="15"/>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Form 10-K for the fiscal year ended December 28, 2003, and incorporated herein by reference.</w:t>
              </w:r>
            </w:hyperlink>
          </w:p>
        </w:tc>
        <w:tc>
          <w:tcPr>
            <w:tcW w:w="3160" w:type="dxa"/>
            <w:vAlign w:val="bottom"/>
            <w:gridSpan w:val="6"/>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14">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20" w:type="dxa"/>
            <w:vAlign w:val="bottom"/>
            <w:tcBorders>
              <w:bottom w:val="single" w:sz="8" w:color="0000EE"/>
            </w:tcBorders>
            <w:gridSpan w:val="7"/>
          </w:tcPr>
          <w:p>
            <w:pPr>
              <w:ind w:left="20"/>
              <w:spacing w:after="0"/>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Certificate of Amendment, effective November 29, 2013, to the Restated Certificate of Incorporation of the Company (incorporated by</w:t>
              </w:r>
            </w:hyperlink>
          </w:p>
        </w:tc>
        <w:tc>
          <w:tcPr>
            <w:tcW w:w="280" w:type="dxa"/>
            <w:vAlign w:val="bottom"/>
            <w:gridSpan w:val="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0"/>
          </w:tcPr>
          <w:p>
            <w:pPr>
              <w:ind w:left="20"/>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reference to Exhibit 3.1 to the Company’s Current Report on Form 8-K filed November 29, 2013), and incorporated herein by reference</w:t>
              </w:r>
            </w:hyperlink>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1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tcBorders>
              <w:top w:val="single" w:sz="8" w:color="0000EE"/>
            </w:tcBorders>
            <w:gridSpan w:val="8"/>
          </w:tcPr>
          <w:p>
            <w:pPr>
              <w:ind w:left="20"/>
              <w:spacing w:after="0"/>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By-Laws of the Company as amended and restated through November 29, 2013 (incorporated by reference to Exhibit 3.2 to the</w:t>
              </w:r>
            </w:hyperlink>
          </w:p>
        </w:tc>
        <w:tc>
          <w:tcPr>
            <w:tcW w:w="220" w:type="dxa"/>
            <w:vAlign w:val="bottom"/>
            <w:gridSpan w:val="2"/>
          </w:tcPr>
          <w:p>
            <w:pPr>
              <w:spacing w:after="0"/>
              <w:rPr>
                <w:sz w:val="24"/>
                <w:szCs w:val="24"/>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Company’s Current Report on Form 8-K filed November 29, 2013), and incorporated herein by reference.</w:t>
              </w:r>
            </w:hyperlink>
          </w:p>
        </w:tc>
        <w:tc>
          <w:tcPr>
            <w:tcW w:w="1540" w:type="dxa"/>
            <w:vAlign w:val="bottom"/>
            <w:tcBorders>
              <w:top w:val="single" w:sz="8" w:color="0000EE"/>
            </w:tcBorders>
          </w:tcPr>
          <w:p>
            <w:pPr>
              <w:spacing w:after="0"/>
              <w:rPr>
                <w:sz w:val="17"/>
                <w:szCs w:val="17"/>
                <w:color w:val="auto"/>
              </w:rPr>
            </w:pPr>
          </w:p>
        </w:tc>
        <w:tc>
          <w:tcPr>
            <w:tcW w:w="820" w:type="dxa"/>
            <w:vAlign w:val="bottom"/>
            <w:gridSpan w:val="4"/>
          </w:tcPr>
          <w:p>
            <w:pPr>
              <w:spacing w:after="0"/>
              <w:rPr>
                <w:sz w:val="17"/>
                <w:szCs w:val="17"/>
                <w:color w:val="auto"/>
              </w:rPr>
            </w:pPr>
          </w:p>
        </w:tc>
      </w:tr>
      <w:tr>
        <w:trPr>
          <w:trHeight w:val="41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Consent of PricewaterhouseCoopers LLP (filed herewith).</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w w:val="99"/>
              </w:rPr>
              <w:t>Power of Attorney (included in the signature page to the Registration Statement).</w:t>
            </w:r>
          </w:p>
        </w:tc>
        <w:tc>
          <w:tcPr>
            <w:tcW w:w="4140" w:type="dxa"/>
            <w:vAlign w:val="bottom"/>
            <w:gridSpan w:val="7"/>
          </w:tcPr>
          <w:p>
            <w:pPr>
              <w:spacing w:after="0"/>
              <w:rPr>
                <w:sz w:val="24"/>
                <w:szCs w:val="24"/>
                <w:color w:val="auto"/>
              </w:rPr>
            </w:pPr>
          </w:p>
        </w:tc>
      </w:tr>
      <w:tr>
        <w:trPr>
          <w:trHeight w:val="412"/>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107.</w:t>
            </w:r>
            <w:r>
              <w:rPr>
                <w:rFonts w:ascii="Times New Roman" w:cs="Times New Roman" w:eastAsia="Times New Roman" w:hAnsi="Times New Roman"/>
                <w:sz w:val="18"/>
                <w:szCs w:val="18"/>
                <w:u w:val="single" w:color="auto"/>
                <w:color w:val="0000EE"/>
                <w:w w:val="98"/>
              </w:rPr>
              <w:t>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EE"/>
              </w:rPr>
              <w:t>Filing Fee Table (filed herewith).</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Pursuant to Item 8(b) of Form S-8, in lieu of an opinion of counsel concerning compliance with the requirements of ERISA and determination letters that the Plans are qualified under Section 401 of the Internal Revenue Code, the Company undertakes that it will submit or has submitted the Plans and any amendment thereto to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in a timely manner and has made or will make all changes required by the IRS in order to qualify the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A.</w:t>
        <w:tab/>
        <w:t>The undersigned Company hereby undertakes:</w:t>
      </w:r>
    </w:p>
    <w:p>
      <w:pPr>
        <w:spacing w:after="0" w:line="225" w:lineRule="exact"/>
        <w:rPr>
          <w:sz w:val="20"/>
          <w:szCs w:val="20"/>
          <w:color w:val="auto"/>
        </w:rPr>
      </w:pPr>
    </w:p>
    <w:p>
      <w:pPr>
        <w:ind w:left="1620" w:hanging="316"/>
        <w:spacing w:after="0"/>
        <w:tabs>
          <w:tab w:leader="none" w:pos="1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960" w:hanging="332"/>
        <w:spacing w:after="0" w:line="255" w:lineRule="auto"/>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1960" w:right="740" w:hanging="332"/>
        <w:spacing w:after="0" w:line="282" w:lineRule="auto"/>
        <w:tabs>
          <w:tab w:leader="none" w:pos="1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59" w:lineRule="exact"/>
        <w:rPr>
          <w:rFonts w:ascii="Times New Roman" w:cs="Times New Roman" w:eastAsia="Times New Roman" w:hAnsi="Times New Roman"/>
          <w:sz w:val="18"/>
          <w:szCs w:val="18"/>
          <w:color w:val="auto"/>
        </w:rPr>
      </w:pPr>
    </w:p>
    <w:p>
      <w:pPr>
        <w:ind w:left="196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information required to be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post-effective amendment by those paragraphs is contained in reports filed with or furnished to the Commission by the Company pursuant to Section 13 or Section 15(d) of the Exchange Act that are incorporated by reference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500" w:right="180" w:hanging="316"/>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Times New Roman" w:cs="Times New Roman" w:eastAsia="Times New Roman" w:hAnsi="Times New Roman"/>
          <w:sz w:val="18"/>
          <w:szCs w:val="18"/>
          <w:color w:val="auto"/>
        </w:rPr>
      </w:pPr>
    </w:p>
    <w:p>
      <w:pPr>
        <w:ind w:left="500" w:right="180" w:hanging="316"/>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1120" w:firstLine="1304"/>
        <w:spacing w:after="0" w:line="258" w:lineRule="auto"/>
        <w:tabs>
          <w:tab w:leader="none" w:pos="4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u w:val="single" w:color="auto"/>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left="-1120" w:right="80" w:firstLine="1304"/>
        <w:spacing w:after="0" w:line="254" w:lineRule="auto"/>
        <w:tabs>
          <w:tab w:leader="none" w:pos="4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107315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Company. </w:t>
      </w:r>
      <w:r>
        <w:rPr>
          <w:rFonts w:ascii="Times New Roman" w:cs="Times New Roman" w:eastAsia="Times New Roman" w:hAnsi="Times New Roman"/>
          <w:sz w:val="18"/>
          <w:szCs w:val="18"/>
          <w:color w:val="auto"/>
        </w:rPr>
        <w:t>Pursuant to the requirements of the Securities Act, the Registrant certifies that it has reasonable grounds to believe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meets all of the requirements for filing on Form S-8 and has duly caused the Registration Statement to be signed on its behalf by the undersigned, thereunto duly authorized, in the City of Arlington, State of Virginia, on December 14, 2023.</w:t>
      </w:r>
    </w:p>
    <w:p>
      <w:pPr>
        <w:spacing w:after="0" w:line="3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GRAHAM HOLDINGS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Name:Nicole M. Maddrey</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Senior Vice President, General Counsel and</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Timothy J. O’Shaughnessy, Wallace R. Cooney and Nicole M. Maddrey and each of them, his or her true and lawful attorneys-in-fact and agents, with full power to act without the others, with full power of substitution and resubstitution, for him or her and in his or her name, place and stead, in any and all capacities, to sign any or all amendments (including post-effective amendments) and exhibits to the Registration Statement on Form S-8, and to any registration statement filed under Rule 462(b) under the Securities Act of 1933, as amended, and to file the same, with all exhibits thereto (including this power of attorney),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88"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20" w:type="dxa"/>
            <w:vAlign w:val="bottom"/>
          </w:tcPr>
          <w:p>
            <w:pPr>
              <w:spacing w:after="0"/>
              <w:rPr>
                <w:sz w:val="22"/>
                <w:szCs w:val="22"/>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2"/>
                <w:szCs w:val="22"/>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E. Graham</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Donald E. Graham</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O’Shaughnessy</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Timothy J. O’Shaughnessy</w:t>
            </w:r>
          </w:p>
        </w:tc>
        <w:tc>
          <w:tcPr>
            <w:tcW w:w="1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25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Wallace R. Cooney</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Wallace R. Cooney</w:t>
            </w:r>
          </w:p>
        </w:tc>
        <w:tc>
          <w:tcPr>
            <w:tcW w:w="1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5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Marcel A. Snyman</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Marcel A. Snyman</w:t>
            </w:r>
          </w:p>
        </w:tc>
        <w:tc>
          <w:tcPr>
            <w:tcW w:w="1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5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Tony Allen</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Tony Allen</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Danielle Conley</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Danielle Conley</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C. Davis</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C. Davis</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S. Gayner</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Thomas S. Gayner</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Anne M. Mulcahy</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 of the Board of Directors and Director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Anne M. Mulcahy</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Richard Wagoner, Jr.</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 Richard Wagoner, Jr.</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Katharine Weymouth</w:t>
            </w:r>
          </w:p>
        </w:tc>
        <w:tc>
          <w:tcPr>
            <w:tcW w:w="12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2023</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380"/>
        </w:trPr>
        <w:tc>
          <w:tcPr>
            <w:tcW w:w="4500" w:type="dxa"/>
            <w:vAlign w:val="bottom"/>
            <w:tcBorders>
              <w:bottom w:val="single" w:sz="8" w:color="BFBFBF"/>
            </w:tcBorders>
          </w:tcPr>
          <w:p>
            <w:pPr>
              <w:spacing w:after="0"/>
              <w:rPr>
                <w:sz w:val="24"/>
                <w:szCs w:val="24"/>
                <w:color w:val="auto"/>
              </w:rPr>
            </w:pPr>
          </w:p>
        </w:tc>
        <w:tc>
          <w:tcPr>
            <w:tcW w:w="120" w:type="dxa"/>
            <w:vAlign w:val="bottom"/>
            <w:tcBorders>
              <w:bottom w:val="single" w:sz="8" w:color="BFBFBF"/>
            </w:tcBorders>
          </w:tcPr>
          <w:p>
            <w:pPr>
              <w:spacing w:after="0"/>
              <w:rPr>
                <w:sz w:val="24"/>
                <w:szCs w:val="24"/>
                <w:color w:val="auto"/>
              </w:rPr>
            </w:pPr>
          </w:p>
        </w:tc>
        <w:tc>
          <w:tcPr>
            <w:tcW w:w="394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258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ind w:firstLine="130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Plans. </w:t>
      </w:r>
      <w:r>
        <w:rPr>
          <w:rFonts w:ascii="Times New Roman" w:cs="Times New Roman" w:eastAsia="Times New Roman" w:hAnsi="Times New Roman"/>
          <w:sz w:val="18"/>
          <w:szCs w:val="18"/>
          <w:color w:val="auto"/>
        </w:rPr>
        <w:t>Pursuant to the requirements of the Securities Act, the trustees (or other persons who administer the employee benefit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duly caused this Registration Statement to be signed on its behalf by the undersigned, thereunto duly authorized, in the City of Arlington, State of Virginia, on December 14, 2023.</w:t>
      </w:r>
    </w:p>
    <w:p>
      <w:pPr>
        <w:spacing w:after="0" w:line="3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Savings Plan for Graham Holdings Company</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Name:Wallace R. Cooney</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401(k) Savings Plan for GHC Affiliates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Name:Wallace R. Cooney</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Kaplan, Inc. Tax Deferred Savings Plan for Salaried Employees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Name:Wallace R. Cooney</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160"/>
          </w:cols>
          <w:pgMar w:left="320" w:top="117" w:right="4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Graham Holdings Company of our report dated February 24, 2023 relating to the financial statements and the effectiveness of internal control over financial reporting, which appears in Graham Holdings Company's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2023</w:t>
      </w:r>
    </w:p>
    <w:p>
      <w:pPr>
        <w:sectPr>
          <w:pgSz w:w="11900" w:h="16838" w:orient="portrait"/>
          <w:cols w:equalWidth="0" w:num="1">
            <w:col w:w="11240"/>
          </w:cols>
          <w:pgMar w:left="320" w:top="1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Exhibit 107.1</w:t>
            </w:r>
          </w:p>
        </w:tc>
      </w:tr>
      <w:tr>
        <w:trPr>
          <w:trHeight w:val="432"/>
        </w:trPr>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80" w:type="dxa"/>
            <w:vAlign w:val="bottom"/>
            <w:gridSpan w:val="2"/>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80" w:type="dxa"/>
            <w:vAlign w:val="bottom"/>
            <w:gridSpan w:val="2"/>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9"/>
              </w:rPr>
              <w:t>Form S-8</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80" w:type="dxa"/>
            <w:vAlign w:val="bottom"/>
            <w:gridSpan w:val="2"/>
          </w:tcPr>
          <w:p>
            <w:pPr>
              <w:jc w:val="center"/>
              <w:ind w:right="252"/>
              <w:spacing w:after="0"/>
              <w:rPr>
                <w:sz w:val="20"/>
                <w:szCs w:val="20"/>
                <w:color w:val="auto"/>
              </w:rPr>
            </w:pPr>
            <w:r>
              <w:rPr>
                <w:rFonts w:ascii="Times New Roman" w:cs="Times New Roman" w:eastAsia="Times New Roman" w:hAnsi="Times New Roman"/>
                <w:sz w:val="18"/>
                <w:szCs w:val="18"/>
                <w:color w:val="auto"/>
                <w:w w:val="99"/>
              </w:rPr>
              <w:t>(Form Type)</w:t>
            </w: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80" w:type="dxa"/>
            <w:vAlign w:val="bottom"/>
            <w:gridSpan w:val="2"/>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9"/>
              </w:rPr>
              <w:t>Graham Holdings Company</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580" w:type="dxa"/>
            <w:vAlign w:val="bottom"/>
            <w:gridSpan w:val="4"/>
          </w:tcPr>
          <w:p>
            <w:pPr>
              <w:jc w:val="center"/>
              <w:ind w:right="49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Table 1—Newly Registered Securities</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1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82"/>
        </w:trPr>
        <w:tc>
          <w:tcPr>
            <w:tcW w:w="1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42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3"/>
              </w:rPr>
              <w:t>Registered</w:t>
            </w:r>
            <w:r>
              <w:rPr>
                <w:rFonts w:ascii="Times New Roman" w:cs="Times New Roman" w:eastAsia="Times New Roman" w:hAnsi="Times New Roman"/>
                <w:sz w:val="29"/>
                <w:szCs w:val="29"/>
                <w:b w:val="1"/>
                <w:bCs w:val="1"/>
                <w:color w:val="auto"/>
                <w:w w:val="93"/>
                <w:vertAlign w:val="superscript"/>
              </w:rPr>
              <w:t>(1)</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4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Registration Fee</w:t>
            </w:r>
          </w:p>
        </w:tc>
      </w:tr>
      <w:tr>
        <w:trPr>
          <w:trHeight w:val="225"/>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B Common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Rule 457(c) and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360" w:type="dxa"/>
            <w:vAlign w:val="bottom"/>
          </w:tcPr>
          <w:p>
            <w:pPr>
              <w:jc w:val="right"/>
              <w:spacing w:after="0" w:line="225" w:lineRule="exact"/>
              <w:rPr>
                <w:sz w:val="20"/>
                <w:szCs w:val="20"/>
                <w:color w:val="auto"/>
              </w:rPr>
            </w:pPr>
            <w:r>
              <w:rPr>
                <w:rFonts w:ascii="Times New Roman" w:cs="Times New Roman" w:eastAsia="Times New Roman" w:hAnsi="Times New Roman"/>
                <w:sz w:val="16"/>
                <w:szCs w:val="16"/>
                <w:color w:val="auto"/>
              </w:rPr>
              <w:t>$644.28</w:t>
            </w:r>
            <w:r>
              <w:rPr>
                <w:rFonts w:ascii="Times New Roman" w:cs="Times New Roman" w:eastAsia="Times New Roman" w:hAnsi="Times New Roman"/>
                <w:sz w:val="26"/>
                <w:szCs w:val="26"/>
                <w:color w:val="auto"/>
                <w:vertAlign w:val="superscript"/>
              </w:rPr>
              <w:t>(2)</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$ 322,140,000.00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 per</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47,547.86</w:t>
            </w:r>
          </w:p>
        </w:tc>
        <w:tc>
          <w:tcPr>
            <w:tcW w:w="10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Rule 457(h)</w:t>
            </w: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 value $1.00 per</w:t>
            </w: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
        </w:trPr>
        <w:tc>
          <w:tcPr>
            <w:tcW w:w="31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3"/>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Offering Amounts</w:t>
            </w:r>
          </w:p>
        </w:tc>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$ 322,140,000.00</w:t>
            </w:r>
          </w:p>
        </w:tc>
        <w:tc>
          <w:tcPr>
            <w:tcW w:w="1120" w:type="dxa"/>
            <w:vAlign w:val="bottom"/>
          </w:tcPr>
          <w:p>
            <w:pPr>
              <w:spacing w:after="0"/>
              <w:rPr>
                <w:sz w:val="21"/>
                <w:szCs w:val="21"/>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47,547.86</w:t>
            </w:r>
          </w:p>
        </w:tc>
        <w:tc>
          <w:tcPr>
            <w:tcW w:w="100" w:type="dxa"/>
            <w:vAlign w:val="bottom"/>
          </w:tcPr>
          <w:p>
            <w:pPr>
              <w:spacing w:after="0"/>
              <w:rPr>
                <w:sz w:val="21"/>
                <w:szCs w:val="2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24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Fee Offsets</w:t>
            </w:r>
          </w:p>
        </w:tc>
        <w:tc>
          <w:tcPr>
            <w:tcW w:w="1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1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3"/>
        </w:trPr>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Fee Due</w:t>
            </w:r>
          </w:p>
        </w:tc>
        <w:tc>
          <w:tcPr>
            <w:tcW w:w="1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47,547.86</w:t>
            </w:r>
          </w:p>
        </w:tc>
        <w:tc>
          <w:tcPr>
            <w:tcW w:w="100" w:type="dxa"/>
            <w:vAlign w:val="bottom"/>
          </w:tcPr>
          <w:p>
            <w:pPr>
              <w:spacing w:after="0"/>
              <w:rPr>
                <w:sz w:val="21"/>
                <w:szCs w:val="21"/>
                <w:color w:val="auto"/>
              </w:rPr>
            </w:pPr>
          </w:p>
        </w:tc>
      </w:tr>
      <w:tr>
        <w:trPr>
          <w:trHeight w:val="34"/>
        </w:trPr>
        <w:tc>
          <w:tcPr>
            <w:tcW w:w="1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300" w:right="20" w:hanging="292"/>
        <w:spacing w:after="0" w:line="256"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registers 500,000 shares of Class B common stock, par value $1.00 per share (“Class B Common Stock”), of Graham Holdings Company (the “Registrant”) that may be offered to participants in the Savings Plan for Graham Holdings Company, the 401(k) Savings Plan for GHC Affiliates and the Kaplan, Inc. Tax Deferred Savings Plan for Salaried Employees (each, a “Plan” and collectively, the “Plans”). In the event of any stock dividend, stock split or other similar transaction involving the Class B Common Stock, the number of shares registered hereby shall automatically be adjusted in accordance with Rule 416(a) under the Securities Act of 1933, as amended (the “Securities Act”). In addition, under the Securities Act, this Registration Statement covers an indeterminate amount of plan interests to be offered or sold pursuant to the Plans.</w:t>
      </w:r>
    </w:p>
    <w:p>
      <w:pPr>
        <w:spacing w:after="0" w:line="187" w:lineRule="exact"/>
        <w:rPr>
          <w:rFonts w:ascii="Times New Roman" w:cs="Times New Roman" w:eastAsia="Times New Roman" w:hAnsi="Times New Roman"/>
          <w:sz w:val="18"/>
          <w:szCs w:val="18"/>
          <w:color w:val="auto"/>
        </w:rPr>
      </w:pPr>
    </w:p>
    <w:p>
      <w:pPr>
        <w:jc w:val="both"/>
        <w:ind w:left="300" w:right="80" w:hanging="292"/>
        <w:spacing w:after="0" w:line="266"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the provisions of Rule 457(c) and 457(h) under the Securities Act on the basis of $644.28 per share, which represents the average of the high and low prices of the Registrant’s Class B Common Stock as reported on the New York Stock Exchange on December 7, 2023, which date is within five business days prior to the filing of this Registration Statement.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decimal"/>
      <w:start w:val="1"/>
    </w:lvl>
    <w:lvl w:ilvl="1">
      <w:lvlJc w:val="left"/>
      <w:lvlText w:val="(%2)"/>
      <w:numFmt w:val="lowerRoman"/>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upperLetter"/>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s://www.sec.gov/Archives/edgar/data/104889/000095013304000785/w94191exv3w1.htm" TargetMode="External"/><Relationship Id="rId14" Type="http://schemas.openxmlformats.org/officeDocument/2006/relationships/hyperlink" Target="https://www.sec.gov/Archives/edgar/data/104889/000095015713000428/ex3-1.htm" TargetMode="External"/><Relationship Id="rId15" Type="http://schemas.openxmlformats.org/officeDocument/2006/relationships/hyperlink" Target="https://www.sec.gov/Archives/edgar/data/104889/000095015713000428/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2023-12-14T14:13:17Z</dcterms:created>
  <dcterms:modified xsi:type="dcterms:W3CDTF">2023-12-14T14:13:17Z</dcterms:modified>
</cp:coreProperties>
</file>