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210820</wp:posOffset>
            </wp:positionV>
            <wp:extent cx="1089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247015</wp:posOffset>
            </wp:positionV>
            <wp:extent cx="10890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4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Report (Date of earliest event reported) May 24,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214630</wp:posOffset>
            </wp:positionV>
            <wp:extent cx="1089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GRAHAM HOLDINGS COMPANY</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201930</wp:posOffset>
            </wp:positionV>
            <wp:extent cx="1089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ectPr>
          <w:pgSz w:w="11900" w:h="16838" w:orient="portrait"/>
          <w:cols w:equalWidth="0" w:num="1">
            <w:col w:w="11360"/>
          </w:cols>
          <w:pgMar w:left="240" w:top="1125"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1-6714</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53-0182885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480" w:space="720"/>
            <w:col w:w="2920" w:space="720"/>
            <w:col w:w="2520"/>
          </w:cols>
          <w:pgMar w:left="240" w:top="1125" w:right="299" w:bottom="1440" w:gutter="0" w:footer="0" w:header="0"/>
          <w:type w:val="continuous"/>
        </w:sectPr>
      </w:pPr>
    </w:p>
    <w:p>
      <w:pPr>
        <w:spacing w:after="0" w:line="34" w:lineRule="exact"/>
        <w:rPr>
          <w:sz w:val="24"/>
          <w:szCs w:val="24"/>
          <w:color w:val="auto"/>
        </w:rPr>
      </w:pPr>
    </w:p>
    <w:p>
      <w:pPr>
        <w:jc w:val="center"/>
        <w:ind w:left="120"/>
        <w:spacing w:after="0"/>
        <w:rPr>
          <w:sz w:val="20"/>
          <w:szCs w:val="20"/>
          <w:color w:val="auto"/>
        </w:rPr>
      </w:pPr>
      <w:r>
        <w:rPr>
          <w:rFonts w:ascii="Arial" w:cs="Arial" w:eastAsia="Arial" w:hAnsi="Arial"/>
          <w:sz w:val="16"/>
          <w:szCs w:val="16"/>
          <w:b w:val="1"/>
          <w:bCs w:val="1"/>
          <w:color w:val="auto"/>
        </w:rPr>
        <w:t>1300 North 17th Street, Suite 1700 Arlington, Virginia</w:t>
      </w:r>
    </w:p>
    <w:p>
      <w:pPr>
        <w:spacing w:after="0" w:line="50" w:lineRule="exact"/>
        <w:rPr>
          <w:sz w:val="24"/>
          <w:szCs w:val="24"/>
          <w:color w:val="auto"/>
        </w:rPr>
      </w:pPr>
    </w:p>
    <w:p>
      <w:pPr>
        <w:jc w:val="center"/>
        <w:ind w:left="12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2820"/>
        <w:spacing w:after="0"/>
        <w:rPr>
          <w:sz w:val="20"/>
          <w:szCs w:val="20"/>
          <w:color w:val="auto"/>
        </w:rPr>
      </w:pPr>
      <w:r>
        <w:rPr>
          <w:rFonts w:ascii="Arial" w:cs="Arial" w:eastAsia="Arial" w:hAnsi="Arial"/>
          <w:sz w:val="18"/>
          <w:szCs w:val="18"/>
          <w:b w:val="1"/>
          <w:bCs w:val="1"/>
          <w:color w:val="auto"/>
        </w:rPr>
        <w:t>22209</w:t>
      </w:r>
    </w:p>
    <w:p>
      <w:pPr>
        <w:spacing w:after="0" w:line="27" w:lineRule="exact"/>
        <w:rPr>
          <w:sz w:val="24"/>
          <w:szCs w:val="24"/>
          <w:color w:val="auto"/>
        </w:rPr>
      </w:pPr>
    </w:p>
    <w:p>
      <w:pPr>
        <w:jc w:val="center"/>
        <w:ind w:right="2820"/>
        <w:spacing w:after="0"/>
        <w:rPr>
          <w:sz w:val="20"/>
          <w:szCs w:val="20"/>
          <w:color w:val="auto"/>
        </w:rPr>
      </w:pPr>
      <w:r>
        <w:rPr>
          <w:rFonts w:ascii="Arial" w:cs="Arial" w:eastAsia="Arial" w:hAnsi="Arial"/>
          <w:sz w:val="16"/>
          <w:szCs w:val="16"/>
          <w:b w:val="1"/>
          <w:bCs w:val="1"/>
          <w:color w:val="auto"/>
        </w:rPr>
        <w:t>(Zip Code)</w:t>
      </w:r>
    </w:p>
    <w:p>
      <w:pPr>
        <w:spacing w:after="0" w:line="222" w:lineRule="exact"/>
        <w:rPr>
          <w:sz w:val="24"/>
          <w:szCs w:val="24"/>
          <w:color w:val="auto"/>
        </w:rPr>
      </w:pPr>
    </w:p>
    <w:p>
      <w:pPr>
        <w:sectPr>
          <w:pgSz w:w="11900" w:h="16838" w:orient="portrait"/>
          <w:cols w:equalWidth="0" w:num="2">
            <w:col w:w="7000" w:space="720"/>
            <w:col w:w="3640"/>
          </w:cols>
          <w:pgMar w:left="240" w:top="1125" w:right="299" w:bottom="1440" w:gutter="0" w:footer="0" w:header="0"/>
          <w:type w:val="continuous"/>
        </w:sectPr>
      </w:pP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(703) 345-6300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360"/>
          </w:cols>
          <w:pgMar w:left="240" w:top="1125" w:right="299" w:bottom="1440" w:gutter="0" w:footer="0" w:header="0"/>
          <w:type w:val="continuous"/>
        </w:sectPr>
      </w:pPr>
    </w:p>
    <w:p>
      <w:pPr>
        <w:spacing w:after="0" w:line="200" w:lineRule="exact"/>
        <w:rPr>
          <w:sz w:val="24"/>
          <w:szCs w:val="24"/>
          <w:color w:val="auto"/>
        </w:rPr>
      </w:pPr>
    </w:p>
    <w:p>
      <w:pPr>
        <w:spacing w:after="0" w:line="27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360"/>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20" w:hanging="360"/>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20" w:hanging="360"/>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20" w:hanging="360"/>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95" w:lineRule="exact"/>
        <w:rPr>
          <w:sz w:val="24"/>
          <w:szCs w:val="24"/>
          <w:color w:val="auto"/>
        </w:rPr>
      </w:pPr>
    </w:p>
    <w:p>
      <w:pPr>
        <w:spacing w:after="0" w:line="277" w:lineRule="auto"/>
        <w:rPr>
          <w:sz w:val="20"/>
          <w:szCs w:val="20"/>
          <w:color w:val="auto"/>
        </w:rPr>
      </w:pPr>
      <w:r>
        <w:rPr>
          <w:rFonts w:ascii="Arial" w:cs="Arial" w:eastAsia="Arial" w:hAnsi="Arial"/>
          <w:sz w:val="18"/>
          <w:szCs w:val="18"/>
          <w:color w:val="211D1E"/>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11D1E"/>
        </w:rPr>
        <w:t xml:space="preserve">Emerging growth company </w:t>
      </w:r>
      <w:r>
        <w:rPr>
          <w:rFonts w:ascii="MS PGothic" w:cs="MS PGothic" w:eastAsia="MS PGothic" w:hAnsi="MS PGothic"/>
          <w:sz w:val="18"/>
          <w:szCs w:val="18"/>
          <w:color w:val="211D1E"/>
        </w:rPr>
        <w:t>☐</w:t>
      </w:r>
    </w:p>
    <w:p>
      <w:pPr>
        <w:spacing w:after="0" w:line="285"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828040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25"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On May 24, 2018, Graham Holdings Company (the “Company”) priced the previously announced private offering pursuant to Rule 144A and Regulation S under the Securities Act of 1933, as amended (the “Securities Act”), of $400 million aggregate principal amount of senior unsecured notes due 2026 at an issue price of 5.750% (the “Notes”). The Notes will be guaranteed, jointly and severally, on a senior unsecured basis, by certain of the Company’s existing and future domestic subsidiaries. A copy of the press release is attached hereto as Exhibit 99.1 and is incorporated herein by reference.</w:t>
      </w:r>
    </w:p>
    <w:p>
      <w:pPr>
        <w:spacing w:after="0" w:line="15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private offering of the Notes is expected to close on May 30, 2018, subject to the satisfaction of customary closing conditions. The Company intends to use the net proceeds from the offering, together with cash on hand, to redeem all $400 million aggregate principal amount of the Company’s existing 7.250% notes due 2019.</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Notes and the related guarantees will not be registered under the Securities Act or any state securities laws, and, unless so registered, may not be offered or sold in the United States absent registration or an applicable exemption from registration requirements.</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information in this Form 8-K does not constitute an offer to sell or a solicitation of an offer to buy the securities described herein, nor shall there be any sale of these securities in any state or other jurisdiction in which such an offer, solicitation or sale would be unlawful prior to registration or qualification under the securities laws of any such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gridSpan w:val="4"/>
          </w:tcPr>
          <w:p>
            <w:pPr>
              <w:spacing w:after="0"/>
              <w:rPr>
                <w:sz w:val="20"/>
                <w:szCs w:val="20"/>
                <w:color w:val="auto"/>
              </w:rPr>
            </w:pPr>
            <w:r>
              <w:rPr>
                <w:rFonts w:ascii="Arial" w:cs="Arial" w:eastAsia="Arial" w:hAnsi="Arial"/>
                <w:sz w:val="18"/>
                <w:szCs w:val="18"/>
                <w:color w:val="auto"/>
              </w:rPr>
              <w:t>(d) Exhibits</w:t>
            </w:r>
          </w:p>
        </w:tc>
        <w:tc>
          <w:tcPr>
            <w:tcW w:w="980" w:type="dxa"/>
            <w:vAlign w:val="bottom"/>
          </w:tcPr>
          <w:p>
            <w:pPr>
              <w:spacing w:after="0"/>
              <w:rPr>
                <w:sz w:val="20"/>
                <w:szCs w:val="20"/>
                <w:color w:val="auto"/>
              </w:rPr>
            </w:pPr>
          </w:p>
        </w:tc>
        <w:tc>
          <w:tcPr>
            <w:tcW w:w="888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1540" w:type="dxa"/>
            <w:vAlign w:val="bottom"/>
            <w:gridSpan w:val="3"/>
          </w:tcPr>
          <w:p>
            <w:pPr>
              <w:ind w:left="140"/>
              <w:spacing w:after="0"/>
              <w:rPr>
                <w:sz w:val="20"/>
                <w:szCs w:val="20"/>
                <w:color w:val="auto"/>
              </w:rPr>
            </w:pPr>
            <w:r>
              <w:rPr>
                <w:rFonts w:ascii="Arial" w:cs="Arial" w:eastAsia="Arial" w:hAnsi="Arial"/>
                <w:sz w:val="18"/>
                <w:szCs w:val="18"/>
                <w:b w:val="1"/>
                <w:bCs w:val="1"/>
                <w:color w:val="auto"/>
              </w:rPr>
              <w:t>Exhibit No.</w:t>
            </w:r>
          </w:p>
        </w:tc>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1180" w:type="dxa"/>
            <w:vAlign w:val="bottom"/>
            <w:tcBorders>
              <w:top w:val="single" w:sz="8" w:color="auto"/>
            </w:tcBorders>
            <w:gridSpan w:val="2"/>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360" w:type="dxa"/>
            <w:vAlign w:val="bottom"/>
          </w:tcPr>
          <w:p>
            <w:pPr>
              <w:spacing w:after="0"/>
              <w:rPr>
                <w:sz w:val="15"/>
                <w:szCs w:val="15"/>
                <w:color w:val="auto"/>
              </w:rPr>
            </w:pPr>
          </w:p>
        </w:tc>
        <w:tc>
          <w:tcPr>
            <w:tcW w:w="9860" w:type="dxa"/>
            <w:vAlign w:val="bottom"/>
            <w:tcBorders>
              <w:top w:val="single" w:sz="8" w:color="auto"/>
            </w:tcBorders>
            <w:gridSpan w:val="2"/>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Press Release</w:t>
              </w:r>
            </w:hyperlink>
          </w:p>
        </w:tc>
      </w:tr>
      <w:tr>
        <w:trPr>
          <w:trHeight w:val="851"/>
        </w:trPr>
        <w:tc>
          <w:tcPr>
            <w:tcW w:w="20" w:type="dxa"/>
            <w:vAlign w:val="bottom"/>
            <w:tcBorders>
              <w:bottom w:val="single" w:sz="8" w:color="BFBFBF"/>
            </w:tcBorders>
          </w:tcPr>
          <w:p>
            <w:pPr>
              <w:spacing w:after="0"/>
              <w:rPr>
                <w:sz w:val="24"/>
                <w:szCs w:val="24"/>
                <w:color w:val="auto"/>
              </w:rPr>
            </w:pPr>
          </w:p>
        </w:tc>
        <w:tc>
          <w:tcPr>
            <w:tcW w:w="300" w:type="dxa"/>
            <w:vAlign w:val="bottom"/>
            <w:tcBorders>
              <w:top w:val="single" w:sz="8" w:color="0000EE"/>
              <w:bottom w:val="single" w:sz="8" w:color="BFBFBF"/>
            </w:tcBorders>
          </w:tcPr>
          <w:p>
            <w:pPr>
              <w:spacing w:after="0"/>
              <w:rPr>
                <w:sz w:val="24"/>
                <w:szCs w:val="24"/>
                <w:color w:val="auto"/>
              </w:rPr>
            </w:pPr>
          </w:p>
        </w:tc>
        <w:tc>
          <w:tcPr>
            <w:tcW w:w="880" w:type="dxa"/>
            <w:vAlign w:val="bottom"/>
            <w:tcBorders>
              <w:bottom w:val="single" w:sz="8" w:color="BFBFBF"/>
            </w:tcBorders>
          </w:tcPr>
          <w:p>
            <w:pPr>
              <w:spacing w:after="0"/>
              <w:rPr>
                <w:sz w:val="24"/>
                <w:szCs w:val="24"/>
                <w:color w:val="auto"/>
              </w:rPr>
            </w:pPr>
          </w:p>
        </w:tc>
        <w:tc>
          <w:tcPr>
            <w:tcW w:w="360" w:type="dxa"/>
            <w:vAlign w:val="bottom"/>
            <w:tcBorders>
              <w:bottom w:val="single" w:sz="8" w:color="BFBFBF"/>
            </w:tcBorders>
          </w:tcPr>
          <w:p>
            <w:pPr>
              <w:spacing w:after="0"/>
              <w:rPr>
                <w:sz w:val="24"/>
                <w:szCs w:val="24"/>
                <w:color w:val="auto"/>
              </w:rPr>
            </w:pPr>
          </w:p>
        </w:tc>
        <w:tc>
          <w:tcPr>
            <w:tcW w:w="980" w:type="dxa"/>
            <w:vAlign w:val="bottom"/>
            <w:tcBorders>
              <w:top w:val="single" w:sz="8" w:color="0000EE"/>
              <w:bottom w:val="single" w:sz="8" w:color="BFBFBF"/>
            </w:tcBorders>
          </w:tcPr>
          <w:p>
            <w:pPr>
              <w:spacing w:after="0"/>
              <w:rPr>
                <w:sz w:val="24"/>
                <w:szCs w:val="24"/>
                <w:color w:val="auto"/>
              </w:rPr>
            </w:pPr>
          </w:p>
        </w:tc>
        <w:tc>
          <w:tcPr>
            <w:tcW w:w="8880" w:type="dxa"/>
            <w:vAlign w:val="bottom"/>
            <w:tcBorders>
              <w:bottom w:val="single" w:sz="8" w:color="BFBFBF"/>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u w:val="single" w:color="auto"/>
          <w:color w:val="auto"/>
        </w:rPr>
        <w:t>Cautionary Statement Concerning Forward-Looking Statements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communication and the documents incorporated by reference herein may contain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53" w:right="31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0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b w:val="1"/>
                <w:bCs w:val="1"/>
                <w:color w:val="auto"/>
                <w:w w:val="91"/>
              </w:rPr>
              <w:t>Graham Holdings Company</w:t>
            </w:r>
          </w:p>
        </w:tc>
      </w:tr>
      <w:tr>
        <w:trPr>
          <w:trHeight w:val="216"/>
        </w:trPr>
        <w:tc>
          <w:tcPr>
            <w:tcW w:w="5700" w:type="dxa"/>
            <w:vAlign w:val="bottom"/>
          </w:tcPr>
          <w:p>
            <w:pPr>
              <w:spacing w:after="0"/>
              <w:rPr>
                <w:sz w:val="18"/>
                <w:szCs w:val="18"/>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Date: May 24, 2018</w:t>
            </w: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Nicole M. Maddrey</w:t>
            </w:r>
          </w:p>
        </w:tc>
      </w:tr>
      <w:tr>
        <w:trPr>
          <w:trHeight w:val="202"/>
        </w:trPr>
        <w:tc>
          <w:tcPr>
            <w:tcW w:w="5700" w:type="dxa"/>
            <w:vAlign w:val="bottom"/>
          </w:tcPr>
          <w:p>
            <w:pPr>
              <w:spacing w:after="0"/>
              <w:rPr>
                <w:sz w:val="17"/>
                <w:szCs w:val="17"/>
                <w:color w:val="auto"/>
              </w:rPr>
            </w:pPr>
          </w:p>
        </w:tc>
        <w:tc>
          <w:tcPr>
            <w:tcW w:w="4460" w:type="dxa"/>
            <w:vAlign w:val="bottom"/>
          </w:tcPr>
          <w:p>
            <w:pPr>
              <w:jc w:val="center"/>
              <w:ind w:left="70"/>
              <w:spacing w:after="0" w:line="201" w:lineRule="exact"/>
              <w:rPr>
                <w:sz w:val="20"/>
                <w:szCs w:val="20"/>
                <w:color w:val="auto"/>
              </w:rPr>
            </w:pPr>
            <w:r>
              <w:rPr>
                <w:rFonts w:ascii="Arial" w:cs="Arial" w:eastAsia="Arial" w:hAnsi="Arial"/>
                <w:sz w:val="18"/>
                <w:szCs w:val="18"/>
                <w:color w:val="auto"/>
                <w:w w:val="92"/>
              </w:rPr>
              <w:t>(Signature)</w:t>
            </w:r>
          </w:p>
        </w:tc>
      </w:tr>
      <w:tr>
        <w:trPr>
          <w:trHeight w:val="216"/>
        </w:trPr>
        <w:tc>
          <w:tcPr>
            <w:tcW w:w="5700" w:type="dxa"/>
            <w:vAlign w:val="bottom"/>
          </w:tcPr>
          <w:p>
            <w:pPr>
              <w:spacing w:after="0"/>
              <w:rPr>
                <w:sz w:val="18"/>
                <w:szCs w:val="18"/>
                <w:color w:val="auto"/>
              </w:rPr>
            </w:pPr>
          </w:p>
        </w:tc>
        <w:tc>
          <w:tcPr>
            <w:tcW w:w="4460" w:type="dxa"/>
            <w:vAlign w:val="bottom"/>
          </w:tcPr>
          <w:p>
            <w:pPr>
              <w:jc w:val="center"/>
              <w:ind w:left="30"/>
              <w:spacing w:after="0"/>
              <w:rPr>
                <w:sz w:val="20"/>
                <w:szCs w:val="20"/>
                <w:color w:val="auto"/>
              </w:rPr>
            </w:pPr>
            <w:r>
              <w:rPr>
                <w:rFonts w:ascii="Arial" w:cs="Arial" w:eastAsia="Arial" w:hAnsi="Arial"/>
                <w:sz w:val="18"/>
                <w:szCs w:val="18"/>
                <w:color w:val="auto"/>
                <w:w w:val="94"/>
              </w:rPr>
              <w:t>Nicole M. Maddrey</w:t>
            </w:r>
          </w:p>
        </w:tc>
      </w:tr>
      <w:tr>
        <w:trPr>
          <w:trHeight w:val="230"/>
        </w:trPr>
        <w:tc>
          <w:tcPr>
            <w:tcW w:w="5700" w:type="dxa"/>
            <w:vAlign w:val="bottom"/>
          </w:tcPr>
          <w:p>
            <w:pPr>
              <w:spacing w:after="0"/>
              <w:rPr>
                <w:sz w:val="20"/>
                <w:szCs w:val="20"/>
                <w:color w:val="auto"/>
              </w:rPr>
            </w:pPr>
          </w:p>
        </w:tc>
        <w:tc>
          <w:tcPr>
            <w:tcW w:w="4460" w:type="dxa"/>
            <w:vAlign w:val="bottom"/>
          </w:tcPr>
          <w:p>
            <w:pPr>
              <w:jc w:val="center"/>
              <w:ind w:left="30"/>
              <w:spacing w:after="0"/>
              <w:rPr>
                <w:sz w:val="20"/>
                <w:szCs w:val="20"/>
                <w:color w:val="auto"/>
              </w:rPr>
            </w:pPr>
            <w:r>
              <w:rPr>
                <w:rFonts w:ascii="Arial" w:cs="Arial" w:eastAsia="Arial" w:hAnsi="Arial"/>
                <w:sz w:val="18"/>
                <w:szCs w:val="18"/>
                <w:color w:val="auto"/>
                <w:w w:val="89"/>
              </w:rPr>
              <w:t>Senior Vice President, General Counsel and Secretary</w:t>
            </w:r>
          </w:p>
        </w:tc>
      </w:tr>
    </w:tbl>
    <w:p>
      <w:pPr>
        <w:sectPr>
          <w:pgSz w:w="11900" w:h="16838" w:orient="portrait"/>
          <w:cols w:equalWidth="0" w:num="1">
            <w:col w:w="11280"/>
          </w:cols>
          <w:pgMar w:left="240" w:top="607"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83A9"/>
        </w:rPr>
        <w:t>Graham Holdings Company Announces Pricing of $400 Million Private Offering of Senior Notes</w:t>
      </w:r>
    </w:p>
    <w:p>
      <w:pPr>
        <w:spacing w:after="0" w:line="261" w:lineRule="exact"/>
        <w:rPr>
          <w:sz w:val="20"/>
          <w:szCs w:val="20"/>
          <w:color w:val="auto"/>
        </w:rPr>
      </w:pPr>
    </w:p>
    <w:p>
      <w:pPr>
        <w:ind w:right="40"/>
        <w:spacing w:after="0"/>
        <w:rPr>
          <w:sz w:val="20"/>
          <w:szCs w:val="20"/>
          <w:color w:val="auto"/>
        </w:rPr>
      </w:pPr>
      <w:r>
        <w:rPr>
          <w:rFonts w:ascii="Arial" w:cs="Arial" w:eastAsia="Arial" w:hAnsi="Arial"/>
          <w:sz w:val="18"/>
          <w:szCs w:val="18"/>
          <w:color w:val="333333"/>
        </w:rPr>
        <w:t>ARLINGTON, Va.--(BUSINESS WIRE)--May 24, 2018--Graham Holdings Company (NYSE: GHC) (the “Company”) today announced the pricing of $400 million in aggregate principal amount of its senior unsecured notes due 2026 (the “Notes”). The Notes will be guaranteed, jointly and severally, on a senior unsecured basis, by certain of the Company’s existing and future domestic subsidiaries.</w:t>
      </w:r>
    </w:p>
    <w:p>
      <w:pPr>
        <w:spacing w:after="0" w:line="230" w:lineRule="exact"/>
        <w:rPr>
          <w:sz w:val="20"/>
          <w:szCs w:val="20"/>
          <w:color w:val="auto"/>
        </w:rPr>
      </w:pPr>
    </w:p>
    <w:p>
      <w:pPr>
        <w:ind w:right="200"/>
        <w:spacing w:after="0"/>
        <w:rPr>
          <w:sz w:val="20"/>
          <w:szCs w:val="20"/>
          <w:color w:val="auto"/>
        </w:rPr>
      </w:pPr>
      <w:r>
        <w:rPr>
          <w:rFonts w:ascii="Arial" w:cs="Arial" w:eastAsia="Arial" w:hAnsi="Arial"/>
          <w:sz w:val="18"/>
          <w:szCs w:val="18"/>
          <w:color w:val="333333"/>
        </w:rPr>
        <w:t>The Notes will have a coupon of 5.75% per annum, payable semi-annually on June 1 and December 1, beginning on December 1, 2018. The Notes, which mature on June 1, 2026, were priced at 100% of principal amount. Closing is scheduled for May 30, 2018, subject to the satisfaction of customary closing conditions.</w:t>
      </w:r>
    </w:p>
    <w:p>
      <w:pPr>
        <w:spacing w:after="0" w:line="230"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333333"/>
        </w:rPr>
        <w:t>The Company intends to use the net proceeds from the offering, together with cash on hand, to redeem all $400 million aggregate principal amount of the Company’s existing 7.250% notes due 2019.</w:t>
      </w:r>
    </w:p>
    <w:p>
      <w:pPr>
        <w:spacing w:after="0" w:line="22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333333"/>
        </w:rPr>
        <w:t>The Notes and related guarantees have not been and will not be registered under the Securities Act of 1933, as amended (the “Securities Act”), or any state securities laws, and may not be offered or sold in the United States absent registration or an applicable exemption from the registration requirements of the Securities Act and the rules promulgated thereunder. The Notes and related guarantees will be offered only to qualified institutional buyers in the United States pursuant to Rule 144A of the Securities Act and outside the United States to non-U.S. persons in reliance on Regulation S under the Securities Act.</w:t>
      </w:r>
    </w:p>
    <w:p>
      <w:pPr>
        <w:spacing w:after="0" w:line="230"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333333"/>
        </w:rPr>
        <w:t>This announcement does not constitute an offer to sell or a solicitation of an offer to buy any of the foregoing securities, nor shall there be any offer, solicitation or sale in any state or jurisdiction in which such an offer, solicitation or sale would be unlawful.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333333"/>
        </w:rPr>
        <w:t>Forward-Looking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333333"/>
        </w:rPr>
        <w:t>Certain statements in this announcement, including statements regarding the offering of the Notes and the Company’s intended use for the</w:t>
      </w:r>
    </w:p>
    <w:p>
      <w:pPr>
        <w:spacing w:after="0" w:line="234" w:lineRule="auto"/>
        <w:rPr>
          <w:sz w:val="20"/>
          <w:szCs w:val="20"/>
          <w:color w:val="auto"/>
        </w:rPr>
      </w:pPr>
      <w:r>
        <w:rPr>
          <w:rFonts w:ascii="Arial" w:cs="Arial" w:eastAsia="Arial" w:hAnsi="Arial"/>
          <w:sz w:val="18"/>
          <w:szCs w:val="18"/>
          <w:color w:val="333333"/>
        </w:rPr>
        <w:t>proceeds of the offering, may contain certain forward-looking statements that are based largely on the Company’s current</w:t>
      </w:r>
    </w:p>
    <w:p>
      <w:pPr>
        <w:spacing w:after="0" w:line="235" w:lineRule="auto"/>
        <w:rPr>
          <w:sz w:val="20"/>
          <w:szCs w:val="20"/>
          <w:color w:val="auto"/>
        </w:rPr>
      </w:pPr>
      <w:r>
        <w:rPr>
          <w:rFonts w:ascii="Arial" w:cs="Arial" w:eastAsia="Arial" w:hAnsi="Arial"/>
          <w:sz w:val="18"/>
          <w:szCs w:val="18"/>
          <w:color w:val="333333"/>
        </w:rPr>
        <w:t>expectations. Forward-looking statements are subject to certain risks and uncertainties that could cause actual results and achievements to</w:t>
      </w:r>
    </w:p>
    <w:p>
      <w:pPr>
        <w:spacing w:after="0" w:line="235" w:lineRule="auto"/>
        <w:rPr>
          <w:sz w:val="20"/>
          <w:szCs w:val="20"/>
          <w:color w:val="auto"/>
        </w:rPr>
      </w:pPr>
      <w:r>
        <w:rPr>
          <w:rFonts w:ascii="Arial" w:cs="Arial" w:eastAsia="Arial" w:hAnsi="Arial"/>
          <w:sz w:val="18"/>
          <w:szCs w:val="18"/>
          <w:color w:val="333333"/>
        </w:rPr>
        <w:t>differ materially from those expressed in the forward-looking statements. Such forward-looking statements only speak as of the date of 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333333"/>
        </w:rPr>
        <w:t>announcement, and the Company disclaims any obligation to update information contained in these forward-looking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333333"/>
        </w:rPr>
        <w:t>Source: Graham Holdings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333333"/>
        </w:rPr>
        <w:t>Graham Holdings Company</w:t>
      </w:r>
    </w:p>
    <w:p>
      <w:pPr>
        <w:spacing w:after="0" w:line="234" w:lineRule="auto"/>
        <w:rPr>
          <w:sz w:val="20"/>
          <w:szCs w:val="20"/>
          <w:color w:val="auto"/>
        </w:rPr>
      </w:pPr>
      <w:r>
        <w:rPr>
          <w:rFonts w:ascii="Arial" w:cs="Arial" w:eastAsia="Arial" w:hAnsi="Arial"/>
          <w:sz w:val="18"/>
          <w:szCs w:val="18"/>
          <w:color w:val="333333"/>
        </w:rPr>
        <w:t>Wallace R. Cooney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333333"/>
        </w:rPr>
        <w:t>(703) 345-6470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2019-12-28T21:40:16Z</dcterms:created>
  <dcterms:modified xsi:type="dcterms:W3CDTF">2019-12-28T21:40:16Z</dcterms:modified>
</cp:coreProperties>
</file>