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514350</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553720</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October 1, 2012</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5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40" w:lineRule="exact"/>
        <w:rPr>
          <w:sz w:val="24"/>
          <w:szCs w:val="24"/>
          <w:color w:val="auto"/>
        </w:rPr>
      </w:pPr>
    </w:p>
    <w:p>
      <w:pPr>
        <w:ind w:left="5669" w:right="2560" w:hanging="5669"/>
        <w:spacing w:after="0" w:line="261" w:lineRule="auto"/>
        <w:tabs>
          <w:tab w:leader="none" w:pos="92" w:val="left"/>
        </w:tabs>
        <w:numPr>
          <w:ilvl w:val="0"/>
          <w:numId w:val="2"/>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177165</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961" w:right="1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Section 8 – Other Events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Item 8.01 Other Events</w:t>
      </w:r>
    </w:p>
    <w:p>
      <w:pPr>
        <w:spacing w:after="0" w:line="17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On September 28, 2012, The Washington Post Company entered into a stock purchase agreement to acquire a controlling interest in Celtic Healthcar a provider of home healthcare and hospice services in the northeastern and mid-Atlantic regions. The transaction is subject to customary closing conditions, including completion of regulatory filings, and is expected to close in approximately 30 days.</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October 1, 2012, The Washington Post Company issued the press release attached as Exhibit 99.1. The text of such Exhibit is hereby incorporate reference into this Item 8.01.</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 Financial Statements and Exhibits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Exhibit 99.1 Press release dated October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20"/>
          </w:cols>
          <w:pgMar w:left="820" w:top="1149" w:right="159" w:bottom="1440" w:gutter="0" w:footer="0" w:header="0"/>
        </w:sectPr>
      </w:pPr>
    </w:p>
    <w:bookmarkStart w:id="2" w:name="page3"/>
    <w:bookmarkEnd w:id="2"/>
    <w:p>
      <w:pPr>
        <w:ind w:left="52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The Washington Post Company</w:t>
      </w:r>
    </w:p>
    <w:tbl>
      <w:tblPr>
        <w:tblLayout w:type="fixed"/>
        <w:tblInd w:w="0" w:type="dxa"/>
        <w:tblCellMar>
          <w:top w:w="0" w:type="dxa"/>
          <w:left w:w="0" w:type="dxa"/>
          <w:bottom w:w="0" w:type="dxa"/>
          <w:right w:w="0" w:type="dxa"/>
        </w:tblCellMar>
      </w:tblPr>
      <w:tr>
        <w:trPr>
          <w:trHeight w:val="198"/>
        </w:trPr>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0" w:type="dxa"/>
            <w:vAlign w:val="bottom"/>
          </w:tcPr>
          <w:p>
            <w:pPr>
              <w:ind w:left="320"/>
              <w:spacing w:after="0"/>
              <w:rPr>
                <w:sz w:val="20"/>
                <w:szCs w:val="20"/>
                <w:color w:val="auto"/>
              </w:rPr>
            </w:pPr>
            <w:r>
              <w:rPr>
                <w:rFonts w:ascii="Arial" w:cs="Arial" w:eastAsia="Arial" w:hAnsi="Arial"/>
                <w:sz w:val="17"/>
                <w:szCs w:val="17"/>
                <w:color w:val="auto"/>
              </w:rPr>
              <w:t>(Registrant)</w:t>
            </w:r>
          </w:p>
        </w:tc>
      </w:tr>
      <w:tr>
        <w:trPr>
          <w:trHeight w:val="709"/>
        </w:trPr>
        <w:tc>
          <w:tcPr>
            <w:tcW w:w="1700" w:type="dxa"/>
            <w:vAlign w:val="bottom"/>
            <w:gridSpan w:val="2"/>
          </w:tcPr>
          <w:p>
            <w:pPr>
              <w:spacing w:after="0"/>
              <w:rPr>
                <w:sz w:val="20"/>
                <w:szCs w:val="20"/>
                <w:color w:val="auto"/>
              </w:rPr>
            </w:pPr>
            <w:r>
              <w:rPr>
                <w:rFonts w:ascii="Arial" w:cs="Arial" w:eastAsia="Arial" w:hAnsi="Arial"/>
                <w:sz w:val="17"/>
                <w:szCs w:val="17"/>
                <w:color w:val="auto"/>
              </w:rPr>
              <w:t>Date October 1, 2012</w:t>
            </w:r>
          </w:p>
        </w:tc>
        <w:tc>
          <w:tcPr>
            <w:tcW w:w="2160" w:type="dxa"/>
            <w:vAlign w:val="bottom"/>
          </w:tcPr>
          <w:p>
            <w:pPr>
              <w:spacing w:after="0"/>
              <w:rPr>
                <w:sz w:val="24"/>
                <w:szCs w:val="24"/>
                <w:color w:val="auto"/>
              </w:rPr>
            </w:pPr>
          </w:p>
        </w:tc>
        <w:tc>
          <w:tcPr>
            <w:tcW w:w="720" w:type="dxa"/>
            <w:vAlign w:val="bottom"/>
          </w:tcPr>
          <w:p>
            <w:pPr>
              <w:ind w:left="380"/>
              <w:spacing w:after="0"/>
              <w:rPr>
                <w:sz w:val="20"/>
                <w:szCs w:val="20"/>
                <w:color w:val="auto"/>
              </w:rPr>
            </w:pPr>
            <w:r>
              <w:rPr>
                <w:rFonts w:ascii="Arial" w:cs="Arial" w:eastAsia="Arial" w:hAnsi="Arial"/>
                <w:sz w:val="17"/>
                <w:szCs w:val="17"/>
                <w:color w:val="auto"/>
              </w:rPr>
              <w:t>/s/</w:t>
            </w:r>
          </w:p>
        </w:tc>
        <w:tc>
          <w:tcPr>
            <w:tcW w:w="1800" w:type="dxa"/>
            <w:vAlign w:val="bottom"/>
          </w:tcPr>
          <w:p>
            <w:pPr>
              <w:ind w:left="160"/>
              <w:spacing w:after="0"/>
              <w:rPr>
                <w:sz w:val="20"/>
                <w:szCs w:val="20"/>
                <w:color w:val="auto"/>
              </w:rPr>
            </w:pPr>
            <w:r>
              <w:rPr>
                <w:rFonts w:ascii="Arial" w:cs="Arial" w:eastAsia="Arial" w:hAnsi="Arial"/>
                <w:sz w:val="17"/>
                <w:szCs w:val="17"/>
                <w:color w:val="auto"/>
              </w:rPr>
              <w:t>Veronica Dillon</w:t>
            </w:r>
          </w:p>
        </w:tc>
      </w:tr>
      <w:tr>
        <w:trPr>
          <w:trHeight w:val="20"/>
        </w:trPr>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Veronica Dillon</w:t>
      </w:r>
    </w:p>
    <w:p>
      <w:pPr>
        <w:ind w:left="4160"/>
        <w:spacing w:after="0" w:line="228" w:lineRule="auto"/>
        <w:rPr>
          <w:sz w:val="20"/>
          <w:szCs w:val="20"/>
          <w:color w:val="auto"/>
        </w:rPr>
      </w:pPr>
      <w:r>
        <w:rPr>
          <w:rFonts w:ascii="Arial" w:cs="Arial" w:eastAsia="Arial" w:hAnsi="Arial"/>
          <w:sz w:val="17"/>
          <w:szCs w:val="17"/>
          <w:color w:val="auto"/>
        </w:rPr>
        <w:t>Senior Vice President,</w:t>
      </w:r>
    </w:p>
    <w:p>
      <w:pPr>
        <w:ind w:left="3860"/>
        <w:spacing w:after="0"/>
        <w:rPr>
          <w:sz w:val="20"/>
          <w:szCs w:val="20"/>
          <w:color w:val="auto"/>
        </w:rPr>
      </w:pPr>
      <w:r>
        <w:rPr>
          <w:rFonts w:ascii="Arial" w:cs="Arial" w:eastAsia="Arial" w:hAnsi="Arial"/>
          <w:sz w:val="17"/>
          <w:szCs w:val="17"/>
          <w:color w:val="auto"/>
        </w:rPr>
        <w:t>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483235</wp:posOffset>
            </wp:positionV>
            <wp:extent cx="69532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540"/>
          </w:cols>
          <w:pgMar w:left="820" w:top="1149" w:right="5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38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Press release dated October 1, 2012</w:t>
      </w:r>
    </w:p>
    <w:p>
      <w:pPr>
        <w:spacing w:after="0" w:line="28" w:lineRule="exact"/>
        <w:rPr>
          <w:sz w:val="20"/>
          <w:szCs w:val="20"/>
          <w:color w:val="auto"/>
        </w:rPr>
      </w:pPr>
    </w:p>
    <w:p>
      <w:pPr>
        <w:jc w:val="right"/>
        <w:ind w:right="38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1149"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left="1160"/>
        <w:spacing w:after="0"/>
        <w:rPr>
          <w:sz w:val="20"/>
          <w:szCs w:val="20"/>
          <w:color w:val="auto"/>
        </w:rPr>
      </w:pPr>
      <w:r>
        <w:rPr>
          <w:rFonts w:ascii="Arial" w:cs="Arial" w:eastAsia="Arial" w:hAnsi="Arial"/>
          <w:sz w:val="20"/>
          <w:szCs w:val="20"/>
          <w:b w:val="1"/>
          <w:bCs w:val="1"/>
          <w:color w:val="auto"/>
        </w:rPr>
        <w:t>The Washington Post Company</w:t>
      </w:r>
    </w:p>
    <w:p>
      <w:pPr>
        <w:spacing w:after="0" w:line="17" w:lineRule="exact"/>
        <w:rPr>
          <w:sz w:val="20"/>
          <w:szCs w:val="20"/>
          <w:color w:val="auto"/>
        </w:rPr>
      </w:pPr>
    </w:p>
    <w:p>
      <w:pPr>
        <w:jc w:val="center"/>
        <w:ind w:left="1160"/>
        <w:spacing w:after="0"/>
        <w:rPr>
          <w:sz w:val="20"/>
          <w:szCs w:val="20"/>
          <w:color w:val="auto"/>
        </w:rPr>
      </w:pPr>
      <w:r>
        <w:rPr>
          <w:rFonts w:ascii="Arial" w:cs="Arial" w:eastAsia="Arial" w:hAnsi="Arial"/>
          <w:sz w:val="20"/>
          <w:szCs w:val="20"/>
          <w:b w:val="1"/>
          <w:bCs w:val="1"/>
          <w:color w:val="auto"/>
        </w:rPr>
        <w:t>To Acquire Majority Interest in Celtic Healthcare, Inc.</w:t>
      </w:r>
    </w:p>
    <w:p>
      <w:pPr>
        <w:spacing w:after="0" w:line="22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WASHINGTON—October 1, 2012—The Washington Post Company (NYSE: WPO) today announced it has agreed to acquire a majority interest in Ce Healthcare, Inc., a leading provider of skilled home healthcare and hospice services in the northeastern and mid-Atlantic regions. Arnie Burchianti, Ce founder and CEO, will continue to run the business as CEO and co-owner. The purchase price was not disclosed.</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Donald E. Graham, chairman and chief executive officer of The Washington Post Company, said: “Our acquisition of Celtic Healthcare is part of the Po Company’s ongoing strategy of investing in companies with demonstrated earnings potential and strong management teams attracted to our long-term investment horizon. It also fits with our decentralized operating philosophy. We are a diverse group of businesses sharing common goals and values each with its own identity and workplace culture, and with management responsible for its operations.”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Celtic Healthcare founder and chief executive officer Arnie Burchianti said: “This pending investment from The Washington Post Company is a landma event for our company. It positions Celtic for continued growth by combining our strong leadership, technology and expertise in delivering patient-cent care with the financial resources, long-term investment commitment and corporate values of The Washington Post Company. Celtic’s management te and I view this as an excellent opportunity for our company, employees and, most importantly, the patients we have the privilege of serving on a daily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Edge Healthcare Partners, LLC is serving as the exclusive financial advisor to Celtic.</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Celtic Healthcare, Inc.</w:t>
      </w:r>
    </w:p>
    <w:p>
      <w:pPr>
        <w:spacing w:after="0" w:line="231" w:lineRule="auto"/>
        <w:rPr>
          <w:sz w:val="20"/>
          <w:szCs w:val="20"/>
          <w:color w:val="auto"/>
        </w:rPr>
      </w:pPr>
      <w:r>
        <w:rPr>
          <w:rFonts w:ascii="Arial" w:cs="Arial" w:eastAsia="Arial" w:hAnsi="Arial"/>
          <w:sz w:val="17"/>
          <w:szCs w:val="17"/>
          <w:color w:val="auto"/>
        </w:rPr>
        <w:t>Celtic Healthcare is a multi-state provider of Medicare-certified home healthcare and hospice services. Founded in Mars, PA, by Arnie Burchianti, a practicing physical therapist, Celtic’s service area now spans throughout western, central and northeastern Pennsylvania, and Montgomery and Baltim counties in Maryland. Celtic Healthcare has earned national recognition for its proprietary technology and specialized chronic disease management programs utilizing virtual and telehealth technologies. Celtic also has received numerous awards including Best Places to Work, Fastest Growing Com Homecare Marketing and Homecare Elite Status.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The Washington Post Company</w:t>
      </w:r>
    </w:p>
    <w:p>
      <w:pPr>
        <w:spacing w:after="0" w:line="1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Washington Post Company (NYSE:WPO) is a diversified education and media company. The Company’s Kaplan subsidiary provides a wide varie educational services, both domestically and outside the United States, including programs to prepare students for careers in healthcare and many oth fields. Its media operations include cable television systems, newspaper publishing (principally The Washington Post) and television broadcasting (thr the ownership and operation of six television broadcast stations).</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 # #</w:t>
      </w:r>
    </w:p>
    <w:p>
      <w:pPr>
        <w:spacing w:after="0" w:line="143"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Contacts:</w:t>
        <w:tab/>
        <w:t>Rima Calderon</w:t>
      </w:r>
    </w:p>
    <w:p>
      <w:pPr>
        <w:ind w:left="820" w:right="8200" w:hanging="2"/>
        <w:spacing w:after="0" w:line="260" w:lineRule="auto"/>
        <w:tabs>
          <w:tab w:leader="none" w:pos="1252"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334-6617 </w:t>
      </w:r>
      <w:r>
        <w:rPr>
          <w:rFonts w:ascii="Arial" w:cs="Arial" w:eastAsia="Arial" w:hAnsi="Arial"/>
          <w:sz w:val="16"/>
          <w:szCs w:val="16"/>
          <w:u w:val="single" w:color="auto"/>
          <w:color w:val="auto"/>
        </w:rPr>
        <w:t>calderonr@washpost.com</w:t>
      </w:r>
    </w:p>
    <w:p>
      <w:pPr>
        <w:spacing w:after="0" w:line="15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Jodi McKinney</w:t>
      </w:r>
    </w:p>
    <w:p>
      <w:pPr>
        <w:ind w:left="820" w:right="7720" w:hanging="2"/>
        <w:spacing w:after="0" w:line="260" w:lineRule="auto"/>
        <w:tabs>
          <w:tab w:leader="none" w:pos="1252"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720-1221 </w:t>
      </w:r>
      <w:r>
        <w:rPr>
          <w:rFonts w:ascii="Arial" w:cs="Arial" w:eastAsia="Arial" w:hAnsi="Arial"/>
          <w:sz w:val="16"/>
          <w:szCs w:val="16"/>
          <w:u w:val="single" w:color="auto"/>
          <w:color w:val="auto"/>
        </w:rPr>
        <w:t>mckinneyj@celtichealthcare.com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438150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07" w:right="1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202"/>
    </w:lvl>
  </w:abstractNum>
  <w:abstractNum w:abstractNumId="3">
    <w:nsid w:val="625558EC"/>
    <w:multiLevelType w:val="hybridMultilevel"/>
    <w:lvl w:ilvl="0">
      <w:lvlJc w:val="left"/>
      <w:lvlText w:val="(%1)"/>
      <w:numFmt w:val="decimal"/>
      <w:start w:val="72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2019-12-09T07:44:32Z</dcterms:created>
  <dcterms:modified xsi:type="dcterms:W3CDTF">2019-12-09T07:44:32Z</dcterms:modified>
</cp:coreProperties>
</file>