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155575</wp:posOffset>
            </wp:positionH>
            <wp:positionV relativeFrom="page">
              <wp:posOffset>266700</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41" w:lineRule="exact"/>
        <w:rPr>
          <w:sz w:val="24"/>
          <w:szCs w:val="24"/>
          <w:color w:val="auto"/>
        </w:rPr>
      </w:pPr>
    </w:p>
    <w:p>
      <w:pPr>
        <w:jc w:val="center"/>
        <w:ind w:right="-79"/>
        <w:spacing w:after="0"/>
        <w:rPr>
          <w:sz w:val="20"/>
          <w:szCs w:val="20"/>
          <w:color w:val="auto"/>
        </w:rPr>
      </w:pPr>
      <w:r>
        <w:rPr>
          <w:rFonts w:ascii="Arial" w:cs="Arial" w:eastAsia="Arial" w:hAnsi="Arial"/>
          <w:sz w:val="29"/>
          <w:szCs w:val="29"/>
          <w:b w:val="1"/>
          <w:bCs w:val="1"/>
          <w:color w:val="auto"/>
        </w:rPr>
        <w:t>SECURITIES AND EXCHANGE COMMISSION</w:t>
      </w:r>
    </w:p>
    <w:p>
      <w:pPr>
        <w:spacing w:after="0" w:line="18" w:lineRule="exact"/>
        <w:rPr>
          <w:sz w:val="24"/>
          <w:szCs w:val="24"/>
          <w:color w:val="auto"/>
        </w:rPr>
      </w:pPr>
    </w:p>
    <w:p>
      <w:pPr>
        <w:jc w:val="center"/>
        <w:ind w:right="-79"/>
        <w:spacing w:after="0"/>
        <w:rPr>
          <w:sz w:val="20"/>
          <w:szCs w:val="20"/>
          <w:color w:val="auto"/>
        </w:rPr>
      </w:pPr>
      <w:r>
        <w:rPr>
          <w:rFonts w:ascii="Arial" w:cs="Arial" w:eastAsia="Arial" w:hAnsi="Arial"/>
          <w:sz w:val="25"/>
          <w:szCs w:val="25"/>
          <w:color w:val="auto"/>
        </w:rPr>
        <w:t>Washington, D.C. 20549</w:t>
      </w:r>
    </w:p>
    <w:p>
      <w:pPr>
        <w:spacing w:after="0" w:line="272"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SCHEDULE 13G</w:t>
      </w:r>
    </w:p>
    <w:p>
      <w:pPr>
        <w:spacing w:after="0" w:line="318"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8"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(Amendment No.1)*</w:t>
      </w:r>
    </w:p>
    <w:p>
      <w:pPr>
        <w:spacing w:after="0" w:line="200" w:lineRule="exact"/>
        <w:rPr>
          <w:sz w:val="24"/>
          <w:szCs w:val="24"/>
          <w:color w:val="auto"/>
        </w:rPr>
      </w:pPr>
    </w:p>
    <w:p>
      <w:pPr>
        <w:spacing w:after="0" w:line="326" w:lineRule="exact"/>
        <w:rPr>
          <w:sz w:val="24"/>
          <w:szCs w:val="24"/>
          <w:color w:val="auto"/>
        </w:rPr>
      </w:pPr>
    </w:p>
    <w:p>
      <w:pPr>
        <w:jc w:val="center"/>
        <w:ind w:right="-79"/>
        <w:spacing w:after="0"/>
        <w:rPr>
          <w:sz w:val="20"/>
          <w:szCs w:val="20"/>
          <w:color w:val="auto"/>
        </w:rPr>
      </w:pPr>
      <w:r>
        <w:rPr>
          <w:rFonts w:ascii="Arial" w:cs="Arial" w:eastAsia="Arial" w:hAnsi="Arial"/>
          <w:sz w:val="50"/>
          <w:szCs w:val="50"/>
          <w:b w:val="1"/>
          <w:bCs w:val="1"/>
          <w:color w:val="auto"/>
        </w:rPr>
        <w:t>Graham Holdings Co.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2534920</wp:posOffset>
            </wp:positionH>
            <wp:positionV relativeFrom="paragraph">
              <wp:posOffset>120015</wp:posOffset>
            </wp:positionV>
            <wp:extent cx="21869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82"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(Name of Issuer)</w:t>
      </w:r>
    </w:p>
    <w:p>
      <w:pPr>
        <w:spacing w:after="0" w:line="28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COMMON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2534920</wp:posOffset>
            </wp:positionH>
            <wp:positionV relativeFrom="paragraph">
              <wp:posOffset>88265</wp:posOffset>
            </wp:positionV>
            <wp:extent cx="21869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(Title of Class of Securities)</w:t>
      </w:r>
    </w:p>
    <w:p>
      <w:pPr>
        <w:spacing w:after="0" w:line="287"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939640AD0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2534920</wp:posOffset>
            </wp:positionH>
            <wp:positionV relativeFrom="paragraph">
              <wp:posOffset>255905</wp:posOffset>
            </wp:positionV>
            <wp:extent cx="21869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00" w:lineRule="exact"/>
        <w:rPr>
          <w:sz w:val="24"/>
          <w:szCs w:val="24"/>
          <w:color w:val="auto"/>
        </w:rPr>
      </w:pPr>
    </w:p>
    <w:p>
      <w:pPr>
        <w:spacing w:after="0" w:line="297"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(CUSIP Number)</w:t>
      </w:r>
    </w:p>
    <w:p>
      <w:pPr>
        <w:spacing w:after="0" w:line="281"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March 23,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2534920</wp:posOffset>
            </wp:positionH>
            <wp:positionV relativeFrom="paragraph">
              <wp:posOffset>88265</wp:posOffset>
            </wp:positionV>
            <wp:extent cx="21869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33" w:lineRule="exact"/>
        <w:rPr>
          <w:sz w:val="24"/>
          <w:szCs w:val="24"/>
          <w:color w:val="auto"/>
        </w:rPr>
      </w:pPr>
    </w:p>
    <w:p>
      <w:pPr>
        <w:ind w:left="3300"/>
        <w:spacing w:after="0"/>
        <w:rPr>
          <w:sz w:val="20"/>
          <w:szCs w:val="20"/>
          <w:color w:val="auto"/>
        </w:rPr>
      </w:pPr>
      <w:r>
        <w:rPr>
          <w:rFonts w:ascii="Arial" w:cs="Arial" w:eastAsia="Arial" w:hAnsi="Arial"/>
          <w:sz w:val="22"/>
          <w:szCs w:val="22"/>
          <w:color w:val="auto"/>
        </w:rPr>
        <w:t>(Date of Event Which Requires Filing of this Statement)</w:t>
      </w:r>
    </w:p>
    <w:p>
      <w:pPr>
        <w:spacing w:after="0" w:line="287"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87" w:lineRule="exact"/>
        <w:rPr>
          <w:sz w:val="24"/>
          <w:szCs w:val="24"/>
          <w:color w:val="auto"/>
        </w:rPr>
      </w:pPr>
    </w:p>
    <w:p>
      <w:pPr>
        <w:jc w:val="both"/>
        <w:ind w:right="9780" w:firstLine="8"/>
        <w:spacing w:after="0" w:line="327" w:lineRule="auto"/>
        <w:tabs>
          <w:tab w:leader="none" w:pos="354" w:val="left"/>
        </w:tabs>
        <w:numPr>
          <w:ilvl w:val="0"/>
          <w:numId w:val="1"/>
        </w:numPr>
        <w:rPr>
          <w:rFonts w:ascii="Arial" w:cs="Arial" w:eastAsia="Arial" w:hAnsi="Arial"/>
          <w:sz w:val="19"/>
          <w:szCs w:val="19"/>
          <w:color w:val="auto"/>
        </w:rPr>
      </w:pPr>
      <w:r>
        <w:rPr>
          <w:rFonts w:ascii="Arial" w:cs="Arial" w:eastAsia="Arial" w:hAnsi="Arial"/>
          <w:sz w:val="19"/>
          <w:szCs w:val="19"/>
          <w:color w:val="auto"/>
        </w:rPr>
        <w:t>Rule 13d-1(b) [ ] Rule 13d-1(c) [ ] Rule 13d-1(d)</w:t>
      </w:r>
    </w:p>
    <w:p>
      <w:pPr>
        <w:spacing w:after="0" w:line="187" w:lineRule="exact"/>
        <w:rPr>
          <w:sz w:val="24"/>
          <w:szCs w:val="24"/>
          <w:color w:val="auto"/>
        </w:rPr>
      </w:pPr>
    </w:p>
    <w:p>
      <w:pPr>
        <w:spacing w:after="0" w:line="266" w:lineRule="auto"/>
        <w:rPr>
          <w:sz w:val="20"/>
          <w:szCs w:val="20"/>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0" w:lineRule="exact"/>
        <w:rPr>
          <w:sz w:val="24"/>
          <w:szCs w:val="24"/>
          <w:color w:val="auto"/>
        </w:rPr>
      </w:pPr>
    </w:p>
    <w:p>
      <w:pPr>
        <w:spacing w:after="0" w:line="309" w:lineRule="exact"/>
        <w:rPr>
          <w:sz w:val="24"/>
          <w:szCs w:val="24"/>
          <w:color w:val="auto"/>
        </w:rPr>
      </w:pPr>
    </w:p>
    <w:p>
      <w:pPr>
        <w:ind w:right="100"/>
        <w:spacing w:after="0" w:line="266" w:lineRule="auto"/>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39"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Page 1 of 5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107950</wp:posOffset>
            </wp:positionV>
            <wp:extent cx="7250430" cy="450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451485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093" w:right="29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75"/>
        </w:trPr>
        <w:tc>
          <w:tcPr>
            <w:tcW w:w="1280" w:type="dxa"/>
            <w:vAlign w:val="bottom"/>
          </w:tcPr>
          <w:p>
            <w:pPr>
              <w:spacing w:after="0"/>
              <w:rPr>
                <w:sz w:val="20"/>
                <w:szCs w:val="20"/>
                <w:color w:val="auto"/>
              </w:rPr>
            </w:pPr>
            <w:r>
              <w:rPr>
                <w:rFonts w:ascii="Arial" w:cs="Arial" w:eastAsia="Arial" w:hAnsi="Arial"/>
                <w:sz w:val="22"/>
                <w:szCs w:val="22"/>
                <w:color w:val="auto"/>
              </w:rPr>
              <w:t>CUSIP No.</w:t>
            </w:r>
          </w:p>
        </w:tc>
        <w:tc>
          <w:tcPr>
            <w:tcW w:w="10160" w:type="dxa"/>
            <w:vAlign w:val="bottom"/>
          </w:tcPr>
          <w:p>
            <w:pPr>
              <w:ind w:left="300"/>
              <w:spacing w:after="0"/>
              <w:rPr>
                <w:sz w:val="20"/>
                <w:szCs w:val="20"/>
                <w:color w:val="auto"/>
              </w:rPr>
            </w:pPr>
            <w:r>
              <w:rPr>
                <w:rFonts w:ascii="Arial" w:cs="Arial" w:eastAsia="Arial" w:hAnsi="Arial"/>
                <w:sz w:val="22"/>
                <w:szCs w:val="22"/>
                <w:color w:val="auto"/>
              </w:rPr>
              <w:t>939640AD0</w:t>
            </w:r>
          </w:p>
        </w:tc>
      </w:tr>
      <w:tr>
        <w:trPr>
          <w:trHeight w:val="122"/>
        </w:trPr>
        <w:tc>
          <w:tcPr>
            <w:tcW w:w="1280" w:type="dxa"/>
            <w:vAlign w:val="bottom"/>
            <w:tcBorders>
              <w:bottom w:val="single" w:sz="8" w:color="808080"/>
            </w:tcBorders>
          </w:tcPr>
          <w:p>
            <w:pPr>
              <w:spacing w:after="0"/>
              <w:rPr>
                <w:sz w:val="10"/>
                <w:szCs w:val="10"/>
                <w:color w:val="auto"/>
              </w:rPr>
            </w:pPr>
          </w:p>
        </w:tc>
        <w:tc>
          <w:tcPr>
            <w:tcW w:w="1016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9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19050"/>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47" w:lineRule="exact"/>
        <w:rPr>
          <w:sz w:val="20"/>
          <w:szCs w:val="20"/>
          <w:color w:val="auto"/>
        </w:rPr>
      </w:pPr>
    </w:p>
    <w:p>
      <w:pPr>
        <w:ind w:left="1040" w:hanging="1032"/>
        <w:spacing w:after="0"/>
        <w:tabs>
          <w:tab w:leader="none" w:pos="1040" w:val="left"/>
        </w:tabs>
        <w:numPr>
          <w:ilvl w:val="0"/>
          <w:numId w:val="2"/>
        </w:numPr>
        <w:rPr>
          <w:rFonts w:ascii="Arial" w:cs="Arial" w:eastAsia="Arial" w:hAnsi="Arial"/>
          <w:sz w:val="22"/>
          <w:szCs w:val="22"/>
          <w:color w:val="auto"/>
        </w:rPr>
      </w:pPr>
      <w:r>
        <w:rPr>
          <w:rFonts w:ascii="Arial" w:cs="Arial" w:eastAsia="Arial" w:hAnsi="Arial"/>
          <w:sz w:val="22"/>
          <w:szCs w:val="22"/>
          <w:color w:val="auto"/>
        </w:rPr>
        <w:t>Names of Reporting Persons</w:t>
      </w:r>
    </w:p>
    <w:p>
      <w:pPr>
        <w:spacing w:after="0" w:line="21" w:lineRule="exact"/>
        <w:rPr>
          <w:rFonts w:ascii="Arial" w:cs="Arial" w:eastAsia="Arial" w:hAnsi="Arial"/>
          <w:sz w:val="22"/>
          <w:szCs w:val="22"/>
          <w:color w:val="auto"/>
        </w:rPr>
      </w:pPr>
    </w:p>
    <w:p>
      <w:pPr>
        <w:ind w:left="1040"/>
        <w:spacing w:after="0"/>
        <w:rPr>
          <w:rFonts w:ascii="Arial" w:cs="Arial" w:eastAsia="Arial" w:hAnsi="Arial"/>
          <w:sz w:val="22"/>
          <w:szCs w:val="22"/>
          <w:color w:val="auto"/>
        </w:rPr>
      </w:pPr>
      <w:r>
        <w:rPr>
          <w:rFonts w:ascii="Arial" w:cs="Arial" w:eastAsia="Arial" w:hAnsi="Arial"/>
          <w:sz w:val="22"/>
          <w:szCs w:val="22"/>
          <w:color w:val="auto"/>
        </w:rPr>
        <w:t>I.R.S. Identification Nos. of above persons (entities only)</w:t>
      </w:r>
    </w:p>
    <w:p>
      <w:pPr>
        <w:spacing w:after="0" w:line="17" w:lineRule="exact"/>
        <w:rPr>
          <w:rFonts w:ascii="Arial" w:cs="Arial" w:eastAsia="Arial" w:hAnsi="Arial"/>
          <w:sz w:val="22"/>
          <w:szCs w:val="22"/>
          <w:color w:val="auto"/>
        </w:rPr>
      </w:pPr>
    </w:p>
    <w:p>
      <w:pPr>
        <w:ind w:left="1040"/>
        <w:spacing w:after="0"/>
        <w:rPr>
          <w:rFonts w:ascii="Arial" w:cs="Arial" w:eastAsia="Arial" w:hAnsi="Arial"/>
          <w:sz w:val="22"/>
          <w:szCs w:val="22"/>
          <w:color w:val="auto"/>
        </w:rPr>
      </w:pPr>
      <w:r>
        <w:rPr>
          <w:rFonts w:ascii="Arial" w:cs="Arial" w:eastAsia="Arial" w:hAnsi="Arial"/>
          <w:sz w:val="22"/>
          <w:szCs w:val="22"/>
          <w:b w:val="1"/>
          <w:bCs w:val="1"/>
          <w:color w:val="auto"/>
        </w:rPr>
        <w:t>Van Eck Associates Corporation</w:t>
      </w:r>
    </w:p>
    <w:p>
      <w:pPr>
        <w:spacing w:after="0" w:line="17" w:lineRule="exact"/>
        <w:rPr>
          <w:rFonts w:ascii="Arial" w:cs="Arial" w:eastAsia="Arial" w:hAnsi="Arial"/>
          <w:sz w:val="22"/>
          <w:szCs w:val="22"/>
          <w:color w:val="auto"/>
        </w:rPr>
      </w:pPr>
    </w:p>
    <w:p>
      <w:pPr>
        <w:ind w:left="1040"/>
        <w:spacing w:after="0"/>
        <w:rPr>
          <w:rFonts w:ascii="Arial" w:cs="Arial" w:eastAsia="Arial" w:hAnsi="Arial"/>
          <w:sz w:val="22"/>
          <w:szCs w:val="22"/>
          <w:color w:val="auto"/>
        </w:rPr>
      </w:pPr>
      <w:r>
        <w:rPr>
          <w:rFonts w:ascii="Arial" w:cs="Arial" w:eastAsia="Arial" w:hAnsi="Arial"/>
          <w:sz w:val="22"/>
          <w:szCs w:val="22"/>
          <w:b w:val="1"/>
          <w:bCs w:val="1"/>
          <w:color w:val="auto"/>
        </w:rPr>
        <w:t>666 Third Ave - 9th Fl, New York, New York 10017</w:t>
      </w:r>
    </w:p>
    <w:p>
      <w:pPr>
        <w:spacing w:after="0" w:line="215" w:lineRule="exact"/>
        <w:rPr>
          <w:rFonts w:ascii="Arial" w:cs="Arial" w:eastAsia="Arial" w:hAnsi="Arial"/>
          <w:sz w:val="22"/>
          <w:szCs w:val="22"/>
          <w:color w:val="auto"/>
        </w:rPr>
      </w:pPr>
    </w:p>
    <w:p>
      <w:pPr>
        <w:ind w:left="1040" w:hanging="1032"/>
        <w:spacing w:after="0"/>
        <w:tabs>
          <w:tab w:leader="none" w:pos="1040" w:val="left"/>
        </w:tabs>
        <w:numPr>
          <w:ilvl w:val="0"/>
          <w:numId w:val="2"/>
        </w:numPr>
        <w:rPr>
          <w:rFonts w:ascii="Arial" w:cs="Arial" w:eastAsia="Arial" w:hAnsi="Arial"/>
          <w:sz w:val="22"/>
          <w:szCs w:val="22"/>
          <w:color w:val="auto"/>
        </w:rPr>
      </w:pPr>
      <w:r>
        <w:rPr>
          <w:rFonts w:ascii="Arial" w:cs="Arial" w:eastAsia="Arial" w:hAnsi="Arial"/>
          <w:sz w:val="22"/>
          <w:szCs w:val="22"/>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-225425</wp:posOffset>
            </wp:positionV>
            <wp:extent cx="7267575"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1060" w:type="dxa"/>
            <w:vAlign w:val="bottom"/>
          </w:tcPr>
          <w:p>
            <w:pPr>
              <w:spacing w:after="0"/>
              <w:rPr>
                <w:sz w:val="20"/>
                <w:szCs w:val="20"/>
                <w:color w:val="auto"/>
              </w:rPr>
            </w:pPr>
            <w:r>
              <w:rPr>
                <w:rFonts w:ascii="Arial" w:cs="Arial" w:eastAsia="Arial" w:hAnsi="Arial"/>
                <w:sz w:val="22"/>
                <w:szCs w:val="22"/>
                <w:color w:val="auto"/>
              </w:rPr>
              <w:t>(a)</w:t>
            </w:r>
          </w:p>
        </w:tc>
        <w:tc>
          <w:tcPr>
            <w:tcW w:w="10380" w:type="dxa"/>
            <w:vAlign w:val="bottom"/>
          </w:tcPr>
          <w:p>
            <w:pPr>
              <w:ind w:left="800"/>
              <w:spacing w:after="0"/>
              <w:rPr>
                <w:sz w:val="20"/>
                <w:szCs w:val="20"/>
                <w:color w:val="auto"/>
              </w:rPr>
            </w:pPr>
            <w:r>
              <w:rPr>
                <w:rFonts w:ascii="Arial" w:cs="Arial" w:eastAsia="Arial" w:hAnsi="Arial"/>
                <w:sz w:val="22"/>
                <w:szCs w:val="22"/>
                <w:b w:val="1"/>
                <w:bCs w:val="1"/>
                <w:color w:val="auto"/>
              </w:rPr>
              <w:t>N/A</w:t>
            </w:r>
          </w:p>
        </w:tc>
      </w:tr>
      <w:tr>
        <w:trPr>
          <w:trHeight w:val="297"/>
        </w:trPr>
        <w:tc>
          <w:tcPr>
            <w:tcW w:w="1060" w:type="dxa"/>
            <w:vAlign w:val="bottom"/>
          </w:tcPr>
          <w:p>
            <w:pPr>
              <w:spacing w:after="0"/>
              <w:rPr>
                <w:sz w:val="20"/>
                <w:szCs w:val="20"/>
                <w:color w:val="auto"/>
              </w:rPr>
            </w:pPr>
            <w:r>
              <w:rPr>
                <w:rFonts w:ascii="Arial" w:cs="Arial" w:eastAsia="Arial" w:hAnsi="Arial"/>
                <w:sz w:val="22"/>
                <w:szCs w:val="22"/>
                <w:color w:val="auto"/>
              </w:rPr>
              <w:t>(b)</w:t>
            </w:r>
          </w:p>
        </w:tc>
        <w:tc>
          <w:tcPr>
            <w:tcW w:w="10380" w:type="dxa"/>
            <w:vAlign w:val="bottom"/>
          </w:tcPr>
          <w:p>
            <w:pPr>
              <w:spacing w:after="0"/>
              <w:rPr>
                <w:sz w:val="24"/>
                <w:szCs w:val="24"/>
                <w:color w:val="auto"/>
              </w:rPr>
            </w:pPr>
          </w:p>
        </w:tc>
      </w:tr>
      <w:tr>
        <w:trPr>
          <w:trHeight w:val="108"/>
        </w:trPr>
        <w:tc>
          <w:tcPr>
            <w:tcW w:w="1060" w:type="dxa"/>
            <w:vAlign w:val="bottom"/>
            <w:tcBorders>
              <w:bottom w:val="single" w:sz="8" w:color="808080"/>
            </w:tcBorders>
          </w:tcPr>
          <w:p>
            <w:pPr>
              <w:spacing w:after="0"/>
              <w:rPr>
                <w:sz w:val="9"/>
                <w:szCs w:val="9"/>
                <w:color w:val="auto"/>
              </w:rPr>
            </w:pPr>
          </w:p>
        </w:tc>
        <w:tc>
          <w:tcPr>
            <w:tcW w:w="1038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66" w:lineRule="exact"/>
        <w:rPr>
          <w:sz w:val="20"/>
          <w:szCs w:val="20"/>
          <w:color w:val="auto"/>
        </w:rPr>
      </w:pPr>
    </w:p>
    <w:p>
      <w:pPr>
        <w:ind w:left="1040" w:hanging="1032"/>
        <w:spacing w:after="0"/>
        <w:tabs>
          <w:tab w:leader="none" w:pos="1040" w:val="left"/>
        </w:tabs>
        <w:numPr>
          <w:ilvl w:val="0"/>
          <w:numId w:val="3"/>
        </w:numPr>
        <w:rPr>
          <w:rFonts w:ascii="Arial" w:cs="Arial" w:eastAsia="Arial" w:hAnsi="Arial"/>
          <w:sz w:val="22"/>
          <w:szCs w:val="22"/>
          <w:color w:val="auto"/>
        </w:rPr>
      </w:pPr>
      <w:r>
        <w:rPr>
          <w:rFonts w:ascii="Arial" w:cs="Arial" w:eastAsia="Arial" w:hAnsi="Arial"/>
          <w:sz w:val="22"/>
          <w:szCs w:val="22"/>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1000" w:type="dxa"/>
            <w:vAlign w:val="bottom"/>
          </w:tcPr>
          <w:p>
            <w:pPr>
              <w:spacing w:after="0"/>
              <w:rPr>
                <w:sz w:val="20"/>
                <w:szCs w:val="20"/>
                <w:color w:val="auto"/>
              </w:rPr>
            </w:pPr>
            <w:r>
              <w:rPr>
                <w:rFonts w:ascii="Arial" w:cs="Arial" w:eastAsia="Arial" w:hAnsi="Arial"/>
                <w:sz w:val="22"/>
                <w:szCs w:val="22"/>
                <w:color w:val="auto"/>
              </w:rPr>
              <w:t>4.</w:t>
            </w:r>
          </w:p>
        </w:tc>
        <w:tc>
          <w:tcPr>
            <w:tcW w:w="3580" w:type="dxa"/>
            <w:vAlign w:val="bottom"/>
            <w:gridSpan w:val="3"/>
          </w:tcPr>
          <w:p>
            <w:pPr>
              <w:ind w:left="40"/>
              <w:spacing w:after="0"/>
              <w:rPr>
                <w:sz w:val="20"/>
                <w:szCs w:val="20"/>
                <w:color w:val="auto"/>
              </w:rPr>
            </w:pPr>
            <w:r>
              <w:rPr>
                <w:rFonts w:ascii="Arial" w:cs="Arial" w:eastAsia="Arial" w:hAnsi="Arial"/>
                <w:sz w:val="22"/>
                <w:szCs w:val="22"/>
                <w:color w:val="auto"/>
                <w:w w:val="98"/>
              </w:rPr>
              <w:t>Citizenship or Place of Organization:</w:t>
            </w:r>
          </w:p>
        </w:tc>
        <w:tc>
          <w:tcPr>
            <w:tcW w:w="6860" w:type="dxa"/>
            <w:vAlign w:val="bottom"/>
          </w:tcPr>
          <w:p>
            <w:pPr>
              <w:jc w:val="center"/>
              <w:ind w:right="5752"/>
              <w:spacing w:after="0"/>
              <w:rPr>
                <w:sz w:val="20"/>
                <w:szCs w:val="20"/>
                <w:color w:val="auto"/>
              </w:rPr>
            </w:pPr>
            <w:r>
              <w:rPr>
                <w:rFonts w:ascii="Arial" w:cs="Arial" w:eastAsia="Arial" w:hAnsi="Arial"/>
                <w:sz w:val="22"/>
                <w:szCs w:val="22"/>
                <w:b w:val="1"/>
                <w:bCs w:val="1"/>
                <w:color w:val="auto"/>
                <w:w w:val="91"/>
              </w:rPr>
              <w:t>Delaware</w:t>
            </w:r>
          </w:p>
        </w:tc>
        <w:tc>
          <w:tcPr>
            <w:tcW w:w="0" w:type="dxa"/>
            <w:vAlign w:val="bottom"/>
          </w:tcPr>
          <w:p>
            <w:pPr>
              <w:spacing w:after="0"/>
              <w:rPr>
                <w:sz w:val="1"/>
                <w:szCs w:val="1"/>
                <w:color w:val="auto"/>
              </w:rPr>
            </w:pPr>
          </w:p>
        </w:tc>
      </w:tr>
      <w:tr>
        <w:trPr>
          <w:trHeight w:val="108"/>
        </w:trPr>
        <w:tc>
          <w:tcPr>
            <w:tcW w:w="100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260" w:type="dxa"/>
            <w:vAlign w:val="bottom"/>
            <w:tcBorders>
              <w:bottom w:val="single" w:sz="8" w:color="808080"/>
            </w:tcBorders>
          </w:tcPr>
          <w:p>
            <w:pPr>
              <w:spacing w:after="0"/>
              <w:rPr>
                <w:sz w:val="9"/>
                <w:szCs w:val="9"/>
                <w:color w:val="auto"/>
              </w:rPr>
            </w:pPr>
          </w:p>
        </w:tc>
        <w:tc>
          <w:tcPr>
            <w:tcW w:w="68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556"/>
        </w:trPr>
        <w:tc>
          <w:tcPr>
            <w:tcW w:w="1000" w:type="dxa"/>
            <w:vAlign w:val="bottom"/>
          </w:tcPr>
          <w:p>
            <w:pPr>
              <w:spacing w:after="0"/>
              <w:rPr>
                <w:sz w:val="20"/>
                <w:szCs w:val="20"/>
                <w:color w:val="auto"/>
              </w:rPr>
            </w:pPr>
            <w:r>
              <w:rPr>
                <w:rFonts w:ascii="Arial" w:cs="Arial" w:eastAsia="Arial" w:hAnsi="Arial"/>
                <w:sz w:val="22"/>
                <w:szCs w:val="22"/>
                <w:color w:val="auto"/>
                <w:w w:val="95"/>
              </w:rPr>
              <w:t>Number of</w:t>
            </w:r>
          </w:p>
        </w:tc>
        <w:tc>
          <w:tcPr>
            <w:tcW w:w="540" w:type="dxa"/>
            <w:vAlign w:val="bottom"/>
          </w:tcPr>
          <w:p>
            <w:pPr>
              <w:spacing w:after="0"/>
              <w:rPr>
                <w:sz w:val="24"/>
                <w:szCs w:val="24"/>
                <w:color w:val="auto"/>
              </w:rPr>
            </w:pPr>
          </w:p>
        </w:tc>
        <w:tc>
          <w:tcPr>
            <w:tcW w:w="780" w:type="dxa"/>
            <w:vAlign w:val="bottom"/>
          </w:tcPr>
          <w:p>
            <w:pPr>
              <w:jc w:val="right"/>
              <w:ind w:right="52"/>
              <w:spacing w:after="0"/>
              <w:rPr>
                <w:sz w:val="20"/>
                <w:szCs w:val="20"/>
                <w:color w:val="auto"/>
              </w:rPr>
            </w:pPr>
            <w:r>
              <w:rPr>
                <w:rFonts w:ascii="Arial" w:cs="Arial" w:eastAsia="Arial" w:hAnsi="Arial"/>
                <w:sz w:val="22"/>
                <w:szCs w:val="22"/>
                <w:color w:val="auto"/>
              </w:rPr>
              <w:t>5.</w:t>
            </w:r>
          </w:p>
        </w:tc>
        <w:tc>
          <w:tcPr>
            <w:tcW w:w="2260" w:type="dxa"/>
            <w:vAlign w:val="bottom"/>
          </w:tcPr>
          <w:p>
            <w:pPr>
              <w:ind w:left="160"/>
              <w:spacing w:after="0"/>
              <w:rPr>
                <w:sz w:val="20"/>
                <w:szCs w:val="20"/>
                <w:color w:val="auto"/>
              </w:rPr>
            </w:pPr>
            <w:r>
              <w:rPr>
                <w:rFonts w:ascii="Arial" w:cs="Arial" w:eastAsia="Arial" w:hAnsi="Arial"/>
                <w:sz w:val="22"/>
                <w:szCs w:val="22"/>
                <w:color w:val="auto"/>
              </w:rPr>
              <w:t>Sole Voting Power</w:t>
            </w:r>
          </w:p>
        </w:tc>
        <w:tc>
          <w:tcPr>
            <w:tcW w:w="6860" w:type="dxa"/>
            <w:vAlign w:val="bottom"/>
          </w:tcPr>
          <w:p>
            <w:pPr>
              <w:ind w:left="180"/>
              <w:spacing w:after="0"/>
              <w:rPr>
                <w:sz w:val="20"/>
                <w:szCs w:val="20"/>
                <w:color w:val="auto"/>
              </w:rPr>
            </w:pPr>
            <w:r>
              <w:rPr>
                <w:rFonts w:ascii="Arial" w:cs="Arial" w:eastAsia="Arial" w:hAnsi="Arial"/>
                <w:sz w:val="22"/>
                <w:szCs w:val="22"/>
                <w:b w:val="1"/>
                <w:bCs w:val="1"/>
                <w:color w:val="auto"/>
              </w:rPr>
              <w:t>0 common shares</w:t>
            </w:r>
          </w:p>
        </w:tc>
        <w:tc>
          <w:tcPr>
            <w:tcW w:w="0" w:type="dxa"/>
            <w:vAlign w:val="bottom"/>
          </w:tcPr>
          <w:p>
            <w:pPr>
              <w:spacing w:after="0"/>
              <w:rPr>
                <w:sz w:val="1"/>
                <w:szCs w:val="1"/>
                <w:color w:val="auto"/>
              </w:rPr>
            </w:pPr>
          </w:p>
        </w:tc>
      </w:tr>
      <w:tr>
        <w:trPr>
          <w:trHeight w:val="270"/>
        </w:trPr>
        <w:tc>
          <w:tcPr>
            <w:tcW w:w="1000" w:type="dxa"/>
            <w:vAlign w:val="bottom"/>
          </w:tcPr>
          <w:p>
            <w:pPr>
              <w:spacing w:after="0"/>
              <w:rPr>
                <w:sz w:val="20"/>
                <w:szCs w:val="20"/>
                <w:color w:val="auto"/>
              </w:rPr>
            </w:pPr>
            <w:r>
              <w:rPr>
                <w:rFonts w:ascii="Arial" w:cs="Arial" w:eastAsia="Arial" w:hAnsi="Arial"/>
                <w:sz w:val="22"/>
                <w:szCs w:val="22"/>
                <w:color w:val="auto"/>
              </w:rPr>
              <w:t>Shares</w:t>
            </w:r>
          </w:p>
        </w:tc>
        <w:tc>
          <w:tcPr>
            <w:tcW w:w="540" w:type="dxa"/>
            <w:vAlign w:val="bottom"/>
          </w:tcPr>
          <w:p>
            <w:pPr>
              <w:spacing w:after="0"/>
              <w:rPr>
                <w:sz w:val="23"/>
                <w:szCs w:val="23"/>
                <w:color w:val="auto"/>
              </w:rPr>
            </w:pPr>
          </w:p>
        </w:tc>
        <w:tc>
          <w:tcPr>
            <w:tcW w:w="780" w:type="dxa"/>
            <w:vAlign w:val="bottom"/>
            <w:vMerge w:val="restart"/>
          </w:tcPr>
          <w:p>
            <w:pPr>
              <w:jc w:val="right"/>
              <w:ind w:right="52"/>
              <w:spacing w:after="0"/>
              <w:rPr>
                <w:sz w:val="20"/>
                <w:szCs w:val="20"/>
                <w:color w:val="auto"/>
              </w:rPr>
            </w:pPr>
            <w:r>
              <w:rPr>
                <w:rFonts w:ascii="Arial" w:cs="Arial" w:eastAsia="Arial" w:hAnsi="Arial"/>
                <w:sz w:val="22"/>
                <w:szCs w:val="22"/>
                <w:color w:val="auto"/>
              </w:rPr>
              <w:t>6.</w:t>
            </w:r>
          </w:p>
        </w:tc>
        <w:tc>
          <w:tcPr>
            <w:tcW w:w="2260" w:type="dxa"/>
            <w:vAlign w:val="bottom"/>
            <w:vMerge w:val="restart"/>
          </w:tcPr>
          <w:p>
            <w:pPr>
              <w:ind w:left="160"/>
              <w:spacing w:after="0"/>
              <w:rPr>
                <w:sz w:val="20"/>
                <w:szCs w:val="20"/>
                <w:color w:val="auto"/>
              </w:rPr>
            </w:pPr>
            <w:r>
              <w:rPr>
                <w:rFonts w:ascii="Arial" w:cs="Arial" w:eastAsia="Arial" w:hAnsi="Arial"/>
                <w:sz w:val="22"/>
                <w:szCs w:val="22"/>
                <w:color w:val="auto"/>
              </w:rPr>
              <w:t>Shared Voting Power</w:t>
            </w:r>
          </w:p>
        </w:tc>
        <w:tc>
          <w:tcPr>
            <w:tcW w:w="6860" w:type="dxa"/>
            <w:vAlign w:val="bottom"/>
            <w:vMerge w:val="restart"/>
          </w:tcPr>
          <w:p>
            <w:pPr>
              <w:ind w:left="180"/>
              <w:spacing w:after="0"/>
              <w:rPr>
                <w:sz w:val="20"/>
                <w:szCs w:val="20"/>
                <w:color w:val="auto"/>
              </w:rPr>
            </w:pPr>
            <w:r>
              <w:rPr>
                <w:rFonts w:ascii="Arial" w:cs="Arial" w:eastAsia="Arial" w:hAnsi="Arial"/>
                <w:sz w:val="22"/>
                <w:szCs w:val="22"/>
                <w:b w:val="1"/>
                <w:bCs w:val="1"/>
                <w:color w:val="auto"/>
              </w:rPr>
              <w:t>None</w:t>
            </w:r>
          </w:p>
        </w:tc>
        <w:tc>
          <w:tcPr>
            <w:tcW w:w="0" w:type="dxa"/>
            <w:vAlign w:val="bottom"/>
          </w:tcPr>
          <w:p>
            <w:pPr>
              <w:spacing w:after="0"/>
              <w:rPr>
                <w:sz w:val="1"/>
                <w:szCs w:val="1"/>
                <w:color w:val="auto"/>
              </w:rPr>
            </w:pPr>
          </w:p>
        </w:tc>
      </w:tr>
      <w:tr>
        <w:trPr>
          <w:trHeight w:val="270"/>
        </w:trPr>
        <w:tc>
          <w:tcPr>
            <w:tcW w:w="1540" w:type="dxa"/>
            <w:vAlign w:val="bottom"/>
            <w:gridSpan w:val="2"/>
          </w:tcPr>
          <w:p>
            <w:pPr>
              <w:spacing w:after="0"/>
              <w:rPr>
                <w:sz w:val="20"/>
                <w:szCs w:val="20"/>
                <w:color w:val="auto"/>
              </w:rPr>
            </w:pPr>
            <w:r>
              <w:rPr>
                <w:rFonts w:ascii="Arial" w:cs="Arial" w:eastAsia="Arial" w:hAnsi="Arial"/>
                <w:sz w:val="22"/>
                <w:szCs w:val="22"/>
                <w:color w:val="auto"/>
              </w:rPr>
              <w:t>Beneficially</w:t>
            </w:r>
          </w:p>
        </w:tc>
        <w:tc>
          <w:tcPr>
            <w:tcW w:w="780" w:type="dxa"/>
            <w:vAlign w:val="bottom"/>
            <w:vMerge w:val="continue"/>
          </w:tcPr>
          <w:p>
            <w:pPr>
              <w:spacing w:after="0"/>
              <w:rPr>
                <w:sz w:val="23"/>
                <w:szCs w:val="23"/>
                <w:color w:val="auto"/>
              </w:rPr>
            </w:pPr>
          </w:p>
        </w:tc>
        <w:tc>
          <w:tcPr>
            <w:tcW w:w="2260" w:type="dxa"/>
            <w:vAlign w:val="bottom"/>
            <w:vMerge w:val="continue"/>
          </w:tcPr>
          <w:p>
            <w:pPr>
              <w:spacing w:after="0"/>
              <w:rPr>
                <w:sz w:val="23"/>
                <w:szCs w:val="23"/>
                <w:color w:val="auto"/>
              </w:rPr>
            </w:pPr>
          </w:p>
        </w:tc>
        <w:tc>
          <w:tcPr>
            <w:tcW w:w="686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000" w:type="dxa"/>
            <w:vAlign w:val="bottom"/>
          </w:tcPr>
          <w:p>
            <w:pPr>
              <w:spacing w:after="0"/>
              <w:rPr>
                <w:sz w:val="20"/>
                <w:szCs w:val="20"/>
                <w:color w:val="auto"/>
              </w:rPr>
            </w:pPr>
            <w:r>
              <w:rPr>
                <w:rFonts w:ascii="Arial" w:cs="Arial" w:eastAsia="Arial" w:hAnsi="Arial"/>
                <w:sz w:val="22"/>
                <w:szCs w:val="22"/>
                <w:color w:val="auto"/>
                <w:w w:val="98"/>
              </w:rPr>
              <w:t>Owned by</w:t>
            </w:r>
          </w:p>
        </w:tc>
        <w:tc>
          <w:tcPr>
            <w:tcW w:w="540" w:type="dxa"/>
            <w:vAlign w:val="bottom"/>
          </w:tcPr>
          <w:p>
            <w:pPr>
              <w:spacing w:after="0"/>
              <w:rPr>
                <w:sz w:val="23"/>
                <w:szCs w:val="23"/>
                <w:color w:val="auto"/>
              </w:rPr>
            </w:pPr>
          </w:p>
        </w:tc>
        <w:tc>
          <w:tcPr>
            <w:tcW w:w="780" w:type="dxa"/>
            <w:vAlign w:val="bottom"/>
            <w:vMerge w:val="restart"/>
          </w:tcPr>
          <w:p>
            <w:pPr>
              <w:jc w:val="right"/>
              <w:ind w:right="52"/>
              <w:spacing w:after="0"/>
              <w:rPr>
                <w:sz w:val="20"/>
                <w:szCs w:val="20"/>
                <w:color w:val="auto"/>
              </w:rPr>
            </w:pPr>
            <w:r>
              <w:rPr>
                <w:rFonts w:ascii="Arial" w:cs="Arial" w:eastAsia="Arial" w:hAnsi="Arial"/>
                <w:sz w:val="22"/>
                <w:szCs w:val="22"/>
                <w:color w:val="auto"/>
              </w:rPr>
              <w:t>7.</w:t>
            </w:r>
          </w:p>
        </w:tc>
        <w:tc>
          <w:tcPr>
            <w:tcW w:w="2260" w:type="dxa"/>
            <w:vAlign w:val="bottom"/>
            <w:vMerge w:val="restart"/>
          </w:tcPr>
          <w:p>
            <w:pPr>
              <w:ind w:left="160"/>
              <w:spacing w:after="0"/>
              <w:rPr>
                <w:sz w:val="20"/>
                <w:szCs w:val="20"/>
                <w:color w:val="auto"/>
              </w:rPr>
            </w:pPr>
            <w:r>
              <w:rPr>
                <w:rFonts w:ascii="Arial" w:cs="Arial" w:eastAsia="Arial" w:hAnsi="Arial"/>
                <w:sz w:val="22"/>
                <w:szCs w:val="22"/>
                <w:color w:val="auto"/>
                <w:w w:val="92"/>
              </w:rPr>
              <w:t>Sole Dispositive Power</w:t>
            </w:r>
          </w:p>
        </w:tc>
        <w:tc>
          <w:tcPr>
            <w:tcW w:w="6860" w:type="dxa"/>
            <w:vAlign w:val="bottom"/>
            <w:vMerge w:val="restart"/>
          </w:tcPr>
          <w:p>
            <w:pPr>
              <w:ind w:left="180"/>
              <w:spacing w:after="0"/>
              <w:rPr>
                <w:sz w:val="20"/>
                <w:szCs w:val="20"/>
                <w:color w:val="auto"/>
              </w:rPr>
            </w:pPr>
            <w:r>
              <w:rPr>
                <w:rFonts w:ascii="Arial" w:cs="Arial" w:eastAsia="Arial" w:hAnsi="Arial"/>
                <w:sz w:val="22"/>
                <w:szCs w:val="22"/>
                <w:b w:val="1"/>
                <w:bCs w:val="1"/>
                <w:color w:val="auto"/>
              </w:rPr>
              <w:t>0 common shares</w:t>
            </w:r>
          </w:p>
        </w:tc>
        <w:tc>
          <w:tcPr>
            <w:tcW w:w="0" w:type="dxa"/>
            <w:vAlign w:val="bottom"/>
          </w:tcPr>
          <w:p>
            <w:pPr>
              <w:spacing w:after="0"/>
              <w:rPr>
                <w:sz w:val="1"/>
                <w:szCs w:val="1"/>
                <w:color w:val="auto"/>
              </w:rPr>
            </w:pPr>
          </w:p>
        </w:tc>
      </w:tr>
      <w:tr>
        <w:trPr>
          <w:trHeight w:val="166"/>
        </w:trPr>
        <w:tc>
          <w:tcPr>
            <w:tcW w:w="1000" w:type="dxa"/>
            <w:vAlign w:val="bottom"/>
            <w:vMerge w:val="restart"/>
          </w:tcPr>
          <w:p>
            <w:pPr>
              <w:spacing w:after="0"/>
              <w:rPr>
                <w:sz w:val="20"/>
                <w:szCs w:val="20"/>
                <w:color w:val="auto"/>
              </w:rPr>
            </w:pPr>
            <w:r>
              <w:rPr>
                <w:rFonts w:ascii="Arial" w:cs="Arial" w:eastAsia="Arial" w:hAnsi="Arial"/>
                <w:sz w:val="22"/>
                <w:szCs w:val="22"/>
                <w:color w:val="auto"/>
              </w:rPr>
              <w:t>Each</w:t>
            </w:r>
          </w:p>
        </w:tc>
        <w:tc>
          <w:tcPr>
            <w:tcW w:w="5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2260" w:type="dxa"/>
            <w:vAlign w:val="bottom"/>
            <w:vMerge w:val="continue"/>
          </w:tcPr>
          <w:p>
            <w:pPr>
              <w:spacing w:after="0"/>
              <w:rPr>
                <w:sz w:val="14"/>
                <w:szCs w:val="14"/>
                <w:color w:val="auto"/>
              </w:rPr>
            </w:pPr>
          </w:p>
        </w:tc>
        <w:tc>
          <w:tcPr>
            <w:tcW w:w="6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4"/>
        </w:trPr>
        <w:tc>
          <w:tcPr>
            <w:tcW w:w="100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60" w:type="dxa"/>
            <w:vAlign w:val="bottom"/>
          </w:tcPr>
          <w:p>
            <w:pPr>
              <w:spacing w:after="0"/>
              <w:rPr>
                <w:sz w:val="9"/>
                <w:szCs w:val="9"/>
                <w:color w:val="auto"/>
              </w:rPr>
            </w:pPr>
          </w:p>
        </w:tc>
        <w:tc>
          <w:tcPr>
            <w:tcW w:w="6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0"/>
        </w:trPr>
        <w:tc>
          <w:tcPr>
            <w:tcW w:w="1000" w:type="dxa"/>
            <w:vAlign w:val="bottom"/>
          </w:tcPr>
          <w:p>
            <w:pPr>
              <w:spacing w:after="0"/>
              <w:rPr>
                <w:sz w:val="20"/>
                <w:szCs w:val="20"/>
                <w:color w:val="auto"/>
              </w:rPr>
            </w:pPr>
            <w:r>
              <w:rPr>
                <w:rFonts w:ascii="Arial" w:cs="Arial" w:eastAsia="Arial" w:hAnsi="Arial"/>
                <w:sz w:val="22"/>
                <w:szCs w:val="22"/>
                <w:color w:val="auto"/>
              </w:rPr>
              <w:t>Reporting</w:t>
            </w:r>
          </w:p>
        </w:tc>
        <w:tc>
          <w:tcPr>
            <w:tcW w:w="540" w:type="dxa"/>
            <w:vAlign w:val="bottom"/>
          </w:tcPr>
          <w:p>
            <w:pPr>
              <w:spacing w:after="0"/>
              <w:rPr>
                <w:sz w:val="23"/>
                <w:szCs w:val="23"/>
                <w:color w:val="auto"/>
              </w:rPr>
            </w:pPr>
          </w:p>
        </w:tc>
        <w:tc>
          <w:tcPr>
            <w:tcW w:w="780" w:type="dxa"/>
            <w:vAlign w:val="bottom"/>
            <w:vMerge w:val="restart"/>
          </w:tcPr>
          <w:p>
            <w:pPr>
              <w:jc w:val="right"/>
              <w:ind w:right="52"/>
              <w:spacing w:after="0"/>
              <w:rPr>
                <w:sz w:val="20"/>
                <w:szCs w:val="20"/>
                <w:color w:val="auto"/>
              </w:rPr>
            </w:pPr>
            <w:r>
              <w:rPr>
                <w:rFonts w:ascii="Arial" w:cs="Arial" w:eastAsia="Arial" w:hAnsi="Arial"/>
                <w:sz w:val="22"/>
                <w:szCs w:val="22"/>
                <w:color w:val="auto"/>
              </w:rPr>
              <w:t>8.</w:t>
            </w:r>
          </w:p>
        </w:tc>
        <w:tc>
          <w:tcPr>
            <w:tcW w:w="2260" w:type="dxa"/>
            <w:vAlign w:val="bottom"/>
            <w:vMerge w:val="restart"/>
          </w:tcPr>
          <w:p>
            <w:pPr>
              <w:ind w:left="160"/>
              <w:spacing w:after="0"/>
              <w:rPr>
                <w:sz w:val="20"/>
                <w:szCs w:val="20"/>
                <w:color w:val="auto"/>
              </w:rPr>
            </w:pPr>
            <w:r>
              <w:rPr>
                <w:rFonts w:ascii="Arial" w:cs="Arial" w:eastAsia="Arial" w:hAnsi="Arial"/>
                <w:sz w:val="22"/>
                <w:szCs w:val="22"/>
                <w:color w:val="auto"/>
              </w:rPr>
              <w:t>Shared Dispositive</w:t>
            </w:r>
          </w:p>
        </w:tc>
        <w:tc>
          <w:tcPr>
            <w:tcW w:w="6860" w:type="dxa"/>
            <w:vAlign w:val="bottom"/>
            <w:vMerge w:val="restart"/>
          </w:tcPr>
          <w:p>
            <w:pPr>
              <w:jc w:val="center"/>
              <w:ind w:right="5792"/>
              <w:spacing w:after="0"/>
              <w:rPr>
                <w:sz w:val="20"/>
                <w:szCs w:val="20"/>
                <w:color w:val="auto"/>
              </w:rPr>
            </w:pPr>
            <w:r>
              <w:rPr>
                <w:rFonts w:ascii="Arial" w:cs="Arial" w:eastAsia="Arial" w:hAnsi="Arial"/>
                <w:sz w:val="22"/>
                <w:szCs w:val="22"/>
                <w:b w:val="1"/>
                <w:bCs w:val="1"/>
                <w:color w:val="auto"/>
                <w:w w:val="87"/>
              </w:rPr>
              <w:t>None</w:t>
            </w:r>
          </w:p>
        </w:tc>
        <w:tc>
          <w:tcPr>
            <w:tcW w:w="0" w:type="dxa"/>
            <w:vAlign w:val="bottom"/>
          </w:tcPr>
          <w:p>
            <w:pPr>
              <w:spacing w:after="0"/>
              <w:rPr>
                <w:sz w:val="1"/>
                <w:szCs w:val="1"/>
                <w:color w:val="auto"/>
              </w:rPr>
            </w:pPr>
          </w:p>
        </w:tc>
      </w:tr>
      <w:tr>
        <w:trPr>
          <w:trHeight w:val="108"/>
        </w:trPr>
        <w:tc>
          <w:tcPr>
            <w:tcW w:w="1540" w:type="dxa"/>
            <w:vAlign w:val="bottom"/>
            <w:gridSpan w:val="2"/>
            <w:vMerge w:val="restart"/>
          </w:tcPr>
          <w:p>
            <w:pPr>
              <w:spacing w:after="0"/>
              <w:rPr>
                <w:sz w:val="20"/>
                <w:szCs w:val="20"/>
                <w:color w:val="auto"/>
              </w:rPr>
            </w:pPr>
            <w:r>
              <w:rPr>
                <w:rFonts w:ascii="Arial" w:cs="Arial" w:eastAsia="Arial" w:hAnsi="Arial"/>
                <w:sz w:val="22"/>
                <w:szCs w:val="22"/>
                <w:color w:val="auto"/>
              </w:rPr>
              <w:t>Person With</w:t>
            </w:r>
          </w:p>
        </w:tc>
        <w:tc>
          <w:tcPr>
            <w:tcW w:w="780" w:type="dxa"/>
            <w:vAlign w:val="bottom"/>
            <w:vMerge w:val="continue"/>
          </w:tcPr>
          <w:p>
            <w:pPr>
              <w:spacing w:after="0"/>
              <w:rPr>
                <w:sz w:val="9"/>
                <w:szCs w:val="9"/>
                <w:color w:val="auto"/>
              </w:rPr>
            </w:pPr>
          </w:p>
        </w:tc>
        <w:tc>
          <w:tcPr>
            <w:tcW w:w="2260" w:type="dxa"/>
            <w:vAlign w:val="bottom"/>
            <w:vMerge w:val="continue"/>
          </w:tcPr>
          <w:p>
            <w:pPr>
              <w:spacing w:after="0"/>
              <w:rPr>
                <w:sz w:val="9"/>
                <w:szCs w:val="9"/>
                <w:color w:val="auto"/>
              </w:rPr>
            </w:pPr>
          </w:p>
        </w:tc>
        <w:tc>
          <w:tcPr>
            <w:tcW w:w="6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6"/>
        </w:trPr>
        <w:tc>
          <w:tcPr>
            <w:tcW w:w="154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2260" w:type="dxa"/>
            <w:vAlign w:val="bottom"/>
            <w:vMerge w:val="restart"/>
          </w:tcPr>
          <w:p>
            <w:pPr>
              <w:ind w:left="160"/>
              <w:spacing w:after="0"/>
              <w:rPr>
                <w:sz w:val="20"/>
                <w:szCs w:val="20"/>
                <w:color w:val="auto"/>
              </w:rPr>
            </w:pPr>
            <w:r>
              <w:rPr>
                <w:rFonts w:ascii="Arial" w:cs="Arial" w:eastAsia="Arial" w:hAnsi="Arial"/>
                <w:sz w:val="22"/>
                <w:szCs w:val="22"/>
                <w:color w:val="auto"/>
              </w:rPr>
              <w:t>Power</w:t>
            </w:r>
          </w:p>
        </w:tc>
        <w:tc>
          <w:tcPr>
            <w:tcW w:w="6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000" w:type="dxa"/>
            <w:vAlign w:val="bottom"/>
          </w:tcPr>
          <w:p>
            <w:pPr>
              <w:spacing w:after="0"/>
              <w:rPr>
                <w:sz w:val="9"/>
                <w:szCs w:val="9"/>
                <w:color w:val="auto"/>
              </w:rPr>
            </w:pPr>
          </w:p>
        </w:tc>
        <w:tc>
          <w:tcPr>
            <w:tcW w:w="54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60" w:type="dxa"/>
            <w:vAlign w:val="bottom"/>
            <w:vMerge w:val="continue"/>
          </w:tcPr>
          <w:p>
            <w:pPr>
              <w:spacing w:after="0"/>
              <w:rPr>
                <w:sz w:val="9"/>
                <w:szCs w:val="9"/>
                <w:color w:val="auto"/>
              </w:rPr>
            </w:pPr>
          </w:p>
        </w:tc>
        <w:tc>
          <w:tcPr>
            <w:tcW w:w="6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00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260" w:type="dxa"/>
            <w:vAlign w:val="bottom"/>
            <w:tcBorders>
              <w:bottom w:val="single" w:sz="8" w:color="808080"/>
            </w:tcBorders>
          </w:tcPr>
          <w:p>
            <w:pPr>
              <w:spacing w:after="0"/>
              <w:rPr>
                <w:sz w:val="9"/>
                <w:szCs w:val="9"/>
                <w:color w:val="auto"/>
              </w:rPr>
            </w:pPr>
          </w:p>
        </w:tc>
        <w:tc>
          <w:tcPr>
            <w:tcW w:w="68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-1549400</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-1549400</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60" w:lineRule="exact"/>
        <w:rPr>
          <w:sz w:val="20"/>
          <w:szCs w:val="20"/>
          <w:color w:val="auto"/>
        </w:rPr>
      </w:pPr>
    </w:p>
    <w:p>
      <w:pPr>
        <w:ind w:left="1040" w:hanging="1032"/>
        <w:spacing w:after="0"/>
        <w:tabs>
          <w:tab w:leader="none" w:pos="1040" w:val="left"/>
        </w:tabs>
        <w:numPr>
          <w:ilvl w:val="0"/>
          <w:numId w:val="4"/>
        </w:numPr>
        <w:rPr>
          <w:rFonts w:ascii="Arial" w:cs="Arial" w:eastAsia="Arial" w:hAnsi="Arial"/>
          <w:sz w:val="22"/>
          <w:szCs w:val="22"/>
          <w:color w:val="auto"/>
        </w:rPr>
      </w:pPr>
      <w:r>
        <w:rPr>
          <w:rFonts w:ascii="Arial" w:cs="Arial" w:eastAsia="Arial" w:hAnsi="Arial"/>
          <w:sz w:val="22"/>
          <w:szCs w:val="22"/>
          <w:color w:val="auto"/>
        </w:rPr>
        <w:t xml:space="preserve">Aggregate Amount Beneficially Owned by Each Reporting Person </w:t>
      </w:r>
      <w:r>
        <w:rPr>
          <w:rFonts w:ascii="Arial" w:cs="Arial" w:eastAsia="Arial" w:hAnsi="Arial"/>
          <w:sz w:val="22"/>
          <w:szCs w:val="22"/>
          <w:b w:val="1"/>
          <w:bCs w:val="1"/>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67575"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660" w:type="dxa"/>
            <w:vAlign w:val="bottom"/>
          </w:tcPr>
          <w:p>
            <w:pPr>
              <w:spacing w:after="0"/>
              <w:rPr>
                <w:sz w:val="20"/>
                <w:szCs w:val="20"/>
                <w:color w:val="auto"/>
              </w:rPr>
            </w:pPr>
            <w:r>
              <w:rPr>
                <w:rFonts w:ascii="Arial" w:cs="Arial" w:eastAsia="Arial" w:hAnsi="Arial"/>
                <w:sz w:val="22"/>
                <w:szCs w:val="22"/>
                <w:color w:val="auto"/>
              </w:rPr>
              <w:t>10.</w:t>
            </w:r>
          </w:p>
        </w:tc>
        <w:tc>
          <w:tcPr>
            <w:tcW w:w="10780" w:type="dxa"/>
            <w:vAlign w:val="bottom"/>
            <w:gridSpan w:val="3"/>
          </w:tcPr>
          <w:p>
            <w:pPr>
              <w:ind w:left="380"/>
              <w:spacing w:after="0"/>
              <w:rPr>
                <w:sz w:val="20"/>
                <w:szCs w:val="20"/>
                <w:color w:val="auto"/>
              </w:rPr>
            </w:pPr>
            <w:r>
              <w:rPr>
                <w:rFonts w:ascii="Arial" w:cs="Arial" w:eastAsia="Arial" w:hAnsi="Arial"/>
                <w:sz w:val="22"/>
                <w:szCs w:val="22"/>
                <w:color w:val="auto"/>
              </w:rPr>
              <w:t xml:space="preserve">Check if the Aggregate Amount in Row (9) Excludes Certain Shares (See Instructions)   </w:t>
            </w:r>
            <w:r>
              <w:rPr>
                <w:rFonts w:ascii="Arial" w:cs="Arial" w:eastAsia="Arial" w:hAnsi="Arial"/>
                <w:sz w:val="22"/>
                <w:szCs w:val="22"/>
                <w:b w:val="1"/>
                <w:bCs w:val="1"/>
                <w:color w:val="auto"/>
              </w:rPr>
              <w:t>N/A</w:t>
            </w:r>
          </w:p>
        </w:tc>
      </w:tr>
      <w:tr>
        <w:trPr>
          <w:trHeight w:val="108"/>
        </w:trPr>
        <w:tc>
          <w:tcPr>
            <w:tcW w:w="660" w:type="dxa"/>
            <w:vAlign w:val="bottom"/>
            <w:tcBorders>
              <w:bottom w:val="single" w:sz="8" w:color="808080"/>
            </w:tcBorders>
          </w:tcPr>
          <w:p>
            <w:pPr>
              <w:spacing w:after="0"/>
              <w:rPr>
                <w:sz w:val="9"/>
                <w:szCs w:val="9"/>
                <w:color w:val="auto"/>
              </w:rPr>
            </w:pPr>
          </w:p>
        </w:tc>
        <w:tc>
          <w:tcPr>
            <w:tcW w:w="4240" w:type="dxa"/>
            <w:vAlign w:val="bottom"/>
            <w:tcBorders>
              <w:bottom w:val="single" w:sz="8" w:color="808080"/>
            </w:tcBorders>
          </w:tcPr>
          <w:p>
            <w:pPr>
              <w:spacing w:after="0"/>
              <w:rPr>
                <w:sz w:val="9"/>
                <w:szCs w:val="9"/>
                <w:color w:val="auto"/>
              </w:rPr>
            </w:pPr>
          </w:p>
        </w:tc>
        <w:tc>
          <w:tcPr>
            <w:tcW w:w="65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r>
      <w:tr>
        <w:trPr>
          <w:trHeight w:val="560"/>
        </w:trPr>
        <w:tc>
          <w:tcPr>
            <w:tcW w:w="660" w:type="dxa"/>
            <w:vAlign w:val="bottom"/>
          </w:tcPr>
          <w:p>
            <w:pPr>
              <w:spacing w:after="0"/>
              <w:rPr>
                <w:sz w:val="20"/>
                <w:szCs w:val="20"/>
                <w:color w:val="auto"/>
              </w:rPr>
            </w:pPr>
            <w:r>
              <w:rPr>
                <w:rFonts w:ascii="Arial" w:cs="Arial" w:eastAsia="Arial" w:hAnsi="Arial"/>
                <w:sz w:val="22"/>
                <w:szCs w:val="22"/>
                <w:color w:val="auto"/>
              </w:rPr>
              <w:t>11.</w:t>
            </w:r>
          </w:p>
        </w:tc>
        <w:tc>
          <w:tcPr>
            <w:tcW w:w="10780" w:type="dxa"/>
            <w:vAlign w:val="bottom"/>
            <w:gridSpan w:val="3"/>
          </w:tcPr>
          <w:p>
            <w:pPr>
              <w:ind w:left="380"/>
              <w:spacing w:after="0"/>
              <w:rPr>
                <w:sz w:val="20"/>
                <w:szCs w:val="20"/>
                <w:color w:val="auto"/>
              </w:rPr>
            </w:pPr>
            <w:r>
              <w:rPr>
                <w:rFonts w:ascii="Arial" w:cs="Arial" w:eastAsia="Arial" w:hAnsi="Arial"/>
                <w:sz w:val="22"/>
                <w:szCs w:val="22"/>
                <w:color w:val="auto"/>
              </w:rPr>
              <w:t xml:space="preserve">Percent of Class Represented by Amount in Row (9)   </w:t>
            </w:r>
            <w:r>
              <w:rPr>
                <w:rFonts w:ascii="Arial" w:cs="Arial" w:eastAsia="Arial" w:hAnsi="Arial"/>
                <w:sz w:val="22"/>
                <w:szCs w:val="22"/>
                <w:b w:val="1"/>
                <w:bCs w:val="1"/>
                <w:color w:val="auto"/>
              </w:rPr>
              <w:t>0.00%</w:t>
            </w:r>
          </w:p>
        </w:tc>
      </w:tr>
      <w:tr>
        <w:trPr>
          <w:trHeight w:val="108"/>
        </w:trPr>
        <w:tc>
          <w:tcPr>
            <w:tcW w:w="660" w:type="dxa"/>
            <w:vAlign w:val="bottom"/>
            <w:tcBorders>
              <w:bottom w:val="single" w:sz="8" w:color="808080"/>
            </w:tcBorders>
          </w:tcPr>
          <w:p>
            <w:pPr>
              <w:spacing w:after="0"/>
              <w:rPr>
                <w:sz w:val="9"/>
                <w:szCs w:val="9"/>
                <w:color w:val="auto"/>
              </w:rPr>
            </w:pPr>
          </w:p>
        </w:tc>
        <w:tc>
          <w:tcPr>
            <w:tcW w:w="4240" w:type="dxa"/>
            <w:vAlign w:val="bottom"/>
            <w:tcBorders>
              <w:bottom w:val="single" w:sz="8" w:color="808080"/>
            </w:tcBorders>
          </w:tcPr>
          <w:p>
            <w:pPr>
              <w:spacing w:after="0"/>
              <w:rPr>
                <w:sz w:val="9"/>
                <w:szCs w:val="9"/>
                <w:color w:val="auto"/>
              </w:rPr>
            </w:pPr>
          </w:p>
        </w:tc>
        <w:tc>
          <w:tcPr>
            <w:tcW w:w="65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r>
      <w:tr>
        <w:trPr>
          <w:trHeight w:val="560"/>
        </w:trPr>
        <w:tc>
          <w:tcPr>
            <w:tcW w:w="660" w:type="dxa"/>
            <w:vAlign w:val="bottom"/>
          </w:tcPr>
          <w:p>
            <w:pPr>
              <w:spacing w:after="0"/>
              <w:rPr>
                <w:sz w:val="20"/>
                <w:szCs w:val="20"/>
                <w:color w:val="auto"/>
              </w:rPr>
            </w:pPr>
            <w:r>
              <w:rPr>
                <w:rFonts w:ascii="Arial" w:cs="Arial" w:eastAsia="Arial" w:hAnsi="Arial"/>
                <w:sz w:val="22"/>
                <w:szCs w:val="22"/>
                <w:color w:val="auto"/>
              </w:rPr>
              <w:t>12.</w:t>
            </w:r>
          </w:p>
        </w:tc>
        <w:tc>
          <w:tcPr>
            <w:tcW w:w="4240" w:type="dxa"/>
            <w:vAlign w:val="bottom"/>
          </w:tcPr>
          <w:p>
            <w:pPr>
              <w:ind w:left="380"/>
              <w:spacing w:after="0"/>
              <w:rPr>
                <w:sz w:val="20"/>
                <w:szCs w:val="20"/>
                <w:color w:val="auto"/>
              </w:rPr>
            </w:pPr>
            <w:r>
              <w:rPr>
                <w:rFonts w:ascii="Arial" w:cs="Arial" w:eastAsia="Arial" w:hAnsi="Arial"/>
                <w:sz w:val="22"/>
                <w:szCs w:val="22"/>
                <w:color w:val="auto"/>
                <w:w w:val="89"/>
              </w:rPr>
              <w:t>Type of Reporting Person (See Instructions)</w:t>
            </w:r>
          </w:p>
        </w:tc>
        <w:tc>
          <w:tcPr>
            <w:tcW w:w="6540" w:type="dxa"/>
            <w:vAlign w:val="bottom"/>
            <w:gridSpan w:val="2"/>
          </w:tcPr>
          <w:p>
            <w:pPr>
              <w:ind w:left="340"/>
              <w:spacing w:after="0"/>
              <w:rPr>
                <w:sz w:val="20"/>
                <w:szCs w:val="20"/>
                <w:color w:val="auto"/>
              </w:rPr>
            </w:pPr>
            <w:r>
              <w:rPr>
                <w:rFonts w:ascii="Arial" w:cs="Arial" w:eastAsia="Arial" w:hAnsi="Arial"/>
                <w:sz w:val="22"/>
                <w:szCs w:val="22"/>
                <w:b w:val="1"/>
                <w:bCs w:val="1"/>
                <w:color w:val="auto"/>
              </w:rPr>
              <w:t>IA</w:t>
            </w:r>
          </w:p>
        </w:tc>
      </w:tr>
      <w:tr>
        <w:trPr>
          <w:trHeight w:val="540"/>
        </w:trPr>
        <w:tc>
          <w:tcPr>
            <w:tcW w:w="66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6540" w:type="dxa"/>
            <w:vAlign w:val="bottom"/>
            <w:gridSpan w:val="2"/>
          </w:tcPr>
          <w:p>
            <w:pPr>
              <w:ind w:left="60"/>
              <w:spacing w:after="0"/>
              <w:rPr>
                <w:sz w:val="20"/>
                <w:szCs w:val="20"/>
                <w:color w:val="auto"/>
              </w:rPr>
            </w:pPr>
            <w:r>
              <w:rPr>
                <w:rFonts w:ascii="Arial" w:cs="Arial" w:eastAsia="Arial" w:hAnsi="Arial"/>
                <w:sz w:val="22"/>
                <w:szCs w:val="22"/>
                <w:color w:val="auto"/>
              </w:rPr>
              <w:t>Page 2 of 5 pages</w:t>
            </w:r>
          </w:p>
        </w:tc>
      </w:tr>
      <w:tr>
        <w:trPr>
          <w:trHeight w:val="149"/>
        </w:trPr>
        <w:tc>
          <w:tcPr>
            <w:tcW w:w="66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71"/>
        </w:trPr>
        <w:tc>
          <w:tcPr>
            <w:tcW w:w="660" w:type="dxa"/>
            <w:vAlign w:val="bottom"/>
            <w:shd w:val="clear" w:color="auto" w:fill="808080"/>
          </w:tcPr>
          <w:p>
            <w:pPr>
              <w:spacing w:after="0"/>
              <w:rPr>
                <w:sz w:val="6"/>
                <w:szCs w:val="6"/>
                <w:color w:val="auto"/>
              </w:rPr>
            </w:pPr>
          </w:p>
        </w:tc>
        <w:tc>
          <w:tcPr>
            <w:tcW w:w="4240" w:type="dxa"/>
            <w:vAlign w:val="bottom"/>
            <w:shd w:val="clear" w:color="auto" w:fill="808080"/>
          </w:tcPr>
          <w:p>
            <w:pPr>
              <w:spacing w:after="0"/>
              <w:rPr>
                <w:sz w:val="6"/>
                <w:szCs w:val="6"/>
                <w:color w:val="auto"/>
              </w:rPr>
            </w:pPr>
          </w:p>
        </w:tc>
        <w:tc>
          <w:tcPr>
            <w:tcW w:w="6520" w:type="dxa"/>
            <w:vAlign w:val="bottom"/>
            <w:shd w:val="clear" w:color="auto" w:fill="808080"/>
          </w:tcPr>
          <w:p>
            <w:pPr>
              <w:spacing w:after="0"/>
              <w:rPr>
                <w:sz w:val="6"/>
                <w:szCs w:val="6"/>
                <w:color w:val="auto"/>
              </w:rPr>
            </w:pPr>
          </w:p>
        </w:tc>
        <w:tc>
          <w:tcPr>
            <w:tcW w:w="20" w:type="dxa"/>
            <w:vAlign w:val="bottom"/>
          </w:tcPr>
          <w:p>
            <w:pPr>
              <w:spacing w:after="0"/>
              <w:rPr>
                <w:sz w:val="6"/>
                <w:szCs w:val="6"/>
                <w:color w:val="auto"/>
              </w:rPr>
            </w:pPr>
          </w:p>
        </w:tc>
      </w:tr>
      <w:tr>
        <w:trPr>
          <w:trHeight w:val="483"/>
        </w:trPr>
        <w:tc>
          <w:tcPr>
            <w:tcW w:w="660" w:type="dxa"/>
            <w:vAlign w:val="bottom"/>
            <w:tcBorders>
              <w:bottom w:val="single" w:sz="8" w:color="808080"/>
            </w:tcBorders>
          </w:tcPr>
          <w:p>
            <w:pPr>
              <w:spacing w:after="0"/>
              <w:rPr>
                <w:sz w:val="24"/>
                <w:szCs w:val="24"/>
                <w:color w:val="auto"/>
              </w:rPr>
            </w:pPr>
          </w:p>
        </w:tc>
        <w:tc>
          <w:tcPr>
            <w:tcW w:w="4240" w:type="dxa"/>
            <w:vAlign w:val="bottom"/>
            <w:tcBorders>
              <w:bottom w:val="single" w:sz="8" w:color="808080"/>
            </w:tcBorders>
          </w:tcPr>
          <w:p>
            <w:pPr>
              <w:spacing w:after="0"/>
              <w:rPr>
                <w:sz w:val="24"/>
                <w:szCs w:val="24"/>
                <w:color w:val="auto"/>
              </w:rPr>
            </w:pPr>
          </w:p>
        </w:tc>
        <w:tc>
          <w:tcPr>
            <w:tcW w:w="652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-1609090</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-1609090</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-1172210</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-1172210</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267" w:right="21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67575"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1590"/>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481330</wp:posOffset>
            </wp:positionV>
            <wp:extent cx="7267575"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1590"/>
                    </a:xfrm>
                    <a:prstGeom prst="rect">
                      <a:avLst/>
                    </a:prstGeom>
                    <a:noFill/>
                  </pic:spPr>
                </pic:pic>
              </a:graphicData>
            </a:graphic>
          </wp:anchor>
        </w:drawing>
        <w:t xml:space="preserve">Item 1. </w:t>
      </w:r>
      <w:r>
        <w:rPr>
          <w:rFonts w:ascii="Arial" w:cs="Arial" w:eastAsia="Arial" w:hAnsi="Arial"/>
          <w:sz w:val="22"/>
          <w:szCs w:val="22"/>
          <w:color w:val="auto"/>
        </w:rPr>
        <w:t>(a) Name of Issuer</w:t>
      </w:r>
    </w:p>
    <w:p>
      <w:pPr>
        <w:spacing w:after="0" w:line="28" w:lineRule="exact"/>
        <w:rPr>
          <w:sz w:val="20"/>
          <w:szCs w:val="20"/>
          <w:color w:val="auto"/>
        </w:rPr>
      </w:pPr>
    </w:p>
    <w:p>
      <w:pPr>
        <w:ind w:left="980"/>
        <w:spacing w:after="0"/>
        <w:rPr>
          <w:sz w:val="20"/>
          <w:szCs w:val="20"/>
          <w:color w:val="auto"/>
        </w:rPr>
      </w:pPr>
      <w:r>
        <w:rPr>
          <w:rFonts w:ascii="Arial" w:cs="Arial" w:eastAsia="Arial" w:hAnsi="Arial"/>
          <w:sz w:val="22"/>
          <w:szCs w:val="22"/>
          <w:b w:val="1"/>
          <w:bCs w:val="1"/>
          <w:color w:val="auto"/>
        </w:rPr>
        <w:t>Graham Holdings Co.</w:t>
      </w: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1. </w:t>
      </w:r>
      <w:r>
        <w:rPr>
          <w:rFonts w:ascii="Arial" w:cs="Arial" w:eastAsia="Arial" w:hAnsi="Arial"/>
          <w:sz w:val="22"/>
          <w:szCs w:val="22"/>
          <w:color w:val="auto"/>
        </w:rPr>
        <w:t>(b)Address of Issuer's Principal Executive Offices</w:t>
      </w:r>
    </w:p>
    <w:p>
      <w:pPr>
        <w:spacing w:after="0" w:line="28" w:lineRule="exact"/>
        <w:rPr>
          <w:sz w:val="20"/>
          <w:szCs w:val="20"/>
          <w:color w:val="auto"/>
        </w:rPr>
      </w:pPr>
    </w:p>
    <w:p>
      <w:pPr>
        <w:ind w:left="980"/>
        <w:spacing w:after="0"/>
        <w:rPr>
          <w:sz w:val="20"/>
          <w:szCs w:val="20"/>
          <w:color w:val="auto"/>
        </w:rPr>
      </w:pPr>
      <w:r>
        <w:rPr>
          <w:rFonts w:ascii="Arial" w:cs="Arial" w:eastAsia="Arial" w:hAnsi="Arial"/>
          <w:sz w:val="22"/>
          <w:szCs w:val="22"/>
          <w:b w:val="1"/>
          <w:bCs w:val="1"/>
          <w:color w:val="auto"/>
        </w:rPr>
        <w:t>1300 North 17th Street, Suite 1700, Arlington VA 22209</w:t>
      </w: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2. </w:t>
      </w:r>
      <w:r>
        <w:rPr>
          <w:rFonts w:ascii="Arial" w:cs="Arial" w:eastAsia="Arial" w:hAnsi="Arial"/>
          <w:sz w:val="22"/>
          <w:szCs w:val="22"/>
          <w:color w:val="auto"/>
        </w:rPr>
        <w:t>(a) Name of Person Filing</w:t>
      </w:r>
    </w:p>
    <w:p>
      <w:pPr>
        <w:spacing w:after="0" w:line="28" w:lineRule="exact"/>
        <w:rPr>
          <w:sz w:val="20"/>
          <w:szCs w:val="20"/>
          <w:color w:val="auto"/>
        </w:rPr>
      </w:pPr>
    </w:p>
    <w:p>
      <w:pPr>
        <w:ind w:left="980"/>
        <w:spacing w:after="0"/>
        <w:rPr>
          <w:sz w:val="20"/>
          <w:szCs w:val="20"/>
          <w:color w:val="auto"/>
        </w:rPr>
      </w:pPr>
      <w:r>
        <w:rPr>
          <w:rFonts w:ascii="Arial" w:cs="Arial" w:eastAsia="Arial" w:hAnsi="Arial"/>
          <w:sz w:val="22"/>
          <w:szCs w:val="22"/>
          <w:b w:val="1"/>
          <w:bCs w:val="1"/>
          <w:color w:val="auto"/>
        </w:rPr>
        <w:t>Van Eck Associates Corporation</w:t>
      </w: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2. </w:t>
      </w:r>
      <w:r>
        <w:rPr>
          <w:rFonts w:ascii="Arial" w:cs="Arial" w:eastAsia="Arial" w:hAnsi="Arial"/>
          <w:sz w:val="22"/>
          <w:szCs w:val="22"/>
          <w:color w:val="auto"/>
        </w:rPr>
        <w:t>(b)Address of Principal Business Office or, if none, Residence</w:t>
      </w:r>
    </w:p>
    <w:p>
      <w:pPr>
        <w:spacing w:after="0" w:line="28" w:lineRule="exact"/>
        <w:rPr>
          <w:sz w:val="20"/>
          <w:szCs w:val="20"/>
          <w:color w:val="auto"/>
        </w:rPr>
      </w:pPr>
    </w:p>
    <w:p>
      <w:pPr>
        <w:ind w:left="980"/>
        <w:spacing w:after="0"/>
        <w:rPr>
          <w:sz w:val="20"/>
          <w:szCs w:val="20"/>
          <w:color w:val="auto"/>
        </w:rPr>
      </w:pPr>
      <w:r>
        <w:rPr>
          <w:rFonts w:ascii="Arial" w:cs="Arial" w:eastAsia="Arial" w:hAnsi="Arial"/>
          <w:sz w:val="22"/>
          <w:szCs w:val="22"/>
          <w:b w:val="1"/>
          <w:bCs w:val="1"/>
          <w:color w:val="auto"/>
        </w:rPr>
        <w:t>666 Third Ave - 9th Fl, New York, New York 10017</w:t>
      </w: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2. </w:t>
      </w:r>
      <w:r>
        <w:rPr>
          <w:rFonts w:ascii="Arial" w:cs="Arial" w:eastAsia="Arial" w:hAnsi="Arial"/>
          <w:sz w:val="22"/>
          <w:szCs w:val="22"/>
          <w:color w:val="auto"/>
        </w:rPr>
        <w:t>(c) Citizenship or Place of Organization:</w:t>
      </w:r>
    </w:p>
    <w:p>
      <w:pPr>
        <w:spacing w:after="0" w:line="28" w:lineRule="exact"/>
        <w:rPr>
          <w:sz w:val="20"/>
          <w:szCs w:val="20"/>
          <w:color w:val="auto"/>
        </w:rPr>
      </w:pPr>
    </w:p>
    <w:p>
      <w:pPr>
        <w:ind w:left="980"/>
        <w:spacing w:after="0"/>
        <w:rPr>
          <w:sz w:val="20"/>
          <w:szCs w:val="20"/>
          <w:color w:val="auto"/>
        </w:rPr>
      </w:pPr>
      <w:r>
        <w:rPr>
          <w:rFonts w:ascii="Arial" w:cs="Arial" w:eastAsia="Arial" w:hAnsi="Arial"/>
          <w:sz w:val="22"/>
          <w:szCs w:val="22"/>
          <w:b w:val="1"/>
          <w:bCs w:val="1"/>
          <w:color w:val="auto"/>
        </w:rPr>
        <w:t>Delaware</w:t>
      </w: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2. </w:t>
      </w:r>
      <w:r>
        <w:rPr>
          <w:rFonts w:ascii="Arial" w:cs="Arial" w:eastAsia="Arial" w:hAnsi="Arial"/>
          <w:sz w:val="22"/>
          <w:szCs w:val="22"/>
          <w:color w:val="auto"/>
        </w:rPr>
        <w:t>(d)Title of Class of Securities</w:t>
      </w:r>
    </w:p>
    <w:p>
      <w:pPr>
        <w:spacing w:after="0" w:line="28" w:lineRule="exact"/>
        <w:rPr>
          <w:sz w:val="20"/>
          <w:szCs w:val="20"/>
          <w:color w:val="auto"/>
        </w:rPr>
      </w:pPr>
    </w:p>
    <w:p>
      <w:pPr>
        <w:ind w:left="980"/>
        <w:spacing w:after="0"/>
        <w:rPr>
          <w:sz w:val="20"/>
          <w:szCs w:val="20"/>
          <w:color w:val="auto"/>
        </w:rPr>
      </w:pPr>
      <w:r>
        <w:rPr>
          <w:rFonts w:ascii="Arial" w:cs="Arial" w:eastAsia="Arial" w:hAnsi="Arial"/>
          <w:sz w:val="22"/>
          <w:szCs w:val="22"/>
          <w:b w:val="1"/>
          <w:bCs w:val="1"/>
          <w:color w:val="auto"/>
        </w:rPr>
        <w:t>Common Shares</w:t>
      </w:r>
    </w:p>
    <w:p>
      <w:pPr>
        <w:spacing w:after="0" w:line="223" w:lineRule="exact"/>
        <w:rPr>
          <w:sz w:val="20"/>
          <w:szCs w:val="20"/>
          <w:color w:val="auto"/>
        </w:rPr>
      </w:pPr>
    </w:p>
    <w:p>
      <w:pPr>
        <w:jc w:val="right"/>
        <w:ind w:right="8820"/>
        <w:spacing w:after="0"/>
        <w:rPr>
          <w:sz w:val="20"/>
          <w:szCs w:val="20"/>
          <w:color w:val="auto"/>
        </w:rPr>
      </w:pPr>
      <w:r>
        <w:rPr>
          <w:rFonts w:ascii="Arial" w:cs="Arial" w:eastAsia="Arial" w:hAnsi="Arial"/>
          <w:sz w:val="19"/>
          <w:szCs w:val="19"/>
          <w:b w:val="1"/>
          <w:bCs w:val="1"/>
          <w:color w:val="auto"/>
        </w:rPr>
        <w:t xml:space="preserve">Item 2. </w:t>
      </w:r>
      <w:r>
        <w:rPr>
          <w:rFonts w:ascii="Arial" w:cs="Arial" w:eastAsia="Arial" w:hAnsi="Arial"/>
          <w:sz w:val="19"/>
          <w:szCs w:val="19"/>
          <w:color w:val="auto"/>
        </w:rPr>
        <w:t>(e) CUSIP Number</w:t>
      </w:r>
    </w:p>
    <w:p>
      <w:pPr>
        <w:spacing w:after="0" w:line="62" w:lineRule="exact"/>
        <w:rPr>
          <w:sz w:val="20"/>
          <w:szCs w:val="20"/>
          <w:color w:val="auto"/>
        </w:rPr>
      </w:pPr>
    </w:p>
    <w:p>
      <w:pPr>
        <w:jc w:val="right"/>
        <w:ind w:right="8820"/>
        <w:spacing w:after="0"/>
        <w:rPr>
          <w:sz w:val="20"/>
          <w:szCs w:val="20"/>
          <w:color w:val="auto"/>
        </w:rPr>
      </w:pPr>
      <w:r>
        <w:rPr>
          <w:rFonts w:ascii="Arial" w:cs="Arial" w:eastAsia="Arial" w:hAnsi="Arial"/>
          <w:sz w:val="22"/>
          <w:szCs w:val="22"/>
          <w:b w:val="1"/>
          <w:bCs w:val="1"/>
          <w:color w:val="auto"/>
        </w:rPr>
        <w:t>Not Applicable</w:t>
      </w:r>
    </w:p>
    <w:p>
      <w:pPr>
        <w:spacing w:after="0" w:line="223" w:lineRule="exact"/>
        <w:rPr>
          <w:sz w:val="20"/>
          <w:szCs w:val="20"/>
          <w:color w:val="auto"/>
        </w:rPr>
      </w:pPr>
    </w:p>
    <w:p>
      <w:pPr>
        <w:spacing w:after="0"/>
        <w:tabs>
          <w:tab w:leader="none" w:pos="96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19"/>
          <w:szCs w:val="19"/>
          <w:b w:val="1"/>
          <w:bCs w:val="1"/>
          <w:color w:val="auto"/>
        </w:rPr>
        <w:t>If this statement is filed pursuant to Rule 13d-1(b) or 13d-2(b) or (c), check whether the person filing is a:</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400" w:type="dxa"/>
            <w:vAlign w:val="bottom"/>
          </w:tcPr>
          <w:p>
            <w:pPr>
              <w:spacing w:after="0"/>
              <w:rPr>
                <w:sz w:val="20"/>
                <w:szCs w:val="20"/>
                <w:color w:val="auto"/>
              </w:rPr>
            </w:pPr>
            <w:r>
              <w:rPr>
                <w:rFonts w:ascii="Arial" w:cs="Arial" w:eastAsia="Arial" w:hAnsi="Arial"/>
                <w:sz w:val="22"/>
                <w:szCs w:val="22"/>
                <w:color w:val="auto"/>
              </w:rPr>
              <w:t>(a)</w:t>
            </w:r>
          </w:p>
        </w:tc>
        <w:tc>
          <w:tcPr>
            <w:tcW w:w="300" w:type="dxa"/>
            <w:vAlign w:val="bottom"/>
          </w:tcPr>
          <w:p>
            <w:pPr>
              <w:jc w:val="right"/>
              <w:spacing w:after="0"/>
              <w:rPr>
                <w:sz w:val="20"/>
                <w:szCs w:val="20"/>
                <w:color w:val="auto"/>
              </w:rPr>
            </w:pPr>
            <w:r>
              <w:rPr>
                <w:rFonts w:ascii="Arial" w:cs="Arial" w:eastAsia="Arial" w:hAnsi="Arial"/>
                <w:sz w:val="22"/>
                <w:szCs w:val="22"/>
                <w:color w:val="auto"/>
              </w:rPr>
              <w:t>[</w:t>
            </w:r>
          </w:p>
        </w:tc>
        <w:tc>
          <w:tcPr>
            <w:tcW w:w="9520" w:type="dxa"/>
            <w:vAlign w:val="bottom"/>
            <w:gridSpan w:val="2"/>
          </w:tcPr>
          <w:p>
            <w:pPr>
              <w:ind w:left="80"/>
              <w:spacing w:after="0"/>
              <w:rPr>
                <w:sz w:val="20"/>
                <w:szCs w:val="20"/>
                <w:color w:val="auto"/>
              </w:rPr>
            </w:pPr>
            <w:r>
              <w:rPr>
                <w:rFonts w:ascii="Arial" w:cs="Arial" w:eastAsia="Arial" w:hAnsi="Arial"/>
                <w:sz w:val="22"/>
                <w:szCs w:val="22"/>
                <w:color w:val="auto"/>
              </w:rPr>
              <w:t>] Broker or dealer registered under section 15 of the Act (15 U.S.C. 78o).</w:t>
            </w:r>
          </w:p>
        </w:tc>
      </w:tr>
      <w:tr>
        <w:trPr>
          <w:trHeight w:val="486"/>
        </w:trPr>
        <w:tc>
          <w:tcPr>
            <w:tcW w:w="400" w:type="dxa"/>
            <w:vAlign w:val="bottom"/>
          </w:tcPr>
          <w:p>
            <w:pPr>
              <w:spacing w:after="0"/>
              <w:rPr>
                <w:sz w:val="20"/>
                <w:szCs w:val="20"/>
                <w:color w:val="auto"/>
              </w:rPr>
            </w:pPr>
            <w:r>
              <w:rPr>
                <w:rFonts w:ascii="Arial" w:cs="Arial" w:eastAsia="Arial" w:hAnsi="Arial"/>
                <w:sz w:val="22"/>
                <w:szCs w:val="22"/>
                <w:color w:val="auto"/>
              </w:rPr>
              <w:t>(b)</w:t>
            </w:r>
          </w:p>
        </w:tc>
        <w:tc>
          <w:tcPr>
            <w:tcW w:w="300" w:type="dxa"/>
            <w:vAlign w:val="bottom"/>
          </w:tcPr>
          <w:p>
            <w:pPr>
              <w:jc w:val="right"/>
              <w:spacing w:after="0"/>
              <w:rPr>
                <w:sz w:val="20"/>
                <w:szCs w:val="20"/>
                <w:color w:val="auto"/>
              </w:rPr>
            </w:pPr>
            <w:r>
              <w:rPr>
                <w:rFonts w:ascii="Arial" w:cs="Arial" w:eastAsia="Arial" w:hAnsi="Arial"/>
                <w:sz w:val="22"/>
                <w:szCs w:val="22"/>
                <w:color w:val="auto"/>
              </w:rPr>
              <w:t>[</w:t>
            </w:r>
          </w:p>
        </w:tc>
        <w:tc>
          <w:tcPr>
            <w:tcW w:w="9520" w:type="dxa"/>
            <w:vAlign w:val="bottom"/>
            <w:gridSpan w:val="2"/>
          </w:tcPr>
          <w:p>
            <w:pPr>
              <w:ind w:left="80"/>
              <w:spacing w:after="0"/>
              <w:rPr>
                <w:sz w:val="20"/>
                <w:szCs w:val="20"/>
                <w:color w:val="auto"/>
              </w:rPr>
            </w:pPr>
            <w:r>
              <w:rPr>
                <w:rFonts w:ascii="Arial" w:cs="Arial" w:eastAsia="Arial" w:hAnsi="Arial"/>
                <w:sz w:val="22"/>
                <w:szCs w:val="22"/>
                <w:color w:val="auto"/>
              </w:rPr>
              <w:t>] Bank as defined in section 3(a)(6) of the Act (15 U.S.C. 78c).</w:t>
            </w:r>
          </w:p>
        </w:tc>
      </w:tr>
      <w:tr>
        <w:trPr>
          <w:trHeight w:val="486"/>
        </w:trPr>
        <w:tc>
          <w:tcPr>
            <w:tcW w:w="400" w:type="dxa"/>
            <w:vAlign w:val="bottom"/>
          </w:tcPr>
          <w:p>
            <w:pPr>
              <w:spacing w:after="0"/>
              <w:rPr>
                <w:sz w:val="20"/>
                <w:szCs w:val="20"/>
                <w:color w:val="auto"/>
              </w:rPr>
            </w:pPr>
            <w:r>
              <w:rPr>
                <w:rFonts w:ascii="Arial" w:cs="Arial" w:eastAsia="Arial" w:hAnsi="Arial"/>
                <w:sz w:val="22"/>
                <w:szCs w:val="22"/>
                <w:color w:val="auto"/>
              </w:rPr>
              <w:t>(c)</w:t>
            </w:r>
          </w:p>
        </w:tc>
        <w:tc>
          <w:tcPr>
            <w:tcW w:w="300" w:type="dxa"/>
            <w:vAlign w:val="bottom"/>
          </w:tcPr>
          <w:p>
            <w:pPr>
              <w:jc w:val="right"/>
              <w:spacing w:after="0"/>
              <w:rPr>
                <w:sz w:val="20"/>
                <w:szCs w:val="20"/>
                <w:color w:val="auto"/>
              </w:rPr>
            </w:pPr>
            <w:r>
              <w:rPr>
                <w:rFonts w:ascii="Arial" w:cs="Arial" w:eastAsia="Arial" w:hAnsi="Arial"/>
                <w:sz w:val="22"/>
                <w:szCs w:val="22"/>
                <w:color w:val="auto"/>
              </w:rPr>
              <w:t>[</w:t>
            </w:r>
          </w:p>
        </w:tc>
        <w:tc>
          <w:tcPr>
            <w:tcW w:w="220" w:type="dxa"/>
            <w:vAlign w:val="bottom"/>
          </w:tcPr>
          <w:p>
            <w:pPr>
              <w:ind w:left="80"/>
              <w:spacing w:after="0"/>
              <w:rPr>
                <w:sz w:val="20"/>
                <w:szCs w:val="20"/>
                <w:color w:val="auto"/>
              </w:rPr>
            </w:pPr>
            <w:r>
              <w:rPr>
                <w:rFonts w:ascii="Arial" w:cs="Arial" w:eastAsia="Arial" w:hAnsi="Arial"/>
                <w:sz w:val="22"/>
                <w:szCs w:val="22"/>
                <w:color w:val="auto"/>
              </w:rPr>
              <w:t>]</w:t>
            </w:r>
          </w:p>
        </w:tc>
        <w:tc>
          <w:tcPr>
            <w:tcW w:w="9300" w:type="dxa"/>
            <w:vAlign w:val="bottom"/>
          </w:tcPr>
          <w:p>
            <w:pPr>
              <w:ind w:left="60"/>
              <w:spacing w:after="0"/>
              <w:rPr>
                <w:sz w:val="20"/>
                <w:szCs w:val="20"/>
                <w:color w:val="auto"/>
              </w:rPr>
            </w:pPr>
            <w:r>
              <w:rPr>
                <w:rFonts w:ascii="Arial" w:cs="Arial" w:eastAsia="Arial" w:hAnsi="Arial"/>
                <w:sz w:val="22"/>
                <w:szCs w:val="22"/>
                <w:color w:val="auto"/>
              </w:rPr>
              <w:t>Insurance company as defined in section 3(a)(19) of the Act (15 U.S.C. 78c).</w:t>
            </w:r>
          </w:p>
        </w:tc>
      </w:tr>
      <w:tr>
        <w:trPr>
          <w:trHeight w:val="486"/>
        </w:trPr>
        <w:tc>
          <w:tcPr>
            <w:tcW w:w="400" w:type="dxa"/>
            <w:vAlign w:val="bottom"/>
          </w:tcPr>
          <w:p>
            <w:pPr>
              <w:spacing w:after="0"/>
              <w:rPr>
                <w:sz w:val="20"/>
                <w:szCs w:val="20"/>
                <w:color w:val="auto"/>
              </w:rPr>
            </w:pPr>
            <w:r>
              <w:rPr>
                <w:rFonts w:ascii="Arial" w:cs="Arial" w:eastAsia="Arial" w:hAnsi="Arial"/>
                <w:sz w:val="22"/>
                <w:szCs w:val="22"/>
                <w:color w:val="auto"/>
              </w:rPr>
              <w:t>(d)</w:t>
            </w:r>
          </w:p>
        </w:tc>
        <w:tc>
          <w:tcPr>
            <w:tcW w:w="300" w:type="dxa"/>
            <w:vAlign w:val="bottom"/>
          </w:tcPr>
          <w:p>
            <w:pPr>
              <w:jc w:val="right"/>
              <w:spacing w:after="0"/>
              <w:rPr>
                <w:sz w:val="20"/>
                <w:szCs w:val="20"/>
                <w:color w:val="auto"/>
              </w:rPr>
            </w:pPr>
            <w:r>
              <w:rPr>
                <w:rFonts w:ascii="Arial" w:cs="Arial" w:eastAsia="Arial" w:hAnsi="Arial"/>
                <w:sz w:val="22"/>
                <w:szCs w:val="22"/>
                <w:color w:val="auto"/>
              </w:rPr>
              <w:t>[</w:t>
            </w:r>
          </w:p>
        </w:tc>
        <w:tc>
          <w:tcPr>
            <w:tcW w:w="220" w:type="dxa"/>
            <w:vAlign w:val="bottom"/>
          </w:tcPr>
          <w:p>
            <w:pPr>
              <w:ind w:left="80"/>
              <w:spacing w:after="0"/>
              <w:rPr>
                <w:sz w:val="20"/>
                <w:szCs w:val="20"/>
                <w:color w:val="auto"/>
              </w:rPr>
            </w:pPr>
            <w:r>
              <w:rPr>
                <w:rFonts w:ascii="Arial" w:cs="Arial" w:eastAsia="Arial" w:hAnsi="Arial"/>
                <w:sz w:val="22"/>
                <w:szCs w:val="22"/>
                <w:color w:val="auto"/>
              </w:rPr>
              <w:t>]</w:t>
            </w:r>
          </w:p>
        </w:tc>
        <w:tc>
          <w:tcPr>
            <w:tcW w:w="9300" w:type="dxa"/>
            <w:vAlign w:val="bottom"/>
          </w:tcPr>
          <w:p>
            <w:pPr>
              <w:ind w:left="60"/>
              <w:spacing w:after="0"/>
              <w:rPr>
                <w:sz w:val="20"/>
                <w:szCs w:val="20"/>
                <w:color w:val="auto"/>
              </w:rPr>
            </w:pPr>
            <w:r>
              <w:rPr>
                <w:rFonts w:ascii="Arial" w:cs="Arial" w:eastAsia="Arial" w:hAnsi="Arial"/>
                <w:sz w:val="22"/>
                <w:szCs w:val="22"/>
                <w:color w:val="auto"/>
                <w:w w:val="89"/>
              </w:rPr>
              <w:t>Investment company registered under section 8 of the Investment Company Act of 1940 (15 U.S.C 80a-8).</w:t>
            </w:r>
          </w:p>
        </w:tc>
      </w:tr>
    </w:tbl>
    <w:p>
      <w:pPr>
        <w:spacing w:after="0" w:line="212" w:lineRule="exact"/>
        <w:rPr>
          <w:sz w:val="20"/>
          <w:szCs w:val="20"/>
          <w:color w:val="auto"/>
        </w:rPr>
      </w:pPr>
    </w:p>
    <w:p>
      <w:pPr>
        <w:ind w:left="540" w:hanging="532"/>
        <w:spacing w:after="0"/>
        <w:tabs>
          <w:tab w:leader="none" w:pos="540" w:val="left"/>
        </w:tabs>
        <w:numPr>
          <w:ilvl w:val="0"/>
          <w:numId w:val="5"/>
        </w:numPr>
        <w:rPr>
          <w:rFonts w:ascii="Arial" w:cs="Arial" w:eastAsia="Arial" w:hAnsi="Arial"/>
          <w:sz w:val="22"/>
          <w:szCs w:val="22"/>
          <w:color w:val="auto"/>
        </w:rPr>
      </w:pPr>
      <w:r>
        <w:rPr>
          <w:rFonts w:ascii="Arial" w:cs="Arial" w:eastAsia="Arial" w:hAnsi="Arial"/>
          <w:sz w:val="22"/>
          <w:szCs w:val="22"/>
          <w:color w:val="auto"/>
        </w:rPr>
        <w:t>[X] An investment adviser in accordance with Rule 13d-1(b)(1)(ii)(E);</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400" w:type="dxa"/>
            <w:vAlign w:val="bottom"/>
          </w:tcPr>
          <w:p>
            <w:pPr>
              <w:spacing w:after="0"/>
              <w:rPr>
                <w:sz w:val="20"/>
                <w:szCs w:val="20"/>
                <w:color w:val="auto"/>
              </w:rPr>
            </w:pPr>
            <w:r>
              <w:rPr>
                <w:rFonts w:ascii="Arial" w:cs="Arial" w:eastAsia="Arial" w:hAnsi="Arial"/>
                <w:sz w:val="22"/>
                <w:szCs w:val="22"/>
                <w:color w:val="auto"/>
              </w:rPr>
              <w:t>(f)</w:t>
            </w:r>
          </w:p>
        </w:tc>
        <w:tc>
          <w:tcPr>
            <w:tcW w:w="300" w:type="dxa"/>
            <w:vAlign w:val="bottom"/>
          </w:tcPr>
          <w:p>
            <w:pPr>
              <w:jc w:val="right"/>
              <w:spacing w:after="0"/>
              <w:rPr>
                <w:sz w:val="20"/>
                <w:szCs w:val="20"/>
                <w:color w:val="auto"/>
              </w:rPr>
            </w:pPr>
            <w:r>
              <w:rPr>
                <w:rFonts w:ascii="Arial" w:cs="Arial" w:eastAsia="Arial" w:hAnsi="Arial"/>
                <w:sz w:val="22"/>
                <w:szCs w:val="22"/>
                <w:color w:val="auto"/>
              </w:rPr>
              <w:t>[</w:t>
            </w:r>
          </w:p>
        </w:tc>
        <w:tc>
          <w:tcPr>
            <w:tcW w:w="10480" w:type="dxa"/>
            <w:vAlign w:val="bottom"/>
            <w:gridSpan w:val="2"/>
          </w:tcPr>
          <w:p>
            <w:pPr>
              <w:ind w:left="80"/>
              <w:spacing w:after="0"/>
              <w:rPr>
                <w:sz w:val="20"/>
                <w:szCs w:val="20"/>
                <w:color w:val="auto"/>
              </w:rPr>
            </w:pPr>
            <w:r>
              <w:rPr>
                <w:rFonts w:ascii="Arial" w:cs="Arial" w:eastAsia="Arial" w:hAnsi="Arial"/>
                <w:sz w:val="22"/>
                <w:szCs w:val="22"/>
                <w:color w:val="auto"/>
              </w:rPr>
              <w:t>] An employee benefit plan or endowment fund in accordance with Rule 13d-1(b)(1)(ii)(F);</w:t>
            </w:r>
          </w:p>
        </w:tc>
      </w:tr>
      <w:tr>
        <w:trPr>
          <w:trHeight w:val="486"/>
        </w:trPr>
        <w:tc>
          <w:tcPr>
            <w:tcW w:w="400" w:type="dxa"/>
            <w:vAlign w:val="bottom"/>
          </w:tcPr>
          <w:p>
            <w:pPr>
              <w:spacing w:after="0"/>
              <w:rPr>
                <w:sz w:val="20"/>
                <w:szCs w:val="20"/>
                <w:color w:val="auto"/>
              </w:rPr>
            </w:pPr>
            <w:r>
              <w:rPr>
                <w:rFonts w:ascii="Arial" w:cs="Arial" w:eastAsia="Arial" w:hAnsi="Arial"/>
                <w:sz w:val="22"/>
                <w:szCs w:val="22"/>
                <w:color w:val="auto"/>
              </w:rPr>
              <w:t>(g)</w:t>
            </w:r>
          </w:p>
        </w:tc>
        <w:tc>
          <w:tcPr>
            <w:tcW w:w="300" w:type="dxa"/>
            <w:vAlign w:val="bottom"/>
          </w:tcPr>
          <w:p>
            <w:pPr>
              <w:jc w:val="right"/>
              <w:spacing w:after="0"/>
              <w:rPr>
                <w:sz w:val="20"/>
                <w:szCs w:val="20"/>
                <w:color w:val="auto"/>
              </w:rPr>
            </w:pPr>
            <w:r>
              <w:rPr>
                <w:rFonts w:ascii="Arial" w:cs="Arial" w:eastAsia="Arial" w:hAnsi="Arial"/>
                <w:sz w:val="22"/>
                <w:szCs w:val="22"/>
                <w:color w:val="auto"/>
              </w:rPr>
              <w:t>[</w:t>
            </w:r>
          </w:p>
        </w:tc>
        <w:tc>
          <w:tcPr>
            <w:tcW w:w="10480" w:type="dxa"/>
            <w:vAlign w:val="bottom"/>
            <w:gridSpan w:val="2"/>
          </w:tcPr>
          <w:p>
            <w:pPr>
              <w:ind w:left="80"/>
              <w:spacing w:after="0"/>
              <w:rPr>
                <w:sz w:val="20"/>
                <w:szCs w:val="20"/>
                <w:color w:val="auto"/>
              </w:rPr>
            </w:pPr>
            <w:r>
              <w:rPr>
                <w:rFonts w:ascii="Arial" w:cs="Arial" w:eastAsia="Arial" w:hAnsi="Arial"/>
                <w:sz w:val="22"/>
                <w:szCs w:val="22"/>
                <w:color w:val="auto"/>
              </w:rPr>
              <w:t>] A parent holding company or control person in accordance with Rule 13d-1(b)(1)(ii)(G);</w:t>
            </w:r>
          </w:p>
        </w:tc>
      </w:tr>
      <w:tr>
        <w:trPr>
          <w:trHeight w:val="486"/>
        </w:trPr>
        <w:tc>
          <w:tcPr>
            <w:tcW w:w="400" w:type="dxa"/>
            <w:vAlign w:val="bottom"/>
          </w:tcPr>
          <w:p>
            <w:pPr>
              <w:spacing w:after="0"/>
              <w:rPr>
                <w:sz w:val="20"/>
                <w:szCs w:val="20"/>
                <w:color w:val="auto"/>
              </w:rPr>
            </w:pPr>
            <w:r>
              <w:rPr>
                <w:rFonts w:ascii="Arial" w:cs="Arial" w:eastAsia="Arial" w:hAnsi="Arial"/>
                <w:sz w:val="22"/>
                <w:szCs w:val="22"/>
                <w:color w:val="auto"/>
              </w:rPr>
              <w:t>(h)</w:t>
            </w:r>
          </w:p>
        </w:tc>
        <w:tc>
          <w:tcPr>
            <w:tcW w:w="300" w:type="dxa"/>
            <w:vAlign w:val="bottom"/>
          </w:tcPr>
          <w:p>
            <w:pPr>
              <w:jc w:val="right"/>
              <w:spacing w:after="0"/>
              <w:rPr>
                <w:sz w:val="20"/>
                <w:szCs w:val="20"/>
                <w:color w:val="auto"/>
              </w:rPr>
            </w:pPr>
            <w:r>
              <w:rPr>
                <w:rFonts w:ascii="Arial" w:cs="Arial" w:eastAsia="Arial" w:hAnsi="Arial"/>
                <w:sz w:val="22"/>
                <w:szCs w:val="22"/>
                <w:color w:val="auto"/>
              </w:rPr>
              <w:t>[</w:t>
            </w:r>
          </w:p>
        </w:tc>
        <w:tc>
          <w:tcPr>
            <w:tcW w:w="220" w:type="dxa"/>
            <w:vAlign w:val="bottom"/>
          </w:tcPr>
          <w:p>
            <w:pPr>
              <w:ind w:left="80"/>
              <w:spacing w:after="0"/>
              <w:rPr>
                <w:sz w:val="20"/>
                <w:szCs w:val="20"/>
                <w:color w:val="auto"/>
              </w:rPr>
            </w:pPr>
            <w:r>
              <w:rPr>
                <w:rFonts w:ascii="Arial" w:cs="Arial" w:eastAsia="Arial" w:hAnsi="Arial"/>
                <w:sz w:val="22"/>
                <w:szCs w:val="22"/>
                <w:color w:val="auto"/>
              </w:rPr>
              <w:t>]</w:t>
            </w:r>
          </w:p>
        </w:tc>
        <w:tc>
          <w:tcPr>
            <w:tcW w:w="10260" w:type="dxa"/>
            <w:vAlign w:val="bottom"/>
          </w:tcPr>
          <w:p>
            <w:pPr>
              <w:ind w:left="60"/>
              <w:spacing w:after="0"/>
              <w:rPr>
                <w:sz w:val="20"/>
                <w:szCs w:val="20"/>
                <w:color w:val="auto"/>
              </w:rPr>
            </w:pPr>
            <w:r>
              <w:rPr>
                <w:rFonts w:ascii="Arial" w:cs="Arial" w:eastAsia="Arial" w:hAnsi="Arial"/>
                <w:sz w:val="22"/>
                <w:szCs w:val="22"/>
                <w:color w:val="auto"/>
                <w:w w:val="99"/>
              </w:rPr>
              <w:t>A savings associations as defined in Section 3(b) of the Federal Deposit Insurance Act (12 U.S.C. 1813);</w:t>
            </w:r>
          </w:p>
        </w:tc>
      </w:tr>
      <w:tr>
        <w:trPr>
          <w:trHeight w:val="482"/>
        </w:trPr>
        <w:tc>
          <w:tcPr>
            <w:tcW w:w="400" w:type="dxa"/>
            <w:vAlign w:val="bottom"/>
          </w:tcPr>
          <w:p>
            <w:pPr>
              <w:spacing w:after="0"/>
              <w:rPr>
                <w:sz w:val="20"/>
                <w:szCs w:val="20"/>
                <w:color w:val="auto"/>
              </w:rPr>
            </w:pPr>
            <w:r>
              <w:rPr>
                <w:rFonts w:ascii="Arial" w:cs="Arial" w:eastAsia="Arial" w:hAnsi="Arial"/>
                <w:sz w:val="22"/>
                <w:szCs w:val="22"/>
                <w:color w:val="auto"/>
              </w:rPr>
              <w:t>(i)</w:t>
            </w:r>
          </w:p>
        </w:tc>
        <w:tc>
          <w:tcPr>
            <w:tcW w:w="300" w:type="dxa"/>
            <w:vAlign w:val="bottom"/>
          </w:tcPr>
          <w:p>
            <w:pPr>
              <w:jc w:val="right"/>
              <w:spacing w:after="0"/>
              <w:rPr>
                <w:sz w:val="20"/>
                <w:szCs w:val="20"/>
                <w:color w:val="auto"/>
              </w:rPr>
            </w:pPr>
            <w:r>
              <w:rPr>
                <w:rFonts w:ascii="Arial" w:cs="Arial" w:eastAsia="Arial" w:hAnsi="Arial"/>
                <w:sz w:val="22"/>
                <w:szCs w:val="22"/>
                <w:color w:val="auto"/>
              </w:rPr>
              <w:t>[</w:t>
            </w:r>
          </w:p>
        </w:tc>
        <w:tc>
          <w:tcPr>
            <w:tcW w:w="220" w:type="dxa"/>
            <w:vAlign w:val="bottom"/>
          </w:tcPr>
          <w:p>
            <w:pPr>
              <w:ind w:left="80"/>
              <w:spacing w:after="0"/>
              <w:rPr>
                <w:sz w:val="20"/>
                <w:szCs w:val="20"/>
                <w:color w:val="auto"/>
              </w:rPr>
            </w:pPr>
            <w:r>
              <w:rPr>
                <w:rFonts w:ascii="Arial" w:cs="Arial" w:eastAsia="Arial" w:hAnsi="Arial"/>
                <w:sz w:val="22"/>
                <w:szCs w:val="22"/>
                <w:color w:val="auto"/>
              </w:rPr>
              <w:t>]</w:t>
            </w:r>
          </w:p>
        </w:tc>
        <w:tc>
          <w:tcPr>
            <w:tcW w:w="10260" w:type="dxa"/>
            <w:vAlign w:val="bottom"/>
          </w:tcPr>
          <w:p>
            <w:pPr>
              <w:ind w:left="60"/>
              <w:spacing w:after="0"/>
              <w:rPr>
                <w:sz w:val="20"/>
                <w:szCs w:val="20"/>
                <w:color w:val="auto"/>
              </w:rPr>
            </w:pPr>
            <w:r>
              <w:rPr>
                <w:rFonts w:ascii="Arial" w:cs="Arial" w:eastAsia="Arial" w:hAnsi="Arial"/>
                <w:sz w:val="22"/>
                <w:szCs w:val="22"/>
                <w:color w:val="auto"/>
                <w:w w:val="89"/>
              </w:rPr>
              <w:t>A church plan that is excluded from the definition of an investment company under section 3(c)(14) of the Investment</w:t>
            </w:r>
          </w:p>
        </w:tc>
      </w:tr>
      <w:tr>
        <w:trPr>
          <w:trHeight w:val="275"/>
        </w:trPr>
        <w:tc>
          <w:tcPr>
            <w:tcW w:w="4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60" w:type="dxa"/>
            <w:vAlign w:val="bottom"/>
          </w:tcPr>
          <w:p>
            <w:pPr>
              <w:ind w:left="60"/>
              <w:spacing w:after="0"/>
              <w:rPr>
                <w:sz w:val="20"/>
                <w:szCs w:val="20"/>
                <w:color w:val="auto"/>
              </w:rPr>
            </w:pPr>
            <w:r>
              <w:rPr>
                <w:rFonts w:ascii="Arial" w:cs="Arial" w:eastAsia="Arial" w:hAnsi="Arial"/>
                <w:sz w:val="22"/>
                <w:szCs w:val="22"/>
                <w:color w:val="auto"/>
              </w:rPr>
              <w:t>Company Act of 1940 (15 U.S.C. 80a-3);</w:t>
            </w:r>
          </w:p>
        </w:tc>
      </w:tr>
    </w:tbl>
    <w:p>
      <w:pPr>
        <w:spacing w:after="0" w:line="212" w:lineRule="exact"/>
        <w:rPr>
          <w:sz w:val="20"/>
          <w:szCs w:val="20"/>
          <w:color w:val="auto"/>
        </w:rPr>
      </w:pPr>
    </w:p>
    <w:p>
      <w:pPr>
        <w:ind w:left="540" w:hanging="532"/>
        <w:spacing w:after="0"/>
        <w:tabs>
          <w:tab w:leader="none" w:pos="540" w:val="left"/>
        </w:tabs>
        <w:numPr>
          <w:ilvl w:val="0"/>
          <w:numId w:val="6"/>
        </w:numPr>
        <w:rPr>
          <w:rFonts w:ascii="Arial" w:cs="Arial" w:eastAsia="Arial" w:hAnsi="Arial"/>
          <w:sz w:val="22"/>
          <w:szCs w:val="22"/>
          <w:color w:val="auto"/>
        </w:rPr>
      </w:pPr>
      <w:r>
        <w:rPr>
          <w:rFonts w:ascii="Arial" w:cs="Arial" w:eastAsia="Arial" w:hAnsi="Arial"/>
          <w:sz w:val="22"/>
          <w:szCs w:val="22"/>
          <w:color w:val="auto"/>
        </w:rPr>
        <w:t>[  ] Group, in accordance with Rule 13d-1(b)(1)(ii)(J).</w:t>
      </w:r>
    </w:p>
    <w:p>
      <w:pPr>
        <w:spacing w:after="0" w:line="233" w:lineRule="exact"/>
        <w:rPr>
          <w:sz w:val="20"/>
          <w:szCs w:val="20"/>
          <w:color w:val="auto"/>
        </w:rPr>
      </w:pPr>
    </w:p>
    <w:p>
      <w:pPr>
        <w:jc w:val="center"/>
        <w:ind w:right="-199"/>
        <w:spacing w:after="0"/>
        <w:rPr>
          <w:sz w:val="20"/>
          <w:szCs w:val="20"/>
          <w:color w:val="auto"/>
        </w:rPr>
      </w:pPr>
      <w:r>
        <w:rPr>
          <w:rFonts w:ascii="Arial" w:cs="Arial" w:eastAsia="Arial" w:hAnsi="Arial"/>
          <w:sz w:val="22"/>
          <w:szCs w:val="22"/>
          <w:color w:val="auto"/>
        </w:rPr>
        <w:t>Page 3 of 5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107950</wp:posOffset>
            </wp:positionV>
            <wp:extent cx="7250430" cy="450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451485</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68" w:right="479" w:bottom="1440" w:gutter="0" w:footer="0" w:header="0"/>
        </w:sectPr>
      </w:pPr>
    </w:p>
    <w:bookmarkStart w:id="3" w:name="page4"/>
    <w:bookmarkEnd w:id="3"/>
    <w:p>
      <w:pPr>
        <w:spacing w:after="0"/>
        <w:tabs>
          <w:tab w:leader="none" w:pos="880" w:val="left"/>
        </w:tabs>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67575"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1590"/>
                    </a:xfrm>
                    <a:prstGeom prst="rect">
                      <a:avLst/>
                    </a:prstGeom>
                    <a:noFill/>
                  </pic:spPr>
                </pic:pic>
              </a:graphicData>
            </a:graphic>
          </wp:anchor>
        </w:drawing>
        <w:t>Item 4.</w:t>
      </w:r>
      <w:r>
        <w:rPr>
          <w:sz w:val="20"/>
          <w:szCs w:val="20"/>
          <w:color w:val="auto"/>
        </w:rPr>
        <w:tab/>
      </w:r>
      <w:r>
        <w:rPr>
          <w:rFonts w:ascii="Arial" w:cs="Arial" w:eastAsia="Arial" w:hAnsi="Arial"/>
          <w:sz w:val="19"/>
          <w:szCs w:val="19"/>
          <w:b w:val="1"/>
          <w:bCs w:val="1"/>
          <w:color w:val="auto"/>
        </w:rPr>
        <w:t>Ownership.</w:t>
      </w:r>
    </w:p>
    <w:p>
      <w:pPr>
        <w:spacing w:after="0" w:line="223" w:lineRule="exact"/>
        <w:rPr>
          <w:sz w:val="20"/>
          <w:szCs w:val="20"/>
          <w:color w:val="auto"/>
        </w:rPr>
      </w:pPr>
    </w:p>
    <w:p>
      <w:pPr>
        <w:ind w:left="1400" w:hanging="501"/>
        <w:spacing w:after="0"/>
        <w:tabs>
          <w:tab w:leader="none" w:pos="1400" w:val="left"/>
        </w:tabs>
        <w:numPr>
          <w:ilvl w:val="0"/>
          <w:numId w:val="7"/>
        </w:numPr>
        <w:rPr>
          <w:rFonts w:ascii="Arial" w:cs="Arial" w:eastAsia="Arial" w:hAnsi="Arial"/>
          <w:sz w:val="37"/>
          <w:szCs w:val="37"/>
          <w:color w:val="auto"/>
          <w:vertAlign w:val="superscript"/>
        </w:rPr>
      </w:pPr>
      <w:r>
        <w:rPr>
          <w:rFonts w:ascii="Arial" w:cs="Arial" w:eastAsia="Arial" w:hAnsi="Arial"/>
          <w:sz w:val="19"/>
          <w:szCs w:val="19"/>
          <w:color w:val="auto"/>
        </w:rPr>
        <w:t xml:space="preserve">Amount beneficially owned: </w:t>
      </w:r>
      <w:r>
        <w:rPr>
          <w:rFonts w:ascii="Arial" w:cs="Arial" w:eastAsia="Arial" w:hAnsi="Arial"/>
          <w:sz w:val="19"/>
          <w:szCs w:val="19"/>
          <w:b w:val="1"/>
          <w:bCs w:val="1"/>
          <w:color w:val="auto"/>
        </w:rPr>
        <w:t>0 common shares</w:t>
      </w:r>
    </w:p>
    <w:p>
      <w:pPr>
        <w:spacing w:after="0" w:line="261" w:lineRule="exact"/>
        <w:rPr>
          <w:rFonts w:ascii="Arial" w:cs="Arial" w:eastAsia="Arial" w:hAnsi="Arial"/>
          <w:sz w:val="37"/>
          <w:szCs w:val="37"/>
          <w:color w:val="auto"/>
          <w:vertAlign w:val="superscript"/>
        </w:rPr>
      </w:pPr>
    </w:p>
    <w:p>
      <w:pPr>
        <w:ind w:left="1400" w:hanging="501"/>
        <w:spacing w:after="0"/>
        <w:tabs>
          <w:tab w:leader="none" w:pos="1400" w:val="left"/>
        </w:tabs>
        <w:numPr>
          <w:ilvl w:val="0"/>
          <w:numId w:val="7"/>
        </w:numPr>
        <w:rPr>
          <w:rFonts w:ascii="Arial" w:cs="Arial" w:eastAsia="Arial" w:hAnsi="Arial"/>
          <w:sz w:val="43"/>
          <w:szCs w:val="43"/>
          <w:color w:val="auto"/>
          <w:vertAlign w:val="superscript"/>
        </w:rPr>
      </w:pPr>
      <w:r>
        <w:rPr>
          <w:rFonts w:ascii="Arial" w:cs="Arial" w:eastAsia="Arial" w:hAnsi="Arial"/>
          <w:sz w:val="22"/>
          <w:szCs w:val="22"/>
          <w:color w:val="auto"/>
        </w:rPr>
        <w:t xml:space="preserve">Percent of class: </w:t>
      </w:r>
      <w:r>
        <w:rPr>
          <w:rFonts w:ascii="Arial" w:cs="Arial" w:eastAsia="Arial" w:hAnsi="Arial"/>
          <w:sz w:val="22"/>
          <w:szCs w:val="22"/>
          <w:b w:val="1"/>
          <w:bCs w:val="1"/>
          <w:color w:val="auto"/>
        </w:rPr>
        <w:t>0.00%</w:t>
      </w:r>
    </w:p>
    <w:p>
      <w:pPr>
        <w:spacing w:after="0" w:line="307" w:lineRule="exact"/>
        <w:rPr>
          <w:rFonts w:ascii="Arial" w:cs="Arial" w:eastAsia="Arial" w:hAnsi="Arial"/>
          <w:sz w:val="43"/>
          <w:szCs w:val="43"/>
          <w:color w:val="auto"/>
          <w:vertAlign w:val="superscript"/>
        </w:rPr>
      </w:pPr>
    </w:p>
    <w:p>
      <w:pPr>
        <w:ind w:left="1400" w:hanging="501"/>
        <w:spacing w:after="0"/>
        <w:tabs>
          <w:tab w:leader="none" w:pos="1400" w:val="left"/>
        </w:tabs>
        <w:numPr>
          <w:ilvl w:val="0"/>
          <w:numId w:val="7"/>
        </w:numPr>
        <w:rPr>
          <w:rFonts w:ascii="Arial" w:cs="Arial" w:eastAsia="Arial" w:hAnsi="Arial"/>
          <w:sz w:val="39"/>
          <w:szCs w:val="39"/>
          <w:color w:val="auto"/>
          <w:vertAlign w:val="superscript"/>
        </w:rPr>
      </w:pPr>
      <w:r>
        <w:rPr>
          <w:rFonts w:ascii="Arial" w:cs="Arial" w:eastAsia="Arial" w:hAnsi="Arial"/>
          <w:sz w:val="20"/>
          <w:szCs w:val="20"/>
          <w:color w:val="auto"/>
        </w:rPr>
        <w:t>Number of shares as to which the person has:</w:t>
      </w:r>
    </w:p>
    <w:p>
      <w:pPr>
        <w:sectPr>
          <w:pgSz w:w="11900" w:h="16838" w:orient="portrait"/>
          <w:cols w:equalWidth="0" w:num="1">
            <w:col w:w="11400"/>
          </w:cols>
          <w:pgMar w:left="240" w:top="855" w:right="259" w:bottom="1440" w:gutter="0" w:footer="0" w:header="0"/>
        </w:sectPr>
      </w:pPr>
    </w:p>
    <w:p>
      <w:pPr>
        <w:spacing w:after="0" w:line="347" w:lineRule="exact"/>
        <w:rPr>
          <w:sz w:val="20"/>
          <w:szCs w:val="20"/>
          <w:color w:val="auto"/>
        </w:rPr>
      </w:pPr>
    </w:p>
    <w:p>
      <w:pPr>
        <w:ind w:left="1900"/>
        <w:spacing w:after="0"/>
        <w:tabs>
          <w:tab w:leader="none" w:pos="2520" w:val="left"/>
        </w:tabs>
        <w:rPr>
          <w:sz w:val="20"/>
          <w:szCs w:val="20"/>
          <w:color w:val="auto"/>
        </w:rPr>
      </w:pPr>
      <w:r>
        <w:rPr>
          <w:rFonts w:ascii="Arial" w:cs="Arial" w:eastAsia="Arial" w:hAnsi="Arial"/>
          <w:sz w:val="19"/>
          <w:szCs w:val="19"/>
          <w:color w:val="auto"/>
        </w:rPr>
        <w:t>(i)</w:t>
      </w:r>
      <w:r>
        <w:rPr>
          <w:sz w:val="20"/>
          <w:szCs w:val="20"/>
          <w:color w:val="auto"/>
        </w:rPr>
        <w:tab/>
      </w:r>
      <w:r>
        <w:rPr>
          <w:rFonts w:ascii="Arial" w:cs="Arial" w:eastAsia="Arial" w:hAnsi="Arial"/>
          <w:sz w:val="19"/>
          <w:szCs w:val="19"/>
          <w:color w:val="auto"/>
        </w:rPr>
        <w:t>Sole power to vote or to direct the vote</w:t>
      </w:r>
    </w:p>
    <w:p>
      <w:pPr>
        <w:spacing w:after="0" w:line="20" w:lineRule="exact"/>
        <w:rPr>
          <w:sz w:val="20"/>
          <w:szCs w:val="20"/>
          <w:color w:val="auto"/>
        </w:rPr>
      </w:pPr>
      <w:r>
        <w:rPr>
          <w:sz w:val="20"/>
          <w:szCs w:val="20"/>
          <w:color w:val="auto"/>
        </w:rPr>
        <w:br w:type="column"/>
      </w: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0 common shares</w:t>
      </w:r>
    </w:p>
    <w:p>
      <w:pPr>
        <w:spacing w:after="0" w:line="217" w:lineRule="exact"/>
        <w:rPr>
          <w:sz w:val="20"/>
          <w:szCs w:val="20"/>
          <w:color w:val="auto"/>
        </w:rPr>
      </w:pPr>
    </w:p>
    <w:p>
      <w:pPr>
        <w:sectPr>
          <w:pgSz w:w="11900" w:h="16838" w:orient="portrait"/>
          <w:cols w:equalWidth="0" w:num="2">
            <w:col w:w="5900" w:space="340"/>
            <w:col w:w="5160"/>
          </w:cols>
          <w:pgMar w:left="240" w:top="855" w:right="259" w:bottom="1440" w:gutter="0" w:footer="0" w:header="0"/>
          <w:type w:val="continuous"/>
        </w:sectPr>
      </w:pPr>
    </w:p>
    <w:p>
      <w:pPr>
        <w:spacing w:after="0" w:line="68" w:lineRule="exact"/>
        <w:rPr>
          <w:sz w:val="20"/>
          <w:szCs w:val="20"/>
          <w:color w:val="auto"/>
        </w:rPr>
      </w:pPr>
    </w:p>
    <w:p>
      <w:pPr>
        <w:ind w:left="1900"/>
        <w:spacing w:after="0"/>
        <w:tabs>
          <w:tab w:leader="none" w:pos="2520" w:val="left"/>
        </w:tabs>
        <w:rPr>
          <w:sz w:val="20"/>
          <w:szCs w:val="20"/>
          <w:color w:val="auto"/>
        </w:rPr>
      </w:pPr>
      <w:r>
        <w:rPr>
          <w:rFonts w:ascii="Arial" w:cs="Arial" w:eastAsia="Arial" w:hAnsi="Arial"/>
          <w:sz w:val="19"/>
          <w:szCs w:val="19"/>
          <w:color w:val="auto"/>
        </w:rPr>
        <w:t>(ii)</w:t>
      </w:r>
      <w:r>
        <w:rPr>
          <w:sz w:val="20"/>
          <w:szCs w:val="20"/>
          <w:color w:val="auto"/>
        </w:rPr>
        <w:tab/>
      </w:r>
      <w:r>
        <w:rPr>
          <w:rFonts w:ascii="Arial" w:cs="Arial" w:eastAsia="Arial" w:hAnsi="Arial"/>
          <w:sz w:val="19"/>
          <w:szCs w:val="19"/>
          <w:color w:val="auto"/>
        </w:rPr>
        <w:t>Shared power to vote or to direct the vote</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None</w:t>
      </w:r>
    </w:p>
    <w:p>
      <w:pPr>
        <w:spacing w:after="0" w:line="205" w:lineRule="exact"/>
        <w:rPr>
          <w:sz w:val="20"/>
          <w:szCs w:val="20"/>
          <w:color w:val="auto"/>
        </w:rPr>
      </w:pPr>
    </w:p>
    <w:p>
      <w:pPr>
        <w:sectPr>
          <w:pgSz w:w="11900" w:h="16838" w:orient="portrait"/>
          <w:cols w:equalWidth="0" w:num="2">
            <w:col w:w="6120" w:space="320"/>
            <w:col w:w="4960"/>
          </w:cols>
          <w:pgMar w:left="240" w:top="855" w:right="259" w:bottom="1440" w:gutter="0" w:footer="0" w:header="0"/>
          <w:type w:val="continuous"/>
        </w:sectPr>
      </w:pPr>
    </w:p>
    <w:p>
      <w:pPr>
        <w:spacing w:after="0" w:line="62" w:lineRule="exact"/>
        <w:rPr>
          <w:sz w:val="20"/>
          <w:szCs w:val="20"/>
          <w:color w:val="auto"/>
        </w:rPr>
      </w:pPr>
    </w:p>
    <w:p>
      <w:pPr>
        <w:ind w:left="2540" w:hanging="641"/>
        <w:spacing w:after="0"/>
        <w:tabs>
          <w:tab w:leader="none" w:pos="2540" w:val="left"/>
        </w:tabs>
        <w:numPr>
          <w:ilvl w:val="0"/>
          <w:numId w:val="8"/>
        </w:numPr>
        <w:rPr>
          <w:rFonts w:ascii="Arial" w:cs="Arial" w:eastAsia="Arial" w:hAnsi="Arial"/>
          <w:sz w:val="22"/>
          <w:szCs w:val="22"/>
          <w:color w:val="auto"/>
        </w:rPr>
      </w:pPr>
      <w:r>
        <w:rPr>
          <w:rFonts w:ascii="Arial" w:cs="Arial" w:eastAsia="Arial" w:hAnsi="Arial"/>
          <w:sz w:val="22"/>
          <w:szCs w:val="22"/>
          <w:color w:val="auto"/>
        </w:rPr>
        <w:t xml:space="preserve">Sole power to dispose or to direct the disposition of </w:t>
      </w:r>
      <w:r>
        <w:rPr>
          <w:rFonts w:ascii="Arial" w:cs="Arial" w:eastAsia="Arial" w:hAnsi="Arial"/>
          <w:sz w:val="22"/>
          <w:szCs w:val="22"/>
          <w:b w:val="1"/>
          <w:bCs w:val="1"/>
          <w:color w:val="auto"/>
        </w:rPr>
        <w:t>0 common shares</w:t>
      </w:r>
    </w:p>
    <w:p>
      <w:pPr>
        <w:spacing w:after="0" w:line="233" w:lineRule="exact"/>
        <w:rPr>
          <w:sz w:val="20"/>
          <w:szCs w:val="20"/>
          <w:color w:val="auto"/>
        </w:rPr>
      </w:pPr>
    </w:p>
    <w:p>
      <w:pPr>
        <w:ind w:left="1900"/>
        <w:spacing w:after="0"/>
        <w:tabs>
          <w:tab w:leader="none" w:pos="2520" w:val="left"/>
          <w:tab w:leader="none" w:pos="7520" w:val="left"/>
        </w:tabs>
        <w:rPr>
          <w:sz w:val="20"/>
          <w:szCs w:val="20"/>
          <w:color w:val="auto"/>
        </w:rPr>
      </w:pPr>
      <w:r>
        <w:rPr>
          <w:rFonts w:ascii="Arial" w:cs="Arial" w:eastAsia="Arial" w:hAnsi="Arial"/>
          <w:sz w:val="22"/>
          <w:szCs w:val="22"/>
          <w:color w:val="auto"/>
        </w:rPr>
        <w:t>(iv)</w:t>
      </w:r>
      <w:r>
        <w:rPr>
          <w:sz w:val="20"/>
          <w:szCs w:val="20"/>
          <w:color w:val="auto"/>
        </w:rPr>
        <w:tab/>
      </w:r>
      <w:r>
        <w:rPr>
          <w:rFonts w:ascii="Arial" w:cs="Arial" w:eastAsia="Arial" w:hAnsi="Arial"/>
          <w:sz w:val="22"/>
          <w:szCs w:val="22"/>
          <w:color w:val="auto"/>
        </w:rPr>
        <w:t>Shared power to dispose or to direct the disposition of</w:t>
      </w:r>
      <w:r>
        <w:rPr>
          <w:sz w:val="20"/>
          <w:szCs w:val="20"/>
          <w:color w:val="auto"/>
        </w:rPr>
        <w:tab/>
      </w:r>
      <w:r>
        <w:rPr>
          <w:rFonts w:ascii="Arial" w:cs="Arial" w:eastAsia="Arial" w:hAnsi="Arial"/>
          <w:sz w:val="19"/>
          <w:szCs w:val="19"/>
          <w:b w:val="1"/>
          <w:bCs w:val="1"/>
          <w:color w:val="auto"/>
        </w:rPr>
        <w:t>None</w:t>
      </w:r>
    </w:p>
    <w:p>
      <w:pPr>
        <w:spacing w:after="0" w:line="233" w:lineRule="exact"/>
        <w:rPr>
          <w:sz w:val="20"/>
          <w:szCs w:val="20"/>
          <w:color w:val="auto"/>
        </w:rPr>
      </w:pPr>
    </w:p>
    <w:p>
      <w:pPr>
        <w:spacing w:after="0"/>
        <w:tabs>
          <w:tab w:leader="none" w:pos="88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a Class</w:t>
      </w:r>
    </w:p>
    <w:p>
      <w:pPr>
        <w:spacing w:after="0" w:line="28" w:lineRule="exact"/>
        <w:rPr>
          <w:sz w:val="20"/>
          <w:szCs w:val="20"/>
          <w:color w:val="auto"/>
        </w:rPr>
      </w:pPr>
    </w:p>
    <w:p>
      <w:pPr>
        <w:ind w:left="900" w:right="680"/>
        <w:spacing w:after="0" w:line="264" w:lineRule="auto"/>
        <w:rPr>
          <w:sz w:val="20"/>
          <w:szCs w:val="20"/>
          <w:color w:val="auto"/>
        </w:rPr>
      </w:pPr>
      <w:r>
        <w:rPr>
          <w:rFonts w:ascii="Arial" w:cs="Arial" w:eastAsia="Arial" w:hAnsi="Arial"/>
          <w:sz w:val="22"/>
          <w:szCs w:val="22"/>
          <w:color w:val="auto"/>
        </w:rPr>
        <w:t>If this statement is being filed to report the fact that as of the date hereof the reporting person has ceased to be the beneficial owner of more than five percent of the class of securities, check the following: [ X]</w:t>
      </w:r>
    </w:p>
    <w:p>
      <w:pPr>
        <w:spacing w:after="0" w:line="181" w:lineRule="exact"/>
        <w:rPr>
          <w:sz w:val="20"/>
          <w:szCs w:val="20"/>
          <w:color w:val="auto"/>
        </w:rPr>
      </w:pPr>
    </w:p>
    <w:p>
      <w:pPr>
        <w:spacing w:after="0"/>
        <w:tabs>
          <w:tab w:leader="none" w:pos="880" w:val="left"/>
        </w:tabs>
        <w:rPr>
          <w:sz w:val="20"/>
          <w:szCs w:val="20"/>
          <w:color w:val="auto"/>
        </w:rPr>
      </w:pPr>
      <w:r>
        <w:rPr>
          <w:rFonts w:ascii="Arial" w:cs="Arial" w:eastAsia="Arial" w:hAnsi="Arial"/>
          <w:sz w:val="22"/>
          <w:szCs w:val="22"/>
          <w:b w:val="1"/>
          <w:bCs w:val="1"/>
          <w:color w:val="auto"/>
        </w:rPr>
        <w:t>Item 6.</w:t>
      </w:r>
      <w:r>
        <w:rPr>
          <w:sz w:val="20"/>
          <w:szCs w:val="20"/>
          <w:color w:val="auto"/>
        </w:rPr>
        <w:tab/>
      </w:r>
      <w:r>
        <w:rPr>
          <w:rFonts w:ascii="Arial" w:cs="Arial" w:eastAsia="Arial" w:hAnsi="Arial"/>
          <w:sz w:val="19"/>
          <w:szCs w:val="19"/>
          <w:b w:val="1"/>
          <w:bCs w:val="1"/>
          <w:color w:val="auto"/>
        </w:rPr>
        <w:t>Ownership of More than Five Percent on Behalf of Another Person.</w:t>
      </w:r>
    </w:p>
    <w:p>
      <w:pPr>
        <w:spacing w:after="0" w:line="28" w:lineRule="exact"/>
        <w:rPr>
          <w:sz w:val="20"/>
          <w:szCs w:val="20"/>
          <w:color w:val="auto"/>
        </w:rPr>
      </w:pPr>
    </w:p>
    <w:p>
      <w:pPr>
        <w:ind w:left="900"/>
        <w:spacing w:after="0"/>
        <w:rPr>
          <w:sz w:val="20"/>
          <w:szCs w:val="20"/>
          <w:color w:val="auto"/>
        </w:rPr>
      </w:pPr>
      <w:r>
        <w:rPr>
          <w:rFonts w:ascii="Arial" w:cs="Arial" w:eastAsia="Arial" w:hAnsi="Arial"/>
          <w:sz w:val="22"/>
          <w:szCs w:val="22"/>
          <w:color w:val="auto"/>
        </w:rPr>
        <w:t>Not applicable.</w:t>
      </w:r>
    </w:p>
    <w:p>
      <w:pPr>
        <w:spacing w:after="0" w:line="223" w:lineRule="exact"/>
        <w:rPr>
          <w:sz w:val="20"/>
          <w:szCs w:val="20"/>
          <w:color w:val="auto"/>
        </w:rPr>
      </w:pPr>
    </w:p>
    <w:p>
      <w:pPr>
        <w:ind w:left="900" w:right="80" w:hanging="890"/>
        <w:spacing w:after="0" w:line="261" w:lineRule="auto"/>
        <w:tabs>
          <w:tab w:leader="none" w:pos="880" w:val="left"/>
        </w:tabs>
        <w:rPr>
          <w:sz w:val="20"/>
          <w:szCs w:val="20"/>
          <w:color w:val="auto"/>
        </w:rPr>
      </w:pPr>
      <w:r>
        <w:rPr>
          <w:rFonts w:ascii="Arial" w:cs="Arial" w:eastAsia="Arial" w:hAnsi="Arial"/>
          <w:sz w:val="22"/>
          <w:szCs w:val="22"/>
          <w:b w:val="1"/>
          <w:bCs w:val="1"/>
          <w:color w:val="auto"/>
        </w:rPr>
        <w:t>Item 7.</w:t>
        <w:tab/>
        <w:t>Identification and Classification of the Subsidiary Which Acquired the Security Being Reported on By the Parent Holding Company</w:t>
      </w:r>
    </w:p>
    <w:p>
      <w:pPr>
        <w:ind w:left="900"/>
        <w:spacing w:after="0"/>
        <w:rPr>
          <w:sz w:val="20"/>
          <w:szCs w:val="20"/>
          <w:color w:val="auto"/>
        </w:rPr>
      </w:pPr>
      <w:r>
        <w:rPr>
          <w:rFonts w:ascii="Arial" w:cs="Arial" w:eastAsia="Arial" w:hAnsi="Arial"/>
          <w:sz w:val="22"/>
          <w:szCs w:val="22"/>
          <w:color w:val="auto"/>
        </w:rPr>
        <w:t>Not applicable.</w:t>
      </w:r>
    </w:p>
    <w:p>
      <w:pPr>
        <w:spacing w:after="0" w:line="223" w:lineRule="exact"/>
        <w:rPr>
          <w:sz w:val="20"/>
          <w:szCs w:val="20"/>
          <w:color w:val="auto"/>
        </w:rPr>
      </w:pPr>
    </w:p>
    <w:p>
      <w:pPr>
        <w:spacing w:after="0"/>
        <w:tabs>
          <w:tab w:leader="none" w:pos="880" w:val="left"/>
        </w:tabs>
        <w:rPr>
          <w:sz w:val="20"/>
          <w:szCs w:val="20"/>
          <w:color w:val="auto"/>
        </w:rPr>
      </w:pPr>
      <w:r>
        <w:rPr>
          <w:rFonts w:ascii="Arial" w:cs="Arial" w:eastAsia="Arial" w:hAnsi="Arial"/>
          <w:sz w:val="22"/>
          <w:szCs w:val="22"/>
          <w:b w:val="1"/>
          <w:bCs w:val="1"/>
          <w:color w:val="auto"/>
        </w:rPr>
        <w:t>Item 8.</w:t>
      </w:r>
      <w:r>
        <w:rPr>
          <w:sz w:val="20"/>
          <w:szCs w:val="20"/>
          <w:color w:val="auto"/>
        </w:rPr>
        <w:tab/>
      </w:r>
      <w:r>
        <w:rPr>
          <w:rFonts w:ascii="Arial" w:cs="Arial" w:eastAsia="Arial" w:hAnsi="Arial"/>
          <w:sz w:val="19"/>
          <w:szCs w:val="19"/>
          <w:b w:val="1"/>
          <w:bCs w:val="1"/>
          <w:color w:val="auto"/>
        </w:rPr>
        <w:t>Identification and Classification of Members of the Group</w:t>
      </w:r>
    </w:p>
    <w:p>
      <w:pPr>
        <w:spacing w:after="0" w:line="28" w:lineRule="exact"/>
        <w:rPr>
          <w:sz w:val="20"/>
          <w:szCs w:val="20"/>
          <w:color w:val="auto"/>
        </w:rPr>
      </w:pPr>
    </w:p>
    <w:p>
      <w:pPr>
        <w:ind w:left="900"/>
        <w:spacing w:after="0"/>
        <w:rPr>
          <w:sz w:val="20"/>
          <w:szCs w:val="20"/>
          <w:color w:val="auto"/>
        </w:rPr>
      </w:pPr>
      <w:r>
        <w:rPr>
          <w:rFonts w:ascii="Arial" w:cs="Arial" w:eastAsia="Arial" w:hAnsi="Arial"/>
          <w:sz w:val="22"/>
          <w:szCs w:val="22"/>
          <w:color w:val="auto"/>
        </w:rPr>
        <w:t>Not applicable.</w:t>
      </w:r>
    </w:p>
    <w:p>
      <w:pPr>
        <w:spacing w:after="0" w:line="223" w:lineRule="exact"/>
        <w:rPr>
          <w:sz w:val="20"/>
          <w:szCs w:val="20"/>
          <w:color w:val="auto"/>
        </w:rPr>
      </w:pPr>
    </w:p>
    <w:p>
      <w:pPr>
        <w:spacing w:after="0"/>
        <w:tabs>
          <w:tab w:leader="none" w:pos="880" w:val="left"/>
        </w:tabs>
        <w:rPr>
          <w:sz w:val="20"/>
          <w:szCs w:val="20"/>
          <w:color w:val="auto"/>
        </w:rPr>
      </w:pPr>
      <w:r>
        <w:rPr>
          <w:rFonts w:ascii="Arial" w:cs="Arial" w:eastAsia="Arial" w:hAnsi="Arial"/>
          <w:sz w:val="22"/>
          <w:szCs w:val="22"/>
          <w:b w:val="1"/>
          <w:bCs w:val="1"/>
          <w:color w:val="auto"/>
        </w:rPr>
        <w:t>Item 9.</w:t>
      </w:r>
      <w:r>
        <w:rPr>
          <w:sz w:val="20"/>
          <w:szCs w:val="20"/>
          <w:color w:val="auto"/>
        </w:rPr>
        <w:tab/>
      </w:r>
      <w:r>
        <w:rPr>
          <w:rFonts w:ascii="Arial" w:cs="Arial" w:eastAsia="Arial" w:hAnsi="Arial"/>
          <w:sz w:val="19"/>
          <w:szCs w:val="19"/>
          <w:b w:val="1"/>
          <w:bCs w:val="1"/>
          <w:color w:val="auto"/>
        </w:rPr>
        <w:t>Notice of Dissolution of Group</w:t>
      </w:r>
    </w:p>
    <w:p>
      <w:pPr>
        <w:spacing w:after="0" w:line="28" w:lineRule="exact"/>
        <w:rPr>
          <w:sz w:val="20"/>
          <w:szCs w:val="20"/>
          <w:color w:val="auto"/>
        </w:rPr>
      </w:pPr>
    </w:p>
    <w:p>
      <w:pPr>
        <w:ind w:left="900"/>
        <w:spacing w:after="0"/>
        <w:rPr>
          <w:sz w:val="20"/>
          <w:szCs w:val="20"/>
          <w:color w:val="auto"/>
        </w:rPr>
      </w:pPr>
      <w:r>
        <w:rPr>
          <w:rFonts w:ascii="Arial" w:cs="Arial" w:eastAsia="Arial" w:hAnsi="Arial"/>
          <w:sz w:val="22"/>
          <w:szCs w:val="22"/>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10. Certification</w:t>
      </w:r>
    </w:p>
    <w:p>
      <w:pPr>
        <w:spacing w:after="0" w:line="239" w:lineRule="exact"/>
        <w:rPr>
          <w:sz w:val="20"/>
          <w:szCs w:val="20"/>
          <w:color w:val="auto"/>
        </w:rPr>
      </w:pPr>
    </w:p>
    <w:p>
      <w:pPr>
        <w:ind w:left="900"/>
        <w:spacing w:after="0" w:line="263" w:lineRule="auto"/>
        <w:rPr>
          <w:sz w:val="20"/>
          <w:szCs w:val="20"/>
          <w:color w:val="auto"/>
        </w:rPr>
      </w:pPr>
      <w:r>
        <w:rPr>
          <w:rFonts w:ascii="Arial" w:cs="Arial" w:eastAsia="Arial" w:hAnsi="Arial"/>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31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Page 4 of 5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280035</wp:posOffset>
            </wp:positionV>
            <wp:extent cx="7250430" cy="450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622935</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855" w:right="259" w:bottom="1440" w:gutter="0" w:footer="0" w:header="0"/>
          <w:type w:val="continuous"/>
        </w:sectPr>
      </w:pPr>
    </w:p>
    <w:bookmarkStart w:id="4" w:name="page5"/>
    <w:bookmarkEnd w:id="4"/>
    <w:p>
      <w:pPr>
        <w:jc w:val="center"/>
        <w:ind w:right="4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67575"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1590"/>
                    </a:xfrm>
                    <a:prstGeom prst="rect">
                      <a:avLst/>
                    </a:prstGeom>
                    <a:noFill/>
                  </pic:spPr>
                </pic:pic>
              </a:graphicData>
            </a:graphic>
          </wp:anchor>
        </w:drawing>
        <w:t>SIGNATURE</w:t>
      </w:r>
    </w:p>
    <w:p>
      <w:pPr>
        <w:spacing w:after="0" w:line="293" w:lineRule="exact"/>
        <w:rPr>
          <w:sz w:val="20"/>
          <w:szCs w:val="20"/>
          <w:color w:val="auto"/>
        </w:rPr>
      </w:pPr>
    </w:p>
    <w:p>
      <w:pPr>
        <w:spacing w:after="0" w:line="276"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28" w:lineRule="exact"/>
        <w:rPr>
          <w:sz w:val="20"/>
          <w:szCs w:val="20"/>
          <w:color w:val="auto"/>
        </w:rPr>
      </w:pPr>
    </w:p>
    <w:p>
      <w:pPr>
        <w:ind w:left="7420"/>
        <w:spacing w:after="0"/>
        <w:rPr>
          <w:sz w:val="20"/>
          <w:szCs w:val="20"/>
          <w:color w:val="auto"/>
        </w:rPr>
      </w:pPr>
      <w:r>
        <w:rPr>
          <w:rFonts w:ascii="Arial" w:cs="Arial" w:eastAsia="Arial" w:hAnsi="Arial"/>
          <w:sz w:val="22"/>
          <w:szCs w:val="22"/>
          <w:color w:val="auto"/>
        </w:rPr>
        <w:t>April 7,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213360</wp:posOffset>
            </wp:positionV>
            <wp:extent cx="436499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364990"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jc w:val="center"/>
        <w:ind w:left="4520"/>
        <w:spacing w:after="0"/>
        <w:rPr>
          <w:sz w:val="20"/>
          <w:szCs w:val="20"/>
          <w:color w:val="auto"/>
        </w:rPr>
      </w:pPr>
      <w:r>
        <w:rPr>
          <w:rFonts w:ascii="Arial" w:cs="Arial" w:eastAsia="Arial" w:hAnsi="Arial"/>
          <w:sz w:val="22"/>
          <w:szCs w:val="22"/>
          <w:color w:val="auto"/>
        </w:rPr>
        <w:t>Date</w:t>
      </w:r>
    </w:p>
    <w:p>
      <w:pPr>
        <w:spacing w:after="0" w:line="233" w:lineRule="exact"/>
        <w:rPr>
          <w:sz w:val="20"/>
          <w:szCs w:val="20"/>
          <w:color w:val="auto"/>
        </w:rPr>
      </w:pPr>
    </w:p>
    <w:p>
      <w:pPr>
        <w:ind w:left="7140"/>
        <w:spacing w:after="0"/>
        <w:rPr>
          <w:sz w:val="20"/>
          <w:szCs w:val="20"/>
          <w:color w:val="auto"/>
        </w:rPr>
      </w:pPr>
      <w:r>
        <w:rPr>
          <w:rFonts w:ascii="Arial" w:cs="Arial" w:eastAsia="Arial" w:hAnsi="Arial"/>
          <w:sz w:val="22"/>
          <w:szCs w:val="22"/>
          <w:i w:val="1"/>
          <w:iCs w:val="1"/>
          <w:color w:val="auto"/>
        </w:rPr>
        <w:t>/S/ James L. Parker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84455</wp:posOffset>
            </wp:positionV>
            <wp:extent cx="436499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364990" cy="8890"/>
                    </a:xfrm>
                    <a:prstGeom prst="rect">
                      <a:avLst/>
                    </a:prstGeom>
                    <a:noFill/>
                  </pic:spPr>
                </pic:pic>
              </a:graphicData>
            </a:graphic>
          </wp:anchor>
        </w:drawing>
      </w:r>
    </w:p>
    <w:p>
      <w:pPr>
        <w:spacing w:after="0" w:line="321" w:lineRule="exact"/>
        <w:rPr>
          <w:sz w:val="20"/>
          <w:szCs w:val="20"/>
          <w:color w:val="auto"/>
        </w:rPr>
      </w:pPr>
    </w:p>
    <w:p>
      <w:pPr>
        <w:jc w:val="center"/>
        <w:ind w:left="4520"/>
        <w:spacing w:after="0"/>
        <w:rPr>
          <w:sz w:val="20"/>
          <w:szCs w:val="20"/>
          <w:color w:val="auto"/>
        </w:rPr>
      </w:pPr>
      <w:r>
        <w:rPr>
          <w:rFonts w:ascii="Arial" w:cs="Arial" w:eastAsia="Arial" w:hAnsi="Arial"/>
          <w:sz w:val="22"/>
          <w:szCs w:val="22"/>
          <w:color w:val="auto"/>
        </w:rPr>
        <w:t>Signature</w:t>
      </w:r>
    </w:p>
    <w:p>
      <w:pPr>
        <w:spacing w:after="0" w:line="22" w:lineRule="exact"/>
        <w:rPr>
          <w:sz w:val="20"/>
          <w:szCs w:val="20"/>
          <w:color w:val="auto"/>
        </w:rPr>
      </w:pPr>
    </w:p>
    <w:p>
      <w:pPr>
        <w:jc w:val="center"/>
        <w:ind w:left="4580"/>
        <w:spacing w:after="0"/>
        <w:rPr>
          <w:sz w:val="20"/>
          <w:szCs w:val="20"/>
          <w:color w:val="auto"/>
        </w:rPr>
      </w:pPr>
      <w:r>
        <w:rPr>
          <w:rFonts w:ascii="Arial" w:cs="Arial" w:eastAsia="Arial" w:hAnsi="Arial"/>
          <w:sz w:val="22"/>
          <w:szCs w:val="22"/>
          <w:color w:val="auto"/>
        </w:rPr>
        <w:t>James L. Parker, Assistant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81915</wp:posOffset>
            </wp:positionV>
            <wp:extent cx="436499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364990" cy="88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left="7480"/>
        <w:spacing w:after="0"/>
        <w:rPr>
          <w:sz w:val="20"/>
          <w:szCs w:val="20"/>
          <w:color w:val="auto"/>
        </w:rPr>
      </w:pPr>
      <w:r>
        <w:rPr>
          <w:rFonts w:ascii="Arial" w:cs="Arial" w:eastAsia="Arial" w:hAnsi="Arial"/>
          <w:sz w:val="22"/>
          <w:szCs w:val="22"/>
          <w:color w:val="auto"/>
        </w:rPr>
        <w:t>Name/Title</w:t>
      </w:r>
    </w:p>
    <w:p>
      <w:pPr>
        <w:spacing w:after="0" w:line="200" w:lineRule="exact"/>
        <w:rPr>
          <w:sz w:val="20"/>
          <w:szCs w:val="20"/>
          <w:color w:val="auto"/>
        </w:rPr>
      </w:pPr>
    </w:p>
    <w:p>
      <w:pPr>
        <w:spacing w:after="0" w:line="357" w:lineRule="exact"/>
        <w:rPr>
          <w:sz w:val="20"/>
          <w:szCs w:val="20"/>
          <w:color w:val="auto"/>
        </w:rPr>
      </w:pPr>
    </w:p>
    <w:p>
      <w:pPr>
        <w:ind w:right="40"/>
        <w:spacing w:after="0" w:line="312" w:lineRule="auto"/>
        <w:rPr>
          <w:sz w:val="20"/>
          <w:szCs w:val="20"/>
          <w:color w:val="auto"/>
        </w:rPr>
      </w:pPr>
      <w:r>
        <w:rPr>
          <w:rFonts w:ascii="Arial" w:cs="Arial" w:eastAsia="Arial" w:hAnsi="Arial"/>
          <w:sz w:val="19"/>
          <w:szCs w:val="19"/>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this signature.</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Page 5 of 5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107950</wp:posOffset>
            </wp:positionV>
            <wp:extent cx="7250430" cy="450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sectPr>
      <w:pgSz w:w="11900" w:h="16838" w:orient="portrait"/>
      <w:cols w:equalWidth="0" w:num="1">
        <w:col w:w="11360"/>
      </w:cols>
      <w:pgMar w:left="240" w:top="909"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1."/>
      <w:numFmt w:val="decimal"/>
      <w:start w:val="1"/>
    </w:lvl>
  </w:abstractNum>
  <w:abstractNum w:abstractNumId="2">
    <w:nsid w:val="3D1B58BA"/>
    <w:multiLevelType w:val="hybridMultilevel"/>
    <w:lvl w:ilvl="0">
      <w:lvlJc w:val="left"/>
      <w:lvlText w:val="3"/>
      <w:numFmt w:val="bullet"/>
      <w:start w:val="1"/>
    </w:lvl>
  </w:abstractNum>
  <w:abstractNum w:abstractNumId="3">
    <w:nsid w:val="507ED7AB"/>
    <w:multiLevelType w:val="hybridMultilevel"/>
    <w:lvl w:ilvl="0">
      <w:lvlJc w:val="left"/>
      <w:lvlText w:val="%1."/>
      <w:numFmt w:val="decimal"/>
      <w:start w:val="9"/>
    </w:lvl>
  </w:abstractNum>
  <w:abstractNum w:abstractNumId="4">
    <w:nsid w:val="2EB141F2"/>
    <w:multiLevelType w:val="hybridMultilevel"/>
    <w:lvl w:ilvl="0">
      <w:lvlJc w:val="left"/>
      <w:lvlText w:val="(%1)"/>
      <w:numFmt w:val="lowerLetter"/>
      <w:start w:val="5"/>
    </w:lvl>
  </w:abstractNum>
  <w:abstractNum w:abstractNumId="5">
    <w:nsid w:val="41B71EFB"/>
    <w:multiLevelType w:val="hybridMultilevel"/>
    <w:lvl w:ilvl="0">
      <w:lvlJc w:val="left"/>
      <w:lvlText w:val="(%1)"/>
      <w:numFmt w:val="lowerLetter"/>
      <w:start w:val="10"/>
    </w:lvl>
  </w:abstractNum>
  <w:abstractNum w:abstractNumId="6">
    <w:nsid w:val="79E2A9E3"/>
    <w:multiLevelType w:val="hybridMultilevel"/>
    <w:lvl w:ilvl="0">
      <w:lvlJc w:val="left"/>
      <w:lvlText w:val="(%1)"/>
      <w:numFmt w:val="lowerLetter"/>
      <w:start w:val="1"/>
    </w:lvl>
  </w:abstractNum>
  <w:abstractNum w:abstractNumId="7">
    <w:nsid w:val="7545E146"/>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2019-12-05T08:13:50Z</dcterms:created>
  <dcterms:modified xsi:type="dcterms:W3CDTF">2019-12-05T08:13:50Z</dcterms:modified>
</cp:coreProperties>
</file>