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208915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 Pursuant to Section 13 or 15(d)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 January 23,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THE WASHINGTON POST COMPANY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180340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41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1-6714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53-0182885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840"/>
          </w:cols>
          <w:pgMar w:left="240" w:top="341" w:right="639" w:bottom="1440" w:gutter="0" w:footer="0" w:header="0"/>
          <w:type w:val="continuous"/>
        </w:sect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(I.R.S. Employer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340" w:space="720"/>
            <w:col w:w="3280" w:space="720"/>
            <w:col w:w="1960"/>
          </w:cols>
          <w:pgMar w:left="240" w:top="341" w:right="639" w:bottom="1440" w:gutter="0" w:footer="0" w:header="0"/>
          <w:type w:val="continuous"/>
        </w:sect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1150 15th Street, N.W. Washington, D.C.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20071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80" w:space="720"/>
            <w:col w:w="2620"/>
          </w:cols>
          <w:pgMar w:left="240" w:top="341" w:right="639" w:bottom="1440" w:gutter="0" w:footer="0" w:header="0"/>
          <w:type w:val="continuous"/>
        </w:sect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(Zip Code)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00" w:space="720"/>
            <w:col w:w="2700"/>
          </w:cols>
          <w:pgMar w:left="240" w:top="341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(202) 334-6000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173355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41" w:right="6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Other Events.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part of the Company’s annual impairment review of goodwill and other intangible assets, the Company estimates that it will record a pre-tax non-cash goodwill and other intangible assets impairment charge of approximately $70 million in the fourth quarter of 2008 relating to operations in the Other Businesses and Corporate Office segment. On an after-tax basis, the impact is estimated at $67 million. The Company determined that the estimated fair value of its online lead generation business is less than the reported carrying value.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ectPr>
          <w:pgSz w:w="11900" w:h="16838" w:orient="portrait"/>
          <w:cols w:equalWidth="0" w:num="1">
            <w:col w:w="11280"/>
          </w:cols>
          <w:pgMar w:left="240" w:top="274" w:right="379" w:bottom="1440" w:gutter="0" w:footer="0" w:header="0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Washington Post Company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940" w:val="left"/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January 23, 2009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Hal S. Jones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10795</wp:posOffset>
            </wp:positionV>
            <wp:extent cx="347345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Hal S. Jones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 - Finance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(Principal Financial Officer)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</w:t>
      </w:r>
    </w:p>
    <w:sectPr>
      <w:pgSz w:w="11900" w:h="16838" w:orient="portrait"/>
      <w:cols w:equalWidth="0" w:num="1">
        <w:col w:w="11000"/>
      </w:cols>
      <w:pgMar w:left="240" w:top="274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2019-12-10T03:43:59Z</dcterms:created>
  <dcterms:modified xsi:type="dcterms:W3CDTF">2019-12-10T03:43:59Z</dcterms:modified>
</cp:coreProperties>
</file>