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2, 2022</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2, 2022, Graham Holdings Company issued a press release announcing the Company’s earnings for the third quarter ended September 30, 2022.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79"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Graham Holdings Company Earnings Release dated November 2, 2022.</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November 2, 2022</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240"/>
          </w:cols>
          <w:pgMar w:left="320" w:top="1039" w:right="339" w:bottom="1440" w:gutter="0" w:footer="0" w:header="0"/>
          <w:type w:val="continuous"/>
        </w:sectPr>
      </w:pPr>
    </w:p>
    <w:p>
      <w:pPr>
        <w:spacing w:after="0" w:line="11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$32.8 million ($6.76 per share) for the third quarter of 2022, compared to $39.6 million ($7.90 per share) for the third quarter of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third quarter of 2022 and 2021 were affected by a number of items as described in the following paragraphs. Excluding</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these items, net income attributable to common shares was $75.9 million ($15.65 per share) for the third quarter of 2022, compared to $29.5 million ($5.87 per share) for the third quarter of 2021. (Refer to the Non-GAAP Financial Information schedule at the end of this release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2022:</w:t>
      </w:r>
    </w:p>
    <w:p>
      <w:pPr>
        <w:spacing w:after="0" w:line="14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$54.2 million in net losses on marketable equity securities (after-tax impact of $40.2 million, or $8.28 per share);</w:t>
      </w:r>
    </w:p>
    <w:p>
      <w:pPr>
        <w:spacing w:after="0" w:line="157" w:lineRule="exact"/>
        <w:rPr>
          <w:rFonts w:ascii="Arial" w:cs="Arial" w:eastAsia="Arial" w:hAnsi="Arial"/>
          <w:sz w:val="18"/>
          <w:szCs w:val="18"/>
          <w:color w:val="auto"/>
        </w:rPr>
      </w:pPr>
    </w:p>
    <w:p>
      <w:pPr>
        <w:ind w:left="180" w:right="40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$2.7 million in net losses of affiliates whose operations are not managed by the Company (after-tax impact of $2.0 million, or $0.42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operating gain of $0.6 million from write-up of a cost method investment (after-tax impact of $0.4 million, or $0.09 per share); and</w:t>
      </w:r>
    </w:p>
    <w:p>
      <w:pPr>
        <w:spacing w:after="0" w:line="157" w:lineRule="exact"/>
        <w:rPr>
          <w:rFonts w:ascii="Arial" w:cs="Arial" w:eastAsia="Arial" w:hAnsi="Arial"/>
          <w:sz w:val="18"/>
          <w:szCs w:val="18"/>
          <w:color w:val="auto"/>
        </w:rPr>
      </w:pPr>
    </w:p>
    <w:p>
      <w:pPr>
        <w:ind w:left="180" w:right="560" w:hanging="172"/>
        <w:spacing w:after="0" w:line="256"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$1.4 million in interest expense to adjust the fair value of the mandatorily redeemable noncontrolling interest (after-tax impact of $1.3 million, or $0.28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2021:</w:t>
      </w:r>
    </w:p>
    <w:p>
      <w:pPr>
        <w:spacing w:after="0" w:line="15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 at Corporate ($0.34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$26.8 million in goodwill and other long-lived asset impairment charges (after-tax impact of $22.4 million, or $4.46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$14.1 million in net gains on marketable equity securities (after-tax impact of $10.3 million, or $2.05 per share);</w:t>
      </w:r>
    </w:p>
    <w:p>
      <w:pPr>
        <w:spacing w:after="0" w:line="157" w:lineRule="exact"/>
        <w:rPr>
          <w:rFonts w:ascii="Arial" w:cs="Arial" w:eastAsia="Arial" w:hAnsi="Arial"/>
          <w:sz w:val="18"/>
          <w:szCs w:val="18"/>
          <w:color w:val="auto"/>
        </w:rPr>
      </w:pPr>
    </w:p>
    <w:p>
      <w:pPr>
        <w:ind w:left="180" w:right="2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$16.7 million in net earnings of affiliates whose operations are not managed by the Company (after-tax impact of $12.2 million, or $2.43 per share);</w:t>
      </w:r>
    </w:p>
    <w:p>
      <w:pPr>
        <w:spacing w:after="0" w:line="111" w:lineRule="exact"/>
        <w:rPr>
          <w:rFonts w:ascii="Arial" w:cs="Arial" w:eastAsia="Arial" w:hAnsi="Arial"/>
          <w:sz w:val="18"/>
          <w:szCs w:val="18"/>
          <w:color w:val="auto"/>
        </w:rPr>
      </w:pPr>
    </w:p>
    <w:p>
      <w:pPr>
        <w:ind w:left="180" w:right="22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net non-operating loss of $6.4 million from the write-down of an equity method investment (after-tax impact of $4.8 million, or $0.95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 million in net interest expense to adjust the fair value of the mandatorily redeemable noncontrolling interest ($0.52 per share); and</w:t>
      </w:r>
    </w:p>
    <w:p>
      <w:pPr>
        <w:spacing w:after="0" w:line="157"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$15.7 million deferred tax benefit arising from a change in the estimated deferred state income tax rate related to the Company’s pension and other postretirement plans ($3.14 per share).</w:t>
      </w:r>
    </w:p>
    <w:p>
      <w:pPr>
        <w:spacing w:after="0" w:line="8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Revenue for the third quarter of 2022 was $1,012.4 million, up 25% from $809.4 million in the third quarter of 2021. Revenues increased at education, television broadcasting, manufacturing, healthcare, and automotive, partially offset by a decline at other businesses. The</w:t>
      </w:r>
    </w:p>
    <w:p>
      <w:pPr>
        <w:ind w:right="80"/>
        <w:spacing w:after="0" w:line="237" w:lineRule="auto"/>
        <w:rPr>
          <w:sz w:val="20"/>
          <w:szCs w:val="20"/>
          <w:color w:val="auto"/>
        </w:rPr>
      </w:pPr>
      <w:r>
        <w:rPr>
          <w:rFonts w:ascii="Arial" w:cs="Arial" w:eastAsia="Arial" w:hAnsi="Arial"/>
          <w:sz w:val="18"/>
          <w:szCs w:val="18"/>
          <w:color w:val="auto"/>
        </w:rPr>
        <w:t>Company reported operating income of $59.5 million for the third quarter of 2022, compared to an operating loss of $16.6 million for the third quarter of 2021. Operating results improved at all the Company’s divisions.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2022, the Company reported net income attributable to common shares of $60.9 million ($12.48 per share),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compared to $267.4 million ($ 53.33 per share) for the first nine months of 2021. The results for the first nine months of 2022 and 2021 were affected by a number of items as described in the following paragraphs. Excluding these items, net income attributable to common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$198.3 million ($40.63 per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240"/>
        <w:spacing w:after="0" w:line="271" w:lineRule="auto"/>
        <w:rPr>
          <w:sz w:val="20"/>
          <w:szCs w:val="20"/>
          <w:color w:val="auto"/>
        </w:rPr>
      </w:pPr>
      <w:r>
        <w:rPr>
          <w:rFonts w:ascii="Arial" w:cs="Arial" w:eastAsia="Arial" w:hAnsi="Arial"/>
          <w:sz w:val="18"/>
          <w:szCs w:val="18"/>
          <w:color w:val="auto"/>
        </w:rPr>
        <w:t>share) for the first nine months of 2022, compared to $120.8 million ($24.09 per share) for the first nine months of 2021. (Refer to the Non-GAAP Financial Information schedule at the end of this release for additional details.)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2022:</w:t>
      </w:r>
    </w:p>
    <w:p>
      <w:pPr>
        <w:spacing w:after="0" w:line="158" w:lineRule="exact"/>
        <w:rPr>
          <w:sz w:val="20"/>
          <w:szCs w:val="20"/>
          <w:color w:val="auto"/>
        </w:rPr>
      </w:pPr>
    </w:p>
    <w:p>
      <w:pPr>
        <w:ind w:left="180" w:right="20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$3.1 million, or $0.64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$172.9 million in net losses on marketable equity securities (after-tax impact of $127.9 million, or $26.19 per share);</w:t>
      </w:r>
    </w:p>
    <w:p>
      <w:pPr>
        <w:spacing w:after="0" w:line="157" w:lineRule="exact"/>
        <w:rPr>
          <w:rFonts w:ascii="Arial" w:cs="Arial" w:eastAsia="Arial" w:hAnsi="Arial"/>
          <w:sz w:val="18"/>
          <w:szCs w:val="18"/>
          <w:color w:val="auto"/>
        </w:rPr>
      </w:pPr>
    </w:p>
    <w:p>
      <w:pPr>
        <w:ind w:left="180" w:right="40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$0.43 per share);</w:t>
      </w:r>
    </w:p>
    <w:p>
      <w:pPr>
        <w:spacing w:after="0" w:line="86" w:lineRule="exact"/>
        <w:rPr>
          <w:rFonts w:ascii="Arial" w:cs="Arial" w:eastAsia="Arial" w:hAnsi="Arial"/>
          <w:sz w:val="18"/>
          <w:szCs w:val="18"/>
          <w:color w:val="auto"/>
        </w:rPr>
      </w:pPr>
    </w:p>
    <w:p>
      <w:pPr>
        <w:ind w:left="180" w:right="8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of $2.2 million from sales and write-up of cost and equity method investments (after-tax impact of $1.7 million, or $0.34 per share); and</w:t>
      </w:r>
    </w:p>
    <w:p>
      <w:pPr>
        <w:spacing w:after="0" w:line="99" w:lineRule="exact"/>
        <w:rPr>
          <w:rFonts w:ascii="Arial" w:cs="Arial" w:eastAsia="Arial" w:hAnsi="Arial"/>
          <w:sz w:val="18"/>
          <w:szCs w:val="18"/>
          <w:color w:val="auto"/>
        </w:rPr>
      </w:pPr>
    </w:p>
    <w:p>
      <w:pPr>
        <w:ind w:left="180" w:right="360" w:hanging="172"/>
        <w:spacing w:after="0" w:line="256"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$12.8 million in interest expense to adjust the fair value of the mandatorily redeemable noncontrolling interest (after-tax impact of $12.3 million, or $2.51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2021:</w:t>
      </w:r>
    </w:p>
    <w:p>
      <w:pPr>
        <w:spacing w:after="0" w:line="15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$3.9 million net credit related to a fair value change in contingent consideration from a prior acquisition at Corporate ($0.78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$30.2 million in goodwill and long-lived asset impairment charges (after-tax impact of $24.9 million, or $4.97 per share);</w:t>
      </w:r>
    </w:p>
    <w:p>
      <w:pPr>
        <w:spacing w:after="0" w:line="157" w:lineRule="exact"/>
        <w:rPr>
          <w:rFonts w:ascii="Arial" w:cs="Arial" w:eastAsia="Arial" w:hAnsi="Arial"/>
          <w:sz w:val="18"/>
          <w:szCs w:val="18"/>
          <w:color w:val="auto"/>
        </w:rPr>
      </w:pPr>
    </w:p>
    <w:p>
      <w:pPr>
        <w:ind w:left="180" w:right="200" w:hanging="172"/>
        <w:spacing w:after="0" w:line="271"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$177.0 million in net gains on marketable equity securities (after-tax impact of $128.8 million, or $25.69 per share);</w:t>
      </w:r>
    </w:p>
    <w:p>
      <w:pPr>
        <w:spacing w:after="0" w:line="157" w:lineRule="exact"/>
        <w:rPr>
          <w:rFonts w:ascii="Arial" w:cs="Arial" w:eastAsia="Arial" w:hAnsi="Arial"/>
          <w:sz w:val="18"/>
          <w:szCs w:val="18"/>
          <w:color w:val="auto"/>
        </w:rPr>
      </w:pPr>
    </w:p>
    <w:p>
      <w:pPr>
        <w:ind w:left="180" w:right="20" w:hanging="172"/>
        <w:spacing w:after="0" w:line="256"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$25.6 million in net earnings of affiliates whose operations are not managed by the Company (after-tax impact of $18.7 million, or $3.72 per share);</w:t>
      </w:r>
    </w:p>
    <w:p>
      <w:pPr>
        <w:spacing w:after="0" w:line="111" w:lineRule="exact"/>
        <w:rPr>
          <w:rFonts w:ascii="Arial" w:cs="Arial" w:eastAsia="Arial" w:hAnsi="Arial"/>
          <w:sz w:val="18"/>
          <w:szCs w:val="18"/>
          <w:color w:val="auto"/>
        </w:rPr>
      </w:pPr>
    </w:p>
    <w:p>
      <w:pPr>
        <w:ind w:left="180" w:right="100" w:hanging="172"/>
        <w:spacing w:after="0" w:line="271"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net non-operating gain of $10.8 million from the sale, write-up and write-down of cost and equity method investments (after-tax impact of $7.9 million, or $1.58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 million in net interest expense to adjust the fair value of the mandatorily redeemable noncontrolling interest ($0.54 per share); and</w:t>
      </w:r>
    </w:p>
    <w:p>
      <w:pPr>
        <w:spacing w:after="0" w:line="157"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$15.7 million deferred tax benefit arising from a change in the estimated deferred state income tax rate related to the Company’s pension and other postretirement plans ($3.14 per share).</w:t>
      </w:r>
    </w:p>
    <w:p>
      <w:pPr>
        <w:spacing w:after="0" w:line="86"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Revenue for the first nine months of 2022 was $2,860.5 million, up 23% from $2,323.0 million in the first nine months of 2021. Revenues increased at all the Company’s divisions. The Company reported operating income of $138.8 million for the first nine months of 2022,</w:t>
      </w:r>
    </w:p>
    <w:p>
      <w:pPr>
        <w:ind w:right="80"/>
        <w:spacing w:after="0" w:line="237" w:lineRule="auto"/>
        <w:rPr>
          <w:sz w:val="20"/>
          <w:szCs w:val="20"/>
          <w:color w:val="auto"/>
        </w:rPr>
      </w:pPr>
      <w:r>
        <w:rPr>
          <w:rFonts w:ascii="Arial" w:cs="Arial" w:eastAsia="Arial" w:hAnsi="Arial"/>
          <w:sz w:val="18"/>
          <w:szCs w:val="18"/>
          <w:color w:val="auto"/>
        </w:rPr>
        <w:t>compared to $54.8 million for the first nine months of 2021. Operating results increased at education, television broadcasting, manufacturing and automotive, offset by declines at healthcare and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Education division revenue totaled $355.1 million for the third quarter of 2022, up 6% from $336.0 million for the same period of 2021. Kaplan reported operating income of $18.6 million for the third quarter of 2022, compared to $9.9 million for the third quarter of 2021.</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the first nine months of 2022, education division revenue totaled $1,066.1 million, up 6% from $1,005.3 million for the same period of 2021. Kaplan reported operating income of $57.8 million for the first nine months of 2022, compared to $42.0 million for the first nine months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2021.</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COVID-19 pandemic adversely impacted Kaplan’s operating results during 2021 and, to a lesser extent, the first nine months of 2022. Kaplan serves a large number of students who travel to other countries to study a second language, prepare for licensure, or pursue a higher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education degree. Government-imposed travel restrictions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9" w:right="339" w:bottom="1440" w:gutter="0" w:footer="0" w:header="0"/>
        </w:sectPr>
      </w:pPr>
    </w:p>
    <w:bookmarkStart w:id="6" w:name="page7"/>
    <w:bookmarkEnd w:id="6"/>
    <w:p>
      <w:pPr>
        <w:ind w:right="380"/>
        <w:spacing w:after="0" w:line="271" w:lineRule="auto"/>
        <w:rPr>
          <w:sz w:val="20"/>
          <w:szCs w:val="20"/>
          <w:color w:val="auto"/>
        </w:rPr>
      </w:pPr>
      <w:r>
        <w:rPr>
          <w:rFonts w:ascii="Arial" w:cs="Arial" w:eastAsia="Arial" w:hAnsi="Arial"/>
          <w:sz w:val="18"/>
          <w:szCs w:val="18"/>
          <w:color w:val="auto"/>
        </w:rPr>
        <w:t>school closures arising from COVID-19 had a negative impact on the ability of certain international students to travel and attend Kaplan’s programs, particularly at Kaplan International’s Language programs (Languages) in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193,085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168,143</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598,469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521,314</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80,684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85,518</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229,467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239,944</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79,566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80,489</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233,416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238,055</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4,927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3,761</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13,726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10,739</w:t>
            </w: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3"/>
        </w:trPr>
        <w:tc>
          <w:tcPr>
            <w:tcW w:w="41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(3,198)</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(8,989)</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355,064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335,999</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1,066,089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1,005,300</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8,503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(999)</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48,130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23,285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9,027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9,525</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16,768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18,152</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9,471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11,769</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17,671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33,079</w:t>
            </w: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(6,426)</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(12,783)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(17,375)</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(3,888)</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(12,190)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(11,967)</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(3,273)</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166</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18,645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9,914</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57,762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41,998</w:t>
            </w: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15% for the third quarter and first nine months of 2022 (26% and 23%, respectively, on a</w:t>
      </w:r>
    </w:p>
    <w:p>
      <w:pPr>
        <w:spacing w:after="0" w:line="235" w:lineRule="auto"/>
        <w:rPr>
          <w:sz w:val="20"/>
          <w:szCs w:val="20"/>
          <w:color w:val="auto"/>
        </w:rPr>
      </w:pPr>
      <w:r>
        <w:rPr>
          <w:rFonts w:ascii="Arial" w:cs="Arial" w:eastAsia="Arial" w:hAnsi="Arial"/>
          <w:sz w:val="18"/>
          <w:szCs w:val="18"/>
          <w:color w:val="auto"/>
        </w:rPr>
        <w:t>constant currency basis). The increase is due largely to growth at Languages, Pathways and UK Professional, partially offset by a decline at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Singapore. Kaplan International reported operating income of $ 8.5 million in the third quarter of 2022, compared to an operating loss of $1.0 million in the third quarter of 2021. Operating income increased to $48.1 million in the first nine months of 2022, compared to $23.3 million in</w:t>
      </w:r>
    </w:p>
    <w:p>
      <w:pPr>
        <w:spacing w:after="0" w:line="235" w:lineRule="auto"/>
        <w:rPr>
          <w:sz w:val="20"/>
          <w:szCs w:val="20"/>
          <w:color w:val="auto"/>
        </w:rPr>
      </w:pPr>
      <w:r>
        <w:rPr>
          <w:rFonts w:ascii="Arial" w:cs="Arial" w:eastAsia="Arial" w:hAnsi="Arial"/>
          <w:sz w:val="18"/>
          <w:szCs w:val="18"/>
          <w:color w:val="auto"/>
        </w:rPr>
        <w:t>the first nine months of 2021. The improved results are due largely to a reduction in losses at Languages, and improved results at Pathways,</w:t>
      </w:r>
    </w:p>
    <w:p>
      <w:pPr>
        <w:ind w:right="340"/>
        <w:spacing w:after="0"/>
        <w:rPr>
          <w:sz w:val="20"/>
          <w:szCs w:val="20"/>
          <w:color w:val="auto"/>
        </w:rPr>
      </w:pPr>
      <w:r>
        <w:rPr>
          <w:rFonts w:ascii="Arial" w:cs="Arial" w:eastAsia="Arial" w:hAnsi="Arial"/>
          <w:sz w:val="17"/>
          <w:szCs w:val="17"/>
          <w:color w:val="auto"/>
        </w:rPr>
        <w:t>partially offset by a decline at Singapore. Overall, Kaplan International’s operating results were negatively impacted by $5 million and $31 million in losses, respectively, incurred at Languages from COVID-19 disruptions for the third quarter and first nine months of 2021. The</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losses incurred at Languages for the first nine months of 2022 were substantially lower than the prior year, and Languages reported an operating profit in the third quarter of 2022.</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third quarter and first nine months of 2022, Higher Education revenue declined 6% and 4%, respectively, due largely to lower costs incurred for reimbursement under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Purdue Global agreement. For the third quarter and first nine months of 2022 and 2021, Kaplan recorded a portion of the fee with Purdue Global based on an assessment of its collectability under the TOSA. Enrollments at Purdue Global for the first nine months of 2022 were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approximately the same as the first nine months of 2021. The Company will continue to assess the collectability of the fee with Purdue Global on a quarterly basis to make a determination as to whether to record all or part of the fee in the future and whether to make adjustments to</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fee amounts recognized in earlier periods. Higher Education results declined in the third quarter and first nine months of 2022 due to increased investment costs incurred related to other university agreements, partially offset by an increase in the Purdue Global fee recorded.</w:t>
      </w:r>
    </w:p>
    <w:p>
      <w:pPr>
        <w:spacing w:after="0" w:line="104"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w:t>
      </w:r>
    </w:p>
    <w:p>
      <w:pPr>
        <w:ind w:right="420"/>
        <w:spacing w:after="0"/>
        <w:rPr>
          <w:sz w:val="20"/>
          <w:szCs w:val="20"/>
          <w:color w:val="auto"/>
        </w:rPr>
      </w:pPr>
      <w:r>
        <w:rPr>
          <w:rFonts w:ascii="Arial" w:cs="Arial" w:eastAsia="Arial" w:hAnsi="Arial"/>
          <w:sz w:val="17"/>
          <w:szCs w:val="17"/>
          <w:color w:val="auto"/>
        </w:rPr>
        <w:t>declined 1% and 2% for the third quarter and first nine months of 2022, respectively, due largely to declines in retail comprehensive test preparation demand, offset in part by growth in demand for professional certifications. Overall, demand for graduate and pre-college test</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preparation programs has declined due to the strength of U.S. employment markets and the decline in test-takers. Operating results declined in the third quarter and first nine months of 2022 due to lower revenues and increased advertising and product development costs.</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235" w:lineRule="auto"/>
        <w:rPr>
          <w:sz w:val="20"/>
          <w:szCs w:val="20"/>
          <w:color w:val="auto"/>
        </w:rPr>
      </w:pPr>
      <w:r>
        <w:rPr>
          <w:rFonts w:ascii="Arial" w:cs="Arial" w:eastAsia="Arial" w:hAnsi="Arial"/>
          <w:sz w:val="18"/>
          <w:szCs w:val="18"/>
          <w:color w:val="auto"/>
        </w:rPr>
        <w:t>users. Revenue at the television broadcasting division increased 7% to $135.2 million in the third quarter of 2022, from $126.5 million in the</w:t>
      </w:r>
    </w:p>
    <w:p>
      <w:pPr>
        <w:ind w:right="160"/>
        <w:spacing w:after="0"/>
        <w:rPr>
          <w:sz w:val="20"/>
          <w:szCs w:val="20"/>
          <w:color w:val="auto"/>
        </w:rPr>
      </w:pPr>
      <w:r>
        <w:rPr>
          <w:rFonts w:ascii="Arial" w:cs="Arial" w:eastAsia="Arial" w:hAnsi="Arial"/>
          <w:sz w:val="17"/>
          <w:szCs w:val="17"/>
          <w:color w:val="auto"/>
        </w:rPr>
        <w:t>same period of 2021. The revenue increase is due primarily to a $ 19.4 million increase in political advertising revenue, partially offset by a decline in other categories from fewer available advertising spots, and a small decline in retransmission revenues. Operating income for the</w:t>
      </w:r>
    </w:p>
    <w:p>
      <w:pPr>
        <w:spacing w:after="0" w:line="1"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third quarter of 2022 increased 29% to $52.3 million, from $40.6 million in the same period of 2021, due to increased revenues and a reduction in incentive compensation costs.</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Revenue at the television broadcasting division increased 6% to $381.0 million in the first nine months of 2022, from $360.1 million in the same period of 2021. The revenue increase is due to a $24.4 million increase in political revenue, a $2.8 million increase in retransmission</w:t>
      </w:r>
    </w:p>
    <w:p>
      <w:pPr>
        <w:ind w:right="280"/>
        <w:spacing w:after="0" w:line="226" w:lineRule="auto"/>
        <w:rPr>
          <w:sz w:val="20"/>
          <w:szCs w:val="20"/>
          <w:color w:val="auto"/>
        </w:rPr>
      </w:pPr>
      <w:r>
        <w:rPr>
          <w:rFonts w:ascii="Arial" w:cs="Arial" w:eastAsia="Arial" w:hAnsi="Arial"/>
          <w:sz w:val="18"/>
          <w:szCs w:val="18"/>
          <w:color w:val="auto"/>
        </w:rPr>
        <w:t>revenues, and increases from winter Olympics and Super Bowl advertising revenue at the Company’s NBC affiliates in the first quarter of 2022. Operating income for the first nine months of 2022 increased 21% to $131.9 million, from $109.1 million in the same period of 2021,</w:t>
      </w:r>
    </w:p>
    <w:p>
      <w:pPr>
        <w:spacing w:after="0" w:line="236" w:lineRule="auto"/>
        <w:rPr>
          <w:sz w:val="20"/>
          <w:szCs w:val="20"/>
          <w:color w:val="auto"/>
        </w:rPr>
      </w:pPr>
      <w:r>
        <w:rPr>
          <w:rFonts w:ascii="Arial" w:cs="Arial" w:eastAsia="Arial" w:hAnsi="Arial"/>
          <w:sz w:val="18"/>
          <w:szCs w:val="18"/>
          <w:color w:val="auto"/>
        </w:rPr>
        <w:t>due to increased revenues and a reduction in incentive compensation costs. While per subscriber rates from cable, satellite and OTT</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providers have grown, overall subscribers are down due to cord cutting across all platforms, resulting in retransmission revenue net of network fees in 2022 expected to be flat compared with 2021, and this trend is expected to continue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increased 23% and 3% in the third quarter and first nine months of 2022, respectively. The revenue growth for the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third quarter of 2022 is due primarily to significantly increased revenues at Hoover due to higher wood prices and increased product demand. The revenue growth for the first nine months of 2022 is due to increased revenues at Dekko, Joyce and Forney, partially offset by a reduction</w:t>
      </w:r>
    </w:p>
    <w:p>
      <w:pPr>
        <w:spacing w:after="0" w:line="236" w:lineRule="auto"/>
        <w:rPr>
          <w:sz w:val="20"/>
          <w:szCs w:val="20"/>
          <w:color w:val="auto"/>
        </w:rPr>
      </w:pPr>
      <w:r>
        <w:rPr>
          <w:rFonts w:ascii="Arial" w:cs="Arial" w:eastAsia="Arial" w:hAnsi="Arial"/>
          <w:sz w:val="18"/>
          <w:szCs w:val="18"/>
          <w:color w:val="auto"/>
        </w:rPr>
        <w:t>in revenues at Hoover from lower wood prices in the first half of 2022, but overall modestly higher product demand. Wood prices were highly</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volatile in 2021 and the first nine months of 2022. Overall, Hoover results included wood gains on inventory sales for both the first nine months of 2022 and 2021; however, wood gains on inventory sales were higher in the first nine months of 2022. For the third quarter of 2022,</w:t>
      </w:r>
    </w:p>
    <w:p>
      <w:pPr>
        <w:spacing w:after="0" w:line="235" w:lineRule="auto"/>
        <w:rPr>
          <w:sz w:val="20"/>
          <w:szCs w:val="20"/>
          <w:color w:val="auto"/>
        </w:rPr>
      </w:pPr>
      <w:r>
        <w:rPr>
          <w:rFonts w:ascii="Arial" w:cs="Arial" w:eastAsia="Arial" w:hAnsi="Arial"/>
          <w:sz w:val="18"/>
          <w:szCs w:val="18"/>
          <w:color w:val="auto"/>
        </w:rPr>
        <w:t>Hoover results included modest wood losses on inventory sales, compared with significant wood losses on inventory sales in the third quarter</w:t>
      </w:r>
    </w:p>
    <w:p>
      <w:pPr>
        <w:ind w:right="20"/>
        <w:spacing w:after="0" w:line="226" w:lineRule="auto"/>
        <w:rPr>
          <w:sz w:val="20"/>
          <w:szCs w:val="20"/>
          <w:color w:val="auto"/>
        </w:rPr>
      </w:pPr>
      <w:r>
        <w:rPr>
          <w:rFonts w:ascii="Arial" w:cs="Arial" w:eastAsia="Arial" w:hAnsi="Arial"/>
          <w:sz w:val="18"/>
          <w:szCs w:val="18"/>
          <w:color w:val="auto"/>
        </w:rPr>
        <w:t>of 2021. Manufacturing operating results increased significantly in the third quarter and first nine months of 2022. Operating results increased for the third quarter of 2022 due primarily to a $26.7 million goodwill impairment charge recorded at Dekko during the third quarter of 2021</w:t>
      </w:r>
    </w:p>
    <w:p>
      <w:pPr>
        <w:spacing w:after="0" w:line="236" w:lineRule="auto"/>
        <w:rPr>
          <w:sz w:val="20"/>
          <w:szCs w:val="20"/>
          <w:color w:val="auto"/>
        </w:rPr>
      </w:pPr>
      <w:r>
        <w:rPr>
          <w:rFonts w:ascii="Arial" w:cs="Arial" w:eastAsia="Arial" w:hAnsi="Arial"/>
          <w:sz w:val="18"/>
          <w:szCs w:val="18"/>
          <w:color w:val="auto"/>
        </w:rPr>
        <w:t>and significantly improved results at Hoover due to substantial wood losses on inventory sales in the third quarter of 2021. Operating results</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increased for the first nine months of 2022 due primarily to the Dekko goodwill impairment charge in 2021 and improved results at Hoover and Forney. Excluding the impact of wood gains and losses, Hoover results improved in the third quarter and first nine months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Graham Healthcare Group (GHG) provides home health and hospice services in seven states. In December 2021, GHG acquired two small businesses, one of which expanded GHG’s home health operations into Florida. In May 2022, GHG acquired two small businesses, one of</w:t>
      </w:r>
    </w:p>
    <w:p>
      <w:pPr>
        <w:spacing w:after="0" w:line="235" w:lineRule="auto"/>
        <w:rPr>
          <w:sz w:val="20"/>
          <w:szCs w:val="20"/>
          <w:color w:val="auto"/>
        </w:rPr>
      </w:pPr>
      <w:r>
        <w:rPr>
          <w:rFonts w:ascii="Arial" w:cs="Arial" w:eastAsia="Arial" w:hAnsi="Arial"/>
          <w:sz w:val="18"/>
          <w:szCs w:val="18"/>
          <w:color w:val="auto"/>
        </w:rPr>
        <w:t>which expanded GHG’s home health operations into Kansas and Missouri. In July 2022, GHG acquired a 100% interest in a multi-state</w:t>
      </w:r>
    </w:p>
    <w:p>
      <w:pPr>
        <w:ind w:right="460"/>
        <w:spacing w:after="0"/>
        <w:rPr>
          <w:sz w:val="20"/>
          <w:szCs w:val="20"/>
          <w:color w:val="auto"/>
        </w:rPr>
      </w:pPr>
      <w:r>
        <w:rPr>
          <w:rFonts w:ascii="Arial" w:cs="Arial" w:eastAsia="Arial" w:hAnsi="Arial"/>
          <w:sz w:val="17"/>
          <w:szCs w:val="17"/>
          <w:color w:val="auto"/>
        </w:rPr>
        <w:t>provider of Applied Behavior Analysis clinics and in August 2022, GHG acquired two small businesses, which expanded GHG’s hospice services into Missouri and Ohio. GHG provides other healthcare services, including nursing care and prescription services for patients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receiving in-home infusion treatments through its 75% interest in CSI Pharmacy Holdings Company, LLC (CSI).</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Healthcare revenues increased 57% and 44% for the third quarter and first nine months of 2022, respectively, largely due to significant growth at CSI and from businesses acquired in the fourth quarter of 2021 and the first nine months of 2022, along with growth in home health</w:t>
      </w:r>
    </w:p>
    <w:p>
      <w:pPr>
        <w:spacing w:after="0" w:line="235" w:lineRule="auto"/>
        <w:rPr>
          <w:sz w:val="20"/>
          <w:szCs w:val="20"/>
          <w:color w:val="auto"/>
        </w:rPr>
      </w:pPr>
      <w:r>
        <w:rPr>
          <w:rFonts w:ascii="Arial" w:cs="Arial" w:eastAsia="Arial" w:hAnsi="Arial"/>
          <w:sz w:val="18"/>
          <w:szCs w:val="18"/>
          <w:color w:val="auto"/>
        </w:rPr>
        <w:t>and hospice services. The increase in GHG operating results in the third quarter of 2022 is due to improved results at CSI, partially offset by</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net losses from newly acquired businesses and increased marketing, human resources, recruiting and business development costs and overall increased compensation and transportation costs in nursing and clinical staffing. The decline in GHG operating results in the first nine</w:t>
      </w:r>
    </w:p>
    <w:p>
      <w:pPr>
        <w:spacing w:after="0" w:line="235" w:lineRule="auto"/>
        <w:rPr>
          <w:sz w:val="20"/>
          <w:szCs w:val="20"/>
          <w:color w:val="auto"/>
        </w:rPr>
      </w:pPr>
      <w:r>
        <w:rPr>
          <w:rFonts w:ascii="Arial" w:cs="Arial" w:eastAsia="Arial" w:hAnsi="Arial"/>
          <w:sz w:val="18"/>
          <w:szCs w:val="18"/>
          <w:color w:val="auto"/>
        </w:rPr>
        <w:t>months of 2022 is due to net losses from newly acquired businesses, increased marketing, human resources, recruiting and business</w:t>
      </w:r>
    </w:p>
    <w:p>
      <w:pPr>
        <w:ind w:right="200"/>
        <w:spacing w:after="0" w:line="237" w:lineRule="auto"/>
        <w:rPr>
          <w:sz w:val="20"/>
          <w:szCs w:val="20"/>
          <w:color w:val="auto"/>
        </w:rPr>
      </w:pPr>
      <w:r>
        <w:rPr>
          <w:rFonts w:ascii="Arial" w:cs="Arial" w:eastAsia="Arial" w:hAnsi="Arial"/>
          <w:sz w:val="18"/>
          <w:szCs w:val="18"/>
          <w:color w:val="auto"/>
        </w:rPr>
        <w:t>development costs and overall increased compensation and transportation costs in nursing and clinical staffing, partially offset by improved results at CSI.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earnings of affiliates in the Company’s Consolidated Statements of Operations. The Company recorded equity in earnings of $1.5 million and $2.5 million for the third quarter of 2022 and 2021, respectively, from these joint ventures. The Company recorded equity in earnings of $5.1</w:t>
      </w:r>
    </w:p>
    <w:p>
      <w:pPr>
        <w:spacing w:after="0" w:line="236" w:lineRule="auto"/>
        <w:rPr>
          <w:sz w:val="20"/>
          <w:szCs w:val="20"/>
          <w:color w:val="auto"/>
        </w:rPr>
      </w:pPr>
      <w:r>
        <w:rPr>
          <w:rFonts w:ascii="Arial" w:cs="Arial" w:eastAsia="Arial" w:hAnsi="Arial"/>
          <w:sz w:val="18"/>
          <w:szCs w:val="18"/>
          <w:color w:val="auto"/>
        </w:rPr>
        <w:t>million and $8.0 million for the first nine months of 2022 and 2021, respectively. During the first quarter of 2022, GHG, through its Residential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Home Health Illinois and Residential Hospice Illinois affiliates, acquired an interest in the home health and hospice assets of NorthShore University HealthSystem, an integrated healthcare delivery system serving patients throughout the Chicago, IL area. The transaction resulted</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a decrease to GHG’s interest in Residential Hospice Illinois and a $0.6 million non-operating gain was recorded in the first quarter of 2022 related to the change in interest.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Automotive includes six automotive dealerships in the Washington, D.C. metropolitan area: Ourisman Lexus of Rockville, Ourisman Honda of</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Tysons Corner, Ourisman Jeep Bethesda and Ourisman Ford of Manassas, which was acquired on December 28, 2021, from the Battlefield Automotive Group. In addition, on July 5, 2022, the Company acquired a Toyota dealership and a Chrysler-Dodge-Jeep-Ram (CDJR)</w:t>
      </w:r>
    </w:p>
    <w:p>
      <w:pPr>
        <w:spacing w:after="0" w:line="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dealership in Woodbridge, VA from the Lustine Automotive Group. Christopher J. Ourisman, a member of the Ourisman Automotive Group family of dealerships, and his team of industry professionals operate and manage the dealerships; the Company holds a 90% stake.</w:t>
      </w:r>
    </w:p>
    <w:p>
      <w:pPr>
        <w:spacing w:after="0" w:line="8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Revenues for the third quarter and first nine months of 2022 increased significantly due to the acquisitions of the Ford, Toyota and CDJR dealerships and sales growth at the Jeep dealership due to an increase in new vehicle inventory provided by the manufacturer and higher</w:t>
      </w:r>
    </w:p>
    <w:p>
      <w:pPr>
        <w:ind w:right="120"/>
        <w:spacing w:after="0" w:line="226" w:lineRule="auto"/>
        <w:rPr>
          <w:sz w:val="20"/>
          <w:szCs w:val="20"/>
          <w:color w:val="auto"/>
        </w:rPr>
      </w:pPr>
      <w:r>
        <w:rPr>
          <w:rFonts w:ascii="Arial" w:cs="Arial" w:eastAsia="Arial" w:hAnsi="Arial"/>
          <w:sz w:val="18"/>
          <w:szCs w:val="18"/>
          <w:color w:val="auto"/>
        </w:rPr>
        <w:t>average new and used car selling prices at the Jeep, Lexus and Honda dealerships as a result of strong customer demand and new vehicle inventory shortages related to supply chain disruptions and production delays at vehicle manufacturers, partially offset by decreased</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revenues at the Honda and Lexus dealerships due to volume declines as a result of inventory shortages. Operating results for the third quarter and first nine months of 2022 improved significantly due largely to the Ford, Toyota and CDJR acquisitions and improved results at</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the Jeep dealership due to increased sales and margins, and at the Lexus dealership due to increased margins, offset by declines at the Honda dealership due to inventory shortages.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spacing w:after="0" w:line="235"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operating divisions: Society6 Group and Saatchi Art Group (Marketplace businesses) and the Media Group. For the third quarter of 2022, revenue for Society6 Group and the Media Group declined, while Saatchi Art Group reported revenue growth. Overall, Leaf reported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losses for the third quarter and first nine months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Clyde’s Restaurant Group (CRG) owns and operates ten restaurants and entertainment venues in the Washington, D.C. metropolitan area, including Old Ebbitt Grill and The Hamilton. As a result of the COVID-19 pandemic, CRG temporarily closed its restaurant dining rooms in</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Maryland and the District of Columbia in December 2020, reopening again for limited indoor dining service in February 2021. Various government-ordered dining restrictions continued until the middle of 2021. CRG’s operating results are seasonal with the second and fourth</w:t>
      </w:r>
    </w:p>
    <w:p>
      <w:pPr>
        <w:spacing w:after="0" w:line="236" w:lineRule="auto"/>
        <w:rPr>
          <w:sz w:val="20"/>
          <w:szCs w:val="20"/>
          <w:color w:val="auto"/>
        </w:rPr>
      </w:pPr>
      <w:r>
        <w:rPr>
          <w:rFonts w:ascii="Arial" w:cs="Arial" w:eastAsia="Arial" w:hAnsi="Arial"/>
          <w:sz w:val="18"/>
          <w:szCs w:val="18"/>
          <w:color w:val="auto"/>
        </w:rPr>
        <w:t>quarters generally stronger than the first and third quarters. CRG incurred an operating loss for the third quarter of 2022, while reporting a</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small operating profit for the first nine months of 2022. Both revenues and operating results improved significantly from the third quarter and first nine months of 2021 due largely to the absence of government-ordered dining restrictions in 2022 and a favorable rent concession</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recorded in the second quarter of 2022. Improvement in both revenue and operating results is expected to continue in the fourth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sixteen retail locations in the Washington, D.C.,</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New York City, Atlanta, GA, Philadelphia, PA, Boston, MA and Chicago, IL areas and two manufacturing facilities in Kentucky and New Jersey. Framebridge opened an additional store in the New York City area in October 2022. Framebridge revenues increased in the third</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quarter and first nine months of 2022 due to operating additional retail stores compared to the same periods in 2021. Framebridge is an investment stage business and reported significant operating losses in the first nine months of 2022 and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3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Code3</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Code3 is a performance marketing agency focused on driving performance for brands through three core elements of digital success: media, creative and commerce. Code3 revenue declined in the third quarter and first nine months of 2022 due to sluggish marketing spending by</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certain advertising clients. Code3 reported operating losses in each of the first nine months of 2022 and 2021. In the second quarter of 2021, Code3 recorded a $1.6 million lease impairment charge (including $0.4 million in property, plant and equipment write-downs).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businesses, CyberVista, Decile, Pinna and City Cast. Slate, Foreign Policy, CyberVista, Pinna and City Cast reported revenue increases in the first nine months of 2022. Losses from each of these six businesses in the first nine months of 2022 adversely affected operating results.</w:t>
      </w:r>
    </w:p>
    <w:p>
      <w:pPr>
        <w:spacing w:after="0" w:line="236" w:lineRule="auto"/>
        <w:rPr>
          <w:sz w:val="20"/>
          <w:szCs w:val="20"/>
          <w:color w:val="auto"/>
        </w:rPr>
      </w:pPr>
      <w:r>
        <w:rPr>
          <w:rFonts w:ascii="Arial" w:cs="Arial" w:eastAsia="Arial" w:hAnsi="Arial"/>
          <w:sz w:val="18"/>
          <w:szCs w:val="18"/>
          <w:color w:val="auto"/>
        </w:rPr>
        <w:t>In October 2022, the Company announced a strategic merger of CyberVista and CyberWire, a B2B cybersecurity audio network to form a</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new parent company, N2K Networks. N2K Networks will focus on expanding its technology platform to enable development of more resilient enterprise cyber workforces, to pioneer new markets, and to create original “news to knowledge” audio brands. In conjunction with the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merger, a Series A funding round led by the Company also closed. The Company’s investment in N2K Networks will be reported as an equity method investment.</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Overall, for the third quarter of 2022, operating revenues for other businesses declined due largely to decreased revenues at Leaf and Code3, partially offset by an increase at CRG. For the first nine months of 2022, operating revenues for other businesses increased due</w:t>
      </w:r>
    </w:p>
    <w:p>
      <w:pPr>
        <w:ind w:right="600"/>
        <w:spacing w:after="0" w:line="237" w:lineRule="auto"/>
        <w:rPr>
          <w:sz w:val="20"/>
          <w:szCs w:val="20"/>
          <w:color w:val="auto"/>
        </w:rPr>
      </w:pPr>
      <w:r>
        <w:rPr>
          <w:rFonts w:ascii="Arial" w:cs="Arial" w:eastAsia="Arial" w:hAnsi="Arial"/>
          <w:sz w:val="18"/>
          <w:szCs w:val="18"/>
          <w:color w:val="auto"/>
        </w:rPr>
        <w:t>largely to the Leaf acquisition and increases at CRG and Framebridge. Operating results declined in the first nine months of 2022 due primarily to increased losses at Leaf and Framebridge, partially offset by improved results at CRG.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w:t>
      </w:r>
      <w:r>
        <w:rPr>
          <w:rFonts w:ascii="Arial" w:cs="Arial" w:eastAsia="Arial" w:hAnsi="Arial"/>
          <w:sz w:val="18"/>
          <w:szCs w:val="18"/>
          <w:b w:val="1"/>
          <w:bCs w:val="1"/>
          <w:u w:val="single" w:color="auto"/>
          <w:color w:val="auto"/>
          <w:highlight w:val="white"/>
        </w:rPr>
        <w:t>Losses)</w:t>
      </w:r>
      <w:r>
        <w:rPr>
          <w:rFonts w:ascii="Arial" w:cs="Arial" w:eastAsia="Arial" w:hAnsi="Arial"/>
          <w:sz w:val="18"/>
          <w:szCs w:val="18"/>
          <w:b w:val="1"/>
          <w:bCs w:val="1"/>
          <w:u w:val="single" w:color="auto"/>
          <w:color w:val="auto"/>
        </w:rPr>
        <w:t xml:space="preserve"> of Affiliates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At September 30, 2022, the Company held an approximate 12% interest in Intersection Holdings, LLC (Intersection), a company that provides digital marketing and advertising services and products for cities, transit systems, airports, and other public and private spaces.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Company also holds interests in several other affiliates, including a number of home health and hospice joint ventures managed by GHG and two joint ventures managed by Kaplan. Overall, the Company recorded equity in losses of affiliates of $1.1 million for the third quarter of</w:t>
      </w:r>
    </w:p>
    <w:p>
      <w:pPr>
        <w:spacing w:after="0" w:line="236" w:lineRule="auto"/>
        <w:rPr>
          <w:sz w:val="20"/>
          <w:szCs w:val="20"/>
          <w:color w:val="auto"/>
        </w:rPr>
      </w:pPr>
      <w:r>
        <w:rPr>
          <w:rFonts w:ascii="Arial" w:cs="Arial" w:eastAsia="Arial" w:hAnsi="Arial"/>
          <w:sz w:val="18"/>
          <w:szCs w:val="18"/>
          <w:color w:val="auto"/>
        </w:rPr>
        <w:t>2022, compared to earnings of $13.0 million for the third quarter of 2021. These amounts include $2.7 million in net losses for the third</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quarter of 2022 from affiliates whose operations are not managed by the Company compared to $16.7 million in net earnings for the third quarter of 2021; this includes losses from the Company’s investment in Intersection in the third quarter of 2022. The Company recorded $6.4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in write-downs in equity in earnings of affiliates related to one of its investments in the third quarter of 2021.</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recorded equity in earnings of affiliates of $2.9 million for the first nine months of 2022, compared to $28.2 million for the first nine months of 2021. These amounts include $2.8 million in net losses for the first nine months of 2022 from affiliates whose operations are</w:t>
      </w:r>
    </w:p>
    <w:p>
      <w:pPr>
        <w:spacing w:after="0" w:line="235" w:lineRule="auto"/>
        <w:rPr>
          <w:sz w:val="20"/>
          <w:szCs w:val="20"/>
          <w:color w:val="auto"/>
        </w:rPr>
      </w:pPr>
      <w:r>
        <w:rPr>
          <w:rFonts w:ascii="Arial" w:cs="Arial" w:eastAsia="Arial" w:hAnsi="Arial"/>
          <w:sz w:val="18"/>
          <w:szCs w:val="18"/>
          <w:color w:val="auto"/>
        </w:rPr>
        <w:t>not managed by the Company compared to $25.6 million in net earnings for the first nine months of 2021; this includes losses from the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Company’s investment in Intersection in the first nine months of 2022 and 2021. The Company recorded $6.4 million in write-downs in equity in earnings of affiliates related to one of its investments in the third quarter of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connection with the acquisition of the Toyota and CDJR dealerships, in July 2022, the automotive subsidiary of the Company amended its commercial note due January 1, 2032, to increase the aggregate loan amount to $71.6 million. Additionally, the Company borrowed $27.2</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million, comprised of three commercial notes, and entered into an interest rate swap to fix the interest rate on the debts at 4.861% per annum.</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incurred net interest expense of $10.8 million and $36.8 million for the third quarter and first nine months of 2022, respectively; compared to $9.4 million and $22.5 million for the third quarter and first nine months of 2021, respectively. The Company recorded interest</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expense of $1.4 million and $12.8 million in the third quarter and first nine months of 2022, respectively, to adjust the fair value of the mandatorily redeemable noncontrolling interest at GHG. The Company recorded net interest expense of $2.6 million in the third quarter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and $2.7 million in the first nine months of 2021 to adjust the fair value of the mandatorily redeemable noncontrolling interest at GHG.</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4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At September 30, 2022, the Company had $710.3 million in borrowings outstanding at an average interest rate of 5.2%, and cash,</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marketable equity securities and other investments of $781.6 million. At September 30, 2022, the Company had $180.7 million outstanding on its $300 million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 recorded net non-operating pension and postretirement benefit income of $50.7 million and $ 152.1 million for the third quarter and first nine months of 2022, respectively; compared to $27.6 million and $81.6 million for the third quarter and first nine months of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recognized $54.3 million and $172.9 million in net losses on marketable equity securities in the third quarter and first</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nine months of 2022, respectively; compared to $14.1 million and $177.0 million in net gains on marketable equity securities in the third quarter and first nine months of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recorded total other non-operating income, net, of $2.4 million for the third quarter of 2022, compared to $5.2 million for the third quarter of 2021. The 2022 amounts included $1.4 million in gains related to the sale of businesses and contingent consideration, a $0.6</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million fair value increase on a cost method investment, and other items; partially offset by $0.4 million in foreign currency losses. The 2021 amounts included $1.3 million in gains related to the sale of businesses and contingent consideration and other items.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total non-operating income, net of $6.4 million for the first nine months of 2022, compared to $27.7 million for the first</w:t>
      </w:r>
    </w:p>
    <w:p>
      <w:pPr>
        <w:spacing w:after="0" w:line="25"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nine months of 2021. The 2022 amounts included $3.1 million in gains related to the sale of businesses and contingent consideration, $1.0 million in gains on sales of cost method investments, a $0.6 million gain on sale of an equity affiliate, a $0.6 million fair value increase on a</w:t>
      </w:r>
    </w:p>
    <w:p>
      <w:pPr>
        <w:spacing w:after="0" w:line="236" w:lineRule="auto"/>
        <w:rPr>
          <w:sz w:val="20"/>
          <w:szCs w:val="20"/>
          <w:color w:val="auto"/>
        </w:rPr>
      </w:pPr>
      <w:r>
        <w:rPr>
          <w:rFonts w:ascii="Arial" w:cs="Arial" w:eastAsia="Arial" w:hAnsi="Arial"/>
          <w:sz w:val="18"/>
          <w:szCs w:val="18"/>
          <w:color w:val="auto"/>
        </w:rPr>
        <w:t>cost method investment, and other items; partially offset by $2.0 million in foreign currency losses. The 2021 amounts included $6.8 million in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gains on sales of cost method investments, $10.5 million in fair value increases on cost method investments, $2.7 million in gains related to the sale of businesses and contingent consideration, $0.7 million in foreign currency gains,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Company’s effective tax rate for the first nine months of 2022 and 2021 was 29.6% and 22.6%, respectively. The Company’s effective tax rate for 2021 was favorably impacted by a $15.7 million deferred tax adjustment arising from a change in the estimated deferred state</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income tax rate attributable to the apportionment formula used in the calculation of deferred taxes related to the Company’s pension and other postretirement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third quarter and first nine months of 2022 was based on 4,819,661 and 4,853,267</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weighted average shares outstanding, respectively, compared to 4,976,998 and 4,980,056, respectively, for the third quarter and first nine months of 2021. At September 30, 2022, there were 4,814,182 shares outstanding. On September 10, 2020, the Board of Directors</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authorized the Company to acquire up to 500,000 shares of its Class B common stock; the Company has remaining authorization for 176,634 shares as of September 30,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this press release, in the Company’s Annual Report on Form 10-K and in the Company’s 2021 Annual Report to Stockholders, are “forward-looking statements” within the meaning of the Private Securities Litigation Reform Act of 1995. Actual results may differ materially from those</w:t>
      </w:r>
    </w:p>
    <w:p>
      <w:pPr>
        <w:spacing w:after="0" w:line="236" w:lineRule="auto"/>
        <w:rPr>
          <w:sz w:val="20"/>
          <w:szCs w:val="20"/>
          <w:color w:val="auto"/>
        </w:rPr>
      </w:pPr>
      <w:r>
        <w:rPr>
          <w:rFonts w:ascii="Arial" w:cs="Arial" w:eastAsia="Arial" w:hAnsi="Arial"/>
          <w:sz w:val="18"/>
          <w:szCs w:val="18"/>
          <w:color w:val="auto"/>
        </w:rPr>
        <w:t>projected as a result of certain risks and uncertainties, including but not limited to the duration and severity of the COVID-19 pandemic and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its effects on the Company’s operations, financial results, liquidity and cash flows. Other forward-looking statements include comments about expectations related to acquisitions or dispositions or related business activities, including the TOSA, the Company’s business strategies and</w:t>
      </w:r>
    </w:p>
    <w:p>
      <w:pPr>
        <w:spacing w:after="0" w:line="235" w:lineRule="auto"/>
        <w:rPr>
          <w:sz w:val="20"/>
          <w:szCs w:val="20"/>
          <w:color w:val="auto"/>
        </w:rPr>
      </w:pPr>
      <w:r>
        <w:rPr>
          <w:rFonts w:ascii="Arial" w:cs="Arial" w:eastAsia="Arial" w:hAnsi="Arial"/>
          <w:sz w:val="18"/>
          <w:szCs w:val="18"/>
          <w:color w:val="auto"/>
        </w:rPr>
        <w:t>objectives, anticipated results of license renewal applications, the prospects for growth in the Company’s various business operations and</w:t>
      </w:r>
    </w:p>
    <w:p>
      <w:pPr>
        <w:ind w:right="200"/>
        <w:spacing w:after="0"/>
        <w:rPr>
          <w:sz w:val="20"/>
          <w:szCs w:val="20"/>
          <w:color w:val="auto"/>
        </w:rPr>
      </w:pPr>
      <w:r>
        <w:rPr>
          <w:rFonts w:ascii="Arial" w:cs="Arial" w:eastAsia="Arial" w:hAnsi="Arial"/>
          <w:sz w:val="17"/>
          <w:szCs w:val="17"/>
          <w:color w:val="auto"/>
        </w:rPr>
        <w:t>the Company’s future financial performance. As with any projection or forecast, forward-looking statements are subject to various risks and uncertainties, including the risks and uncertainties described in Item 1A of the Company’s Annual Report on Form 10-K, that could cause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or events to differ materially from those anticipated in such statements.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9"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Accordingly, undue reliance should not be placed on any forward-looking statement made by or on behalf of the Company. The Company</w:t>
      </w:r>
    </w:p>
    <w:p>
      <w:pPr>
        <w:spacing w:after="0" w:line="2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assumes no obligation to update any forward-looking statement after the date on which such statement is made, even if new information subsequently becomes available.</w:t>
      </w: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1039" w:right="6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1,012,438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809,436</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918,614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764,568</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19,657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18,741</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14,635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15,981</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59,532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(16,607)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12,964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803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(11,579)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(9,343)</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50,687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27,561</w:t>
            </w: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2"/>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(54,250)</w:t>
            </w:r>
          </w:p>
        </w:tc>
        <w:tc>
          <w:tcPr>
            <w:tcW w:w="3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14,069</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46,440</w:t>
            </w:r>
          </w:p>
        </w:tc>
        <w:tc>
          <w:tcPr>
            <w:tcW w:w="3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33,783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12,600</w:t>
            </w:r>
          </w:p>
        </w:tc>
        <w:tc>
          <w:tcPr>
            <w:tcW w:w="3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(5,900)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33,840</w:t>
            </w:r>
          </w:p>
        </w:tc>
        <w:tc>
          <w:tcPr>
            <w:tcW w:w="3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39,683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32,780</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39,586</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6.78</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4,808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6.76</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0"/>
        </w:trPr>
        <w:tc>
          <w:tcPr>
            <w:tcW w:w="80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4,820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3" w:right="339" w:bottom="1440" w:gutter="0" w:footer="0" w:header="0"/>
        </w:sectPr>
      </w:pPr>
    </w:p>
    <w:bookmarkStart w:id="13" w:name="page14"/>
    <w:bookmarkEnd w:id="13"/>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2,860,461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2,323,043</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2,618,649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2,140,954</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58,545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51,886</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44,436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43,807</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138,831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54,828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2,920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28,168</w:t>
            </w: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2,214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2,687</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(38,969)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(25,144)</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152,063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81,564</w:t>
            </w: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(172,878)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176,981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6,410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27,660</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90,591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346,744</w:t>
            </w: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26,800</w:t>
            </w:r>
          </w:p>
        </w:tc>
        <w:tc>
          <w:tcPr>
            <w:tcW w:w="2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78,500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63,791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268,244</w:t>
            </w: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60,919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267,394</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12.51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53.49</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4,841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53.33</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4,980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9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1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2021</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355,064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335,999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1,066,089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1,005,300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135,165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126,498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380,970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360,089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122,964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99,766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365,966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356,849</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87,176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55,445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230,816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160,184</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211,396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84,702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509,965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242,702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101,207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107,539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308,150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199,477</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1,012,438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809,436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2,860,461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2,323,043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336,419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326,085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1,008,327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963,302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82,834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85,948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249,059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250,958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113,317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139,249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341,842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374,997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81,128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50,185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212,147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139,189</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200,346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80,196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484,472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233,887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122,361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386,392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264,609</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17,035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13,481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40,886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42,831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952,906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826,043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2,721,630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2,268,215</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18,645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9,914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57,762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41,998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52,331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40,550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131,911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109,131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9,647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(39,483)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24,124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(18,148)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6,048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5,260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18,669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20,995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11,050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25,493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8,815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(21,154)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(23,873)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(78,242)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(65,132)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(40,886)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59,532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138,831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8,360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8,217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25,396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23,479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2,961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9,335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10,478</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2,358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7,109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7,346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1,455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970</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1,067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2,596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1,555</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4,169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3,649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12,198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7,578</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456</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19,657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58,545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5"/>
        </w:trPr>
        <w:tc>
          <w:tcPr>
            <w:tcW w:w="474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3,955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12,190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15,240</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4,081</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5,076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32,541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15,403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46,138</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905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2,822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2,317</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3,314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9,941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7,599</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14,635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44,436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75,375</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2,233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2,339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6,700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7,020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884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2,666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276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962</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552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4,404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47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5,557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16,581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93" w:right="3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193,085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168,143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598,469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521,314</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80,684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85,518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229,467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239,944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79,566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80,489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233,416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238,055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4,927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13,726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10,739</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1"/>
        </w:trPr>
        <w:tc>
          <w:tcPr>
            <w:tcW w:w="4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(3,198)</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(8,989)</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355,064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335,999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1,066,089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1,005,300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184,582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169,142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550,339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498,029</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71,657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75,993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212,699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221,792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70,095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68,720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215,745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204,976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9,506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26,509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28,114</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3,980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12,190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11,967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336,419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326,085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1,008,327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963,302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8,503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48,130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23,285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9,027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9,525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16,768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18,152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9,471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11,769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17,671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33,079</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(12,783)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(17,375)</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(12,190)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(11,967)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57,762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5,709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5,516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17,258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3,072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1,570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279</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46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8,360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25,396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23,479</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67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961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3,329</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6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1,029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3,106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530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6"/>
        </w:trPr>
        <w:tc>
          <w:tcPr>
            <w:tcW w:w="46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6,700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7,020</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press release, the Company has provided information regarding net income excluding certain items described below, reconciled to the most directly comparable GAAP measures. Management believes that these non-GAAP measures, when read in conjunction with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non-GAAP financial measures to the most directly comparable GAAP measures: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1039" w:right="459" w:bottom="1440" w:gutter="0" w:footer="0" w:header="0"/>
        </w:sectPr>
      </w:pPr>
    </w:p>
    <w:bookmarkStart w:id="17" w:name="page18"/>
    <w:bookmarkEnd w:id="17"/>
    <w:p>
      <w:pPr>
        <w:ind w:left="6720"/>
        <w:spacing w:after="0"/>
        <w:rPr>
          <w:sz w:val="20"/>
          <w:szCs w:val="20"/>
          <w:color w:val="auto"/>
        </w:rPr>
      </w:pPr>
      <w:r>
        <w:rPr>
          <w:rFonts w:ascii="Arial" w:cs="Arial" w:eastAsia="Arial" w:hAnsi="Arial"/>
          <w:sz w:val="16"/>
          <w:szCs w:val="16"/>
          <w:b w:val="1"/>
          <w:bCs w:val="1"/>
          <w:color w:val="auto"/>
        </w:rPr>
        <w:t>Three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24"/>
              <w:spacing w:after="0" w:line="169"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920" w:type="dxa"/>
            <w:vAlign w:val="bottom"/>
            <w:gridSpan w:val="2"/>
            <w:vMerge w:val="restart"/>
          </w:tcPr>
          <w:p>
            <w:pPr>
              <w:jc w:val="center"/>
              <w:ind w:right="280"/>
              <w:spacing w:after="0" w:line="162" w:lineRule="exact"/>
              <w:rPr>
                <w:sz w:val="20"/>
                <w:szCs w:val="20"/>
                <w:color w:val="auto"/>
              </w:rPr>
            </w:pPr>
            <w:r>
              <w:rPr>
                <w:rFonts w:ascii="Arial" w:cs="Arial" w:eastAsia="Arial" w:hAnsi="Arial"/>
                <w:sz w:val="15"/>
                <w:szCs w:val="15"/>
                <w:b w:val="1"/>
                <w:bCs w:val="1"/>
                <w:color w:val="auto"/>
                <w:w w:val="98"/>
              </w:rPr>
              <w:t>Income</w:t>
            </w: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8"/>
                <w:szCs w:val="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46,440</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12,600</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33,840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33,783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43,000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39,683</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32,780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39,586</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(1,687)</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(1,687)</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26,753</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4,398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22,355</w:t>
            </w:r>
          </w:p>
        </w:tc>
        <w:tc>
          <w:tcPr>
            <w:tcW w:w="0" w:type="dxa"/>
            <w:vAlign w:val="bottom"/>
          </w:tcPr>
          <w:p>
            <w:pPr>
              <w:spacing w:after="0"/>
              <w:rPr>
                <w:sz w:val="1"/>
                <w:szCs w:val="1"/>
                <w:color w:val="auto"/>
              </w:rPr>
            </w:pPr>
          </w:p>
        </w:tc>
      </w:tr>
      <w:tr>
        <w:trPr>
          <w:trHeight w:val="405"/>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54,250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14,094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40,156</w:t>
            </w:r>
          </w:p>
        </w:tc>
        <w:tc>
          <w:tcPr>
            <w:tcW w:w="2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(14,070)</w:t>
            </w:r>
          </w:p>
        </w:tc>
        <w:tc>
          <w:tcPr>
            <w:tcW w:w="22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(3,798)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(10,272)</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2,732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(16,700)</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(4,507)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(12,193)</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 loss, net, from the write-up and write-down of</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(560)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(414)</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6,441</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1,656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4,785</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1,369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1,348</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2,619</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2,619</w:t>
            </w:r>
          </w:p>
        </w:tc>
        <w:tc>
          <w:tcPr>
            <w:tcW w:w="0" w:type="dxa"/>
            <w:vAlign w:val="bottom"/>
          </w:tcPr>
          <w:p>
            <w:pPr>
              <w:spacing w:after="0"/>
              <w:rPr>
                <w:sz w:val="1"/>
                <w:szCs w:val="1"/>
                <w:color w:val="auto"/>
              </w:rPr>
            </w:pPr>
          </w:p>
        </w:tc>
      </w:tr>
      <w:tr>
        <w:trPr>
          <w:trHeight w:val="152"/>
        </w:trPr>
        <w:tc>
          <w:tcPr>
            <w:tcW w:w="4900" w:type="dxa"/>
            <w:vAlign w:val="bottom"/>
          </w:tcPr>
          <w:p>
            <w:pPr>
              <w:ind w:left="320"/>
              <w:spacing w:after="0" w:line="151"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15,742</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(15,742)</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75,893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29,451</w:t>
            </w:r>
          </w:p>
        </w:tc>
        <w:tc>
          <w:tcPr>
            <w:tcW w:w="0" w:type="dxa"/>
            <w:vAlign w:val="bottom"/>
          </w:tcPr>
          <w:p>
            <w:pPr>
              <w:spacing w:after="0"/>
              <w:rPr>
                <w:sz w:val="1"/>
                <w:szCs w:val="1"/>
                <w:color w:val="auto"/>
              </w:rPr>
            </w:pPr>
          </w:p>
        </w:tc>
      </w:tr>
      <w:tr>
        <w:trPr>
          <w:trHeight w:val="298"/>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6.76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8.28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0.42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 loss, net, from the write-up and write-down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(0.09)</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0.95</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0.28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97" w:right="339" w:bottom="1440" w:gutter="0" w:footer="0" w:header="0"/>
        </w:sectPr>
      </w:pPr>
    </w:p>
    <w:bookmarkStart w:id="18" w:name="page19"/>
    <w:bookmarkEnd w:id="18"/>
    <w:p>
      <w:pPr>
        <w:ind w:left="6760"/>
        <w:spacing w:after="0"/>
        <w:rPr>
          <w:sz w:val="20"/>
          <w:szCs w:val="20"/>
          <w:color w:val="auto"/>
        </w:rPr>
      </w:pPr>
      <w:r>
        <w:rPr>
          <w:rFonts w:ascii="Arial" w:cs="Arial" w:eastAsia="Arial" w:hAnsi="Arial"/>
          <w:sz w:val="16"/>
          <w:szCs w:val="16"/>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24"/>
              <w:spacing w:after="0" w:line="169"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920" w:type="dxa"/>
            <w:vAlign w:val="bottom"/>
            <w:vMerge w:val="restart"/>
          </w:tcPr>
          <w:p>
            <w:pPr>
              <w:jc w:val="center"/>
              <w:ind w:right="204"/>
              <w:spacing w:after="0" w:line="162"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8"/>
                <w:szCs w:val="8"/>
                <w:color w:val="auto"/>
              </w:rPr>
            </w:pPr>
          </w:p>
        </w:tc>
        <w:tc>
          <w:tcPr>
            <w:tcW w:w="920" w:type="dxa"/>
            <w:vAlign w:val="bottom"/>
            <w:vMerge w:val="restart"/>
          </w:tcPr>
          <w:p>
            <w:pPr>
              <w:jc w:val="center"/>
              <w:ind w:right="204"/>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90,591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26,800</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63,791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346,744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78,500</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268,244</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(2,872)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60,919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267,394</w:t>
            </w:r>
          </w:p>
        </w:tc>
        <w:tc>
          <w:tcPr>
            <w:tcW w:w="0" w:type="dxa"/>
            <w:vAlign w:val="bottom"/>
          </w:tcPr>
          <w:p>
            <w:pPr>
              <w:spacing w:after="0"/>
              <w:rPr>
                <w:sz w:val="1"/>
                <w:szCs w:val="1"/>
                <w:color w:val="auto"/>
              </w:rPr>
            </w:pPr>
          </w:p>
        </w:tc>
      </w:tr>
      <w:tr>
        <w:trPr>
          <w:trHeight w:val="222"/>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(3,163)</w:t>
            </w:r>
          </w:p>
        </w:tc>
        <w:tc>
          <w:tcPr>
            <w:tcW w:w="2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(24)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(3,139)</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(3,900)</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(3,900)</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30,192</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5,284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24,908</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1,118</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297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172,878</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45,013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127,865</w:t>
            </w: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(176,981)</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(48,165)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(128,816)</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2,806</w:t>
            </w:r>
          </w:p>
        </w:tc>
        <w:tc>
          <w:tcPr>
            <w:tcW w:w="220" w:type="dxa"/>
            <w:vAlign w:val="bottom"/>
          </w:tcPr>
          <w:p>
            <w:pPr>
              <w:spacing w:after="0"/>
              <w:rPr>
                <w:sz w:val="19"/>
                <w:szCs w:val="19"/>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729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2,077</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(25,596)</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(6,930)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(18,666)</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 net, from sales, write-ups and impairments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(2,239)</w:t>
            </w:r>
          </w:p>
        </w:tc>
        <w:tc>
          <w:tcPr>
            <w:tcW w:w="2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(567)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(1,672)</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(10,764)</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(2,833)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(7,931)</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12,799</w:t>
            </w:r>
          </w:p>
        </w:tc>
        <w:tc>
          <w:tcPr>
            <w:tcW w:w="220" w:type="dxa"/>
            <w:vAlign w:val="bottom"/>
          </w:tcPr>
          <w:p>
            <w:pPr>
              <w:spacing w:after="0"/>
              <w:rPr>
                <w:sz w:val="19"/>
                <w:szCs w:val="19"/>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531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12,268</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2,715</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2,715</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15,742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(15,742)</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198,318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120,783</w:t>
            </w:r>
          </w:p>
        </w:tc>
        <w:tc>
          <w:tcPr>
            <w:tcW w:w="0" w:type="dxa"/>
            <w:vAlign w:val="bottom"/>
          </w:tcPr>
          <w:p>
            <w:pPr>
              <w:spacing w:after="0"/>
              <w:rPr>
                <w:sz w:val="1"/>
                <w:szCs w:val="1"/>
                <w:color w:val="auto"/>
              </w:rPr>
            </w:pPr>
          </w:p>
        </w:tc>
      </w:tr>
      <w:tr>
        <w:trPr>
          <w:trHeight w:val="298"/>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12.48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53.33</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(0.64)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Goodwill and 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4.97</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26.19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(25.69)</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0.43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 net, from sales, write-ups and impairments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cost and equity method investments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(0.34)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2.51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40.63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24.09</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2022-11-02T07:36:22Z</dcterms:created>
  <dcterms:modified xsi:type="dcterms:W3CDTF">2022-11-02T07:36:22Z</dcterms:modified>
</cp:coreProperties>
</file>