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168910</wp:posOffset>
            </wp:positionV>
            <wp:extent cx="598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001-06714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GRAHAM HOLDINGS COMPANY</w:t>
      </w:r>
    </w:p>
    <w:p>
      <w:pPr>
        <w:spacing w:after="0" w:line="164" w:lineRule="exact"/>
        <w:rPr>
          <w:sz w:val="24"/>
          <w:szCs w:val="24"/>
          <w:color w:val="auto"/>
        </w:rPr>
      </w:pPr>
    </w:p>
    <w:tbl>
      <w:tblPr>
        <w:tblLayout w:type="fixed"/>
        <w:tblInd w:w="780" w:type="dxa"/>
        <w:tblCellMar>
          <w:top w:w="0" w:type="dxa"/>
          <w:left w:w="0" w:type="dxa"/>
          <w:bottom w:w="0" w:type="dxa"/>
          <w:right w:w="0" w:type="dxa"/>
        </w:tblCellMar>
      </w:tblPr>
      <w:tr>
        <w:trPr>
          <w:trHeight w:val="217"/>
        </w:trPr>
        <w:tc>
          <w:tcPr>
            <w:tcW w:w="2260" w:type="dxa"/>
            <w:vAlign w:val="bottom"/>
          </w:tcPr>
          <w:p>
            <w:pPr>
              <w:spacing w:after="0"/>
              <w:rPr>
                <w:sz w:val="18"/>
                <w:szCs w:val="18"/>
                <w:color w:val="auto"/>
              </w:rPr>
            </w:pPr>
          </w:p>
        </w:tc>
        <w:tc>
          <w:tcPr>
            <w:tcW w:w="5000" w:type="dxa"/>
            <w:vAlign w:val="bottom"/>
          </w:tcPr>
          <w:p>
            <w:pPr>
              <w:ind w:left="540"/>
              <w:spacing w:after="0"/>
              <w:rPr>
                <w:sz w:val="20"/>
                <w:szCs w:val="20"/>
                <w:color w:val="auto"/>
              </w:rPr>
            </w:pPr>
            <w:r>
              <w:rPr>
                <w:rFonts w:ascii="Arial" w:cs="Arial" w:eastAsia="Arial" w:hAnsi="Arial"/>
                <w:sz w:val="18"/>
                <w:szCs w:val="18"/>
                <w:color w:val="auto"/>
              </w:rPr>
              <w:t>(Exact name of registrant as specified in its charter)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260" w:type="dxa"/>
            <w:vAlign w:val="bottom"/>
          </w:tcPr>
          <w:p>
            <w:pPr>
              <w:jc w:val="center"/>
              <w:ind w:left="1201"/>
              <w:spacing w:after="0"/>
              <w:rPr>
                <w:sz w:val="20"/>
                <w:szCs w:val="20"/>
                <w:color w:val="auto"/>
              </w:rPr>
            </w:pPr>
            <w:r>
              <w:rPr>
                <w:rFonts w:ascii="Arial" w:cs="Arial" w:eastAsia="Arial" w:hAnsi="Arial"/>
                <w:sz w:val="18"/>
                <w:szCs w:val="18"/>
                <w:b w:val="1"/>
                <w:bCs w:val="1"/>
                <w:color w:val="auto"/>
                <w:w w:val="98"/>
              </w:rPr>
              <w:t>Delaware</w:t>
            </w:r>
          </w:p>
        </w:tc>
        <w:tc>
          <w:tcPr>
            <w:tcW w:w="5000" w:type="dxa"/>
            <w:vAlign w:val="bottom"/>
          </w:tcPr>
          <w:p>
            <w:pPr>
              <w:spacing w:after="0"/>
              <w:rPr>
                <w:sz w:val="24"/>
                <w:szCs w:val="24"/>
                <w:color w:val="auto"/>
              </w:rPr>
            </w:pP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203"/>
        </w:trPr>
        <w:tc>
          <w:tcPr>
            <w:tcW w:w="7260" w:type="dxa"/>
            <w:vAlign w:val="bottom"/>
            <w:gridSpan w:val="2"/>
          </w:tcPr>
          <w:p>
            <w:pPr>
              <w:jc w:val="center"/>
              <w:ind w:right="3630"/>
              <w:spacing w:after="0"/>
              <w:rPr>
                <w:sz w:val="20"/>
                <w:szCs w:val="20"/>
                <w:color w:val="auto"/>
              </w:rPr>
            </w:pPr>
            <w:r>
              <w:rPr>
                <w:rFonts w:ascii="Arial" w:cs="Arial" w:eastAsia="Arial" w:hAnsi="Arial"/>
                <w:sz w:val="14"/>
                <w:szCs w:val="14"/>
                <w:b w:val="1"/>
                <w:bCs w:val="1"/>
                <w:color w:val="auto"/>
              </w:rPr>
              <w:t>(State or other jurisdiction of</w:t>
            </w:r>
          </w:p>
        </w:tc>
        <w:tc>
          <w:tcPr>
            <w:tcW w:w="1560" w:type="dxa"/>
            <w:vAlign w:val="bottom"/>
          </w:tcPr>
          <w:p>
            <w:pPr>
              <w:jc w:val="center"/>
              <w:ind w:left="28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7260" w:type="dxa"/>
            <w:vAlign w:val="bottom"/>
            <w:gridSpan w:val="2"/>
          </w:tcPr>
          <w:p>
            <w:pPr>
              <w:jc w:val="center"/>
              <w:ind w:right="3630"/>
              <w:spacing w:after="0"/>
              <w:rPr>
                <w:sz w:val="20"/>
                <w:szCs w:val="20"/>
                <w:color w:val="auto"/>
              </w:rPr>
            </w:pPr>
            <w:r>
              <w:rPr>
                <w:rFonts w:ascii="Arial" w:cs="Arial" w:eastAsia="Arial" w:hAnsi="Arial"/>
                <w:sz w:val="14"/>
                <w:szCs w:val="14"/>
                <w:b w:val="1"/>
                <w:bCs w:val="1"/>
                <w:color w:val="auto"/>
              </w:rPr>
              <w:t>incorporation or organization)</w:t>
            </w:r>
          </w:p>
        </w:tc>
        <w:tc>
          <w:tcPr>
            <w:tcW w:w="1560" w:type="dxa"/>
            <w:vAlign w:val="bottom"/>
          </w:tcPr>
          <w:p>
            <w:pPr>
              <w:jc w:val="center"/>
              <w:ind w:left="28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7"/>
        </w:trPr>
        <w:tc>
          <w:tcPr>
            <w:tcW w:w="2260" w:type="dxa"/>
            <w:vAlign w:val="bottom"/>
          </w:tcPr>
          <w:p>
            <w:pPr>
              <w:spacing w:after="0"/>
              <w:rPr>
                <w:sz w:val="20"/>
                <w:szCs w:val="20"/>
                <w:color w:val="auto"/>
              </w:rPr>
            </w:pPr>
            <w:r>
              <w:rPr>
                <w:rFonts w:ascii="Arial" w:cs="Arial" w:eastAsia="Arial" w:hAnsi="Arial"/>
                <w:sz w:val="18"/>
                <w:szCs w:val="18"/>
                <w:b w:val="1"/>
                <w:bCs w:val="1"/>
                <w:color w:val="auto"/>
              </w:rPr>
              <w:t>1300 North 17th Street ,</w:t>
            </w:r>
          </w:p>
        </w:tc>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Arlington ,  Virginia</w:t>
            </w:r>
          </w:p>
        </w:tc>
        <w:tc>
          <w:tcPr>
            <w:tcW w:w="156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31"/>
        </w:trPr>
        <w:tc>
          <w:tcPr>
            <w:tcW w:w="7260" w:type="dxa"/>
            <w:vAlign w:val="bottom"/>
            <w:gridSpan w:val="2"/>
          </w:tcPr>
          <w:p>
            <w:pPr>
              <w:jc w:val="center"/>
              <w:ind w:right="3650"/>
              <w:spacing w:after="0"/>
              <w:rPr>
                <w:sz w:val="20"/>
                <w:szCs w:val="20"/>
                <w:color w:val="auto"/>
              </w:rPr>
            </w:pPr>
            <w:r>
              <w:rPr>
                <w:rFonts w:ascii="Arial" w:cs="Arial" w:eastAsia="Arial" w:hAnsi="Arial"/>
                <w:sz w:val="14"/>
                <w:szCs w:val="14"/>
                <w:b w:val="1"/>
                <w:bCs w:val="1"/>
                <w:color w:val="auto"/>
              </w:rPr>
              <w:t>(Address of principal executive offices)</w:t>
            </w:r>
          </w:p>
        </w:tc>
        <w:tc>
          <w:tcPr>
            <w:tcW w:w="156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20" w:type="dxa"/>
            <w:vAlign w:val="bottom"/>
          </w:tcPr>
          <w:p>
            <w:pPr>
              <w:spacing w:after="0"/>
              <w:rPr>
                <w:sz w:val="18"/>
                <w:szCs w:val="18"/>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960" w:type="dxa"/>
            <w:vAlign w:val="bottom"/>
            <w:gridSpan w:val="2"/>
          </w:tcPr>
          <w:p>
            <w:pPr>
              <w:jc w:val="center"/>
              <w:ind w:right="220"/>
              <w:spacing w:after="0"/>
              <w:rPr>
                <w:sz w:val="20"/>
                <w:szCs w:val="20"/>
                <w:color w:val="auto"/>
              </w:rPr>
            </w:pPr>
            <w:r>
              <w:rPr>
                <w:rFonts w:ascii="Arial" w:cs="Arial" w:eastAsia="Arial" w:hAnsi="Arial"/>
                <w:sz w:val="16"/>
                <w:szCs w:val="16"/>
                <w:color w:val="auto"/>
              </w:rPr>
              <w:t>Class B Common Stock, par value $1.00 per share</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rPr>
              <w:t>GHC</w:t>
            </w:r>
          </w:p>
        </w:tc>
        <w:tc>
          <w:tcPr>
            <w:tcW w:w="414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35"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5"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6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1"/>
        </w:trPr>
        <w:tc>
          <w:tcPr>
            <w:tcW w:w="236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May 1, 2020:</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4,273,796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9860" w:type="dxa"/>
            <w:vAlign w:val="bottom"/>
          </w:tcPr>
          <w:p>
            <w:pPr>
              <w:ind w:left="60"/>
              <w:spacing w:after="0"/>
              <w:rPr>
                <w:sz w:val="20"/>
                <w:szCs w:val="20"/>
                <w:color w:val="auto"/>
              </w:rPr>
            </w:pPr>
            <w:r>
              <w:rPr>
                <w:rFonts w:ascii="Arial" w:cs="Arial" w:eastAsia="Arial" w:hAnsi="Arial"/>
                <w:sz w:val="16"/>
                <w:szCs w:val="16"/>
                <w:color w:val="auto"/>
              </w:rPr>
              <w:t>Financial Statements</w:t>
            </w:r>
          </w:p>
        </w:tc>
        <w:tc>
          <w:tcPr>
            <w:tcW w:w="480" w:type="dxa"/>
            <w:vAlign w:val="bottom"/>
          </w:tcPr>
          <w:p>
            <w:pPr>
              <w:spacing w:after="0"/>
              <w:rPr>
                <w:sz w:val="16"/>
                <w:szCs w:val="16"/>
                <w:color w:val="auto"/>
              </w:rPr>
            </w:pPr>
          </w:p>
        </w:tc>
      </w:tr>
      <w:tr>
        <w:trPr>
          <w:trHeight w:val="486"/>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Condensed Consolidated Statements of Operations (Unaudited) for the Three Months Ended March 31, 2020 and 2019</w:t>
            </w:r>
          </w:p>
        </w:tc>
        <w:tc>
          <w:tcPr>
            <w:tcW w:w="480" w:type="dxa"/>
            <w:vAlign w:val="bottom"/>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tc>
      </w:tr>
      <w:tr>
        <w:trPr>
          <w:trHeight w:val="480"/>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Condensed Consolidated Statements of Comprehensive (Loss) Income (Unaudited) for the Three Months Ended March 31, 2020</w:t>
            </w:r>
          </w:p>
        </w:tc>
        <w:tc>
          <w:tcPr>
            <w:tcW w:w="480" w:type="dxa"/>
            <w:vAlign w:val="bottom"/>
          </w:tcPr>
          <w:p>
            <w:pPr>
              <w:spacing w:after="0"/>
              <w:rPr>
                <w:sz w:val="24"/>
                <w:szCs w:val="24"/>
                <w:color w:val="auto"/>
              </w:rPr>
            </w:pPr>
          </w:p>
        </w:tc>
      </w:tr>
      <w:tr>
        <w:trPr>
          <w:trHeight w:val="195"/>
        </w:trPr>
        <w:tc>
          <w:tcPr>
            <w:tcW w:w="840" w:type="dxa"/>
            <w:vAlign w:val="bottom"/>
          </w:tcPr>
          <w:p>
            <w:pPr>
              <w:spacing w:after="0"/>
              <w:rPr>
                <w:sz w:val="16"/>
                <w:szCs w:val="16"/>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and 2019</w:t>
            </w:r>
          </w:p>
        </w:tc>
        <w:tc>
          <w:tcPr>
            <w:tcW w:w="480" w:type="dxa"/>
            <w:vAlign w:val="bottom"/>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tc>
      </w:tr>
      <w:tr>
        <w:trPr>
          <w:trHeight w:val="486"/>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Condensed Consolidated Balance Sheets at March 31, 2020 (Unaudited) and December 31, 2019</w:t>
            </w:r>
          </w:p>
        </w:tc>
        <w:tc>
          <w:tcPr>
            <w:tcW w:w="480" w:type="dxa"/>
            <w:vAlign w:val="bottom"/>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3</w:t>
              </w:r>
            </w:hyperlink>
          </w:p>
        </w:tc>
      </w:tr>
      <w:tr>
        <w:trPr>
          <w:trHeight w:val="486"/>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Condensed Consolidated Statements of Cash Flows (Unaudited) for the Three Months Ended March 31, 2020 and 2019</w:t>
            </w:r>
          </w:p>
        </w:tc>
        <w:tc>
          <w:tcPr>
            <w:tcW w:w="48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4</w:t>
              </w:r>
            </w:hyperlink>
          </w:p>
        </w:tc>
      </w:tr>
      <w:tr>
        <w:trPr>
          <w:trHeight w:val="507"/>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Condensed Consolidated Statements of Changes in Common Stockholders' Equity (Unaudited) for the Three Months Ended March</w:t>
            </w:r>
          </w:p>
        </w:tc>
        <w:tc>
          <w:tcPr>
            <w:tcW w:w="480" w:type="dxa"/>
            <w:vAlign w:val="bottom"/>
          </w:tcPr>
          <w:p>
            <w:pPr>
              <w:spacing w:after="0"/>
              <w:rPr>
                <w:sz w:val="24"/>
                <w:szCs w:val="24"/>
                <w:color w:val="auto"/>
              </w:rPr>
            </w:pPr>
          </w:p>
        </w:tc>
      </w:tr>
      <w:tr>
        <w:trPr>
          <w:trHeight w:val="195"/>
        </w:trPr>
        <w:tc>
          <w:tcPr>
            <w:tcW w:w="840" w:type="dxa"/>
            <w:vAlign w:val="bottom"/>
          </w:tcPr>
          <w:p>
            <w:pPr>
              <w:spacing w:after="0"/>
              <w:rPr>
                <w:sz w:val="16"/>
                <w:szCs w:val="16"/>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31, 2020 and 2019</w:t>
            </w:r>
          </w:p>
        </w:tc>
        <w:tc>
          <w:tcPr>
            <w:tcW w:w="480" w:type="dxa"/>
            <w:vAlign w:val="bottom"/>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5</w:t>
              </w:r>
            </w:hyperlink>
          </w:p>
        </w:tc>
      </w:tr>
      <w:tr>
        <w:trPr>
          <w:trHeight w:val="486"/>
        </w:trPr>
        <w:tc>
          <w:tcPr>
            <w:tcW w:w="840" w:type="dxa"/>
            <w:vAlign w:val="bottom"/>
          </w:tcPr>
          <w:p>
            <w:pPr>
              <w:spacing w:after="0"/>
              <w:rPr>
                <w:sz w:val="24"/>
                <w:szCs w:val="24"/>
                <w:color w:val="auto"/>
              </w:rPr>
            </w:pPr>
          </w:p>
        </w:tc>
        <w:tc>
          <w:tcPr>
            <w:tcW w:w="9860" w:type="dxa"/>
            <w:vAlign w:val="bottom"/>
          </w:tcPr>
          <w:p>
            <w:pPr>
              <w:ind w:left="200"/>
              <w:spacing w:after="0"/>
              <w:rPr>
                <w:sz w:val="20"/>
                <w:szCs w:val="20"/>
                <w:color w:val="auto"/>
              </w:rPr>
            </w:pPr>
            <w:r>
              <w:rPr>
                <w:rFonts w:ascii="Arial" w:cs="Arial" w:eastAsia="Arial" w:hAnsi="Arial"/>
                <w:sz w:val="16"/>
                <w:szCs w:val="16"/>
                <w:color w:val="auto"/>
              </w:rPr>
              <w:t>Notes to Condensed Consolidated Financial Statements (Unaudited)</w:t>
            </w:r>
          </w:p>
        </w:tc>
        <w:tc>
          <w:tcPr>
            <w:tcW w:w="48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6</w:t>
              </w:r>
            </w:hyperlink>
          </w:p>
        </w:tc>
      </w:tr>
      <w:tr>
        <w:trPr>
          <w:trHeight w:val="459"/>
        </w:trPr>
        <w:tc>
          <w:tcPr>
            <w:tcW w:w="840" w:type="dxa"/>
            <w:vAlign w:val="bottom"/>
          </w:tcPr>
          <w:p>
            <w:pPr>
              <w:spacing w:after="0"/>
              <w:rPr>
                <w:sz w:val="24"/>
                <w:szCs w:val="24"/>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Organization, Basis of Presentation and Recent Accounting Pronouncements</w:t>
            </w:r>
          </w:p>
        </w:tc>
        <w:tc>
          <w:tcPr>
            <w:tcW w:w="48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6</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Acquisitions and Dispositions of Businesses</w:t>
            </w:r>
          </w:p>
        </w:tc>
        <w:tc>
          <w:tcPr>
            <w:tcW w:w="480" w:type="dxa"/>
            <w:vAlign w:val="bottom"/>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7</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Investments</w:t>
            </w:r>
          </w:p>
        </w:tc>
        <w:tc>
          <w:tcPr>
            <w:tcW w:w="480" w:type="dxa"/>
            <w:vAlign w:val="bottom"/>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9</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jc w:val="right"/>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10</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Inventories, Contracts in Progress and Vehicle Floor Plan Payable</w:t>
            </w:r>
          </w:p>
        </w:tc>
        <w:tc>
          <w:tcPr>
            <w:tcW w:w="480" w:type="dxa"/>
            <w:vAlign w:val="bottom"/>
          </w:tcPr>
          <w:p>
            <w:pPr>
              <w:jc w:val="right"/>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10</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Goodwill and Other Intangible Assets</w:t>
            </w:r>
          </w:p>
        </w:tc>
        <w:tc>
          <w:tcPr>
            <w:tcW w:w="480" w:type="dxa"/>
            <w:vAlign w:val="bottom"/>
          </w:tcPr>
          <w:p>
            <w:pPr>
              <w:jc w:val="right"/>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11</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Debt</w:t>
            </w:r>
          </w:p>
        </w:tc>
        <w:tc>
          <w:tcPr>
            <w:tcW w:w="480" w:type="dxa"/>
            <w:vAlign w:val="bottom"/>
          </w:tcPr>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12</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Fair Value Measurements</w:t>
            </w:r>
          </w:p>
        </w:tc>
        <w:tc>
          <w:tcPr>
            <w:tcW w:w="480" w:type="dxa"/>
            <w:vAlign w:val="bottom"/>
          </w:tcPr>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14</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480" w:type="dxa"/>
            <w:vAlign w:val="bottom"/>
          </w:tcPr>
          <w:p>
            <w:pPr>
              <w:jc w:val="right"/>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15</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Revenue From Contracts With Customers</w:t>
            </w:r>
          </w:p>
        </w:tc>
        <w:tc>
          <w:tcPr>
            <w:tcW w:w="480" w:type="dxa"/>
            <w:vAlign w:val="bottom"/>
          </w:tcPr>
          <w:p>
            <w:pPr>
              <w:jc w:val="right"/>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15</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Earnings Per Share</w:t>
            </w:r>
          </w:p>
        </w:tc>
        <w:tc>
          <w:tcPr>
            <w:tcW w:w="480" w:type="dxa"/>
            <w:vAlign w:val="bottom"/>
          </w:tcPr>
          <w:p>
            <w:pPr>
              <w:jc w:val="right"/>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16</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Pension and Postretirement Plans</w:t>
            </w:r>
          </w:p>
        </w:tc>
        <w:tc>
          <w:tcPr>
            <w:tcW w:w="48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17</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Other Non-Operating Income</w:t>
            </w:r>
          </w:p>
        </w:tc>
        <w:tc>
          <w:tcPr>
            <w:tcW w:w="48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18</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19</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Contingencies</w:t>
            </w:r>
          </w:p>
        </w:tc>
        <w:tc>
          <w:tcPr>
            <w:tcW w:w="48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19</w:t>
              </w:r>
            </w:hyperlink>
          </w:p>
        </w:tc>
      </w:tr>
      <w:tr>
        <w:trPr>
          <w:trHeight w:val="270"/>
        </w:trPr>
        <w:tc>
          <w:tcPr>
            <w:tcW w:w="840" w:type="dxa"/>
            <w:vAlign w:val="bottom"/>
          </w:tcPr>
          <w:p>
            <w:pPr>
              <w:spacing w:after="0"/>
              <w:rPr>
                <w:sz w:val="23"/>
                <w:szCs w:val="23"/>
                <w:color w:val="auto"/>
              </w:rPr>
            </w:pPr>
          </w:p>
        </w:tc>
        <w:tc>
          <w:tcPr>
            <w:tcW w:w="9860" w:type="dxa"/>
            <w:vAlign w:val="bottom"/>
          </w:tcPr>
          <w:p>
            <w:pPr>
              <w:ind w:left="300"/>
              <w:spacing w:after="0"/>
              <w:rPr>
                <w:sz w:val="20"/>
                <w:szCs w:val="20"/>
                <w:color w:val="auto"/>
              </w:rPr>
            </w:pPr>
            <w:r>
              <w:rPr>
                <w:rFonts w:ascii="Arial" w:cs="Arial" w:eastAsia="Arial" w:hAnsi="Arial"/>
                <w:sz w:val="16"/>
                <w:szCs w:val="16"/>
                <w:color w:val="auto"/>
              </w:rPr>
              <w:t>Business Segments</w:t>
            </w:r>
          </w:p>
        </w:tc>
        <w:tc>
          <w:tcPr>
            <w:tcW w:w="480" w:type="dxa"/>
            <w:vAlign w:val="bottom"/>
          </w:tcPr>
          <w:p>
            <w:pPr>
              <w:jc w:val="right"/>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20</w:t>
              </w:r>
            </w:hyperlink>
          </w:p>
        </w:tc>
      </w:tr>
      <w:tr>
        <w:trPr>
          <w:trHeight w:val="513"/>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9860" w:type="dxa"/>
            <w:vAlign w:val="bottom"/>
          </w:tcPr>
          <w:p>
            <w:pPr>
              <w:ind w:left="6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480" w:type="dxa"/>
            <w:vAlign w:val="bottom"/>
          </w:tcPr>
          <w:p>
            <w:pPr>
              <w:jc w:val="right"/>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24</w:t>
              </w:r>
            </w:hyperlink>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9860" w:type="dxa"/>
            <w:vAlign w:val="bottom"/>
          </w:tcPr>
          <w:p>
            <w:pPr>
              <w:ind w:left="60"/>
              <w:spacing w:after="0"/>
              <w:rPr>
                <w:sz w:val="20"/>
                <w:szCs w:val="20"/>
                <w:color w:val="auto"/>
              </w:rPr>
            </w:pPr>
            <w:r>
              <w:rPr>
                <w:rFonts w:ascii="Arial" w:cs="Arial" w:eastAsia="Arial" w:hAnsi="Arial"/>
                <w:sz w:val="16"/>
                <w:szCs w:val="16"/>
                <w:color w:val="auto"/>
              </w:rPr>
              <w:t>Quantitative and Qualitative Disclosures about Market Risk</w:t>
            </w:r>
          </w:p>
        </w:tc>
        <w:tc>
          <w:tcPr>
            <w:tcW w:w="480" w:type="dxa"/>
            <w:vAlign w:val="bottom"/>
          </w:tcPr>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32</w:t>
              </w:r>
            </w:hyperlink>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9860" w:type="dxa"/>
            <w:vAlign w:val="bottom"/>
          </w:tcPr>
          <w:p>
            <w:pPr>
              <w:ind w:left="60"/>
              <w:spacing w:after="0"/>
              <w:rPr>
                <w:sz w:val="20"/>
                <w:szCs w:val="20"/>
                <w:color w:val="auto"/>
              </w:rPr>
            </w:pPr>
            <w:r>
              <w:rPr>
                <w:rFonts w:ascii="Arial" w:cs="Arial" w:eastAsia="Arial" w:hAnsi="Arial"/>
                <w:sz w:val="16"/>
                <w:szCs w:val="16"/>
                <w:color w:val="auto"/>
              </w:rPr>
              <w:t>Controls and Procedures</w:t>
            </w:r>
          </w:p>
        </w:tc>
        <w:tc>
          <w:tcPr>
            <w:tcW w:w="480" w:type="dxa"/>
            <w:vAlign w:val="bottom"/>
          </w:tcPr>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32</w:t>
              </w:r>
            </w:hyperlink>
          </w:p>
        </w:tc>
      </w:tr>
      <w:tr>
        <w:trPr>
          <w:trHeight w:val="486"/>
        </w:trPr>
        <w:tc>
          <w:tcPr>
            <w:tcW w:w="1070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4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9860" w:type="dxa"/>
            <w:vAlign w:val="bottom"/>
          </w:tcPr>
          <w:p>
            <w:pPr>
              <w:ind w:left="60"/>
              <w:spacing w:after="0"/>
              <w:rPr>
                <w:sz w:val="20"/>
                <w:szCs w:val="20"/>
                <w:color w:val="auto"/>
              </w:rPr>
            </w:pPr>
            <w:r>
              <w:rPr>
                <w:rFonts w:ascii="Arial" w:cs="Arial" w:eastAsia="Arial" w:hAnsi="Arial"/>
                <w:sz w:val="16"/>
                <w:szCs w:val="16"/>
                <w:color w:val="auto"/>
              </w:rPr>
              <w:t>Risk Factors</w:t>
            </w:r>
          </w:p>
        </w:tc>
        <w:tc>
          <w:tcPr>
            <w:tcW w:w="480" w:type="dxa"/>
            <w:vAlign w:val="bottom"/>
          </w:tcPr>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32</w:t>
              </w:r>
            </w:hyperlink>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9860" w:type="dxa"/>
            <w:vAlign w:val="bottom"/>
          </w:tcPr>
          <w:p>
            <w:pPr>
              <w:ind w:left="60"/>
              <w:spacing w:after="0"/>
              <w:rPr>
                <w:sz w:val="20"/>
                <w:szCs w:val="20"/>
                <w:color w:val="auto"/>
              </w:rPr>
            </w:pPr>
            <w:r>
              <w:rPr>
                <w:rFonts w:ascii="Arial" w:cs="Arial" w:eastAsia="Arial" w:hAnsi="Arial"/>
                <w:sz w:val="16"/>
                <w:szCs w:val="16"/>
                <w:color w:val="auto"/>
              </w:rPr>
              <w:t>Unregistered Sales of Equity Securities and Use of Proceeds</w:t>
            </w:r>
          </w:p>
        </w:tc>
        <w:tc>
          <w:tcPr>
            <w:tcW w:w="480" w:type="dxa"/>
            <w:vAlign w:val="bottom"/>
          </w:tcPr>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36</w:t>
              </w:r>
            </w:hyperlink>
          </w:p>
        </w:tc>
      </w:tr>
      <w:tr>
        <w:trPr>
          <w:trHeight w:val="513"/>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9860" w:type="dxa"/>
            <w:vAlign w:val="bottom"/>
          </w:tcPr>
          <w:p>
            <w:pPr>
              <w:ind w:left="60"/>
              <w:spacing w:after="0"/>
              <w:rPr>
                <w:sz w:val="20"/>
                <w:szCs w:val="20"/>
                <w:color w:val="auto"/>
              </w:rPr>
            </w:pPr>
            <w:r>
              <w:rPr>
                <w:rFonts w:ascii="Arial" w:cs="Arial" w:eastAsia="Arial" w:hAnsi="Arial"/>
                <w:sz w:val="16"/>
                <w:szCs w:val="16"/>
                <w:color w:val="auto"/>
              </w:rPr>
              <w:t>Exhibits</w:t>
            </w:r>
          </w:p>
        </w:tc>
        <w:tc>
          <w:tcPr>
            <w:tcW w:w="480" w:type="dxa"/>
            <w:vAlign w:val="bottom"/>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37</w:t>
              </w:r>
            </w:hyperlink>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9860" w:type="dxa"/>
            <w:vAlign w:val="bottom"/>
          </w:tcPr>
          <w:p>
            <w:pPr>
              <w:spacing w:after="0"/>
              <w:rPr>
                <w:sz w:val="24"/>
                <w:szCs w:val="24"/>
                <w:color w:val="auto"/>
              </w:rPr>
            </w:pPr>
          </w:p>
        </w:tc>
        <w:tc>
          <w:tcPr>
            <w:tcW w:w="480" w:type="dxa"/>
            <w:vAlign w:val="bottom"/>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38</w:t>
              </w:r>
            </w:hyperlink>
          </w:p>
        </w:tc>
      </w:tr>
    </w:tbl>
    <w:p>
      <w:pPr>
        <w:sectPr>
          <w:pgSz w:w="11900" w:h="16838" w:orient="portrait"/>
          <w:cols w:equalWidth="0" w:num="1">
            <w:col w:w="11180"/>
          </w:cols>
          <w:pgMar w:left="360" w:top="68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9"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732,257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692,199</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497,427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451,355</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179,475</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174,258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16,704</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13,523</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14,165</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13,060</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Impairment of goodwill and intangible assets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16,401</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724,172</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652,196</w:t>
            </w:r>
          </w:p>
        </w:tc>
        <w:tc>
          <w:tcPr>
            <w:tcW w:w="0" w:type="dxa"/>
            <w:vAlign w:val="bottom"/>
          </w:tcPr>
          <w:p>
            <w:pPr>
              <w:spacing w:after="0"/>
              <w:rPr>
                <w:sz w:val="1"/>
                <w:szCs w:val="1"/>
                <w:color w:val="auto"/>
              </w:rPr>
            </w:pPr>
          </w:p>
        </w:tc>
      </w:tr>
      <w:tr>
        <w:trPr>
          <w:trHeight w:val="251"/>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8,085</w:t>
            </w: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40,003</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(1,547)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1,151</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(7,678)</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(7,425)</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18,403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19,928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(Loss) gain on marketable equity securities, net</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(100,393)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24,066</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2,688</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29,351</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30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(79,291)</w:t>
            </w: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109,302</w:t>
            </w:r>
          </w:p>
        </w:tc>
        <w:tc>
          <w:tcPr>
            <w:tcW w:w="0" w:type="dxa"/>
            <w:vAlign w:val="bottom"/>
          </w:tcPr>
          <w:p>
            <w:pPr>
              <w:spacing w:after="0"/>
              <w:rPr>
                <w:sz w:val="1"/>
                <w:szCs w:val="1"/>
                <w:color w:val="auto"/>
              </w:rPr>
            </w:pPr>
          </w:p>
        </w:tc>
      </w:tr>
      <w:tr>
        <w:trPr>
          <w:trHeight w:val="283"/>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(45,400)</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27,600</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30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(33,891)</w:t>
            </w: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81,702</w:t>
            </w:r>
          </w:p>
        </w:tc>
        <w:tc>
          <w:tcPr>
            <w:tcW w:w="0" w:type="dxa"/>
            <w:vAlign w:val="bottom"/>
          </w:tcPr>
          <w:p>
            <w:pPr>
              <w:spacing w:after="0"/>
              <w:rPr>
                <w:sz w:val="1"/>
                <w:szCs w:val="1"/>
                <w:color w:val="auto"/>
              </w:rPr>
            </w:pPr>
          </w:p>
        </w:tc>
      </w:tr>
      <w:tr>
        <w:trPr>
          <w:trHeight w:val="283"/>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646</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(33,245)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81,748</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5,274</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5,274</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67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5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25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r>
      <w:tr>
        <w:trPr>
          <w:trHeight w:val="250"/>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(33,891)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81,702</w:t>
            </w:r>
          </w:p>
        </w:tc>
      </w:tr>
      <w:tr>
        <w:trPr>
          <w:trHeight w:val="270"/>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1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10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(37,376)</w:t>
            </w:r>
          </w:p>
        </w:tc>
        <w:tc>
          <w:tcPr>
            <w:tcW w:w="3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10,033</w:t>
            </w:r>
          </w:p>
        </w:tc>
      </w:tr>
      <w:tr>
        <w:trPr>
          <w:trHeight w:val="270"/>
        </w:trPr>
        <w:tc>
          <w:tcPr>
            <w:tcW w:w="910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100" w:type="dxa"/>
            <w:vAlign w:val="bottom"/>
          </w:tcPr>
          <w:p>
            <w:pPr>
              <w:ind w:left="280"/>
              <w:spacing w:after="0"/>
              <w:rPr>
                <w:sz w:val="20"/>
                <w:szCs w:val="20"/>
                <w:color w:val="auto"/>
              </w:rPr>
            </w:pPr>
            <w:r>
              <w:rPr>
                <w:rFonts w:ascii="Arial" w:cs="Arial" w:eastAsia="Arial" w:hAnsi="Arial"/>
                <w:sz w:val="16"/>
                <w:szCs w:val="16"/>
                <w:color w:val="auto"/>
              </w:rPr>
              <w:t>Amortization of net prior service cost (credit) included in net (loss) income</w:t>
            </w:r>
          </w:p>
        </w:tc>
        <w:tc>
          <w:tcPr>
            <w:tcW w:w="24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671</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(1,347)</w:t>
            </w:r>
          </w:p>
        </w:tc>
      </w:tr>
      <w:tr>
        <w:trPr>
          <w:trHeight w:val="283"/>
        </w:trPr>
        <w:tc>
          <w:tcPr>
            <w:tcW w:w="9100" w:type="dxa"/>
            <w:vAlign w:val="bottom"/>
          </w:tcPr>
          <w:p>
            <w:pPr>
              <w:ind w:left="280"/>
              <w:spacing w:after="0"/>
              <w:rPr>
                <w:sz w:val="20"/>
                <w:szCs w:val="20"/>
                <w:color w:val="auto"/>
              </w:rPr>
            </w:pPr>
            <w:r>
              <w:rPr>
                <w:rFonts w:ascii="Arial" w:cs="Arial" w:eastAsia="Arial" w:hAnsi="Arial"/>
                <w:sz w:val="16"/>
                <w:szCs w:val="16"/>
                <w:color w:val="auto"/>
              </w:rPr>
              <w:t>Amortization of net actuarial loss (gain) included in net (loss)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220</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r>
      <w:tr>
        <w:trPr>
          <w:trHeight w:val="251"/>
        </w:trPr>
        <w:tc>
          <w:tcPr>
            <w:tcW w:w="9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891</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(1,895)</w:t>
            </w:r>
          </w:p>
        </w:tc>
      </w:tr>
      <w:tr>
        <w:trPr>
          <w:trHeight w:val="283"/>
        </w:trPr>
        <w:tc>
          <w:tcPr>
            <w:tcW w:w="9100" w:type="dxa"/>
            <w:vAlign w:val="bottom"/>
          </w:tcPr>
          <w:p>
            <w:pPr>
              <w:ind w:left="180"/>
              <w:spacing w:after="0"/>
              <w:rPr>
                <w:sz w:val="20"/>
                <w:szCs w:val="20"/>
                <w:color w:val="auto"/>
              </w:rPr>
            </w:pPr>
            <w:r>
              <w:rPr>
                <w:rFonts w:ascii="Arial" w:cs="Arial" w:eastAsia="Arial" w:hAnsi="Arial"/>
                <w:sz w:val="16"/>
                <w:szCs w:val="16"/>
                <w:color w:val="auto"/>
              </w:rPr>
              <w:t>Cash flow hedges loss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(1,578)</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51"/>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4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(38,063)</w:t>
            </w:r>
          </w:p>
        </w:tc>
        <w:tc>
          <w:tcPr>
            <w:tcW w:w="38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7,671</w:t>
            </w:r>
          </w:p>
        </w:tc>
      </w:tr>
      <w:tr>
        <w:trPr>
          <w:trHeight w:val="283"/>
        </w:trPr>
        <w:tc>
          <w:tcPr>
            <w:tcW w:w="910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(loss)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120</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619</w:t>
            </w:r>
          </w:p>
        </w:tc>
      </w:tr>
      <w:tr>
        <w:trPr>
          <w:trHeight w:val="264"/>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Net of Tax</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(37,943)</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8,290</w:t>
            </w:r>
          </w:p>
        </w:tc>
      </w:tr>
      <w:tr>
        <w:trPr>
          <w:trHeight w:val="250"/>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24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(71,834)</w:t>
            </w:r>
          </w:p>
        </w:tc>
        <w:tc>
          <w:tcPr>
            <w:tcW w:w="38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89,992</w:t>
            </w:r>
          </w:p>
        </w:tc>
      </w:tr>
      <w:tr>
        <w:trPr>
          <w:trHeight w:val="283"/>
        </w:trPr>
        <w:tc>
          <w:tcPr>
            <w:tcW w:w="9100" w:type="dxa"/>
            <w:vAlign w:val="bottom"/>
          </w:tcPr>
          <w:p>
            <w:pPr>
              <w:ind w:left="180"/>
              <w:spacing w:after="0"/>
              <w:rPr>
                <w:sz w:val="20"/>
                <w:szCs w:val="20"/>
                <w:color w:val="auto"/>
              </w:rPr>
            </w:pPr>
            <w:r>
              <w:rPr>
                <w:rFonts w:ascii="Arial" w:cs="Arial" w:eastAsia="Arial" w:hAnsi="Arial"/>
                <w:sz w:val="16"/>
                <w:szCs w:val="16"/>
                <w:color w:val="auto"/>
              </w:rPr>
              <w:t>Comprehensive loss attributable to noncontrolling interests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646</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r>
      <w:tr>
        <w:trPr>
          <w:trHeight w:val="267"/>
        </w:trPr>
        <w:tc>
          <w:tcPr>
            <w:tcW w:w="910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(71,188)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90,038</w:t>
            </w:r>
          </w:p>
        </w:tc>
      </w:tr>
      <w:tr>
        <w:trPr>
          <w:trHeight w:val="20"/>
        </w:trPr>
        <w:tc>
          <w:tcPr>
            <w:tcW w:w="9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84" w:right="339" w:bottom="1440" w:gutter="0" w:footer="0" w:header="0"/>
        </w:sectPr>
      </w:pPr>
    </w:p>
    <w:bookmarkStart w:id="4" w:name="page5"/>
    <w:bookmarkEnd w:id="4"/>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8"/>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178,646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200,165</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22,993</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13,879</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451,380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599,967</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514,564</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624,216</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55,812</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10,735</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117,440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108,928</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96,407</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92,289</w:t>
            </w:r>
          </w:p>
        </w:tc>
        <w:tc>
          <w:tcPr>
            <w:tcW w:w="0" w:type="dxa"/>
            <w:vAlign w:val="bottom"/>
          </w:tcPr>
          <w:p>
            <w:pPr>
              <w:spacing w:after="0"/>
              <w:rPr>
                <w:sz w:val="1"/>
                <w:szCs w:val="1"/>
                <w:color w:val="auto"/>
              </w:rPr>
            </w:pPr>
          </w:p>
        </w:tc>
      </w:tr>
      <w:tr>
        <w:trPr>
          <w:trHeight w:val="283"/>
        </w:trPr>
        <w:tc>
          <w:tcPr>
            <w:tcW w:w="818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11,783</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13,306</w:t>
            </w:r>
          </w:p>
        </w:tc>
        <w:tc>
          <w:tcPr>
            <w:tcW w:w="0" w:type="dxa"/>
            <w:vAlign w:val="bottom"/>
          </w:tcPr>
          <w:p>
            <w:pPr>
              <w:spacing w:after="0"/>
              <w:rPr>
                <w:sz w:val="1"/>
                <w:szCs w:val="1"/>
                <w:color w:val="auto"/>
              </w:rPr>
            </w:pPr>
          </w:p>
        </w:tc>
      </w:tr>
      <w:tr>
        <w:trPr>
          <w:trHeight w:val="251"/>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1,449,025</w:t>
            </w:r>
          </w:p>
        </w:tc>
        <w:tc>
          <w:tcPr>
            <w:tcW w:w="2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1,663,485</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382,408</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384,670</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486,820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526,417</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167,628</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162,249</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1,362,191</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116,172</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140,197</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235,008</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1,306,843</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1,292,350</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11,062</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11,629</w:t>
            </w:r>
          </w:p>
        </w:tc>
        <w:tc>
          <w:tcPr>
            <w:tcW w:w="0" w:type="dxa"/>
            <w:vAlign w:val="bottom"/>
          </w:tcPr>
          <w:p>
            <w:pPr>
              <w:spacing w:after="0"/>
              <w:rPr>
                <w:sz w:val="1"/>
                <w:szCs w:val="1"/>
                <w:color w:val="auto"/>
              </w:rPr>
            </w:pPr>
          </w:p>
        </w:tc>
      </w:tr>
      <w:tr>
        <w:trPr>
          <w:trHeight w:val="28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128,668</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128,479</w:t>
            </w:r>
          </w:p>
        </w:tc>
        <w:tc>
          <w:tcPr>
            <w:tcW w:w="0" w:type="dxa"/>
            <w:vAlign w:val="bottom"/>
          </w:tcPr>
          <w:p>
            <w:pPr>
              <w:spacing w:after="0"/>
              <w:rPr>
                <w:sz w:val="1"/>
                <w:szCs w:val="1"/>
                <w:color w:val="auto"/>
              </w:rPr>
            </w:pPr>
          </w:p>
        </w:tc>
      </w:tr>
      <w:tr>
        <w:trPr>
          <w:trHeight w:val="264"/>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5,645,825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433,666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507,701</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327,830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355,156</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615</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89,107</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92,714</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78,575</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82,179</w:t>
            </w:r>
          </w:p>
        </w:tc>
        <w:tc>
          <w:tcPr>
            <w:tcW w:w="0" w:type="dxa"/>
            <w:vAlign w:val="bottom"/>
          </w:tcPr>
          <w:p>
            <w:pPr>
              <w:spacing w:after="0"/>
              <w:rPr>
                <w:sz w:val="1"/>
                <w:szCs w:val="1"/>
                <w:color w:val="auto"/>
              </w:rPr>
            </w:pPr>
          </w:p>
        </w:tc>
      </w:tr>
      <w:tr>
        <w:trPr>
          <w:trHeight w:val="283"/>
        </w:trPr>
        <w:tc>
          <w:tcPr>
            <w:tcW w:w="818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7,586</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937,379</w:t>
            </w:r>
          </w:p>
        </w:tc>
        <w:tc>
          <w:tcPr>
            <w:tcW w:w="2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1,041,871</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179,574</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193,836</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31,430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27,223</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406,943</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427,372</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829</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440,732</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477,004</w:t>
            </w:r>
          </w:p>
        </w:tc>
        <w:tc>
          <w:tcPr>
            <w:tcW w:w="0" w:type="dxa"/>
            <w:vAlign w:val="bottom"/>
          </w:tcPr>
          <w:p>
            <w:pPr>
              <w:spacing w:after="0"/>
              <w:rPr>
                <w:sz w:val="1"/>
                <w:szCs w:val="1"/>
                <w:color w:val="auto"/>
              </w:rPr>
            </w:pPr>
          </w:p>
        </w:tc>
      </w:tr>
      <w:tr>
        <w:trPr>
          <w:trHeight w:val="28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430,317</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430,650</w:t>
            </w:r>
          </w:p>
        </w:tc>
        <w:tc>
          <w:tcPr>
            <w:tcW w:w="0" w:type="dxa"/>
            <w:vAlign w:val="bottom"/>
          </w:tcPr>
          <w:p>
            <w:pPr>
              <w:spacing w:after="0"/>
              <w:rPr>
                <w:sz w:val="1"/>
                <w:szCs w:val="1"/>
                <w:color w:val="auto"/>
              </w:rPr>
            </w:pPr>
          </w:p>
        </w:tc>
      </w:tr>
      <w:tr>
        <w:trPr>
          <w:trHeight w:val="263"/>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2,427,204</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2,598,785</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5,781</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383,237</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381,669</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6,485,893</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6,534,427</w:t>
            </w:r>
          </w:p>
        </w:tc>
        <w:tc>
          <w:tcPr>
            <w:tcW w:w="0" w:type="dxa"/>
            <w:vAlign w:val="bottom"/>
          </w:tcPr>
          <w:p>
            <w:pPr>
              <w:spacing w:after="0"/>
              <w:rPr>
                <w:sz w:val="1"/>
                <w:szCs w:val="1"/>
                <w:color w:val="auto"/>
              </w:rPr>
            </w:pPr>
          </w:p>
        </w:tc>
      </w:tr>
      <w:tr>
        <w:trPr>
          <w:trHeight w:val="270"/>
        </w:trPr>
        <w:tc>
          <w:tcPr>
            <w:tcW w:w="81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(59,264)</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(21,888)</w:t>
            </w:r>
          </w:p>
        </w:tc>
        <w:tc>
          <w:tcPr>
            <w:tcW w:w="0" w:type="dxa"/>
            <w:vAlign w:val="bottom"/>
          </w:tcPr>
          <w:p>
            <w:pPr>
              <w:spacing w:after="0"/>
              <w:rPr>
                <w:sz w:val="1"/>
                <w:szCs w:val="1"/>
                <w:color w:val="auto"/>
              </w:rPr>
            </w:pPr>
          </w:p>
        </w:tc>
      </w:tr>
      <w:tr>
        <w:trPr>
          <w:trHeight w:val="270"/>
        </w:trPr>
        <w:tc>
          <w:tcPr>
            <w:tcW w:w="818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326,571</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325,921</w:t>
            </w:r>
          </w:p>
        </w:tc>
        <w:tc>
          <w:tcPr>
            <w:tcW w:w="0" w:type="dxa"/>
            <w:vAlign w:val="bottom"/>
          </w:tcPr>
          <w:p>
            <w:pPr>
              <w:spacing w:after="0"/>
              <w:rPr>
                <w:sz w:val="1"/>
                <w:szCs w:val="1"/>
                <w:color w:val="auto"/>
              </w:rPr>
            </w:pPr>
          </w:p>
        </w:tc>
      </w:tr>
      <w:tr>
        <w:trPr>
          <w:trHeight w:val="270"/>
        </w:trPr>
        <w:tc>
          <w:tcPr>
            <w:tcW w:w="8180" w:type="dxa"/>
            <w:vAlign w:val="bottom"/>
          </w:tcPr>
          <w:p>
            <w:pPr>
              <w:ind w:left="48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(1,955)</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83"/>
        </w:trPr>
        <w:tc>
          <w:tcPr>
            <w:tcW w:w="818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(3,948,427)</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(3,920,152)</w:t>
            </w:r>
          </w:p>
        </w:tc>
        <w:tc>
          <w:tcPr>
            <w:tcW w:w="0" w:type="dxa"/>
            <w:vAlign w:val="bottom"/>
          </w:tcPr>
          <w:p>
            <w:pPr>
              <w:spacing w:after="0"/>
              <w:rPr>
                <w:sz w:val="1"/>
                <w:szCs w:val="1"/>
                <w:color w:val="auto"/>
              </w:rPr>
            </w:pPr>
          </w:p>
        </w:tc>
      </w:tr>
      <w:tr>
        <w:trPr>
          <w:trHeight w:val="264"/>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3,206,055</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3,319,239</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6,785</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7,557</w:t>
            </w:r>
          </w:p>
        </w:tc>
        <w:tc>
          <w:tcPr>
            <w:tcW w:w="0" w:type="dxa"/>
            <w:vAlign w:val="bottom"/>
          </w:tcPr>
          <w:p>
            <w:pPr>
              <w:spacing w:after="0"/>
              <w:rPr>
                <w:sz w:val="1"/>
                <w:szCs w:val="1"/>
                <w:color w:val="auto"/>
              </w:rPr>
            </w:pPr>
          </w:p>
        </w:tc>
      </w:tr>
      <w:tr>
        <w:trPr>
          <w:trHeight w:val="263"/>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3,212,840</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3,326,796</w:t>
            </w:r>
          </w:p>
        </w:tc>
        <w:tc>
          <w:tcPr>
            <w:tcW w:w="0" w:type="dxa"/>
            <w:vAlign w:val="bottom"/>
          </w:tcPr>
          <w:p>
            <w:pPr>
              <w:spacing w:after="0"/>
              <w:rPr>
                <w:sz w:val="1"/>
                <w:szCs w:val="1"/>
                <w:color w:val="auto"/>
              </w:rPr>
            </w:pPr>
          </w:p>
        </w:tc>
      </w:tr>
      <w:tr>
        <w:trPr>
          <w:trHeight w:val="223"/>
        </w:trPr>
        <w:tc>
          <w:tcPr>
            <w:tcW w:w="818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5,645,825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bl>
    <w:p>
      <w:pPr>
        <w:sectPr>
          <w:pgSz w:w="11900" w:h="16885" w:orient="portrait"/>
          <w:cols w:equalWidth="0" w:num="1">
            <w:col w:w="11200"/>
          </w:cols>
          <w:pgMar w:left="340" w:top="670" w:right="359" w:bottom="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5411470</wp:posOffset>
            </wp:positionH>
            <wp:positionV relativeFrom="page">
              <wp:posOffset>97790</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page">
              <wp:posOffset>5411470</wp:posOffset>
            </wp:positionH>
            <wp:positionV relativeFrom="page">
              <wp:posOffset>114935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t>See accompanying Notes to Condensed Consolidated Financial Statements.</w:t>
      </w:r>
    </w:p>
    <w:p>
      <w:pPr>
        <w:spacing w:after="0" w:line="36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65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57"/>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(33,891)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81,702</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Adjustments to reconcile net (loss) income to net cash provided by (used in) operating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Depreciation, amortization and goodwill and intangible asset impairments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47,270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26,583</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23,749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20,353</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(13,784)</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(13,653)</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Loss (gain) on marketable equity securities and cost method investments, net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102,970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(25,357)</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Loss (gain) on disposition of businesses, property, plant and equipment and investments, net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184</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(29,204)</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Provision for doubtful trade receivables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2,429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1,568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1,611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Foreign exchange gain</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(4,290)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1,547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1,021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(Benefit from) provision for deferred income taxes</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(21,550)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5,892</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100,732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30,385</w:t>
            </w: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(8,512)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(8,807)</w:t>
            </w: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(97,476)</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(84,663)</w:t>
            </w: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(12,790)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(16,459)</w:t>
            </w: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(27,774)</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17,964</w:t>
            </w:r>
          </w:p>
        </w:tc>
      </w:tr>
      <w:tr>
        <w:trPr>
          <w:trHeight w:val="270"/>
        </w:trPr>
        <w:tc>
          <w:tcPr>
            <w:tcW w:w="890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(47,483)</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(45,327)</w:t>
            </w: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(496)</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w:t>
            </w:r>
          </w:p>
        </w:tc>
      </w:tr>
      <w:tr>
        <w:trPr>
          <w:trHeight w:val="263"/>
        </w:trPr>
        <w:tc>
          <w:tcPr>
            <w:tcW w:w="8900" w:type="dxa"/>
            <w:vAlign w:val="bottom"/>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12,403</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(37,922)</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(6,011)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(83,721)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(25,235)</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(28,252)</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218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34,718</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(7,427)</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48,016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17,162</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(7,499)</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Loan to related party</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w:t>
            </w:r>
          </w:p>
        </w:tc>
      </w:tr>
      <w:tr>
        <w:trPr>
          <w:trHeight w:val="263"/>
        </w:trPr>
        <w:tc>
          <w:tcPr>
            <w:tcW w:w="890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9,561</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(73,878)</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(33,610)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1,023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30,000</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Net proceeds from vehicle floor plan payable</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2,478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9,529</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(7,703)</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(7,391)</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Issuance of noncontrolling interest</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5,335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Deferred payments of acquisition</w:t>
            </w:r>
          </w:p>
        </w:tc>
        <w:tc>
          <w:tcPr>
            <w:tcW w:w="2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(2,423)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8,215</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264"/>
        </w:trPr>
        <w:tc>
          <w:tcPr>
            <w:tcW w:w="890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(26,685)</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37,034</w:t>
            </w:r>
          </w:p>
        </w:tc>
      </w:tr>
      <w:tr>
        <w:trPr>
          <w:trHeight w:val="264"/>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(7,684)</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1,776</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(12,405)</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(72,990)</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214,044</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264,115</w:t>
            </w:r>
          </w:p>
        </w:tc>
      </w:tr>
      <w:tr>
        <w:trPr>
          <w:trHeight w:val="267"/>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201,639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191,125</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684" w:right="339" w:bottom="954"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954"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56"/>
              <w:spacing w:after="0"/>
              <w:rPr>
                <w:sz w:val="20"/>
                <w:szCs w:val="20"/>
                <w:color w:val="auto"/>
              </w:rPr>
            </w:pPr>
            <w:r>
              <w:rPr>
                <w:rFonts w:ascii="Arial" w:cs="Arial" w:eastAsia="Arial" w:hAnsi="Arial"/>
                <w:sz w:val="11"/>
                <w:szCs w:val="11"/>
                <w:color w:val="auto"/>
                <w:w w:val="99"/>
              </w:rPr>
              <w:t>Redeemable</w:t>
            </w:r>
          </w:p>
        </w:tc>
      </w:tr>
      <w:tr>
        <w:trPr>
          <w:trHeight w:val="122"/>
        </w:trPr>
        <w:tc>
          <w:tcPr>
            <w:tcW w:w="3600" w:type="dxa"/>
            <w:vAlign w:val="bottom"/>
          </w:tcPr>
          <w:p>
            <w:pPr>
              <w:spacing w:after="0"/>
              <w:rPr>
                <w:sz w:val="10"/>
                <w:szCs w:val="10"/>
                <w:color w:val="auto"/>
              </w:rPr>
            </w:pPr>
          </w:p>
        </w:tc>
        <w:tc>
          <w:tcPr>
            <w:tcW w:w="640" w:type="dxa"/>
            <w:vAlign w:val="bottom"/>
          </w:tcPr>
          <w:p>
            <w:pPr>
              <w:jc w:val="right"/>
              <w:ind w:right="37"/>
              <w:spacing w:after="0" w:line="122" w:lineRule="exact"/>
              <w:rPr>
                <w:sz w:val="20"/>
                <w:szCs w:val="20"/>
                <w:color w:val="auto"/>
              </w:rPr>
            </w:pPr>
            <w:r>
              <w:rPr>
                <w:rFonts w:ascii="Arial" w:cs="Arial" w:eastAsia="Arial" w:hAnsi="Arial"/>
                <w:sz w:val="11"/>
                <w:szCs w:val="11"/>
                <w:color w:val="auto"/>
              </w:rPr>
              <w:t>Common</w:t>
            </w:r>
          </w:p>
        </w:tc>
        <w:tc>
          <w:tcPr>
            <w:tcW w:w="180" w:type="dxa"/>
            <w:vAlign w:val="bottom"/>
          </w:tcPr>
          <w:p>
            <w:pPr>
              <w:spacing w:after="0"/>
              <w:rPr>
                <w:sz w:val="10"/>
                <w:szCs w:val="10"/>
                <w:color w:val="auto"/>
              </w:rPr>
            </w:pPr>
          </w:p>
        </w:tc>
        <w:tc>
          <w:tcPr>
            <w:tcW w:w="660" w:type="dxa"/>
            <w:vAlign w:val="bottom"/>
          </w:tcPr>
          <w:p>
            <w:pPr>
              <w:ind w:left="40"/>
              <w:spacing w:after="0" w:line="122"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10"/>
                <w:szCs w:val="10"/>
                <w:color w:val="auto"/>
              </w:rPr>
            </w:pPr>
          </w:p>
        </w:tc>
        <w:tc>
          <w:tcPr>
            <w:tcW w:w="740" w:type="dxa"/>
            <w:vAlign w:val="bottom"/>
          </w:tcPr>
          <w:p>
            <w:pPr>
              <w:jc w:val="right"/>
              <w:ind w:right="154"/>
              <w:spacing w:after="0" w:line="122" w:lineRule="exact"/>
              <w:rPr>
                <w:sz w:val="20"/>
                <w:szCs w:val="20"/>
                <w:color w:val="auto"/>
              </w:rPr>
            </w:pPr>
            <w:r>
              <w:rPr>
                <w:rFonts w:ascii="Arial" w:cs="Arial" w:eastAsia="Arial" w:hAnsi="Arial"/>
                <w:sz w:val="11"/>
                <w:szCs w:val="11"/>
                <w:color w:val="auto"/>
              </w:rPr>
              <w:t>Retained</w:t>
            </w:r>
          </w:p>
        </w:tc>
        <w:tc>
          <w:tcPr>
            <w:tcW w:w="160" w:type="dxa"/>
            <w:vAlign w:val="bottom"/>
          </w:tcPr>
          <w:p>
            <w:pPr>
              <w:spacing w:after="0"/>
              <w:rPr>
                <w:sz w:val="10"/>
                <w:szCs w:val="10"/>
                <w:color w:val="auto"/>
              </w:rPr>
            </w:pPr>
          </w:p>
        </w:tc>
        <w:tc>
          <w:tcPr>
            <w:tcW w:w="940" w:type="dxa"/>
            <w:vAlign w:val="bottom"/>
          </w:tcPr>
          <w:p>
            <w:pPr>
              <w:jc w:val="center"/>
              <w:ind w:right="56"/>
              <w:spacing w:after="0" w:line="122" w:lineRule="exact"/>
              <w:rPr>
                <w:sz w:val="20"/>
                <w:szCs w:val="20"/>
                <w:color w:val="auto"/>
              </w:rPr>
            </w:pPr>
            <w:r>
              <w:rPr>
                <w:rFonts w:ascii="Arial" w:cs="Arial" w:eastAsia="Arial" w:hAnsi="Arial"/>
                <w:sz w:val="11"/>
                <w:szCs w:val="11"/>
                <w:color w:val="auto"/>
                <w:w w:val="96"/>
              </w:rPr>
              <w:t>Comprehensive</w:t>
            </w:r>
          </w:p>
        </w:tc>
        <w:tc>
          <w:tcPr>
            <w:tcW w:w="200" w:type="dxa"/>
            <w:vAlign w:val="bottom"/>
          </w:tcPr>
          <w:p>
            <w:pPr>
              <w:spacing w:after="0"/>
              <w:rPr>
                <w:sz w:val="10"/>
                <w:szCs w:val="10"/>
                <w:color w:val="auto"/>
              </w:rPr>
            </w:pPr>
          </w:p>
        </w:tc>
        <w:tc>
          <w:tcPr>
            <w:tcW w:w="800" w:type="dxa"/>
            <w:vAlign w:val="bottom"/>
          </w:tcPr>
          <w:p>
            <w:pPr>
              <w:jc w:val="right"/>
              <w:ind w:right="216"/>
              <w:spacing w:after="0" w:line="122" w:lineRule="exact"/>
              <w:rPr>
                <w:sz w:val="20"/>
                <w:szCs w:val="20"/>
                <w:color w:val="auto"/>
              </w:rPr>
            </w:pPr>
            <w:r>
              <w:rPr>
                <w:rFonts w:ascii="Arial" w:cs="Arial" w:eastAsia="Arial" w:hAnsi="Arial"/>
                <w:sz w:val="11"/>
                <w:szCs w:val="11"/>
                <w:color w:val="auto"/>
              </w:rPr>
              <w:t>Treasury</w:t>
            </w:r>
          </w:p>
        </w:tc>
        <w:tc>
          <w:tcPr>
            <w:tcW w:w="140" w:type="dxa"/>
            <w:vAlign w:val="bottom"/>
          </w:tcPr>
          <w:p>
            <w:pPr>
              <w:spacing w:after="0"/>
              <w:rPr>
                <w:sz w:val="10"/>
                <w:szCs w:val="10"/>
                <w:color w:val="auto"/>
              </w:rPr>
            </w:pPr>
          </w:p>
        </w:tc>
        <w:tc>
          <w:tcPr>
            <w:tcW w:w="860" w:type="dxa"/>
            <w:vAlign w:val="bottom"/>
          </w:tcPr>
          <w:p>
            <w:pPr>
              <w:jc w:val="right"/>
              <w:ind w:right="76"/>
              <w:spacing w:after="0" w:line="122" w:lineRule="exact"/>
              <w:rPr>
                <w:sz w:val="20"/>
                <w:szCs w:val="20"/>
                <w:color w:val="auto"/>
              </w:rPr>
            </w:pPr>
            <w:r>
              <w:rPr>
                <w:rFonts w:ascii="Arial" w:cs="Arial" w:eastAsia="Arial" w:hAnsi="Arial"/>
                <w:sz w:val="11"/>
                <w:szCs w:val="11"/>
                <w:color w:val="auto"/>
                <w:w w:val="99"/>
              </w:rPr>
              <w:t>Noncontrolling</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56"/>
              <w:spacing w:after="0" w:line="122" w:lineRule="exact"/>
              <w:rPr>
                <w:sz w:val="20"/>
                <w:szCs w:val="20"/>
                <w:color w:val="auto"/>
              </w:rPr>
            </w:pPr>
            <w:r>
              <w:rPr>
                <w:rFonts w:ascii="Arial" w:cs="Arial" w:eastAsia="Arial" w:hAnsi="Arial"/>
                <w:sz w:val="11"/>
                <w:szCs w:val="11"/>
                <w:color w:val="auto"/>
                <w:w w:val="99"/>
              </w:rPr>
              <w:t>Noncontrolling</w:t>
            </w:r>
          </w:p>
        </w:tc>
      </w:tr>
      <w:tr>
        <w:trPr>
          <w:trHeight w:val="130"/>
        </w:trPr>
        <w:tc>
          <w:tcPr>
            <w:tcW w:w="36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40" w:type="dxa"/>
            <w:vAlign w:val="bottom"/>
          </w:tcPr>
          <w:p>
            <w:pPr>
              <w:jc w:val="right"/>
              <w:ind w:right="97"/>
              <w:spacing w:after="0"/>
              <w:rPr>
                <w:sz w:val="20"/>
                <w:szCs w:val="20"/>
                <w:color w:val="auto"/>
              </w:rPr>
            </w:pPr>
            <w:r>
              <w:rPr>
                <w:rFonts w:ascii="Arial" w:cs="Arial" w:eastAsia="Arial" w:hAnsi="Arial"/>
                <w:sz w:val="11"/>
                <w:szCs w:val="11"/>
                <w:color w:val="auto"/>
              </w:rPr>
              <w:t>Stock</w:t>
            </w:r>
          </w:p>
        </w:tc>
        <w:tc>
          <w:tcPr>
            <w:tcW w:w="1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1"/>
                <w:szCs w:val="11"/>
                <w:color w:val="auto"/>
              </w:rPr>
            </w:pPr>
          </w:p>
        </w:tc>
        <w:tc>
          <w:tcPr>
            <w:tcW w:w="740" w:type="dxa"/>
            <w:vAlign w:val="bottom"/>
          </w:tcPr>
          <w:p>
            <w:pPr>
              <w:jc w:val="right"/>
              <w:ind w:right="154"/>
              <w:spacing w:after="0"/>
              <w:rPr>
                <w:sz w:val="20"/>
                <w:szCs w:val="20"/>
                <w:color w:val="auto"/>
              </w:rPr>
            </w:pPr>
            <w:r>
              <w:rPr>
                <w:rFonts w:ascii="Arial" w:cs="Arial" w:eastAsia="Arial" w:hAnsi="Arial"/>
                <w:sz w:val="11"/>
                <w:szCs w:val="11"/>
                <w:color w:val="auto"/>
              </w:rPr>
              <w:t>Earnings</w:t>
            </w:r>
          </w:p>
        </w:tc>
        <w:tc>
          <w:tcPr>
            <w:tcW w:w="160" w:type="dxa"/>
            <w:vAlign w:val="bottom"/>
          </w:tcPr>
          <w:p>
            <w:pPr>
              <w:spacing w:after="0"/>
              <w:rPr>
                <w:sz w:val="11"/>
                <w:szCs w:val="11"/>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200" w:type="dxa"/>
            <w:vAlign w:val="bottom"/>
          </w:tcPr>
          <w:p>
            <w:pPr>
              <w:spacing w:after="0"/>
              <w:rPr>
                <w:sz w:val="11"/>
                <w:szCs w:val="11"/>
                <w:color w:val="auto"/>
              </w:rPr>
            </w:pPr>
          </w:p>
        </w:tc>
        <w:tc>
          <w:tcPr>
            <w:tcW w:w="800" w:type="dxa"/>
            <w:vAlign w:val="bottom"/>
          </w:tcPr>
          <w:p>
            <w:pPr>
              <w:jc w:val="right"/>
              <w:ind w:right="276"/>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860" w:type="dxa"/>
            <w:vAlign w:val="bottom"/>
          </w:tcPr>
          <w:p>
            <w:pPr>
              <w:jc w:val="right"/>
              <w:ind w:right="236"/>
              <w:spacing w:after="0"/>
              <w:rPr>
                <w:sz w:val="20"/>
                <w:szCs w:val="20"/>
                <w:color w:val="auto"/>
              </w:rPr>
            </w:pPr>
            <w:r>
              <w:rPr>
                <w:rFonts w:ascii="Arial" w:cs="Arial" w:eastAsia="Arial" w:hAnsi="Arial"/>
                <w:sz w:val="11"/>
                <w:szCs w:val="11"/>
                <w:color w:val="auto"/>
              </w:rPr>
              <w:t>Interest</w:t>
            </w:r>
          </w:p>
        </w:tc>
        <w:tc>
          <w:tcPr>
            <w:tcW w:w="180" w:type="dxa"/>
            <w:vAlign w:val="bottom"/>
          </w:tcPr>
          <w:p>
            <w:pPr>
              <w:spacing w:after="0"/>
              <w:rPr>
                <w:sz w:val="11"/>
                <w:szCs w:val="11"/>
                <w:color w:val="auto"/>
              </w:rPr>
            </w:pPr>
          </w:p>
        </w:tc>
        <w:tc>
          <w:tcPr>
            <w:tcW w:w="880" w:type="dxa"/>
            <w:vAlign w:val="bottom"/>
          </w:tcPr>
          <w:p>
            <w:pPr>
              <w:jc w:val="right"/>
              <w:ind w:right="193"/>
              <w:spacing w:after="0"/>
              <w:rPr>
                <w:sz w:val="20"/>
                <w:szCs w:val="20"/>
                <w:color w:val="auto"/>
              </w:rPr>
            </w:pPr>
            <w:r>
              <w:rPr>
                <w:rFonts w:ascii="Arial" w:cs="Arial" w:eastAsia="Arial" w:hAnsi="Arial"/>
                <w:sz w:val="11"/>
                <w:szCs w:val="11"/>
                <w:color w:val="auto"/>
              </w:rPr>
              <w:t>Total Equity</w:t>
            </w:r>
          </w:p>
        </w:tc>
        <w:tc>
          <w:tcPr>
            <w:tcW w:w="200" w:type="dxa"/>
            <w:vAlign w:val="bottom"/>
          </w:tcPr>
          <w:p>
            <w:pPr>
              <w:spacing w:after="0"/>
              <w:rPr>
                <w:sz w:val="11"/>
                <w:szCs w:val="11"/>
                <w:color w:val="auto"/>
              </w:rPr>
            </w:pPr>
          </w:p>
        </w:tc>
        <w:tc>
          <w:tcPr>
            <w:tcW w:w="860" w:type="dxa"/>
            <w:vAlign w:val="bottom"/>
          </w:tcPr>
          <w:p>
            <w:pPr>
              <w:jc w:val="center"/>
              <w:ind w:right="76"/>
              <w:spacing w:after="0"/>
              <w:rPr>
                <w:sz w:val="20"/>
                <w:szCs w:val="20"/>
                <w:color w:val="auto"/>
              </w:rPr>
            </w:pPr>
            <w:r>
              <w:rPr>
                <w:rFonts w:ascii="Arial" w:cs="Arial" w:eastAsia="Arial" w:hAnsi="Arial"/>
                <w:sz w:val="11"/>
                <w:szCs w:val="11"/>
                <w:color w:val="auto"/>
                <w:w w:val="97"/>
              </w:rPr>
              <w:t>Interest</w:t>
            </w: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2019</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381,669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6,534,427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b w:val="1"/>
                <w:bCs w:val="1"/>
                <w:color w:val="auto"/>
              </w:rPr>
              <w:t>303,295</w:t>
            </w:r>
          </w:p>
        </w:tc>
        <w:tc>
          <w:tcPr>
            <w:tcW w:w="2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(3,920,152)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7,557</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3,326,796</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5,655</w:t>
            </w: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Net loss for the period</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(33,891)</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(33,891)</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noncontrolling interest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772</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(772)</w:t>
            </w: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7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redeemable noncontrolling</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8"/>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interests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(126)</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(126)</w:t>
            </w:r>
          </w:p>
        </w:tc>
        <w:tc>
          <w:tcPr>
            <w:tcW w:w="20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126</w:t>
            </w: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Dividends on common stock</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(15,289)</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(15,289)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(33,610)</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(33,610)</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Issuance of Class B common stock</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rPr>
              <w:t>5,335</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5,335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73"/>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8"/>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stock option expense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1,568</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1,568</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8"/>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 net of income taxes</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(37,943)</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(37,943)</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As of March 31, 2020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383,237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6,485,893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265,352</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(3,948,427)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6,785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3,212,840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5,781</w:t>
            </w:r>
          </w:p>
        </w:tc>
      </w:tr>
      <w:tr>
        <w:trPr>
          <w:trHeight w:val="20"/>
        </w:trPr>
        <w:tc>
          <w:tcPr>
            <w:tcW w:w="3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72"/>
        </w:trPr>
        <w:tc>
          <w:tcPr>
            <w:tcW w:w="3600" w:type="dxa"/>
            <w:vAlign w:val="bottom"/>
          </w:tcPr>
          <w:p>
            <w:pPr>
              <w:ind w:left="20"/>
              <w:spacing w:after="0"/>
              <w:rPr>
                <w:sz w:val="20"/>
                <w:szCs w:val="20"/>
                <w:color w:val="auto"/>
              </w:rPr>
            </w:pPr>
            <w:r>
              <w:rPr>
                <w:rFonts w:ascii="Arial" w:cs="Arial" w:eastAsia="Arial" w:hAnsi="Arial"/>
                <w:sz w:val="13"/>
                <w:szCs w:val="13"/>
                <w:color w:val="auto"/>
              </w:rPr>
              <w:t>As of December 31, 2018</w:t>
            </w:r>
          </w:p>
        </w:tc>
        <w:tc>
          <w:tcPr>
            <w:tcW w:w="640" w:type="dxa"/>
            <w:vAlign w:val="bottom"/>
          </w:tcPr>
          <w:p>
            <w:pPr>
              <w:jc w:val="right"/>
              <w:spacing w:after="0"/>
              <w:rPr>
                <w:sz w:val="20"/>
                <w:szCs w:val="20"/>
                <w:color w:val="auto"/>
              </w:rPr>
            </w:pPr>
            <w:r>
              <w:rPr>
                <w:rFonts w:ascii="Arial" w:cs="Arial" w:eastAsia="Arial" w:hAnsi="Arial"/>
                <w:sz w:val="13"/>
                <w:szCs w:val="13"/>
                <w:color w:val="auto"/>
              </w:rPr>
              <w:t>$ 20,000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378,837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6,236,125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203,829</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(3,922,009)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2,916,782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4,346</w:t>
            </w: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81,702</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81,702</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Issuance of noncontrolling interest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6,000</w:t>
            </w: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6,000</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62</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36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36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(54)</w:t>
            </w:r>
          </w:p>
        </w:tc>
        <w:tc>
          <w:tcPr>
            <w:tcW w:w="20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54</w:t>
            </w: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(14,779)</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(14,779)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3600" w:type="dxa"/>
            <w:vAlign w:val="bottom"/>
          </w:tcPr>
          <w:p>
            <w:pPr>
              <w:ind w:left="20"/>
              <w:spacing w:after="0"/>
              <w:rPr>
                <w:sz w:val="20"/>
                <w:szCs w:val="20"/>
                <w:color w:val="auto"/>
              </w:rPr>
            </w:pPr>
            <w:r>
              <w:rPr>
                <w:rFonts w:ascii="Arial" w:cs="Arial" w:eastAsia="Arial" w:hAnsi="Arial"/>
                <w:sz w:val="13"/>
                <w:szCs w:val="13"/>
                <w:color w:val="auto"/>
              </w:rPr>
              <w:t>award forfeitures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(3,783)</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3,755</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3600" w:type="dxa"/>
            <w:vAlign w:val="bottom"/>
          </w:tcPr>
          <w:p>
            <w:pPr>
              <w:ind w:left="20"/>
              <w:spacing w:after="0"/>
              <w:rPr>
                <w:sz w:val="20"/>
                <w:szCs w:val="20"/>
                <w:color w:val="auto"/>
              </w:rPr>
            </w:pPr>
            <w:r>
              <w:rPr>
                <w:rFonts w:ascii="Arial" w:cs="Arial" w:eastAsia="Arial" w:hAnsi="Arial"/>
                <w:sz w:val="13"/>
                <w:szCs w:val="13"/>
                <w:color w:val="auto"/>
              </w:rPr>
              <w:t>option expense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1,639</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1,639</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8,290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8,290</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8"/>
        </w:trPr>
        <w:tc>
          <w:tcPr>
            <w:tcW w:w="360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w:t>
            </w:r>
          </w:p>
        </w:tc>
      </w:tr>
      <w:tr>
        <w:trPr>
          <w:trHeight w:val="270"/>
        </w:trPr>
        <w:tc>
          <w:tcPr>
            <w:tcW w:w="3600" w:type="dxa"/>
            <w:vAlign w:val="bottom"/>
          </w:tcPr>
          <w:p>
            <w:pPr>
              <w:ind w:left="20"/>
              <w:spacing w:after="0"/>
              <w:rPr>
                <w:sz w:val="20"/>
                <w:szCs w:val="20"/>
                <w:color w:val="auto"/>
              </w:rPr>
            </w:pPr>
            <w:r>
              <w:rPr>
                <w:rFonts w:ascii="Arial" w:cs="Arial" w:eastAsia="Arial" w:hAnsi="Arial"/>
                <w:sz w:val="13"/>
                <w:szCs w:val="13"/>
                <w:color w:val="auto"/>
              </w:rPr>
              <w:t>As of March 31, 2019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376,639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6,303,094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212,119</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5,938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2,999,536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3,866</w:t>
            </w:r>
          </w:p>
        </w:tc>
      </w:tr>
      <w:tr>
        <w:trPr>
          <w:trHeight w:val="20"/>
        </w:trPr>
        <w:tc>
          <w:tcPr>
            <w:tcW w:w="3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684" w:right="35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restaurants and entertainment venues and home health and hospice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2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2020 and 2019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2019.</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March 31, 2020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and indefinite-lived impairment charges (see Note 6), there were no other impacts to the Company’s condensed consolidated financial statements as of and for the three months ended March 31, 2020 resulting from our assessments. The Company’s future assessment of the magnitude and duration of COVID-19, as well as other factors, could result in material impacts to the Company’s condensed consolidated financial statements in future reporting periods.</w:t>
      </w:r>
    </w:p>
    <w:p>
      <w:pPr>
        <w:spacing w:after="0" w:line="11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in previously issued condensed consolidated financial statements have been reclassified to conform</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presentation for the period ended March 31, 2020. This includes the reclassification of $25.9 million from operating to selling, general and administrative in the Condensed Consolidated Statements of Operations for the three months ended March 31, 2019.</w:t>
      </w:r>
    </w:p>
    <w:p>
      <w:pPr>
        <w:spacing w:after="0" w:line="113"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June 2016, the FASB issued new guidance that requires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measured at amortized cost, including accounts receivable, to be measured using the current expected credit losses model (CECL). CECL requires current expected credit losses to be measured upon the initial recognition of a financial asset by considering all available relevant information, including information about past events, current conditions and reasonable and supportable forecasts of future economic conditions. The standard was adopted by the Company in the first quarter of 2020 and did not have a significant impact on its Condensed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three months of 2020, Kaplan acquired two small businesses; one in its professional (U.S.) division and one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division.</w:t>
      </w:r>
    </w:p>
    <w:p>
      <w:pPr>
        <w:spacing w:after="0" w:line="120"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During 2019, the Company acquired eight businesses, one in education, three in healthcare, one in manufacturing, and three in 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3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5). In connection with the acquisition, the automotive subsidiary of the Company borrowed $ 30 million to finance the acquisition and entered into an interest rate swap to fix the interest rate on the debt at 4.7% per annum (see Note 7).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other businesses.</w:t>
      </w:r>
    </w:p>
    <w:p>
      <w:pPr>
        <w:spacing w:after="0" w:line="13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In July 2019, Graham Healthcare Group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13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13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On December 1, 2019, GHG acquired 75% of the preferred shares of CSI Pharmacy Holding Company, LLC, (CSI). In connection with the acquisition, CSI entered into an $11.25 million Term Loan (see Note 7)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 noncontrolling interest in CSI was $1.7 million at the acquisition date, determined using an income approach. The acquisition is expected to expand the product offerings of the healthcare division.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70" w:right="339" w:bottom="1440" w:gutter="0" w:footer="0" w:header="0"/>
        </w:sectPr>
      </w:pPr>
    </w:p>
    <w:bookmarkStart w:id="10" w:name="page11"/>
    <w:bookmarkEnd w:id="10"/>
    <w:p>
      <w:pPr>
        <w:ind w:right="60"/>
        <w:spacing w:after="0" w:line="235" w:lineRule="auto"/>
        <w:rPr>
          <w:sz w:val="20"/>
          <w:szCs w:val="20"/>
          <w:color w:val="auto"/>
        </w:rPr>
      </w:pPr>
      <w:r>
        <w:rPr>
          <w:rFonts w:ascii="Arial" w:cs="Arial" w:eastAsia="Arial" w:hAnsi="Arial"/>
          <w:sz w:val="18"/>
          <w:szCs w:val="18"/>
          <w:color w:val="auto"/>
        </w:rPr>
        <w:t>Acquisition-related costs were expensed as incurred. The aggregate purchase price of the 2019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Purchase Price Allocation</w:t>
            </w:r>
          </w:p>
        </w:tc>
      </w:tr>
      <w:tr>
        <w:trPr>
          <w:trHeight w:val="244"/>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center"/>
              <w:ind w:right="101"/>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86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6,762</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34,134</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56,391</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Lease right-of-use assets</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98,505</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84,515</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46,900</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21,291</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3"/>
                <w:szCs w:val="23"/>
                <w:color w:val="auto"/>
              </w:rPr>
            </w:pPr>
          </w:p>
        </w:tc>
        <w:tc>
          <w:tcPr>
            <w:tcW w:w="2120" w:type="dxa"/>
            <w:vAlign w:val="bottom"/>
          </w:tcPr>
          <w:p>
            <w:pPr>
              <w:jc w:val="right"/>
              <w:ind w:right="41"/>
              <w:spacing w:after="0"/>
              <w:rPr>
                <w:sz w:val="20"/>
                <w:szCs w:val="20"/>
                <w:color w:val="auto"/>
              </w:rPr>
            </w:pPr>
            <w:r>
              <w:rPr>
                <w:rFonts w:ascii="Arial" w:cs="Arial" w:eastAsia="Arial" w:hAnsi="Arial"/>
                <w:sz w:val="16"/>
                <w:szCs w:val="16"/>
                <w:color w:val="auto"/>
              </w:rPr>
              <w:t>8,308</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(25,755)</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(42,555)</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(99,131)</w:t>
            </w:r>
          </w:p>
        </w:tc>
      </w:tr>
      <w:tr>
        <w:trPr>
          <w:trHeight w:val="270"/>
        </w:trPr>
        <w:tc>
          <w:tcPr>
            <w:tcW w:w="868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283"/>
        </w:trPr>
        <w:tc>
          <w:tcPr>
            <w:tcW w:w="868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r>
      <w:tr>
        <w:trPr>
          <w:trHeight w:val="240"/>
        </w:trPr>
        <w:tc>
          <w:tcPr>
            <w:tcW w:w="868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183,793</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2019 fair values recorded were based upon preliminary valuations and the estimates and assumptions used in such valuations are subject to change within the measurement period (up to one year from the acquisition date). The values above reflect a measurement period adjustment related to the Lease Right-of-Use Assets and Current and noncurrent lease liabilities.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$70.7 million of goodwill for income tax purposes for the acquisitions completed in 2019.</w:t>
      </w:r>
    </w:p>
    <w:p>
      <w:pPr>
        <w:spacing w:after="0" w:line="135"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The acquired companies were consolidated into the Company’s financial statements starting on their respective acquisition dates. The following unaudited pro forma financial information presents the Company’s results as if the current year acquisitions had occurred at the beginning of 2019. The unaudited pro forma information also includes the 2019 acquisitions as if they occurred at the beginning of 2018:</w:t>
      </w:r>
    </w:p>
    <w:p>
      <w:pPr>
        <w:spacing w:after="0" w:line="13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58"/>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4"/>
              <w:spacing w:after="0"/>
              <w:rPr>
                <w:sz w:val="20"/>
                <w:szCs w:val="20"/>
                <w:color w:val="auto"/>
              </w:rPr>
            </w:pPr>
            <w:r>
              <w:rPr>
                <w:rFonts w:ascii="Arial" w:cs="Arial" w:eastAsia="Arial" w:hAnsi="Arial"/>
                <w:sz w:val="16"/>
                <w:szCs w:val="16"/>
                <w:b w:val="1"/>
                <w:bCs w:val="1"/>
                <w:color w:val="auto"/>
              </w:rPr>
              <w:t>732,598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751,191</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(36,414)</w:t>
            </w:r>
          </w:p>
        </w:tc>
        <w:tc>
          <w:tcPr>
            <w:tcW w:w="4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78,896</w:t>
            </w:r>
          </w:p>
        </w:tc>
      </w:tr>
    </w:tbl>
    <w:p>
      <w:pPr>
        <w:spacing w:after="0" w:line="16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November 2019, Kaplan UK completed the sale of a small business which was included in Kaplan International.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92" w:right="339" w:bottom="1440" w:gutter="0" w:footer="0" w:header="0"/>
        </w:sectPr>
      </w:pPr>
    </w:p>
    <w:bookmarkStart w:id="11" w:name="page12"/>
    <w:bookmarkEnd w:id="11"/>
    <w:p>
      <w:pPr>
        <w:ind w:right="40"/>
        <w:spacing w:after="0" w:line="224"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During 2019, the Company established GHC One as a vehicle to invest in a portfolio of healthcare businesses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142"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As of March 31, 2020, the Company held a controlling financial interest in GHC One and therefore includes the assets, liabilities, results of operations and cash flows in its consolidated financial statements. GHC One acquired CSI and another small business during 2019. The Company accounts for the minority ownership of the group of senior managers as a mandatorily redeemable noncontrolling interest.</w:t>
      </w:r>
    </w:p>
    <w:p>
      <w:pPr>
        <w:spacing w:after="0" w:line="16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March 2019, a Hoover minority shareholder put some shares to the Company, which had a redemption value of $0.6 million. Following the redemption, the Company owns 98.01% of Hoover.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2020 and December 31, 2019, the Company had money market investments of $93.7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$45.2 million, respectively, that are classified as cash and cash equivalents in the Company’s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r>
      <w:tr>
        <w:trPr>
          <w:trHeight w:val="337"/>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04"/>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18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4"/>
              <w:spacing w:after="0"/>
              <w:rPr>
                <w:sz w:val="20"/>
                <w:szCs w:val="20"/>
                <w:color w:val="auto"/>
              </w:rPr>
            </w:pPr>
            <w:r>
              <w:rPr>
                <w:rFonts w:ascii="Arial" w:cs="Arial" w:eastAsia="Arial" w:hAnsi="Arial"/>
                <w:sz w:val="16"/>
                <w:szCs w:val="16"/>
                <w:b w:val="1"/>
                <w:bCs w:val="1"/>
                <w:color w:val="auto"/>
              </w:rPr>
              <w:t>232,096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282,349</w:t>
            </w:r>
          </w:p>
        </w:tc>
      </w:tr>
      <w:tr>
        <w:trPr>
          <w:trHeight w:val="283"/>
        </w:trPr>
        <w:tc>
          <w:tcPr>
            <w:tcW w:w="844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204,108</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302,731</w:t>
            </w:r>
          </w:p>
        </w:tc>
      </w:tr>
      <w:tr>
        <w:trPr>
          <w:trHeight w:val="26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436,204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585,080</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There were no purchases of marketable equity securities during the first three months of 2020. The Company purchased $7.5 million of marketable equity securities during the first three months of 2019.</w:t>
      </w:r>
    </w:p>
    <w:p>
      <w:pPr>
        <w:spacing w:after="0" w:line="135"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During the first three months of 2020, the gross cumulative realized losses from the sales of marketable equity securities were $2.0 million. The total proceeds from such sales were $48.0 million. During the first three months of 2019, the gross cumulative realized gains from the sales of marketable equity securities were $9.7 million. The total proceeds from such sales were $17.2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14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57"/>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(Loss) 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(100,393)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24,066</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8,774</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w:t>
            </w:r>
          </w:p>
        </w:tc>
      </w:tr>
      <w:tr>
        <w:trPr>
          <w:trHeight w:val="267"/>
        </w:trPr>
        <w:tc>
          <w:tcPr>
            <w:tcW w:w="8900" w:type="dxa"/>
            <w:vAlign w:val="bottom"/>
          </w:tcPr>
          <w:p>
            <w:pPr>
              <w:ind w:left="40"/>
              <w:spacing w:after="0"/>
              <w:rPr>
                <w:sz w:val="20"/>
                <w:szCs w:val="20"/>
                <w:color w:val="auto"/>
              </w:rPr>
            </w:pPr>
            <w:r>
              <w:rPr>
                <w:rFonts w:ascii="Arial" w:cs="Arial" w:eastAsia="Arial" w:hAnsi="Arial"/>
                <w:sz w:val="16"/>
                <w:szCs w:val="16"/>
                <w:color w:val="auto"/>
              </w:rPr>
              <w:t>Net unrealized (losses) gains in earnings from marketable equity securities still held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(91,619)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21,084</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2020,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months ended March 31, 2020 and 2019, the Company recorded $2.5 million and $2.3 million, respectively, in revenue for services provided to the affiliates of GHG.</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relates to the Company’s investment in Framebridge. The Company records its share of the earnings or losses of its affiliates from their most recent available financial statements. In some instances, the reporting period of the affiliates’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70" w:right="339" w:bottom="1440" w:gutter="0" w:footer="0" w:header="0"/>
        </w:sectPr>
      </w:pPr>
    </w:p>
    <w:bookmarkStart w:id="12" w:name="page13"/>
    <w:bookmarkEnd w:id="12"/>
    <w:p>
      <w:pPr>
        <w:ind w:right="120"/>
        <w:spacing w:after="0" w:line="229" w:lineRule="auto"/>
        <w:rPr>
          <w:sz w:val="20"/>
          <w:szCs w:val="20"/>
          <w:color w:val="auto"/>
        </w:rPr>
      </w:pPr>
      <w:r>
        <w:rPr>
          <w:rFonts w:ascii="Arial" w:cs="Arial" w:eastAsia="Arial" w:hAnsi="Arial"/>
          <w:sz w:val="18"/>
          <w:szCs w:val="18"/>
          <w:color w:val="auto"/>
        </w:rPr>
        <w:t>financial statements lags the Company’s financial reporting period, but such lag is never more than three months. It is possible that the Company’s results of operations for the three months ended March 31, 2020 does not capture the impact of the COVID-19 pandemic on the earnings or losses of the affiliates whose financial results are recorded on a lag basis.</w:t>
      </w:r>
    </w:p>
    <w:p>
      <w:pPr>
        <w:spacing w:after="0" w:line="137"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The Company had $29.0 million and $25.6 million in its investment account that represents cumulative undistributed income in its investments in affiliates as of March 31, 2020 and December 31, 2019, respectively.</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accounts for this investment under the equity method, and included it in Investments in Affiliates on the Condensed Consolidated Balance Sheet. Timothy J. O’Shaughnessy, President and Chief Executive Officer of Graham Holdings Company, is a personal investor in Framebridge and serves as Chairman of the Board.</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w:t>
      </w:r>
    </w:p>
    <w:p>
      <w:pPr>
        <w:spacing w:after="0" w:line="11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$35.9 million and $38.5 million as of March 31, 2020 and December 31, 2019, respectively. During the first three months of 2020, the Company recorded impairment losses of $2.6 million to those equity securities. During the first three months of 2019, the Company recorded gains of $1.4 million to those equity securities based on observable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337"/>
        </w:trPr>
        <w:tc>
          <w:tcPr>
            <w:tcW w:w="8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r>
      <w:tr>
        <w:trPr>
          <w:trHeight w:val="196"/>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2019</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estimated credit losses of $15,127 and $14,276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485,229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595,321</w:t>
            </w:r>
          </w:p>
        </w:tc>
      </w:tr>
      <w:tr>
        <w:trPr>
          <w:trHeight w:val="283"/>
        </w:trPr>
        <w:tc>
          <w:tcPr>
            <w:tcW w:w="866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29,335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28,895</w:t>
            </w:r>
          </w:p>
        </w:tc>
      </w:tr>
      <w:tr>
        <w:trPr>
          <w:trHeight w:val="263"/>
        </w:trPr>
        <w:tc>
          <w:tcPr>
            <w:tcW w:w="86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514,564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624,216</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was $2.4 million and $0.2 million for the three months ended March 31, 2020 and 2019, respectively.</w:t>
      </w:r>
    </w:p>
    <w:p>
      <w:pPr>
        <w:spacing w:after="0" w:line="122" w:lineRule="exact"/>
        <w:rPr>
          <w:sz w:val="20"/>
          <w:szCs w:val="20"/>
          <w:color w:val="auto"/>
        </w:rPr>
      </w:pPr>
    </w:p>
    <w:p>
      <w:pPr>
        <w:ind w:right="394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r>
      <w:tr>
        <w:trPr>
          <w:trHeight w:val="337"/>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18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34,331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35,119</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11,105</w:t>
            </w:r>
          </w:p>
        </w:tc>
        <w:tc>
          <w:tcPr>
            <w:tcW w:w="26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10,775</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68,400</w:t>
            </w:r>
          </w:p>
        </w:tc>
        <w:tc>
          <w:tcPr>
            <w:tcW w:w="26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58,696</w:t>
            </w:r>
          </w:p>
        </w:tc>
      </w:tr>
      <w:tr>
        <w:trPr>
          <w:trHeight w:val="283"/>
        </w:trPr>
        <w:tc>
          <w:tcPr>
            <w:tcW w:w="844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3,604</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4,338</w:t>
            </w:r>
          </w:p>
        </w:tc>
      </w:tr>
      <w:tr>
        <w:trPr>
          <w:trHeight w:val="264"/>
        </w:trPr>
        <w:tc>
          <w:tcPr>
            <w:tcW w:w="844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117,440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108,928</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2.6% and 3.5% for the three months ended March 31, 2020 and 2019, respectively. As of March 31, 2020, the aggregate capacity under the floor plan facility was $50 million, of which $42.6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w:t>
      </w:r>
    </w:p>
    <w:p>
      <w:pPr>
        <w:sectPr>
          <w:pgSz w:w="11900" w:h="16838" w:orient="portrait"/>
          <w:cols w:equalWidth="0" w:num="1">
            <w:col w:w="11240"/>
          </w:cols>
          <w:pgMar w:left="320" w:top="692" w:right="3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692" w:right="339" w:bottom="1440" w:gutter="0" w:footer="0" w:header="0"/>
          <w:type w:val="continuous"/>
        </w:sectPr>
      </w:pPr>
    </w:p>
    <w:bookmarkStart w:id="13" w:name="page14"/>
    <w:bookmarkEnd w:id="13"/>
    <w:p>
      <w:pPr>
        <w:ind w:right="40"/>
        <w:spacing w:after="0" w:line="235" w:lineRule="auto"/>
        <w:rPr>
          <w:sz w:val="20"/>
          <w:szCs w:val="20"/>
          <w:color w:val="auto"/>
        </w:rPr>
      </w:pPr>
      <w:r>
        <w:rPr>
          <w:rFonts w:ascii="Arial" w:cs="Arial" w:eastAsia="Arial" w:hAnsi="Arial"/>
          <w:sz w:val="18"/>
          <w:szCs w:val="18"/>
          <w:color w:val="auto"/>
        </w:rPr>
        <w:t>respect to the creation of liens and changes in ownership, officers and key management personnel. The Company was in compliance with all of these restrictive covenants as of March 31, 2020.</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floor plan interest expense related to the new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 three months ended March 31, 2020 and 2019, the Company recognized a reduction in operating expense of $0.4 million related to manufacturer floor plan assistance.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Amortization of intangible assets for the three months ended March 31, 2020 and 2019, was $14.2 million and $13.1 million, respectively. Amortization of intangible assets is estimated to be approximately $41 million for the remainder of 2020, $50 million in 2021, $44 million in 2022, $36 million in 2023, $26 million in 2024 and $38 million thereafter. The changes in the carrying amount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01"/>
              <w:spacing w:after="0"/>
              <w:rPr>
                <w:sz w:val="20"/>
                <w:szCs w:val="20"/>
                <w:color w:val="auto"/>
              </w:rPr>
            </w:pPr>
            <w:r>
              <w:rPr>
                <w:rFonts w:ascii="Arial" w:cs="Arial" w:eastAsia="Arial" w:hAnsi="Arial"/>
                <w:sz w:val="14"/>
                <w:szCs w:val="14"/>
                <w:b w:val="1"/>
                <w:bCs w:val="1"/>
                <w:color w:val="auto"/>
              </w:rPr>
              <w:t>Television</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Broadcasting</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SocialCode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Balance as of December 31,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2500" w:type="dxa"/>
            <w:vAlign w:val="bottom"/>
          </w:tcPr>
          <w:p>
            <w:pPr>
              <w:ind w:left="20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25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1,140,958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98,421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15,860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53,684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1,734,731</w:t>
            </w:r>
          </w:p>
        </w:tc>
      </w:tr>
      <w:tr>
        <w:trPr>
          <w:trHeight w:val="237"/>
        </w:trPr>
        <w:tc>
          <w:tcPr>
            <w:tcW w:w="2500" w:type="dxa"/>
            <w:vAlign w:val="bottom"/>
          </w:tcPr>
          <w:p>
            <w:pPr>
              <w:ind w:left="28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8"/>
        </w:trPr>
        <w:tc>
          <w:tcPr>
            <w:tcW w:w="2500" w:type="dxa"/>
            <w:vAlign w:val="bottom"/>
          </w:tcPr>
          <w:p>
            <w:pPr>
              <w:ind w:left="44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(7,685)</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r>
      <w:tr>
        <w:trPr>
          <w:trHeight w:val="250"/>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809,807</w:t>
            </w:r>
          </w:p>
        </w:tc>
        <w:tc>
          <w:tcPr>
            <w:tcW w:w="200" w:type="dxa"/>
            <w:vAlign w:val="bottom"/>
          </w:tcPr>
          <w:p>
            <w:pPr>
              <w:spacing w:after="0"/>
              <w:rPr>
                <w:sz w:val="21"/>
                <w:szCs w:val="21"/>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26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227,377</w:t>
            </w:r>
          </w:p>
        </w:tc>
        <w:tc>
          <w:tcPr>
            <w:tcW w:w="1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98,421</w:t>
            </w:r>
          </w:p>
        </w:tc>
        <w:tc>
          <w:tcPr>
            <w:tcW w:w="2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15,860</w:t>
            </w:r>
          </w:p>
        </w:tc>
        <w:tc>
          <w:tcPr>
            <w:tcW w:w="2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45,999</w:t>
            </w:r>
          </w:p>
        </w:tc>
        <w:tc>
          <w:tcPr>
            <w:tcW w:w="26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1,388,279</w:t>
            </w:r>
          </w:p>
        </w:tc>
      </w:tr>
      <w:tr>
        <w:trPr>
          <w:trHeight w:val="270"/>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13,151</w:t>
            </w:r>
          </w:p>
        </w:tc>
        <w:tc>
          <w:tcPr>
            <w:tcW w:w="20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13,151</w:t>
            </w:r>
          </w:p>
        </w:tc>
      </w:tr>
      <w:tr>
        <w:trPr>
          <w:trHeight w:val="270"/>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(6,878)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(6,878)</w:t>
            </w: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500" w:type="dxa"/>
            <w:vAlign w:val="bottom"/>
          </w:tcPr>
          <w:p>
            <w:pPr>
              <w:ind w:left="20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(32,361)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(32,361)</w:t>
            </w:r>
          </w:p>
        </w:tc>
      </w:tr>
      <w:tr>
        <w:trPr>
          <w:trHeight w:val="250"/>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2020</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1,121,748</w:t>
            </w:r>
          </w:p>
        </w:tc>
        <w:tc>
          <w:tcPr>
            <w:tcW w:w="20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26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98,421</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53,684</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1,715,521</w:t>
            </w:r>
          </w:p>
        </w:tc>
      </w:tr>
      <w:tr>
        <w:trPr>
          <w:trHeight w:val="217"/>
        </w:trPr>
        <w:tc>
          <w:tcPr>
            <w:tcW w:w="25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500" w:type="dxa"/>
            <w:vAlign w:val="bottom"/>
          </w:tcPr>
          <w:p>
            <w:pPr>
              <w:ind w:left="44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(7,616)</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(14,563)</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(353,330)</w:t>
            </w:r>
          </w:p>
        </w:tc>
      </w:tr>
      <w:tr>
        <w:trPr>
          <w:trHeight w:val="263"/>
        </w:trPr>
        <w:tc>
          <w:tcPr>
            <w:tcW w:w="25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790,597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227,377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98,421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39,121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1,362,191</w:t>
            </w: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6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Test</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Professional (U.S.)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40" w:type="dxa"/>
            <w:vAlign w:val="bottom"/>
          </w:tcPr>
          <w:p>
            <w:pPr>
              <w:ind w:left="40"/>
              <w:spacing w:after="0"/>
              <w:rPr>
                <w:sz w:val="20"/>
                <w:szCs w:val="20"/>
                <w:color w:val="auto"/>
              </w:rPr>
            </w:pPr>
            <w:r>
              <w:rPr>
                <w:rFonts w:ascii="Arial" w:cs="Arial" w:eastAsia="Arial" w:hAnsi="Arial"/>
                <w:sz w:val="16"/>
                <w:szCs w:val="16"/>
                <w:color w:val="auto"/>
              </w:rPr>
              <w:t>Balance as of December 31, 2019</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04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595,604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174,564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166,920</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203,870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1,140,958</w:t>
            </w:r>
          </w:p>
        </w:tc>
      </w:tr>
      <w:tr>
        <w:trPr>
          <w:trHeight w:val="283"/>
        </w:trPr>
        <w:tc>
          <w:tcPr>
            <w:tcW w:w="404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(111,324)</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(117,568)</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r>
      <w:tr>
        <w:trPr>
          <w:trHeight w:val="250"/>
        </w:trPr>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595,604</w:t>
            </w:r>
          </w:p>
        </w:tc>
        <w:tc>
          <w:tcPr>
            <w:tcW w:w="300" w:type="dxa"/>
            <w:vAlign w:val="bottom"/>
          </w:tcPr>
          <w:p>
            <w:pPr>
              <w:spacing w:after="0"/>
              <w:rPr>
                <w:sz w:val="21"/>
                <w:szCs w:val="21"/>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63,240</w:t>
            </w:r>
          </w:p>
        </w:tc>
        <w:tc>
          <w:tcPr>
            <w:tcW w:w="260" w:type="dxa"/>
            <w:vAlign w:val="bottom"/>
          </w:tcPr>
          <w:p>
            <w:pPr>
              <w:spacing w:after="0"/>
              <w:rPr>
                <w:sz w:val="21"/>
                <w:szCs w:val="21"/>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64,661</w:t>
            </w:r>
          </w:p>
        </w:tc>
        <w:tc>
          <w:tcPr>
            <w:tcW w:w="42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86,302</w:t>
            </w:r>
          </w:p>
        </w:tc>
        <w:tc>
          <w:tcPr>
            <w:tcW w:w="3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809,807</w:t>
            </w:r>
          </w:p>
        </w:tc>
      </w:tr>
      <w:tr>
        <w:trPr>
          <w:trHeight w:val="270"/>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9,889</w:t>
            </w:r>
          </w:p>
        </w:tc>
        <w:tc>
          <w:tcPr>
            <w:tcW w:w="3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3,262</w:t>
            </w:r>
          </w:p>
        </w:tc>
        <w:tc>
          <w:tcPr>
            <w:tcW w:w="36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13,151</w:t>
            </w:r>
          </w:p>
        </w:tc>
      </w:tr>
      <w:tr>
        <w:trPr>
          <w:trHeight w:val="283"/>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(32,221)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(140)</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(32,361)</w:t>
            </w:r>
          </w:p>
        </w:tc>
      </w:tr>
      <w:tr>
        <w:trPr>
          <w:trHeight w:val="250"/>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2020</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04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573,272</w:t>
            </w:r>
          </w:p>
        </w:tc>
        <w:tc>
          <w:tcPr>
            <w:tcW w:w="3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166,920</w:t>
            </w:r>
          </w:p>
        </w:tc>
        <w:tc>
          <w:tcPr>
            <w:tcW w:w="42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206,992</w:t>
            </w:r>
          </w:p>
        </w:tc>
        <w:tc>
          <w:tcPr>
            <w:tcW w:w="36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1,121,748</w:t>
            </w:r>
          </w:p>
        </w:tc>
      </w:tr>
      <w:tr>
        <w:trPr>
          <w:trHeight w:val="283"/>
        </w:trPr>
        <w:tc>
          <w:tcPr>
            <w:tcW w:w="404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(117,568)</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0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573,272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64,661</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89,424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790,597</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69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2020</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2019</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center"/>
              <w:ind w:right="16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6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20" w:type="dxa"/>
            <w:vAlign w:val="bottom"/>
          </w:tcPr>
          <w:p>
            <w:pPr>
              <w:jc w:val="center"/>
              <w:ind w:right="201"/>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20" w:type="dxa"/>
            <w:vAlign w:val="bottom"/>
          </w:tcPr>
          <w:p>
            <w:pPr>
              <w:jc w:val="center"/>
              <w:ind w:right="16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Range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2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292,305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152,705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139,600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291,626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144,625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147,001</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99,989</w:t>
            </w:r>
          </w:p>
        </w:tc>
        <w:tc>
          <w:tcPr>
            <w:tcW w:w="240" w:type="dxa"/>
            <w:vAlign w:val="bottom"/>
          </w:tcPr>
          <w:p>
            <w:pPr>
              <w:spacing w:after="0"/>
              <w:rPr>
                <w:sz w:val="23"/>
                <w:szCs w:val="23"/>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45,176</w:t>
            </w:r>
          </w:p>
        </w:tc>
        <w:tc>
          <w:tcPr>
            <w:tcW w:w="1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54,813</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87,190</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42,770</w:t>
            </w:r>
          </w:p>
        </w:tc>
        <w:tc>
          <w:tcPr>
            <w:tcW w:w="280" w:type="dxa"/>
            <w:vAlign w:val="bottom"/>
          </w:tcPr>
          <w:p>
            <w:pPr>
              <w:spacing w:after="0"/>
              <w:rPr>
                <w:sz w:val="23"/>
                <w:szCs w:val="23"/>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44,420</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ind w:right="21"/>
              <w:spacing w:after="0"/>
              <w:rPr>
                <w:sz w:val="20"/>
                <w:szCs w:val="20"/>
                <w:color w:val="auto"/>
              </w:rPr>
            </w:pPr>
            <w:r>
              <w:rPr>
                <w:rFonts w:ascii="Arial" w:cs="Arial" w:eastAsia="Arial" w:hAnsi="Arial"/>
                <w:sz w:val="16"/>
                <w:szCs w:val="16"/>
                <w:b w:val="1"/>
                <w:bCs w:val="1"/>
                <w:color w:val="auto"/>
                <w:w w:val="99"/>
              </w:rPr>
              <w:t>10 years</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5,583</w:t>
            </w:r>
          </w:p>
        </w:tc>
        <w:tc>
          <w:tcPr>
            <w:tcW w:w="1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11,817</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5,148</w:t>
            </w:r>
          </w:p>
        </w:tc>
        <w:tc>
          <w:tcPr>
            <w:tcW w:w="280" w:type="dxa"/>
            <w:vAlign w:val="bottom"/>
          </w:tcPr>
          <w:p>
            <w:pPr>
              <w:spacing w:after="0"/>
              <w:rPr>
                <w:sz w:val="23"/>
                <w:szCs w:val="23"/>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12,252</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41"/>
              <w:spacing w:after="0"/>
              <w:rPr>
                <w:sz w:val="20"/>
                <w:szCs w:val="20"/>
                <w:color w:val="auto"/>
              </w:rPr>
            </w:pPr>
            <w:r>
              <w:rPr>
                <w:rFonts w:ascii="Arial" w:cs="Arial" w:eastAsia="Arial" w:hAnsi="Arial"/>
                <w:sz w:val="16"/>
                <w:szCs w:val="16"/>
                <w:b w:val="1"/>
                <w:bCs w:val="1"/>
                <w:color w:val="auto"/>
              </w:rPr>
              <w:t>3–6 years</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31,881</w:t>
            </w:r>
          </w:p>
        </w:tc>
        <w:tc>
          <w:tcPr>
            <w:tcW w:w="240" w:type="dxa"/>
            <w:vAlign w:val="bottom"/>
          </w:tcPr>
          <w:p>
            <w:pPr>
              <w:spacing w:after="0"/>
              <w:rPr>
                <w:sz w:val="23"/>
                <w:szCs w:val="23"/>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14,096</w:t>
            </w:r>
          </w:p>
        </w:tc>
        <w:tc>
          <w:tcPr>
            <w:tcW w:w="1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17,785</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30,623</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12,850</w:t>
            </w:r>
          </w:p>
        </w:tc>
        <w:tc>
          <w:tcPr>
            <w:tcW w:w="280" w:type="dxa"/>
            <w:vAlign w:val="bottom"/>
          </w:tcPr>
          <w:p>
            <w:pPr>
              <w:spacing w:after="0"/>
              <w:rPr>
                <w:sz w:val="23"/>
                <w:szCs w:val="23"/>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41"/>
              <w:spacing w:after="0"/>
              <w:rPr>
                <w:sz w:val="20"/>
                <w:szCs w:val="20"/>
                <w:color w:val="auto"/>
              </w:rPr>
            </w:pPr>
            <w:r>
              <w:rPr>
                <w:rFonts w:ascii="Arial" w:cs="Arial" w:eastAsia="Arial" w:hAnsi="Arial"/>
                <w:sz w:val="16"/>
                <w:szCs w:val="16"/>
                <w:b w:val="1"/>
                <w:bCs w:val="1"/>
                <w:color w:val="auto"/>
              </w:rPr>
              <w:t>2–5 years</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1,150</w:t>
            </w:r>
          </w:p>
        </w:tc>
        <w:tc>
          <w:tcPr>
            <w:tcW w:w="240" w:type="dxa"/>
            <w:vAlign w:val="bottom"/>
          </w:tcPr>
          <w:p>
            <w:pPr>
              <w:spacing w:after="0"/>
              <w:rPr>
                <w:sz w:val="23"/>
                <w:szCs w:val="23"/>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804</w:t>
            </w:r>
          </w:p>
        </w:tc>
        <w:tc>
          <w:tcPr>
            <w:tcW w:w="16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346</w:t>
            </w: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1,313</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929</w:t>
            </w:r>
          </w:p>
        </w:tc>
        <w:tc>
          <w:tcPr>
            <w:tcW w:w="280" w:type="dxa"/>
            <w:vAlign w:val="bottom"/>
          </w:tcPr>
          <w:p>
            <w:pPr>
              <w:spacing w:after="0"/>
              <w:rPr>
                <w:sz w:val="23"/>
                <w:szCs w:val="23"/>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83"/>
        </w:trPr>
        <w:tc>
          <w:tcPr>
            <w:tcW w:w="2920" w:type="dxa"/>
            <w:vAlign w:val="bottom"/>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41"/>
              <w:spacing w:after="0"/>
              <w:rPr>
                <w:sz w:val="20"/>
                <w:szCs w:val="20"/>
                <w:color w:val="auto"/>
              </w:rPr>
            </w:pPr>
            <w:r>
              <w:rPr>
                <w:rFonts w:ascii="Arial" w:cs="Arial" w:eastAsia="Arial" w:hAnsi="Arial"/>
                <w:sz w:val="16"/>
                <w:szCs w:val="16"/>
                <w:b w:val="1"/>
                <w:bCs w:val="1"/>
                <w:color w:val="auto"/>
              </w:rPr>
              <w:t>1–8 years</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24,800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14,153</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10,647</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24,800</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13,149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11,651</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467,525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232,517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235,008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452,952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219,471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2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83,164</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100,491</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28,556</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2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116,172</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140,197</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337"/>
        </w:trPr>
        <w:tc>
          <w:tcPr>
            <w:tcW w:w="8440" w:type="dxa"/>
            <w:vAlign w:val="bottom"/>
          </w:tcPr>
          <w:p>
            <w:pPr>
              <w:spacing w:after="0"/>
              <w:rPr>
                <w:sz w:val="24"/>
                <w:szCs w:val="24"/>
                <w:color w:val="auto"/>
              </w:rPr>
            </w:pPr>
          </w:p>
        </w:tc>
        <w:tc>
          <w:tcPr>
            <w:tcW w:w="1100" w:type="dxa"/>
            <w:vAlign w:val="bottom"/>
          </w:tcPr>
          <w:p>
            <w:pPr>
              <w:jc w:val="center"/>
              <w:ind w:left="128"/>
              <w:spacing w:after="0"/>
              <w:rPr>
                <w:sz w:val="20"/>
                <w:szCs w:val="20"/>
                <w:color w:val="auto"/>
              </w:rPr>
            </w:pPr>
            <w:r>
              <w:rPr>
                <w:rFonts w:ascii="Arial" w:cs="Arial" w:eastAsia="Arial" w:hAnsi="Arial"/>
                <w:sz w:val="14"/>
                <w:szCs w:val="14"/>
                <w:b w:val="1"/>
                <w:bCs w:val="1"/>
                <w:color w:val="auto"/>
              </w:rPr>
              <w:t>March 31,</w:t>
            </w:r>
          </w:p>
        </w:tc>
        <w:tc>
          <w:tcPr>
            <w:tcW w:w="1700" w:type="dxa"/>
            <w:vAlign w:val="bottom"/>
          </w:tcPr>
          <w:p>
            <w:pPr>
              <w:jc w:val="center"/>
              <w:ind w:left="248"/>
              <w:spacing w:after="0"/>
              <w:rPr>
                <w:sz w:val="20"/>
                <w:szCs w:val="20"/>
                <w:color w:val="auto"/>
              </w:rPr>
            </w:pPr>
            <w:r>
              <w:rPr>
                <w:rFonts w:ascii="Arial" w:cs="Arial" w:eastAsia="Arial" w:hAnsi="Arial"/>
                <w:sz w:val="14"/>
                <w:szCs w:val="14"/>
                <w:color w:val="auto"/>
              </w:rPr>
              <w:t>December 31,</w:t>
            </w:r>
          </w:p>
        </w:tc>
      </w:tr>
      <w:tr>
        <w:trPr>
          <w:trHeight w:val="196"/>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r>
    </w:tbl>
    <w:p>
      <w:pPr>
        <w:spacing w:after="0" w:line="36"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 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Pinnacle Bank term loan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Pinnacle Bank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indebtedness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Debt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portion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Long-Term Debt</w:t>
      </w:r>
    </w:p>
    <w:p>
      <w:pPr>
        <w:spacing w:after="0" w:line="20" w:lineRule="exact"/>
        <w:rPr>
          <w:sz w:val="20"/>
          <w:szCs w:val="20"/>
          <w:color w:val="auto"/>
        </w:rPr>
      </w:pPr>
      <w:r>
        <w:rPr>
          <w:sz w:val="20"/>
          <w:szCs w:val="20"/>
          <w:color w:val="auto"/>
        </w:rPr>
        <w:br w:type="column"/>
      </w:r>
    </w:p>
    <w:p>
      <w:pPr>
        <w:spacing w:after="0"/>
        <w:tabs>
          <w:tab w:leader="none" w:pos="600" w:val="left"/>
          <w:tab w:leader="none" w:pos="1440" w:val="left"/>
          <w:tab w:leader="none" w:pos="20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395,572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395,393</w:t>
      </w:r>
    </w:p>
    <w:p>
      <w:pPr>
        <w:spacing w:after="0" w:line="86"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6"/>
          <w:szCs w:val="16"/>
          <w:b w:val="1"/>
          <w:bCs w:val="1"/>
          <w:color w:val="auto"/>
        </w:rPr>
        <w:t>74,358</w:t>
      </w:r>
      <w:r>
        <w:rPr>
          <w:sz w:val="20"/>
          <w:szCs w:val="20"/>
          <w:color w:val="auto"/>
        </w:rPr>
        <w:tab/>
      </w:r>
      <w:r>
        <w:rPr>
          <w:rFonts w:ascii="Arial" w:cs="Arial" w:eastAsia="Arial" w:hAnsi="Arial"/>
          <w:sz w:val="16"/>
          <w:szCs w:val="16"/>
          <w:color w:val="auto"/>
        </w:rPr>
        <w:t>78,650</w:t>
      </w:r>
    </w:p>
    <w:p>
      <w:pPr>
        <w:spacing w:after="0" w:line="86"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6"/>
          <w:szCs w:val="16"/>
          <w:b w:val="1"/>
          <w:bCs w:val="1"/>
          <w:color w:val="auto"/>
        </w:rPr>
        <w:t>26,750</w:t>
      </w:r>
      <w:r>
        <w:rPr>
          <w:sz w:val="20"/>
          <w:szCs w:val="20"/>
          <w:color w:val="auto"/>
        </w:rPr>
        <w:tab/>
      </w:r>
      <w:r>
        <w:rPr>
          <w:rFonts w:ascii="Arial" w:cs="Arial" w:eastAsia="Arial" w:hAnsi="Arial"/>
          <w:sz w:val="16"/>
          <w:szCs w:val="16"/>
          <w:color w:val="auto"/>
        </w:rPr>
        <w:t>27,500</w:t>
      </w:r>
    </w:p>
    <w:p>
      <w:pPr>
        <w:spacing w:after="0" w:line="86"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6"/>
          <w:szCs w:val="16"/>
          <w:b w:val="1"/>
          <w:bCs w:val="1"/>
          <w:color w:val="auto"/>
        </w:rPr>
        <w:t>11,109</w:t>
      </w:r>
      <w:r>
        <w:rPr>
          <w:sz w:val="20"/>
          <w:szCs w:val="20"/>
          <w:color w:val="auto"/>
        </w:rPr>
        <w:tab/>
      </w:r>
      <w:r>
        <w:rPr>
          <w:rFonts w:ascii="Arial" w:cs="Arial" w:eastAsia="Arial" w:hAnsi="Arial"/>
          <w:sz w:val="16"/>
          <w:szCs w:val="16"/>
          <w:color w:val="auto"/>
        </w:rPr>
        <w:t>11,203</w:t>
      </w:r>
    </w:p>
    <w:p>
      <w:pPr>
        <w:spacing w:after="0" w:line="106" w:lineRule="exact"/>
        <w:rPr>
          <w:sz w:val="20"/>
          <w:szCs w:val="20"/>
          <w:color w:val="auto"/>
        </w:rPr>
      </w:pPr>
    </w:p>
    <w:p>
      <w:pPr>
        <w:ind w:left="2520" w:hanging="1576"/>
        <w:spacing w:after="0"/>
        <w:tabs>
          <w:tab w:leader="none" w:pos="25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6" w:lineRule="exact"/>
        <w:rPr>
          <w:sz w:val="20"/>
          <w:szCs w:val="20"/>
          <w:color w:val="auto"/>
        </w:rPr>
      </w:pPr>
    </w:p>
    <w:p>
      <w:pPr>
        <w:ind w:left="2500" w:hanging="1556"/>
        <w:spacing w:after="0"/>
        <w:tabs>
          <w:tab w:leader="none" w:pos="25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83</w:t>
      </w:r>
    </w:p>
    <w:p>
      <w:pPr>
        <w:spacing w:after="0" w:line="7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$508,892   </w:t>
      </w:r>
      <w:r>
        <w:rPr>
          <w:rFonts w:ascii="Arial" w:cs="Arial" w:eastAsia="Arial" w:hAnsi="Arial"/>
          <w:sz w:val="16"/>
          <w:szCs w:val="16"/>
          <w:color w:val="auto"/>
        </w:rPr>
        <w:t>$512,829</w:t>
      </w:r>
    </w:p>
    <w:p>
      <w:pPr>
        <w:spacing w:after="0" w:line="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(78,575)</w:t>
      </w:r>
      <w:r>
        <w:rPr>
          <w:rFonts w:ascii="Arial" w:cs="Arial" w:eastAsia="Arial" w:hAnsi="Arial"/>
          <w:sz w:val="16"/>
          <w:szCs w:val="16"/>
          <w:color w:val="auto"/>
        </w:rPr>
        <w:t>(82,179)</w:t>
      </w:r>
    </w:p>
    <w:p>
      <w:pPr>
        <w:spacing w:after="0" w:line="9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$430,317   </w:t>
      </w:r>
      <w:r>
        <w:rPr>
          <w:rFonts w:ascii="Arial" w:cs="Arial" w:eastAsia="Arial" w:hAnsi="Arial"/>
          <w:sz w:val="16"/>
          <w:szCs w:val="16"/>
          <w:color w:val="auto"/>
        </w:rPr>
        <w:t>$430,650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48895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-147320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-499110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740" w:space="720"/>
            <w:col w:w="2780"/>
          </w:cols>
          <w:pgMar w:left="320" w:top="692"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1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$4.4 million and $4.6 million of unamortized debt issuance costs as of March 31, 2020 and December 31, 2019,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2019.</w:t>
      </w:r>
    </w:p>
    <w:p>
      <w:pPr>
        <w:spacing w:after="0" w:line="18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Company’s GHG subsidiary had $0.5 million outstanding under its line of credit as of March 31, 2020 at an interest rate of 4.27%. The Company’s other indebtedness at March 31, 2020 is at interest rates of 0% to 2% and matures between 2021 and 2026. The Company’s other indebtedness at December 31, 2019 is at an interest rate of 2% and matures in 2026.</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December 2, 2019, a subsidiary of GHG entered into a Loan &amp; Security Agreement with Pinnacle Bank for a Term Loan of $11.25 million and a two-year Line of Credit for $2.25 million. The Term Loan is payable over a five-year period in monthly installments, plus accrued and unpaid interest, due on the second day of each month, with the remaining balance due on December 2, 2024. The Term Loan bears interest at 4.35% per annum. The Term Loan can be redeemed at any time, in whole or in part, without any premium or penalty. Borrowings on the Line of Credit bear interest at a rate per annum of LIBOR plus an applicable interest rate of 2.75%, determined on a monthly basis. Under the credit agreement, the borrower is required to pay a commitment fee on a quarterly basis, at the rate per annum equal to 0.25% on the average daily unused portion of the credit facility. The borrower may use the proceeds of the facility for working capital and general corporate purposes. Any outstanding borrowings must be repaid on or prior to the final termination date. The agreement contains terms and conditions, including remedies in the event of a default. The Company is in compliance with all financial covenants as of March 31, 2020.</w:t>
      </w:r>
    </w:p>
    <w:p>
      <w:pPr>
        <w:spacing w:after="0" w:line="14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w:t>
      </w:r>
    </w:p>
    <w:p>
      <w:pPr>
        <w:sectPr>
          <w:pgSz w:w="11900" w:h="16838" w:orient="portrait"/>
          <w:cols w:equalWidth="0" w:num="1">
            <w:col w:w="11240"/>
          </w:cols>
          <w:pgMar w:left="320" w:top="692" w:right="339"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692" w:right="339" w:bottom="1440" w:gutter="0" w:footer="0" w:header="0"/>
          <w:type w:val="continuous"/>
        </w:sectPr>
      </w:pPr>
    </w:p>
    <w:bookmarkStart w:id="15" w:name="page16"/>
    <w:bookmarkEnd w:id="15"/>
    <w:p>
      <w:pPr>
        <w:spacing w:after="0" w:line="222" w:lineRule="auto"/>
        <w:rPr>
          <w:sz w:val="20"/>
          <w:szCs w:val="20"/>
          <w:color w:val="auto"/>
        </w:rPr>
      </w:pPr>
      <w:r>
        <w:rPr>
          <w:rFonts w:ascii="Arial" w:cs="Arial" w:eastAsia="Arial" w:hAnsi="Arial"/>
          <w:sz w:val="18"/>
          <w:szCs w:val="18"/>
          <w:color w:val="auto"/>
        </w:rPr>
        <w:t>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During the three months ended March 31, 2020 and 2019, the Company had average borrowings outstanding of approximately $511.4 million and $494.4 million, respectively, at an average annual interest rate of approximately 5.1%. During the three months ended March 31, 2020 and 2019, the Company incurred net interest expense of $6.5 million and $5.7 million, respectively.</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March 31, 2020, the fair value of the Company’s 5.75% unsecured notes, based on quoted market prices (Level 2 fair value assessment), totaled $384.5 million, compared with the carrying amount of $395.6 million. At December 31, 2019, the fair value of the Company’s 5.75% unsecured notes, based on quoted market prices (Level 2 fair value assessment), totaled $427.7 million, compared with the carrying amount of $395.4 million. The carrying value of the Company’s other unsecured debt at March 31, 2020 and December 31, 2019 approximates fair value.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69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As of March 31, 2020</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93,685</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93,685</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436,204</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436,204</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11,129</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4,047</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15,176</w:t>
            </w:r>
          </w:p>
        </w:tc>
        <w:tc>
          <w:tcPr>
            <w:tcW w:w="0" w:type="dxa"/>
            <w:vAlign w:val="bottom"/>
          </w:tcPr>
          <w:p>
            <w:pPr>
              <w:spacing w:after="0"/>
              <w:rPr>
                <w:sz w:val="1"/>
                <w:szCs w:val="1"/>
                <w:color w:val="auto"/>
              </w:rPr>
            </w:pPr>
          </w:p>
        </w:tc>
      </w:tr>
      <w:tr>
        <w:trPr>
          <w:trHeight w:val="234"/>
        </w:trPr>
        <w:tc>
          <w:tcPr>
            <w:tcW w:w="64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58"/>
        </w:trPr>
        <w:tc>
          <w:tcPr>
            <w:tcW w:w="64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447,333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97,764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545,097</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24,313</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24,313</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2,619</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2,619</w:t>
            </w:r>
          </w:p>
        </w:tc>
        <w:tc>
          <w:tcPr>
            <w:tcW w:w="0" w:type="dxa"/>
            <w:vAlign w:val="bottom"/>
          </w:tcPr>
          <w:p>
            <w:pPr>
              <w:spacing w:after="0"/>
              <w:rPr>
                <w:sz w:val="1"/>
                <w:szCs w:val="1"/>
                <w:color w:val="auto"/>
              </w:rPr>
            </w:pPr>
          </w:p>
        </w:tc>
      </w:tr>
      <w:tr>
        <w:trPr>
          <w:trHeight w:val="234"/>
        </w:trPr>
        <w:tc>
          <w:tcPr>
            <w:tcW w:w="64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829</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829</w:t>
            </w:r>
          </w:p>
        </w:tc>
        <w:tc>
          <w:tcPr>
            <w:tcW w:w="0" w:type="dxa"/>
            <w:vAlign w:val="bottom"/>
          </w:tcPr>
          <w:p>
            <w:pPr>
              <w:spacing w:after="0"/>
              <w:rPr>
                <w:sz w:val="1"/>
                <w:szCs w:val="1"/>
                <w:color w:val="auto"/>
              </w:rPr>
            </w:pPr>
          </w:p>
        </w:tc>
      </w:tr>
      <w:tr>
        <w:trPr>
          <w:trHeight w:val="261"/>
        </w:trPr>
        <w:tc>
          <w:tcPr>
            <w:tcW w:w="64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26,932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27,761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6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2019</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45,150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45,150</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585,080</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8,843</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6,044</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19"/>
        </w:trPr>
        <w:tc>
          <w:tcPr>
            <w:tcW w:w="64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58"/>
        </w:trPr>
        <w:tc>
          <w:tcPr>
            <w:tcW w:w="64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593,923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51,325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645,248</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34,674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1,119</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273</w:t>
            </w:r>
          </w:p>
        </w:tc>
        <w:tc>
          <w:tcPr>
            <w:tcW w:w="30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9"/>
        </w:trPr>
        <w:tc>
          <w:tcPr>
            <w:tcW w:w="64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829</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60"/>
        </w:trPr>
        <w:tc>
          <w:tcPr>
            <w:tcW w:w="64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36,066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36,895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spacing w:after="0" w:line="30" w:lineRule="exact"/>
        <w:rPr>
          <w:rFonts w:ascii="Arial" w:cs="Arial" w:eastAsia="Arial" w:hAnsi="Arial"/>
          <w:sz w:val="14"/>
          <w:szCs w:val="14"/>
          <w:color w:val="auto"/>
        </w:rPr>
      </w:pPr>
    </w:p>
    <w:p>
      <w:pPr>
        <w:ind w:left="420" w:right="22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20" w:right="14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current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40" w:hanging="412"/>
        <w:spacing w:after="0" w:line="228"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20" w:right="28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line="233"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(see Note 2), after taking into account any debt and other noncontrolling interests of its subsidiary investments. The fair value of the owned subsidiaries is determined by reference to either a discounted cash flow or EBITDA multiple, which approximates fair value.</w:t>
      </w:r>
    </w:p>
    <w:p>
      <w:pPr>
        <w:spacing w:after="0" w:line="30" w:lineRule="exact"/>
        <w:rPr>
          <w:rFonts w:ascii="Arial" w:cs="Arial" w:eastAsia="Arial" w:hAnsi="Arial"/>
          <w:sz w:val="14"/>
          <w:szCs w:val="14"/>
          <w:color w:val="auto"/>
        </w:rPr>
      </w:pPr>
    </w:p>
    <w:p>
      <w:pPr>
        <w:ind w:left="420" w:right="28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13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During the three months ended March 31, 2020, the Company recorded goodwill and indefinite-lived intangible asset impairment charges of $16.4 million. The remeasurement of the goodwill and indefinite-lived intangible assets is classified as a Level 3 fair value assessment due to the significance of unobservable inputs developed in the determination of the fair value. The Company used a discounted cash flow model to determine the estimated fair value of the reporting unit and indefinite-lived intangible assets and made estimates and assumptions regarding future cash flows, royalty rates, discount rates, and long-term growth rates.</w:t>
      </w:r>
    </w:p>
    <w:p>
      <w:pPr>
        <w:spacing w:after="0" w:line="137"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During the three months ended March 31, 2020, the Company recorded impairment charges of $3.6 million on two of its investments in affiliates.</w:t>
      </w:r>
    </w:p>
    <w:p>
      <w:pPr>
        <w:sectPr>
          <w:pgSz w:w="11900" w:h="16838" w:orient="portrait"/>
          <w:cols w:equalWidth="0" w:num="1">
            <w:col w:w="11240"/>
          </w:cols>
          <w:pgMar w:left="320" w:top="670" w:right="339" w:bottom="1089"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670" w:right="339" w:bottom="1089" w:gutter="0" w:footer="0" w:header="0"/>
          <w:type w:val="continuous"/>
        </w:sectPr>
      </w:pPr>
    </w:p>
    <w:bookmarkStart w:id="17" w:name="page18"/>
    <w:bookmarkEnd w:id="17"/>
    <w:p>
      <w:pPr>
        <w:ind w:right="160"/>
        <w:spacing w:after="0" w:line="227" w:lineRule="auto"/>
        <w:rPr>
          <w:sz w:val="20"/>
          <w:szCs w:val="20"/>
          <w:color w:val="auto"/>
        </w:rPr>
      </w:pPr>
      <w:r>
        <w:rPr>
          <w:rFonts w:ascii="Arial" w:cs="Arial" w:eastAsia="Arial" w:hAnsi="Arial"/>
          <w:sz w:val="18"/>
          <w:szCs w:val="18"/>
          <w:color w:val="auto"/>
        </w:rPr>
        <w:t>During the three months ended March 31, 2020, the Company recorded impairment losses of $2.6 million to equity securities that are accounted for as cost method investments. During the three months ended March 31, 2019, the Company recorded gains of $1.4 million to equity securities that are accounted for as cost method investments based on observable transactions for identical or similar investments of the same issuer.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On March 27, 2020, the Coronavirus Aid, Relief and Economic Security (CARES) Act was enacted, which included several technical corrections to the 2017 Tax Jobs and Cuts Act and provisions allowing certain net operating losses generated by businesses in 2018, 2019 and 2020 to be carried back five prior tax years. Overall, the CARES Act had limited impact on the Company’s tax provision for the first quarter of 2020.</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CARES Act, Cable One now has the ability to carryback its 2019 taxable losses to the tax period from January 1, 2015 to June 30, 2015, the period in which Cable One was included in the Company’s 2015 tax return. As a result, the Company plans to amend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$20.7 million current income tax receivable and a corresponding current liability to Cable One on its balance sheet as of March 31, 2020.</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Company’s effective tax rate for the first three months of 2020 was 57.3%, which is generally based on the Company’s estimated effective tax rate for fiscal year 2020. The Company’s estimated tax rate for 2020 includes 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generated 74% and 75% of its revenue from U.S. domestic sales for the three months ended March 31, 2020 and March 31, 2019, respectively. The remaining 26% and 25% of revenue was generated from non-U.S. sales for the three months ended March 31, 2020 and March 31, 2019, respectively.</w:t>
      </w:r>
    </w:p>
    <w:p>
      <w:pPr>
        <w:spacing w:after="0" w:line="137"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For the three months ended March 31, 2020, the Company recognized 73% of its revenue over time as control of the services and goods transferred to the customer, and 27% at a point in time, when the customer obtained control of the promised goods. For the three months ended March 31, 2019, the Company recognized 76% of its revenue over time, and the remaining 24% at a point in time.</w:t>
      </w:r>
    </w:p>
    <w:p>
      <w:pPr>
        <w:spacing w:after="0" w:line="115"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2020, the Company recognized a contract asset of $5.7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$9.7 million related to this performance obligation over the next 2 years. As of December 31, 2019, the contract asset was $5.3 million.</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2"/>
                <w:szCs w:val="22"/>
                <w:color w:val="auto"/>
              </w:rPr>
            </w:pPr>
          </w:p>
        </w:tc>
        <w:tc>
          <w:tcPr>
            <w:tcW w:w="1180" w:type="dxa"/>
            <w:vAlign w:val="bottom"/>
            <w:vMerge w:val="restart"/>
          </w:tcPr>
          <w:p>
            <w:pPr>
              <w:jc w:val="center"/>
              <w:ind w:right="125"/>
              <w:spacing w:after="0"/>
              <w:rPr>
                <w:sz w:val="20"/>
                <w:szCs w:val="20"/>
                <w:color w:val="auto"/>
              </w:rPr>
            </w:pPr>
            <w:r>
              <w:rPr>
                <w:rFonts w:ascii="Arial" w:cs="Arial" w:eastAsia="Arial" w:hAnsi="Arial"/>
                <w:sz w:val="14"/>
                <w:szCs w:val="14"/>
                <w:color w:val="auto"/>
              </w:rPr>
              <w:t>December 31,</w:t>
            </w:r>
          </w:p>
        </w:tc>
        <w:tc>
          <w:tcPr>
            <w:tcW w:w="134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1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b w:val="1"/>
                <w:bCs w:val="1"/>
                <w:color w:val="auto"/>
              </w:rPr>
              <w:t>332,659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359,048</w:t>
            </w:r>
          </w:p>
        </w:tc>
        <w:tc>
          <w:tcPr>
            <w:tcW w:w="1340" w:type="dxa"/>
            <w:vAlign w:val="bottom"/>
          </w:tcPr>
          <w:p>
            <w:pPr>
              <w:jc w:val="right"/>
              <w:ind w:right="485"/>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at the Kaplan international division and currency translation adjustments. During the three months ended March 31, 2020, the Company recognized $188.7 million related to the Company’s deferred revenue balance as of December 31, 2019.</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2020, Kaplan Test Preparation’s (KTP) deferred revenue balance related to certain medical and nursing qualifications with an original contract length greater than twelve months was $9.3 million. KTP expects to recognize 61% of this revenue over the next twelve months and the remainder thereafter.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4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66"/>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Arial" w:cs="Arial" w:eastAsia="Arial" w:hAnsi="Arial"/>
                <w:sz w:val="14"/>
                <w:szCs w:val="14"/>
                <w:b w:val="1"/>
                <w:bCs w:val="1"/>
                <w:color w:val="auto"/>
              </w:rPr>
              <w:t>associated</w:t>
            </w:r>
          </w:p>
        </w:tc>
        <w:tc>
          <w:tcPr>
            <w:tcW w:w="26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26"/>
              <w:spacing w:after="0"/>
              <w:rPr>
                <w:sz w:val="20"/>
                <w:szCs w:val="20"/>
                <w:color w:val="auto"/>
              </w:rPr>
            </w:pPr>
            <w:r>
              <w:rPr>
                <w:rFonts w:ascii="Arial" w:cs="Arial" w:eastAsia="Arial" w:hAnsi="Arial"/>
                <w:sz w:val="14"/>
                <w:szCs w:val="14"/>
                <w:b w:val="1"/>
                <w:bCs w:val="1"/>
                <w:color w:val="auto"/>
                <w:w w:val="96"/>
              </w:rPr>
              <w:t>at</w:t>
            </w:r>
          </w:p>
        </w:tc>
      </w:tr>
      <w:tr>
        <w:trPr>
          <w:trHeight w:val="162"/>
        </w:trPr>
        <w:tc>
          <w:tcPr>
            <w:tcW w:w="3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980" w:type="dxa"/>
            <w:vAlign w:val="bottom"/>
          </w:tcPr>
          <w:p>
            <w:pPr>
              <w:jc w:val="center"/>
              <w:ind w:right="66"/>
              <w:spacing w:after="0"/>
              <w:rPr>
                <w:sz w:val="20"/>
                <w:szCs w:val="20"/>
                <w:color w:val="auto"/>
              </w:rPr>
            </w:pPr>
            <w:r>
              <w:rPr>
                <w:rFonts w:ascii="Arial" w:cs="Arial" w:eastAsia="Arial" w:hAnsi="Arial"/>
                <w:sz w:val="14"/>
                <w:szCs w:val="14"/>
                <w:b w:val="1"/>
                <w:bCs w:val="1"/>
                <w:color w:val="auto"/>
              </w:rPr>
              <w:t>with new</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0"/>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2020</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31,020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6"/>
              <w:spacing w:after="0"/>
              <w:rPr>
                <w:sz w:val="20"/>
                <w:szCs w:val="20"/>
                <w:color w:val="auto"/>
              </w:rPr>
            </w:pPr>
            <w:r>
              <w:rPr>
                <w:rFonts w:ascii="Arial" w:cs="Arial" w:eastAsia="Arial" w:hAnsi="Arial"/>
                <w:sz w:val="16"/>
                <w:szCs w:val="16"/>
                <w:b w:val="1"/>
                <w:bCs w:val="1"/>
                <w:color w:val="auto"/>
              </w:rPr>
              <w:t>13,237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(16,869)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(1,819)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auto"/>
              </w:rPr>
              <w:t>25,569</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three months ended March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EARNINGS PER SHARE</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reflects the Company’s net (loss) income and share data used in the basic and diluted (loss) earnings per share computations using the two-class method:</w:t>
      </w:r>
    </w:p>
    <w:p>
      <w:pPr>
        <w:spacing w:after="0" w:line="136"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85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180"/>
              <w:spacing w:after="0"/>
              <w:rPr>
                <w:sz w:val="20"/>
                <w:szCs w:val="20"/>
                <w:color w:val="auto"/>
              </w:rPr>
            </w:pPr>
            <w:r>
              <w:rPr>
                <w:rFonts w:ascii="Arial" w:cs="Arial" w:eastAsia="Arial" w:hAnsi="Arial"/>
                <w:sz w:val="16"/>
                <w:szCs w:val="16"/>
                <w:color w:val="auto"/>
              </w:rPr>
              <w:t>Numerator for basic (loss) earnings per share:</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280"/>
              <w:spacing w:after="0"/>
              <w:rPr>
                <w:sz w:val="20"/>
                <w:szCs w:val="20"/>
                <w:color w:val="auto"/>
              </w:rPr>
            </w:pPr>
            <w:r>
              <w:rPr>
                <w:rFonts w:ascii="Arial" w:cs="Arial" w:eastAsia="Arial" w:hAnsi="Arial"/>
                <w:sz w:val="16"/>
                <w:szCs w:val="16"/>
                <w:color w:val="auto"/>
              </w:rPr>
              <w:t>Net (loss) income attributable to Graham Holdings Company common stockholders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auto"/>
              </w:rPr>
              <w:t>(33,245)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81,748</w:t>
            </w:r>
          </w:p>
        </w:tc>
        <w:tc>
          <w:tcPr>
            <w:tcW w:w="0" w:type="dxa"/>
            <w:vAlign w:val="bottom"/>
          </w:tcPr>
          <w:p>
            <w:pPr>
              <w:spacing w:after="0"/>
              <w:rPr>
                <w:sz w:val="1"/>
                <w:szCs w:val="1"/>
                <w:color w:val="auto"/>
              </w:rPr>
            </w:pPr>
          </w:p>
        </w:tc>
      </w:tr>
      <w:tr>
        <w:trPr>
          <w:trHeight w:val="283"/>
        </w:trPr>
        <w:tc>
          <w:tcPr>
            <w:tcW w:w="852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(15,289)</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(14,779)</w:t>
            </w:r>
          </w:p>
        </w:tc>
        <w:tc>
          <w:tcPr>
            <w:tcW w:w="0" w:type="dxa"/>
            <w:vAlign w:val="bottom"/>
          </w:tcPr>
          <w:p>
            <w:pPr>
              <w:spacing w:after="0"/>
              <w:rPr>
                <w:sz w:val="1"/>
                <w:szCs w:val="1"/>
                <w:color w:val="auto"/>
              </w:rPr>
            </w:pPr>
          </w:p>
        </w:tc>
      </w:tr>
      <w:tr>
        <w:trPr>
          <w:trHeight w:val="250"/>
        </w:trPr>
        <w:tc>
          <w:tcPr>
            <w:tcW w:w="8520" w:type="dxa"/>
            <w:vAlign w:val="bottom"/>
          </w:tcPr>
          <w:p>
            <w:pPr>
              <w:ind w:left="280"/>
              <w:spacing w:after="0"/>
              <w:rPr>
                <w:sz w:val="20"/>
                <w:szCs w:val="20"/>
                <w:color w:val="auto"/>
              </w:rPr>
            </w:pPr>
            <w:r>
              <w:rPr>
                <w:rFonts w:ascii="Arial" w:cs="Arial" w:eastAsia="Arial" w:hAnsi="Arial"/>
                <w:sz w:val="16"/>
                <w:szCs w:val="16"/>
                <w:color w:val="auto"/>
              </w:rPr>
              <w:t>Undistributed (loss) earnings</w:t>
            </w:r>
          </w:p>
        </w:tc>
        <w:tc>
          <w:tcPr>
            <w:tcW w:w="30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auto"/>
              </w:rPr>
              <w:t>(48,534)</w:t>
            </w:r>
          </w:p>
        </w:tc>
        <w:tc>
          <w:tcPr>
            <w:tcW w:w="4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66,969</w:t>
            </w:r>
          </w:p>
        </w:tc>
        <w:tc>
          <w:tcPr>
            <w:tcW w:w="0" w:type="dxa"/>
            <w:vAlign w:val="bottom"/>
          </w:tcPr>
          <w:p>
            <w:pPr>
              <w:spacing w:after="0"/>
              <w:rPr>
                <w:sz w:val="1"/>
                <w:szCs w:val="1"/>
                <w:color w:val="auto"/>
              </w:rPr>
            </w:pPr>
          </w:p>
        </w:tc>
      </w:tr>
      <w:tr>
        <w:trPr>
          <w:trHeight w:val="290"/>
        </w:trPr>
        <w:tc>
          <w:tcPr>
            <w:tcW w:w="8520" w:type="dxa"/>
            <w:vAlign w:val="bottom"/>
          </w:tcPr>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w:t>
            </w:r>
          </w:p>
        </w:tc>
        <w:tc>
          <w:tcPr>
            <w:tcW w:w="0" w:type="dxa"/>
            <w:vAlign w:val="bottom"/>
          </w:tcPr>
          <w:p>
            <w:pPr>
              <w:spacing w:after="0"/>
              <w:rPr>
                <w:sz w:val="1"/>
                <w:szCs w:val="1"/>
                <w:color w:val="auto"/>
              </w:rPr>
            </w:pPr>
          </w:p>
        </w:tc>
      </w:tr>
      <w:tr>
        <w:trPr>
          <w:trHeight w:val="244"/>
        </w:trPr>
        <w:tc>
          <w:tcPr>
            <w:tcW w:w="8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auto"/>
              </w:rPr>
              <w:t>(48,534)</w:t>
            </w:r>
          </w:p>
        </w:tc>
        <w:tc>
          <w:tcPr>
            <w:tcW w:w="4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66,588</w:t>
            </w:r>
          </w:p>
        </w:tc>
        <w:tc>
          <w:tcPr>
            <w:tcW w:w="0" w:type="dxa"/>
            <w:vAlign w:val="bottom"/>
          </w:tcPr>
          <w:p>
            <w:pPr>
              <w:spacing w:after="0"/>
              <w:rPr>
                <w:sz w:val="1"/>
                <w:szCs w:val="1"/>
                <w:color w:val="auto"/>
              </w:rPr>
            </w:pPr>
          </w:p>
        </w:tc>
      </w:tr>
      <w:tr>
        <w:trPr>
          <w:trHeight w:val="283"/>
        </w:trPr>
        <w:tc>
          <w:tcPr>
            <w:tcW w:w="852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15,205</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14,695</w:t>
            </w:r>
          </w:p>
        </w:tc>
        <w:tc>
          <w:tcPr>
            <w:tcW w:w="0" w:type="dxa"/>
            <w:vAlign w:val="bottom"/>
          </w:tcPr>
          <w:p>
            <w:pPr>
              <w:spacing w:after="0"/>
              <w:rPr>
                <w:sz w:val="1"/>
                <w:szCs w:val="1"/>
                <w:color w:val="auto"/>
              </w:rPr>
            </w:pPr>
          </w:p>
        </w:tc>
      </w:tr>
      <w:tr>
        <w:trPr>
          <w:trHeight w:val="267"/>
        </w:trPr>
        <w:tc>
          <w:tcPr>
            <w:tcW w:w="8520" w:type="dxa"/>
            <w:vAlign w:val="bottom"/>
          </w:tcPr>
          <w:p>
            <w:pPr>
              <w:ind w:left="280"/>
              <w:spacing w:after="0"/>
              <w:rPr>
                <w:sz w:val="20"/>
                <w:szCs w:val="20"/>
                <w:color w:val="auto"/>
              </w:rPr>
            </w:pPr>
            <w:r>
              <w:rPr>
                <w:rFonts w:ascii="Arial" w:cs="Arial" w:eastAsia="Arial" w:hAnsi="Arial"/>
                <w:sz w:val="16"/>
                <w:szCs w:val="16"/>
                <w:color w:val="auto"/>
              </w:rPr>
              <w:t>Numerator for basic (loss)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(33,329)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81,283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52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8520" w:type="dxa"/>
            <w:vAlign w:val="bottom"/>
          </w:tcPr>
          <w:p>
            <w:pPr>
              <w:ind w:left="180"/>
              <w:spacing w:after="0"/>
              <w:rPr>
                <w:sz w:val="20"/>
                <w:szCs w:val="20"/>
                <w:color w:val="auto"/>
              </w:rPr>
            </w:pPr>
            <w:r>
              <w:rPr>
                <w:rFonts w:ascii="Arial" w:cs="Arial" w:eastAsia="Arial" w:hAnsi="Arial"/>
                <w:sz w:val="16"/>
                <w:szCs w:val="16"/>
                <w:color w:val="auto"/>
              </w:rPr>
              <w:t>Numerator for diluted (loss)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(33,329)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81,286</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180"/>
              <w:spacing w:after="0"/>
              <w:rPr>
                <w:sz w:val="20"/>
                <w:szCs w:val="20"/>
                <w:color w:val="auto"/>
              </w:rPr>
            </w:pPr>
            <w:r>
              <w:rPr>
                <w:rFonts w:ascii="Arial" w:cs="Arial" w:eastAsia="Arial" w:hAnsi="Arial"/>
                <w:sz w:val="16"/>
                <w:szCs w:val="16"/>
                <w:color w:val="auto"/>
              </w:rPr>
              <w:t>Denominator for basic (loss) earnings per share:</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5,274</w:t>
            </w:r>
          </w:p>
        </w:tc>
        <w:tc>
          <w:tcPr>
            <w:tcW w:w="440" w:type="dxa"/>
            <w:vAlign w:val="bottom"/>
          </w:tcPr>
          <w:p>
            <w:pPr>
              <w:spacing w:after="0"/>
              <w:rPr>
                <w:sz w:val="23"/>
                <w:szCs w:val="23"/>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283"/>
        </w:trPr>
        <w:tc>
          <w:tcPr>
            <w:tcW w:w="852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4"/>
        </w:trPr>
        <w:tc>
          <w:tcPr>
            <w:tcW w:w="8520" w:type="dxa"/>
            <w:vAlign w:val="bottom"/>
          </w:tcPr>
          <w:p>
            <w:pPr>
              <w:ind w:left="180"/>
              <w:spacing w:after="0"/>
              <w:rPr>
                <w:sz w:val="20"/>
                <w:szCs w:val="20"/>
                <w:color w:val="auto"/>
              </w:rPr>
            </w:pPr>
            <w:r>
              <w:rPr>
                <w:rFonts w:ascii="Arial" w:cs="Arial" w:eastAsia="Arial" w:hAnsi="Arial"/>
                <w:sz w:val="16"/>
                <w:szCs w:val="16"/>
                <w:color w:val="auto"/>
              </w:rPr>
              <w:t>Denominator for diluted (loss) earnings per share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5,274</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520" w:type="dxa"/>
            <w:vAlign w:val="bottom"/>
          </w:tcPr>
          <w:p>
            <w:pPr>
              <w:ind w:left="180"/>
              <w:spacing w:after="0"/>
              <w:rPr>
                <w:sz w:val="20"/>
                <w:szCs w:val="20"/>
                <w:color w:val="auto"/>
              </w:rPr>
            </w:pPr>
            <w:r>
              <w:rPr>
                <w:rFonts w:ascii="Arial" w:cs="Arial" w:eastAsia="Arial" w:hAnsi="Arial"/>
                <w:sz w:val="16"/>
                <w:szCs w:val="16"/>
                <w:b w:val="1"/>
                <w:bCs w:val="1"/>
                <w:color w:val="auto"/>
              </w:rPr>
              <w:t>Basic (loss)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(6.32)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Pr>
          <w:p>
            <w:pPr>
              <w:ind w:left="180"/>
              <w:spacing w:after="0"/>
              <w:rPr>
                <w:sz w:val="20"/>
                <w:szCs w:val="20"/>
                <w:color w:val="auto"/>
              </w:rPr>
            </w:pPr>
            <w:r>
              <w:rPr>
                <w:rFonts w:ascii="Arial" w:cs="Arial" w:eastAsia="Arial" w:hAnsi="Arial"/>
                <w:sz w:val="16"/>
                <w:szCs w:val="16"/>
                <w:b w:val="1"/>
                <w:bCs w:val="1"/>
                <w:color w:val="auto"/>
              </w:rPr>
              <w:t>Diluted (loss)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(6.32)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  Percent of undistributed losses allocated to common stockholders is 100% in the first three months of 2020 as participating securities are not contractually obligated to share in losses.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670" w:right="339" w:bottom="1440" w:gutter="0" w:footer="0" w:header="0"/>
        </w:sectPr>
      </w:pPr>
    </w:p>
    <w:bookmarkStart w:id="19" w:name="page20"/>
    <w:bookmarkEnd w:id="19"/>
    <w:p>
      <w:pPr>
        <w:ind w:right="260"/>
        <w:spacing w:after="0" w:line="235"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58"/>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2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2019</w:t>
            </w:r>
          </w:p>
        </w:tc>
      </w:tr>
      <w:tr>
        <w:trPr>
          <w:trHeight w:val="250"/>
        </w:trPr>
        <w:tc>
          <w:tcPr>
            <w:tcW w:w="86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720" w:type="dxa"/>
            <w:vAlign w:val="bottom"/>
          </w:tcPr>
          <w:p>
            <w:pPr>
              <w:jc w:val="right"/>
              <w:ind w:right="504"/>
              <w:spacing w:after="0"/>
              <w:rPr>
                <w:sz w:val="20"/>
                <w:szCs w:val="20"/>
                <w:color w:val="auto"/>
              </w:rPr>
            </w:pPr>
            <w:r>
              <w:rPr>
                <w:rFonts w:ascii="Arial" w:cs="Arial" w:eastAsia="Arial" w:hAnsi="Arial"/>
                <w:sz w:val="16"/>
                <w:szCs w:val="16"/>
                <w:b w:val="1"/>
                <w:bCs w:val="1"/>
                <w:color w:val="auto"/>
              </w:rPr>
              <w:t>12</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w:t>
            </w:r>
          </w:p>
        </w:tc>
      </w:tr>
      <w:tr>
        <w:trPr>
          <w:trHeight w:val="270"/>
        </w:trPr>
        <w:tc>
          <w:tcPr>
            <w:tcW w:w="866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720" w:type="dxa"/>
            <w:vAlign w:val="bottom"/>
          </w:tcPr>
          <w:p>
            <w:pPr>
              <w:jc w:val="right"/>
              <w:ind w:right="504"/>
              <w:spacing w:after="0"/>
              <w:rPr>
                <w:sz w:val="20"/>
                <w:szCs w:val="20"/>
                <w:color w:val="auto"/>
              </w:rPr>
            </w:pPr>
            <w:r>
              <w:rPr>
                <w:rFonts w:ascii="Arial" w:cs="Arial" w:eastAsia="Arial" w:hAnsi="Arial"/>
                <w:sz w:val="16"/>
                <w:szCs w:val="16"/>
                <w:b w:val="1"/>
                <w:bCs w:val="1"/>
                <w:color w:val="auto"/>
              </w:rPr>
              <w:t>27</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w:t>
            </w:r>
          </w:p>
        </w:tc>
      </w:tr>
    </w:tbl>
    <w:p>
      <w:pPr>
        <w:spacing w:after="0" w:line="356"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diluted (loss) earnings per share amounts for the three months ended March 31, 2020 and March 31, 2019 exclude the effects of 104,000 stock options outstanding, as their inclusion would have been antidilutive due to a market condition.</w:t>
      </w:r>
    </w:p>
    <w:p>
      <w:pPr>
        <w:spacing w:after="0" w:line="13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the three months ended March 31, 2020 and March 31, 2019, the Company declared regular dividends totaling $2.90 and $2.78 per common share,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58"/>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5,783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5,221</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8,169</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11,592</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(28,444)</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(30,838)</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708</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409</w:t>
            </w:r>
          </w:p>
        </w:tc>
      </w:tr>
      <w:tr>
        <w:trPr>
          <w:trHeight w:val="283"/>
        </w:trPr>
        <w:tc>
          <w:tcPr>
            <w:tcW w:w="844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6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(13,784)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(13,653)</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ectPr>
          <w:pgSz w:w="11900" w:h="16838" w:orient="portrait"/>
          <w:cols w:equalWidth="0" w:num="1">
            <w:col w:w="11240"/>
          </w:cols>
          <w:pgMar w:left="320" w:top="692" w:right="339" w:bottom="8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loss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Cost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5"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1" w:lineRule="exact"/>
        <w:rPr>
          <w:sz w:val="20"/>
          <w:szCs w:val="20"/>
          <w:color w:val="auto"/>
        </w:rPr>
      </w:pPr>
    </w:p>
    <w:p>
      <w:pPr>
        <w:spacing w:after="0"/>
        <w:tabs>
          <w:tab w:leader="none" w:pos="920" w:val="left"/>
          <w:tab w:leader="none" w:pos="1440" w:val="left"/>
          <w:tab w:leader="none" w:pos="23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238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214</w:t>
      </w:r>
    </w:p>
    <w:p>
      <w:pPr>
        <w:spacing w:after="0" w:line="106" w:lineRule="exact"/>
        <w:rPr>
          <w:sz w:val="20"/>
          <w:szCs w:val="20"/>
          <w:color w:val="auto"/>
        </w:rPr>
      </w:pPr>
    </w:p>
    <w:p>
      <w:pPr>
        <w:ind w:left="2260" w:hanging="1316"/>
        <w:spacing w:after="0"/>
        <w:tabs>
          <w:tab w:leader="none" w:pos="22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1,078</w:t>
      </w:r>
    </w:p>
    <w:p>
      <w:pPr>
        <w:spacing w:after="0" w:line="86" w:lineRule="exact"/>
        <w:rPr>
          <w:sz w:val="20"/>
          <w:szCs w:val="20"/>
          <w:color w:val="auto"/>
        </w:rPr>
      </w:pPr>
    </w:p>
    <w:p>
      <w:pPr>
        <w:ind w:left="2500" w:hanging="1466"/>
        <w:spacing w:after="0"/>
        <w:tabs>
          <w:tab w:leader="none" w:pos="250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85</w:t>
      </w:r>
    </w:p>
    <w:p>
      <w:pPr>
        <w:spacing w:after="0" w:line="66" w:lineRule="exact"/>
        <w:rPr>
          <w:rFonts w:ascii="Arial" w:cs="Arial" w:eastAsia="Arial" w:hAnsi="Arial"/>
          <w:sz w:val="16"/>
          <w:szCs w:val="16"/>
          <w:b w:val="1"/>
          <w:bCs w:val="1"/>
          <w:color w:val="auto"/>
        </w:rPr>
      </w:pPr>
    </w:p>
    <w:p>
      <w:pPr>
        <w:ind w:left="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1,317</w:t>
      </w:r>
      <w:r>
        <w:rPr>
          <w:rFonts w:ascii="Arial" w:cs="Arial" w:eastAsia="Arial" w:hAnsi="Arial"/>
          <w:sz w:val="16"/>
          <w:szCs w:val="16"/>
          <w:color w:val="auto"/>
        </w:rPr>
        <w:t>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0" w:lineRule="exact"/>
        <w:rPr>
          <w:sz w:val="20"/>
          <w:szCs w:val="20"/>
          <w:color w:val="auto"/>
        </w:rPr>
      </w:pPr>
    </w:p>
    <w:p>
      <w:pPr>
        <w:spacing w:after="0"/>
        <w:tabs>
          <w:tab w:leader="none" w:pos="780" w:val="left"/>
          <w:tab w:leader="none" w:pos="1440" w:val="left"/>
          <w:tab w:leader="none" w:pos="22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48895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740" w:space="720"/>
            <w:col w:w="2780"/>
          </w:cols>
          <w:pgMar w:left="320" w:top="692" w:right="339" w:bottom="887" w:gutter="0" w:footer="0" w:header="0"/>
          <w:type w:val="continuous"/>
        </w:sectPr>
      </w:pPr>
    </w:p>
    <w:p>
      <w:pPr>
        <w:spacing w:after="0" w:line="19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 were allocated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320" w:type="dxa"/>
            <w:vAlign w:val="bottom"/>
          </w:tcPr>
          <w:p>
            <w:pPr>
              <w:spacing w:after="0"/>
              <w:rPr>
                <w:sz w:val="24"/>
                <w:szCs w:val="24"/>
                <w:color w:val="auto"/>
              </w:rPr>
            </w:pPr>
          </w:p>
        </w:tc>
        <w:tc>
          <w:tcPr>
            <w:tcW w:w="1700" w:type="dxa"/>
            <w:vAlign w:val="bottom"/>
          </w:tcPr>
          <w:p>
            <w:pPr>
              <w:jc w:val="right"/>
              <w:ind w:right="602"/>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181"/>
              <w:spacing w:after="0"/>
              <w:rPr>
                <w:sz w:val="20"/>
                <w:szCs w:val="20"/>
                <w:color w:val="auto"/>
              </w:rPr>
            </w:pPr>
            <w:r>
              <w:rPr>
                <w:rFonts w:ascii="Arial" w:cs="Arial" w:eastAsia="Arial" w:hAnsi="Arial"/>
                <w:sz w:val="14"/>
                <w:szCs w:val="14"/>
                <w:color w:val="auto"/>
              </w:rPr>
              <w:t>December 31,</w:t>
            </w:r>
          </w:p>
        </w:tc>
      </w:tr>
      <w:tr>
        <w:trPr>
          <w:trHeight w:val="196"/>
        </w:trPr>
        <w:tc>
          <w:tcPr>
            <w:tcW w:w="8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2019</w:t>
            </w:r>
          </w:p>
        </w:tc>
      </w:tr>
      <w:tr>
        <w:trPr>
          <w:trHeight w:val="250"/>
        </w:trPr>
        <w:tc>
          <w:tcPr>
            <w:tcW w:w="832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00" w:type="dxa"/>
            <w:vAlign w:val="bottom"/>
          </w:tcPr>
          <w:p>
            <w:pPr>
              <w:jc w:val="right"/>
              <w:ind w:right="242"/>
              <w:spacing w:after="0"/>
              <w:rPr>
                <w:sz w:val="20"/>
                <w:szCs w:val="20"/>
                <w:color w:val="auto"/>
              </w:rPr>
            </w:pPr>
            <w:r>
              <w:rPr>
                <w:rFonts w:ascii="Arial" w:cs="Arial" w:eastAsia="Arial" w:hAnsi="Arial"/>
                <w:sz w:val="16"/>
                <w:szCs w:val="16"/>
                <w:b w:val="1"/>
                <w:bCs w:val="1"/>
                <w:color w:val="auto"/>
              </w:rPr>
              <w:t>61%</w:t>
            </w: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Private investment fund</w:t>
            </w:r>
          </w:p>
        </w:tc>
        <w:tc>
          <w:tcPr>
            <w:tcW w:w="1700" w:type="dxa"/>
            <w:vAlign w:val="bottom"/>
          </w:tcPr>
          <w:p>
            <w:pPr>
              <w:jc w:val="right"/>
              <w:ind w:right="242"/>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00" w:type="dxa"/>
            <w:vAlign w:val="bottom"/>
          </w:tcPr>
          <w:p>
            <w:pPr>
              <w:jc w:val="right"/>
              <w:ind w:right="242"/>
              <w:spacing w:after="0"/>
              <w:rPr>
                <w:sz w:val="20"/>
                <w:szCs w:val="20"/>
                <w:color w:val="auto"/>
              </w:rPr>
            </w:pPr>
            <w:r>
              <w:rPr>
                <w:rFonts w:ascii="Arial" w:cs="Arial" w:eastAsia="Arial" w:hAnsi="Arial"/>
                <w:sz w:val="16"/>
                <w:szCs w:val="16"/>
                <w:b w:val="1"/>
                <w:bCs w:val="1"/>
                <w:color w:val="auto"/>
              </w:rPr>
              <w:t>10%</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00" w:type="dxa"/>
            <w:vAlign w:val="bottom"/>
          </w:tcPr>
          <w:p>
            <w:pPr>
              <w:jc w:val="right"/>
              <w:ind w:right="242"/>
              <w:spacing w:after="0"/>
              <w:rPr>
                <w:sz w:val="20"/>
                <w:szCs w:val="20"/>
                <w:color w:val="auto"/>
              </w:rPr>
            </w:pPr>
            <w:r>
              <w:rPr>
                <w:rFonts w:ascii="Arial" w:cs="Arial" w:eastAsia="Arial" w:hAnsi="Arial"/>
                <w:sz w:val="16"/>
                <w:szCs w:val="16"/>
                <w:b w:val="1"/>
                <w:bCs w:val="1"/>
                <w:color w:val="auto"/>
              </w:rPr>
              <w:t>9%</w:t>
            </w: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3"/>
        </w:trPr>
        <w:tc>
          <w:tcPr>
            <w:tcW w:w="832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63"/>
        </w:trPr>
        <w:tc>
          <w:tcPr>
            <w:tcW w:w="8320" w:type="dxa"/>
            <w:vAlign w:val="bottom"/>
          </w:tcPr>
          <w:p>
            <w:pPr>
              <w:spacing w:after="0"/>
              <w:rPr>
                <w:sz w:val="22"/>
                <w:szCs w:val="22"/>
                <w:color w:val="auto"/>
              </w:rPr>
            </w:pP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30% of the assets it manages in specified</w:t>
      </w:r>
    </w:p>
    <w:p>
      <w:pPr>
        <w:sectPr>
          <w:pgSz w:w="11900" w:h="16838" w:orient="portrait"/>
          <w:cols w:equalWidth="0" w:num="1">
            <w:col w:w="11240"/>
          </w:cols>
          <w:pgMar w:left="320" w:top="692" w:right="339" w:bottom="887"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692" w:right="339" w:bottom="887" w:gutter="0" w:footer="0" w:header="0"/>
          <w:type w:val="continuous"/>
        </w:sectPr>
      </w:pPr>
    </w:p>
    <w:bookmarkStart w:id="20" w:name="page21"/>
    <w:bookmarkEnd w:id="20"/>
    <w:p>
      <w:pPr>
        <w:ind w:right="40"/>
        <w:spacing w:after="0" w:line="225" w:lineRule="auto"/>
        <w:rPr>
          <w:sz w:val="20"/>
          <w:szCs w:val="20"/>
          <w:color w:val="auto"/>
        </w:rPr>
      </w:pPr>
      <w:r>
        <w:rPr>
          <w:rFonts w:ascii="Arial" w:cs="Arial" w:eastAsia="Arial" w:hAnsi="Arial"/>
          <w:sz w:val="18"/>
          <w:szCs w:val="18"/>
          <w:color w:val="auto"/>
        </w:rPr>
        <w:t>international exchanges at the time the investment is made.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37"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2020. Types of concentrations that were evaluated include, but are not limited to, investment concentrations in a single entity, type of industry, foreign country and individual fund. At March 31, 2020, the pension plan held investments in one common stock and one private investment fund that exceeded 10% of total plan assets, valued at $530.3 million, or approximately 28% of total plan assets. At December 31, 2019, the pension plan held investments in one common stock and one U.S. stock index fund that exceeded 10% of total plan assets, valued at $704.8 million, or approximately 30%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5"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p>
      <w:pPr>
        <w:spacing w:after="0"/>
        <w:tabs>
          <w:tab w:leader="none" w:pos="1020" w:val="left"/>
          <w:tab w:leader="none" w:pos="1440" w:val="left"/>
          <w:tab w:leader="none" w:pos="24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72</w:t>
      </w:r>
    </w:p>
    <w:p>
      <w:pPr>
        <w:spacing w:after="0" w:line="106" w:lineRule="exact"/>
        <w:rPr>
          <w:sz w:val="20"/>
          <w:szCs w:val="20"/>
          <w:color w:val="auto"/>
        </w:rPr>
      </w:pPr>
    </w:p>
    <w:p>
      <w:pPr>
        <w:ind w:left="2220" w:hanging="1330"/>
        <w:spacing w:after="0"/>
        <w:tabs>
          <w:tab w:leader="none" w:pos="222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(1,841)</w:t>
      </w:r>
    </w:p>
    <w:p>
      <w:pPr>
        <w:spacing w:after="0" w:line="77" w:lineRule="exact"/>
        <w:rPr>
          <w:rFonts w:ascii="Arial" w:cs="Arial" w:eastAsia="Arial" w:hAnsi="Arial"/>
          <w:sz w:val="15"/>
          <w:szCs w:val="15"/>
          <w:b w:val="1"/>
          <w:bCs w:val="1"/>
          <w:color w:val="auto"/>
        </w:rPr>
      </w:pPr>
    </w:p>
    <w:p>
      <w:pPr>
        <w:ind w:left="76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(1,097)</w:t>
      </w:r>
      <w:r>
        <w:rPr>
          <w:rFonts w:ascii="Arial" w:cs="Arial" w:eastAsia="Arial" w:hAnsi="Arial"/>
          <w:sz w:val="15"/>
          <w:szCs w:val="15"/>
          <w:color w:val="auto"/>
        </w:rPr>
        <w:t>(1,090)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0" w:lineRule="exact"/>
        <w:rPr>
          <w:sz w:val="20"/>
          <w:szCs w:val="20"/>
          <w:color w:val="auto"/>
        </w:rPr>
      </w:pPr>
    </w:p>
    <w:p>
      <w:pPr>
        <w:spacing w:after="0"/>
        <w:tabs>
          <w:tab w:leader="none" w:pos="740" w:val="left"/>
          <w:tab w:leader="none" w:pos="1440" w:val="left"/>
          <w:tab w:leader="none" w:pos="22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(1,155)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48895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740" w:space="720"/>
            <w:col w:w="2780"/>
          </w:cols>
          <w:pgMar w:left="320" w:top="692"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25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r>
      <w:tr>
        <w:trPr>
          <w:trHeight w:val="250"/>
        </w:trPr>
        <w:tc>
          <w:tcPr>
            <w:tcW w:w="8320" w:type="dxa"/>
            <w:vAlign w:val="bottom"/>
          </w:tcPr>
          <w:p>
            <w:pPr>
              <w:ind w:left="40"/>
              <w:spacing w:after="0"/>
              <w:rPr>
                <w:sz w:val="20"/>
                <w:szCs w:val="20"/>
                <w:color w:val="auto"/>
              </w:rPr>
            </w:pPr>
            <w:r>
              <w:rPr>
                <w:rFonts w:ascii="Arial" w:cs="Arial" w:eastAsia="Arial" w:hAnsi="Arial"/>
                <w:sz w:val="16"/>
                <w:szCs w:val="16"/>
                <w:color w:val="auto"/>
              </w:rPr>
              <w:t>Foreign currency gain, net</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4,290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Impairment of cost method investments</w:t>
            </w:r>
          </w:p>
        </w:tc>
        <w:tc>
          <w:tcPr>
            <w:tcW w:w="34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(2,577)</w:t>
            </w:r>
          </w:p>
        </w:tc>
        <w:tc>
          <w:tcPr>
            <w:tcW w:w="4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Gain on sale of a cost method investment</w:t>
            </w:r>
          </w:p>
        </w:tc>
        <w:tc>
          <w:tcPr>
            <w:tcW w:w="340" w:type="dxa"/>
            <w:vAlign w:val="bottom"/>
          </w:tcPr>
          <w:p>
            <w:pPr>
              <w:spacing w:after="0"/>
              <w:rPr>
                <w:sz w:val="23"/>
                <w:szCs w:val="23"/>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518</w:t>
            </w:r>
          </w:p>
        </w:tc>
        <w:tc>
          <w:tcPr>
            <w:tcW w:w="4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Gain on sales of businesses</w:t>
            </w:r>
          </w:p>
        </w:tc>
        <w:tc>
          <w:tcPr>
            <w:tcW w:w="340" w:type="dxa"/>
            <w:vAlign w:val="bottom"/>
          </w:tcPr>
          <w:p>
            <w:pPr>
              <w:spacing w:after="0"/>
              <w:rPr>
                <w:sz w:val="23"/>
                <w:szCs w:val="23"/>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107</w:t>
            </w:r>
          </w:p>
        </w:tc>
        <w:tc>
          <w:tcPr>
            <w:tcW w:w="4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(Loss) gain on sale of an equity affiliate</w:t>
            </w:r>
          </w:p>
        </w:tc>
        <w:tc>
          <w:tcPr>
            <w:tcW w:w="34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(103)</w:t>
            </w:r>
          </w:p>
        </w:tc>
        <w:tc>
          <w:tcPr>
            <w:tcW w:w="4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28,994</w:t>
            </w:r>
          </w:p>
        </w:tc>
      </w:tr>
      <w:tr>
        <w:trPr>
          <w:trHeight w:val="270"/>
        </w:trPr>
        <w:tc>
          <w:tcPr>
            <w:tcW w:w="8320" w:type="dxa"/>
            <w:vAlign w:val="bottom"/>
          </w:tcPr>
          <w:p>
            <w:pPr>
              <w:ind w:left="40"/>
              <w:spacing w:after="0"/>
              <w:rPr>
                <w:sz w:val="20"/>
                <w:szCs w:val="20"/>
                <w:color w:val="auto"/>
              </w:rPr>
            </w:pPr>
            <w:r>
              <w:rPr>
                <w:rFonts w:ascii="Arial" w:cs="Arial" w:eastAsia="Arial" w:hAnsi="Arial"/>
                <w:sz w:val="16"/>
                <w:szCs w:val="16"/>
                <w:color w:val="auto"/>
              </w:rPr>
              <w:t>Gain on cost method investments</w:t>
            </w:r>
          </w:p>
        </w:tc>
        <w:tc>
          <w:tcPr>
            <w:tcW w:w="340" w:type="dxa"/>
            <w:vAlign w:val="bottom"/>
          </w:tcPr>
          <w:p>
            <w:pPr>
              <w:spacing w:after="0"/>
              <w:rPr>
                <w:sz w:val="23"/>
                <w:szCs w:val="23"/>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1,411</w:t>
            </w:r>
          </w:p>
        </w:tc>
      </w:tr>
      <w:tr>
        <w:trPr>
          <w:trHeight w:val="283"/>
        </w:trPr>
        <w:tc>
          <w:tcPr>
            <w:tcW w:w="8320" w:type="dxa"/>
            <w:vAlign w:val="bottom"/>
          </w:tcPr>
          <w:p>
            <w:pPr>
              <w:ind w:left="40"/>
              <w:spacing w:after="0"/>
              <w:rPr>
                <w:sz w:val="20"/>
                <w:szCs w:val="20"/>
                <w:color w:val="auto"/>
              </w:rPr>
            </w:pPr>
            <w:r>
              <w:rPr>
                <w:rFonts w:ascii="Arial" w:cs="Arial" w:eastAsia="Arial" w:hAnsi="Arial"/>
                <w:sz w:val="16"/>
                <w:szCs w:val="16"/>
                <w:color w:val="auto"/>
              </w:rPr>
              <w:t>Other gain (loss),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r>
      <w:tr>
        <w:trPr>
          <w:trHeight w:val="267"/>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29,351</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For the three months ended March 31, 2020, the Company recorded impairment losses of $2.6 million to equity securities that are accounted for as cost method investments.</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For the three months ended March 31, 2019, the Company recorded a $1.4 million gain resulting from observable price changes in the fair value of equity securities accounted for under the cost method.</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For the three months ended March 31, 2019, the Company recorded a $29.0 million gain on the sale of the Company’s interest in Gimlet Media.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692"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0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22"/>
                <w:szCs w:val="22"/>
                <w:color w:val="auto"/>
              </w:rPr>
            </w:pPr>
          </w:p>
        </w:tc>
        <w:tc>
          <w:tcPr>
            <w:tcW w:w="740" w:type="dxa"/>
            <w:vAlign w:val="bottom"/>
          </w:tcPr>
          <w:p>
            <w:pPr>
              <w:jc w:val="right"/>
              <w:ind w:right="12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22"/>
                <w:szCs w:val="22"/>
                <w:color w:val="auto"/>
              </w:rPr>
            </w:pPr>
          </w:p>
        </w:tc>
        <w:tc>
          <w:tcPr>
            <w:tcW w:w="800" w:type="dxa"/>
            <w:vAlign w:val="bottom"/>
          </w:tcPr>
          <w:p>
            <w:pPr>
              <w:jc w:val="right"/>
              <w:ind w:right="101"/>
              <w:spacing w:after="0"/>
              <w:rPr>
                <w:sz w:val="20"/>
                <w:szCs w:val="20"/>
                <w:color w:val="auto"/>
              </w:rPr>
            </w:pPr>
            <w:r>
              <w:rPr>
                <w:rFonts w:ascii="Arial" w:cs="Arial" w:eastAsia="Arial" w:hAnsi="Arial"/>
                <w:sz w:val="14"/>
                <w:szCs w:val="14"/>
                <w:b w:val="1"/>
                <w:bCs w:val="1"/>
                <w:color w:val="auto"/>
                <w:w w:val="97"/>
              </w:rPr>
              <w:t>After-Tax</w:t>
            </w:r>
          </w:p>
        </w:tc>
        <w:tc>
          <w:tcPr>
            <w:tcW w:w="2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22"/>
                <w:szCs w:val="22"/>
                <w:color w:val="auto"/>
              </w:rPr>
            </w:pPr>
          </w:p>
        </w:tc>
        <w:tc>
          <w:tcPr>
            <w:tcW w:w="740" w:type="dxa"/>
            <w:vAlign w:val="bottom"/>
          </w:tcPr>
          <w:p>
            <w:pPr>
              <w:jc w:val="center"/>
              <w:ind w:right="10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84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49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40" w:type="dxa"/>
            <w:vAlign w:val="bottom"/>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8"/>
                <w:szCs w:val="18"/>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8"/>
                <w:szCs w:val="18"/>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84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496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(37,376)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b w:val="1"/>
                <w:bCs w:val="1"/>
                <w:color w:val="auto"/>
              </w:rPr>
              <w:t>(37,376)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10,033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10,033</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 included in net (loss)</w:t>
            </w:r>
          </w:p>
        </w:tc>
        <w:tc>
          <w:tcPr>
            <w:tcW w:w="140" w:type="dxa"/>
            <w:vAlign w:val="bottom"/>
          </w:tcPr>
          <w:p>
            <w:pPr>
              <w:spacing w:after="0"/>
              <w:rPr>
                <w:sz w:val="20"/>
                <w:szCs w:val="20"/>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671</w:t>
            </w:r>
          </w:p>
        </w:tc>
        <w:tc>
          <w:tcPr>
            <w:tcW w:w="2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(181)</w:t>
            </w:r>
          </w:p>
        </w:tc>
        <w:tc>
          <w:tcPr>
            <w:tcW w:w="240" w:type="dxa"/>
            <w:vAlign w:val="bottom"/>
          </w:tcPr>
          <w:p>
            <w:pPr>
              <w:spacing w:after="0"/>
              <w:rPr>
                <w:sz w:val="20"/>
                <w:szCs w:val="20"/>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490</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3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(1,347)</w:t>
            </w:r>
          </w:p>
        </w:tc>
        <w:tc>
          <w:tcPr>
            <w:tcW w:w="20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364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Amortization of net actuarial loss (gain) included in net (loss)</w:t>
            </w:r>
          </w:p>
        </w:tc>
        <w:tc>
          <w:tcPr>
            <w:tcW w:w="140" w:type="dxa"/>
            <w:vAlign w:val="bottom"/>
          </w:tcPr>
          <w:p>
            <w:pPr>
              <w:spacing w:after="0"/>
              <w:rPr>
                <w:sz w:val="20"/>
                <w:szCs w:val="20"/>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220</w:t>
            </w:r>
          </w:p>
        </w:tc>
        <w:tc>
          <w:tcPr>
            <w:tcW w:w="2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240" w:type="dxa"/>
            <w:vAlign w:val="bottom"/>
          </w:tcPr>
          <w:p>
            <w:pPr>
              <w:spacing w:after="0"/>
              <w:rPr>
                <w:sz w:val="20"/>
                <w:szCs w:val="20"/>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160</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60" w:type="dxa"/>
            <w:vAlign w:val="bottom"/>
          </w:tcPr>
          <w:p>
            <w:pPr>
              <w:ind w:left="3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(548)</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891</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650</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(1,895)</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50"/>
        </w:trPr>
        <w:tc>
          <w:tcPr>
            <w:tcW w:w="496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960" w:type="dxa"/>
            <w:vAlign w:val="bottom"/>
          </w:tcPr>
          <w:p>
            <w:pPr>
              <w:ind w:left="180"/>
              <w:spacing w:after="0"/>
              <w:rPr>
                <w:sz w:val="20"/>
                <w:szCs w:val="20"/>
                <w:color w:val="auto"/>
              </w:rPr>
            </w:pPr>
            <w:r>
              <w:rPr>
                <w:rFonts w:ascii="Arial" w:cs="Arial" w:eastAsia="Arial" w:hAnsi="Arial"/>
                <w:sz w:val="16"/>
                <w:szCs w:val="16"/>
                <w:color w:val="auto"/>
              </w:rPr>
              <w:t>Loss for the period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(1,578)</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361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(1,217)</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(467)</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6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(38,063)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(37,943)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7,671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8,290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4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rPr>
              <w:t>on Pensions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4"/>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62"/>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920" w:type="dxa"/>
            <w:vAlign w:val="bottom"/>
          </w:tcPr>
          <w:p>
            <w:pPr>
              <w:jc w:val="right"/>
              <w:ind w:right="102"/>
              <w:spacing w:after="0"/>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4"/>
                <w:szCs w:val="14"/>
                <w:color w:val="auto"/>
              </w:rPr>
            </w:pP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Plans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Income</w:t>
            </w:r>
          </w:p>
        </w:tc>
      </w:tr>
      <w:tr>
        <w:trPr>
          <w:trHeight w:val="250"/>
        </w:trPr>
        <w:tc>
          <w:tcPr>
            <w:tcW w:w="5400" w:type="dxa"/>
            <w:vAlign w:val="bottom"/>
          </w:tcPr>
          <w:p>
            <w:pPr>
              <w:ind w:left="40"/>
              <w:spacing w:after="0"/>
              <w:rPr>
                <w:sz w:val="20"/>
                <w:szCs w:val="20"/>
                <w:color w:val="auto"/>
              </w:rPr>
            </w:pPr>
            <w:r>
              <w:rPr>
                <w:rFonts w:ascii="Arial" w:cs="Arial" w:eastAsia="Arial" w:hAnsi="Arial"/>
                <w:sz w:val="16"/>
                <w:szCs w:val="16"/>
                <w:color w:val="auto"/>
              </w:rPr>
              <w:t>Balance as of December 31, 2019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(21,888)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4"/>
              <w:spacing w:after="0"/>
              <w:rPr>
                <w:sz w:val="20"/>
                <w:szCs w:val="20"/>
                <w:color w:val="auto"/>
              </w:rPr>
            </w:pPr>
            <w:r>
              <w:rPr>
                <w:rFonts w:ascii="Arial" w:cs="Arial" w:eastAsia="Arial" w:hAnsi="Arial"/>
                <w:sz w:val="16"/>
                <w:szCs w:val="16"/>
                <w:color w:val="auto"/>
              </w:rPr>
              <w:t>325,921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303,295</w:t>
            </w:r>
          </w:p>
        </w:tc>
      </w:tr>
      <w:tr>
        <w:trPr>
          <w:trHeight w:val="270"/>
        </w:trPr>
        <w:tc>
          <w:tcPr>
            <w:tcW w:w="54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20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6"/>
                <w:szCs w:val="16"/>
                <w:b w:val="1"/>
                <w:bCs w:val="1"/>
                <w:color w:val="auto"/>
              </w:rPr>
              <w:t>(37,376)</w:t>
            </w:r>
          </w:p>
        </w:tc>
        <w:tc>
          <w:tcPr>
            <w:tcW w:w="240" w:type="dxa"/>
            <w:vAlign w:val="bottom"/>
          </w:tcPr>
          <w:p>
            <w:pPr>
              <w:spacing w:after="0"/>
              <w:rPr>
                <w:sz w:val="23"/>
                <w:szCs w:val="23"/>
                <w:color w:val="auto"/>
              </w:rPr>
            </w:pPr>
          </w:p>
        </w:tc>
        <w:tc>
          <w:tcPr>
            <w:tcW w:w="14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(1,253)</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(38,629)</w:t>
            </w:r>
          </w:p>
        </w:tc>
      </w:tr>
      <w:tr>
        <w:trPr>
          <w:trHeight w:val="217"/>
        </w:trPr>
        <w:tc>
          <w:tcPr>
            <w:tcW w:w="540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8"/>
        </w:trPr>
        <w:tc>
          <w:tcPr>
            <w:tcW w:w="5400" w:type="dxa"/>
            <w:vAlign w:val="bottom"/>
          </w:tcPr>
          <w:p>
            <w:pPr>
              <w:ind w:left="260"/>
              <w:spacing w:after="0"/>
              <w:rPr>
                <w:sz w:val="20"/>
                <w:szCs w:val="20"/>
                <w:color w:val="auto"/>
              </w:rPr>
            </w:pPr>
            <w:r>
              <w:rPr>
                <w:rFonts w:ascii="Arial" w:cs="Arial" w:eastAsia="Arial" w:hAnsi="Arial"/>
                <w:sz w:val="16"/>
                <w:szCs w:val="16"/>
                <w:b w:val="1"/>
                <w:bCs w:val="1"/>
                <w:color w:val="auto"/>
              </w:rPr>
              <w:t>income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650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36</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686</w:t>
            </w:r>
          </w:p>
        </w:tc>
      </w:tr>
      <w:tr>
        <w:trPr>
          <w:trHeight w:val="264"/>
        </w:trPr>
        <w:tc>
          <w:tcPr>
            <w:tcW w:w="54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(37,376)</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650</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(1,217)</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(37,943)</w:t>
            </w:r>
          </w:p>
        </w:tc>
      </w:tr>
      <w:tr>
        <w:trPr>
          <w:trHeight w:val="26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(59,264)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326,571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265,352</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14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c>
          <w:tcPr>
            <w:tcW w:w="34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7"/>
        </w:trPr>
        <w:tc>
          <w:tcPr>
            <w:tcW w:w="5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34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671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(1,347)</w:t>
            </w:r>
          </w:p>
        </w:tc>
        <w:tc>
          <w:tcPr>
            <w:tcW w:w="27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5640" w:type="dxa"/>
            <w:vAlign w:val="bottom"/>
          </w:tcPr>
          <w:p>
            <w:pPr>
              <w:ind w:left="180"/>
              <w:spacing w:after="0"/>
              <w:rPr>
                <w:sz w:val="20"/>
                <w:szCs w:val="20"/>
                <w:color w:val="auto"/>
              </w:rPr>
            </w:pPr>
            <w:r>
              <w:rPr>
                <w:rFonts w:ascii="Arial" w:cs="Arial" w:eastAsia="Arial" w:hAnsi="Arial"/>
                <w:sz w:val="16"/>
                <w:szCs w:val="16"/>
                <w:color w:val="auto"/>
              </w:rPr>
              <w:t>Amortization of net actuarial loss (gain)</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220</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7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5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891</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(1,895)</w:t>
            </w:r>
          </w:p>
        </w:tc>
        <w:tc>
          <w:tcPr>
            <w:tcW w:w="276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5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2760" w:type="dxa"/>
            <w:vAlign w:val="bottom"/>
          </w:tcPr>
          <w:p>
            <w:pPr>
              <w:ind w:left="120"/>
              <w:spacing w:after="0"/>
              <w:rPr>
                <w:sz w:val="20"/>
                <w:szCs w:val="20"/>
                <w:color w:val="auto"/>
              </w:rPr>
            </w:pPr>
            <w:r>
              <w:rPr>
                <w:rFonts w:ascii="Arial" w:cs="Arial" w:eastAsia="Arial" w:hAnsi="Arial"/>
                <w:sz w:val="14"/>
                <w:szCs w:val="14"/>
                <w:color w:val="auto"/>
              </w:rPr>
              <w:t>(Benefit from) Provision for Income Taxes</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650</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27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27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5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2760" w:type="dxa"/>
            <w:vAlign w:val="bottom"/>
          </w:tcPr>
          <w:p>
            <w:pPr>
              <w:ind w:left="120"/>
              <w:spacing w:after="0"/>
              <w:rPr>
                <w:sz w:val="20"/>
                <w:szCs w:val="20"/>
                <w:color w:val="auto"/>
              </w:rPr>
            </w:pPr>
            <w:r>
              <w:rPr>
                <w:rFonts w:ascii="Arial" w:cs="Arial" w:eastAsia="Arial" w:hAnsi="Arial"/>
                <w:sz w:val="14"/>
                <w:szCs w:val="14"/>
                <w:color w:val="auto"/>
              </w:rPr>
              <w:t>(Benefit from) Provision for Income Taxes</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7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9"/>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686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27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40" w:hanging="412"/>
        <w:spacing w:after="0" w:line="239"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w:t>
      </w:r>
    </w:p>
    <w:p>
      <w:pPr>
        <w:sectPr>
          <w:pgSz w:w="11900" w:h="16838" w:orient="portrait"/>
          <w:cols w:equalWidth="0" w:num="1">
            <w:col w:w="11240"/>
          </w:cols>
          <w:pgMar w:left="320" w:top="670" w:right="339"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670" w:right="339" w:bottom="0" w:gutter="0" w:footer="0" w:header="0"/>
          <w:type w:val="continuous"/>
        </w:sectPr>
      </w:pPr>
    </w:p>
    <w:bookmarkStart w:id="22" w:name="page23"/>
    <w:bookmarkEnd w:id="22"/>
    <w:p>
      <w:pPr>
        <w:spacing w:after="0" w:line="235" w:lineRule="auto"/>
        <w:rPr>
          <w:sz w:val="20"/>
          <w:szCs w:val="20"/>
          <w:color w:val="auto"/>
        </w:rPr>
      </w:pPr>
      <w:r>
        <w:rPr>
          <w:rFonts w:ascii="Arial" w:cs="Arial" w:eastAsia="Arial" w:hAnsi="Arial"/>
          <w:sz w:val="18"/>
          <w:szCs w:val="18"/>
          <w:color w:val="auto"/>
        </w:rPr>
        <w:t>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35"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follows the Council’s assessment that a category 1 fire hazard exists at the property and requires certain remedial work to be undertaken at the property within a specified timetable. This work comprises a number of items, including the removal of aluminum composite material (ACM) cladding and high pressure laminate (HPL) cladding from the facade of the building. Kaplan Bournemouth Limited appealed the notice on January 31, 2020, to contest certain remedial requirements, although it will not contest the requirement for the removal of the ACM and HPL cladding. Following the appeal, a proposal for mediation was agreed to and a hearing was scheduled for April 2020. However, this mediation hearing was postponed due to the COVID-19 pandemic. If Kaplan is not successful in its appeal, additional substantial work may be required in connection with the building.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has eight reportable segments: Kaplan International, Kaplan Higher Education, Kaplan Test Preparation, Kaplan Professional (U.S.), Television Broadcasting, Manufacturing, Healthcare, and SocialCode.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356,378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372,454</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115,448</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108,223</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113,458</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115,157</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45,994</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37,728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12,023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89,268</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45,230</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(312)</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732,257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692,199</w:t>
            </w:r>
          </w:p>
        </w:tc>
        <w:tc>
          <w:tcPr>
            <w:tcW w:w="0" w:type="dxa"/>
            <w:vAlign w:val="bottom"/>
          </w:tcPr>
          <w:p>
            <w:pPr>
              <w:spacing w:after="0"/>
              <w:rPr>
                <w:sz w:val="1"/>
                <w:szCs w:val="1"/>
                <w:color w:val="auto"/>
              </w:rPr>
            </w:pPr>
          </w:p>
        </w:tc>
      </w:tr>
      <w:tr>
        <w:trPr>
          <w:trHeight w:val="251"/>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4,692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25,595</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35,776</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35,540</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6,501</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3,274</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3,169</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(3,789)</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(29,692)</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(8,493)</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(8,572)</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(14,224)</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8,085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40,003</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30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(1,547)</w:t>
            </w: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(6,527)</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(5,725)</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18,403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19,928</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(Loss) Gain on Marketable Equity Securities, Net</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(100,393)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24,066</w:t>
            </w:r>
          </w:p>
        </w:tc>
        <w:tc>
          <w:tcPr>
            <w:tcW w:w="0" w:type="dxa"/>
            <w:vAlign w:val="bottom"/>
          </w:tcPr>
          <w:p>
            <w:pPr>
              <w:spacing w:after="0"/>
              <w:rPr>
                <w:sz w:val="1"/>
                <w:szCs w:val="1"/>
                <w:color w:val="auto"/>
              </w:rPr>
            </w:pPr>
          </w:p>
        </w:tc>
      </w:tr>
      <w:tr>
        <w:trPr>
          <w:trHeight w:val="283"/>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2,688</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29,351</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(79,291)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109,302</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7,329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6,201</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3,343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2,527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540</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121</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2,669</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175</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16,704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13,523</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Intangible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4,201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1,360</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7,137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1,310</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157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16,401</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30,566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13,060</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2,585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796</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394</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159</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237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226</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1,386</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5,783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5,221</w:t>
            </w: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231" w:gutter="0" w:footer="0" w:header="0"/>
        </w:sectPr>
      </w:pPr>
    </w:p>
    <w:bookmarkStart w:id="24" w:name="page25"/>
    <w:bookmarkEnd w:id="24"/>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019"/>
          </w:cols>
          <w:pgMar w:left="1440" w:top="692"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7"/>
                <w:szCs w:val="17"/>
                <w:color w:val="auto"/>
              </w:rPr>
            </w:pP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March 31, 2020</w:t>
            </w: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December 31, 2019</w:t>
            </w:r>
          </w:p>
        </w:tc>
      </w:tr>
      <w:tr>
        <w:trPr>
          <w:trHeight w:val="22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4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1,893,250</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2,032,425</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457,048</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463,689</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568,265</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564,251</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161,511</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160,033</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134,650</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221,746</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317,940</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345,649</w:t>
            </w:r>
          </w:p>
        </w:tc>
      </w:tr>
      <w:tr>
        <w:trPr>
          <w:trHeight w:val="283"/>
        </w:trPr>
        <w:tc>
          <w:tcPr>
            <w:tcW w:w="84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202,486</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103,764</w:t>
            </w:r>
          </w:p>
        </w:tc>
      </w:tr>
      <w:tr>
        <w:trPr>
          <w:trHeight w:val="263"/>
        </w:trPr>
        <w:tc>
          <w:tcPr>
            <w:tcW w:w="84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3,735,150</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3,891,557</w:t>
            </w:r>
          </w:p>
        </w:tc>
      </w:tr>
      <w:tr>
        <w:trPr>
          <w:trHeight w:val="251"/>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436,204</w:t>
            </w:r>
          </w:p>
        </w:tc>
        <w:tc>
          <w:tcPr>
            <w:tcW w:w="4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585,080</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167,628</w:t>
            </w:r>
          </w:p>
        </w:tc>
        <w:tc>
          <w:tcPr>
            <w:tcW w:w="4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162,249</w:t>
            </w:r>
          </w:p>
        </w:tc>
      </w:tr>
      <w:tr>
        <w:trPr>
          <w:trHeight w:val="28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1,306,843</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1,292,350</w:t>
            </w:r>
          </w:p>
        </w:tc>
      </w:tr>
      <w:tr>
        <w:trPr>
          <w:trHeight w:val="26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5,645,825</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5,931,236</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9"/>
                <w:szCs w:val="19"/>
                <w:color w:val="auto"/>
              </w:rPr>
            </w:pPr>
          </w:p>
        </w:tc>
      </w:tr>
      <w:tr>
        <w:trPr>
          <w:trHeight w:val="263"/>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199,615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185,756</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73,537</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82,780</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42,839</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61,150</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38,449</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41,214</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3,205</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2,302</w:t>
            </w: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(1,267)</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356,378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372,454</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18,980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24,285</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1,915</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(12,676)</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6,126</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11,259</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(5,723)</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(11,404)</w:t>
            </w: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4,692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25,595</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4,578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3,882</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723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597</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826</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1,113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865</w:t>
            </w: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64"/>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7,329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6,201</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4,201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3,567</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1,070</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1,163</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823</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262</w:t>
            </w:r>
          </w:p>
        </w:tc>
        <w:tc>
          <w:tcPr>
            <w:tcW w:w="4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318</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r>
      <w:tr>
        <w:trPr>
          <w:trHeight w:val="263"/>
        </w:trPr>
        <w:tc>
          <w:tcPr>
            <w:tcW w:w="86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2,585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2,664</w:t>
            </w:r>
          </w:p>
        </w:tc>
      </w:tr>
    </w:tbl>
    <w:p>
      <w:pPr>
        <w:spacing w:after="0" w:line="200" w:lineRule="exact"/>
        <w:rPr>
          <w:sz w:val="20"/>
          <w:szCs w:val="20"/>
          <w:color w:val="auto"/>
        </w:rPr>
      </w:pPr>
    </w:p>
    <w:p>
      <w:pPr>
        <w:sectPr>
          <w:pgSz w:w="11900" w:h="16838" w:orient="portrait"/>
          <w:cols w:equalWidth="0" w:num="1">
            <w:col w:w="11240"/>
          </w:cols>
          <w:pgMar w:left="320" w:top="692" w:right="339" w:bottom="887"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692" w:right="339" w:bottom="887"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7"/>
                <w:szCs w:val="17"/>
                <w:color w:val="auto"/>
              </w:rPr>
            </w:pPr>
          </w:p>
        </w:tc>
      </w:tr>
      <w:tr>
        <w:trPr>
          <w:trHeight w:val="263"/>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2019</w:t>
            </w:r>
          </w:p>
        </w:tc>
      </w:tr>
      <w:tr>
        <w:trPr>
          <w:trHeight w:val="250"/>
        </w:trPr>
        <w:tc>
          <w:tcPr>
            <w:tcW w:w="832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832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1,316,435</w:t>
            </w:r>
          </w:p>
        </w:tc>
        <w:tc>
          <w:tcPr>
            <w:tcW w:w="600" w:type="dxa"/>
            <w:vAlign w:val="bottom"/>
            <w:gridSpan w:val="3"/>
          </w:tcPr>
          <w:p>
            <w:pPr>
              <w:jc w:val="right"/>
              <w:ind w:right="22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1,455,122</w:t>
            </w:r>
          </w:p>
        </w:tc>
      </w:tr>
      <w:tr>
        <w:trPr>
          <w:trHeight w:val="270"/>
        </w:trPr>
        <w:tc>
          <w:tcPr>
            <w:tcW w:w="832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206,661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196,761</w:t>
            </w:r>
          </w:p>
        </w:tc>
      </w:tr>
      <w:tr>
        <w:trPr>
          <w:trHeight w:val="270"/>
        </w:trPr>
        <w:tc>
          <w:tcPr>
            <w:tcW w:w="832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151,541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151,655</w:t>
            </w:r>
          </w:p>
        </w:tc>
      </w:tr>
      <w:tr>
        <w:trPr>
          <w:trHeight w:val="270"/>
        </w:trPr>
        <w:tc>
          <w:tcPr>
            <w:tcW w:w="832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154,115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160,799</w:t>
            </w:r>
          </w:p>
        </w:tc>
      </w:tr>
      <w:tr>
        <w:trPr>
          <w:trHeight w:val="283"/>
        </w:trPr>
        <w:tc>
          <w:tcPr>
            <w:tcW w:w="832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64,498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68,088</w:t>
            </w:r>
          </w:p>
        </w:tc>
      </w:tr>
      <w:tr>
        <w:trPr>
          <w:trHeight w:val="290"/>
        </w:trPr>
        <w:tc>
          <w:tcPr>
            <w:tcW w:w="83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1,893,250</w:t>
            </w:r>
          </w:p>
        </w:tc>
        <w:tc>
          <w:tcPr>
            <w:tcW w:w="6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2,032,425</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reported a net loss attributable to common shares of $33.2 million ($6.32 per share) for the first quarter of 2020, compared to income of $81.7 million ($15.26 per share) for the first quarter of 2019.</w:t>
      </w:r>
    </w:p>
    <w:p>
      <w:pPr>
        <w:spacing w:after="0" w:line="10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first quarter 2020 results, largely from reduced demand for the Company’s products and services. This significant adverse impact is expected to continue in the second and third quarters of 2020, and through the end of 2020. The Company’s management is taking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first quarter of 2020:</w:t>
      </w:r>
    </w:p>
    <w:p>
      <w:pPr>
        <w:spacing w:after="0" w:line="14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$16.4 million in goodwill and intangible asset impairment charges;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 million in restructuring charges at the education division;</w:t>
      </w:r>
    </w:p>
    <w:p>
      <w:pPr>
        <w:spacing w:after="0" w:line="144" w:lineRule="exact"/>
        <w:rPr>
          <w:rFonts w:ascii="Arial" w:cs="Arial" w:eastAsia="Arial" w:hAnsi="Arial"/>
          <w:sz w:val="18"/>
          <w:szCs w:val="18"/>
          <w:color w:val="auto"/>
        </w:rPr>
      </w:pPr>
    </w:p>
    <w:p>
      <w:pPr>
        <w:ind w:left="180" w:right="66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$100.4 million in net losses on marketable equity securities;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losses of $6.1 million from impairments of cost method and equity method investments;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$4.3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first quarter of 2019:</w:t>
      </w:r>
    </w:p>
    <w:p>
      <w:pPr>
        <w:spacing w:after="0" w:line="144" w:lineRule="exact"/>
        <w:rPr>
          <w:sz w:val="20"/>
          <w:szCs w:val="20"/>
          <w:color w:val="auto"/>
        </w:rPr>
      </w:pPr>
    </w:p>
    <w:p>
      <w:pPr>
        <w:ind w:left="180" w:right="66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$24.1 million in net gains on marketable equity securities;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non-operating gain, net, of $1.4 million from the write-up of cost method investments;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$0.5 million in non-operating foreign currency gains.</w:t>
      </w:r>
    </w:p>
    <w:p>
      <w:pPr>
        <w:spacing w:after="0" w:line="14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Revenue for the first quarter of 2020 was $732.3 million, up 6% from $692.2 million in the first quarter of 2019, largely due to the acquisition of two automotive dealerships in January 2019 and the acquisition of Clyde’s Restaurant Group (CRG) in July 2019. Revenues grew at healthcare and television broadcasting, partially offset by declines in education. The Company reported operating income of $ 8.1 million for the first quarter of 2020, compared to $40.0 million for the first quarter of 2019. The operating income decline is largely driven by lower earnings in education and other businesses, partially offset by improvements in manufacturing and healthcare results and a decline in corporate office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color w:val="auto"/>
        </w:rPr>
        <w:t>The COVID-19 pandemic adversely impacted Kaplan’s operating results in the first quarter of 2020. The impact began in February, accelerated in March, and continues to-date.</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70" w:right="359" w:bottom="1440" w:gutter="0" w:footer="0" w:header="0"/>
        </w:sectPr>
      </w:pPr>
    </w:p>
    <w:bookmarkStart w:id="28" w:name="page29"/>
    <w:bookmarkEnd w:id="28"/>
    <w:p>
      <w:pPr>
        <w:ind w:right="520"/>
        <w:spacing w:after="0" w:line="229" w:lineRule="auto"/>
        <w:rPr>
          <w:sz w:val="20"/>
          <w:szCs w:val="20"/>
          <w:color w:val="auto"/>
        </w:rPr>
      </w:pPr>
      <w:r>
        <w:rPr>
          <w:rFonts w:ascii="Arial" w:cs="Arial" w:eastAsia="Arial" w:hAnsi="Arial"/>
          <w:sz w:val="18"/>
          <w:szCs w:val="18"/>
          <w:color w:val="auto"/>
        </w:rPr>
        <w:t>longer revenue recognition periods, adversely affecting the timing of revenue recognition at Kaplan’s Test Preparation and Professional education divisions. Overall, this is expected to adversely impact Kaplan's revenues and operating results for the remainder of 2020, particularly at Kaplan International Languages.</w:t>
      </w:r>
    </w:p>
    <w:p>
      <w:pPr>
        <w:spacing w:after="0" w:line="137"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Most of Kaplan Higher Education’s (KHE) services are delivered online by staff who have historically worked both virtually and in office locations. In response to COVID-19 necessitated “stay-at-home” protocols, KHE transitioned its entire staff to virtual work arrangements. KHE did not experience a disruption in its service delivery in the first quarter of 2020, nor did Purdue Global experience program demand issues.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is currently developing and implementing a number of initiatives across its businesses, including: employee salary and work-hour reductions; temporary furlough and other employee reductions; reduced discretionary spending; facility restructuring; reduced capital expenditures; and accelerated development and promotion of various online programs and solutions.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$356.4 million for the first quarter of 2020, down 4% from $372.5 million for the same period of 2019.</w:t>
      </w:r>
    </w:p>
    <w:p>
      <w:pPr>
        <w:spacing w:after="0"/>
        <w:rPr>
          <w:sz w:val="20"/>
          <w:szCs w:val="20"/>
          <w:color w:val="auto"/>
        </w:rPr>
      </w:pPr>
      <w:r>
        <w:rPr>
          <w:rFonts w:ascii="Arial" w:cs="Arial" w:eastAsia="Arial" w:hAnsi="Arial"/>
          <w:sz w:val="18"/>
          <w:szCs w:val="18"/>
          <w:color w:val="auto"/>
        </w:rPr>
        <w:t>Kaplan reported operating income of $4.7 million for the first quarter of 2020, compared to $25.6 million for the first quarter of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04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199,615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185,756</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73,537</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82,780</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42,839</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61,150</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38,449</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41,214</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3,205</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2,302</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3"/>
        </w:trPr>
        <w:tc>
          <w:tcPr>
            <w:tcW w:w="704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(1,267)</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356,378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372,454</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18,980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24,285</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1,915</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(12,676)</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6,126</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11,259</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(1,522)</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(7,837)</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704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(4,201)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(3,567)</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3"/>
        </w:trPr>
        <w:tc>
          <w:tcPr>
            <w:tcW w:w="704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04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4,692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25,595</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increased 7% for the first quarter of 2020. Excluding acquisitions, Kaplan International revenue increased 5% in the first quarter of 2020. On a constant currency basis, revenue increased 10% for the first quarter of 2020. The revenue increases were due to growth at UK Pathways, UK Professional and Australia, and from the Heverald acquisition, offset by a decline at Languages and Singapore. Kaplan International reported operating income of $19.0 million in the first quarter of 2020, compared to $24.3 million in the first quarter of 2019. The decline in operating results in the first quarter of 2020 is due to declines at Languages, UK Professional and Singapore, partially offset by improved results in Australia. Kaplan International Languages first quarter results were negatively impacted by COVID-19 travel restrictions and UK Professional results were negatively impacted by postponements of standardized exam dates.</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Higher Education division includes the results as a service provider to higher education institutions. In the first quarter of 2020, Higher Education revenue was down 11%, due primarily to a reduction in expenses incurred by Kaplan Higher Education as service provider to Purdue Global. In the first quarter of 2020, the Company did not record an additional fee with Purdue Global based on an assessment of its collectability under the TOSA. This resulted in a decline in Higher Education results for the first quarter of 2020, as the Company recorded a portion of the fee for Purdue Global for the first quarter of 2019. The Company will continue to assess the collectability of the fee with Purdue Global on a quarterly basis to make a determination as to whether to record all or part of the fee in the future and whether to make adjustments to fee amounts recognized in earlier periods. The first quarter 2020 operating loss at Higher Education also includes $2.0 million in lease restructuring costs.</w:t>
      </w:r>
    </w:p>
    <w:p>
      <w:pPr>
        <w:sectPr>
          <w:pgSz w:w="11900" w:h="16838" w:orient="portrait"/>
          <w:cols w:equalWidth="0" w:num="1">
            <w:col w:w="11240"/>
          </w:cols>
          <w:pgMar w:left="320" w:top="692" w:right="3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692" w:right="339" w:bottom="1440" w:gutter="0" w:footer="0" w:header="0"/>
          <w:type w:val="continuous"/>
        </w:sectPr>
      </w:pPr>
    </w:p>
    <w:bookmarkStart w:id="29" w:name="page30"/>
    <w:bookmarkEnd w:id="29"/>
    <w:p>
      <w:pPr>
        <w:ind w:right="260"/>
        <w:spacing w:after="0" w:line="229" w:lineRule="auto"/>
        <w:rPr>
          <w:sz w:val="20"/>
          <w:szCs w:val="20"/>
          <w:color w:val="auto"/>
        </w:rPr>
      </w:pPr>
      <w:r>
        <w:rPr>
          <w:rFonts w:ascii="Arial" w:cs="Arial" w:eastAsia="Arial" w:hAnsi="Arial"/>
          <w:sz w:val="18"/>
          <w:szCs w:val="18"/>
          <w:color w:val="auto"/>
        </w:rPr>
        <w:t>As of March 31, 2020, Kaplan had a total outstanding accounts receivable balance of $82.0 million from Purdue Global related to amounts due for reimbursements for services and a deferred fee. In addition, Kaplan has an $18.7 million long-term receivable balance due from Purdue Global at March 31, 2020, related to the advance of $20.0 million during the initial KU Transaction.</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Test Preparation includes Kaplan’s standardized test preparation programs. KTP revenue decreased 30% for the first quarter of 2020 due to reduced demand for KTP’s retail comprehensive test preparation programs and product-life extensions related to the postponement of various standardized test dates due to the COVID-19 pandemic. Overall, product-life extensions resulted in $7.7 million in lower revenues recognized in the first quarter of 2020; substantially all of this amount will be recognized over the remainder of 2020. KTP operating results declined in the first quarter of 2020 due to these revenue declines.</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first quarter of 2020 declined 7% due to declines in CFA, real estate and accountancy programs, partly due to the postponement of certification exams. Kaplan Professional (U.S.) operating results declined in the first quarter of 2020, primarily due to the revenue declines, and increased spending for sales and marketing.</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quarter of 2020 due to lower incentive compensation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r>
      <w:tr>
        <w:trPr>
          <w:trHeight w:val="276"/>
        </w:trPr>
        <w:tc>
          <w:tcPr>
            <w:tcW w:w="7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50"/>
        </w:trPr>
        <w:tc>
          <w:tcPr>
            <w:tcW w:w="7640" w:type="dxa"/>
            <w:vAlign w:val="bottom"/>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115,448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108,223</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7</w:t>
            </w:r>
          </w:p>
        </w:tc>
      </w:tr>
      <w:tr>
        <w:trPr>
          <w:trHeight w:val="270"/>
        </w:trPr>
        <w:tc>
          <w:tcPr>
            <w:tcW w:w="76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35,776</w:t>
            </w:r>
          </w:p>
        </w:tc>
        <w:tc>
          <w:tcPr>
            <w:tcW w:w="42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35,540</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1</w:t>
            </w:r>
          </w:p>
        </w:tc>
      </w:tr>
    </w:tbl>
    <w:p>
      <w:pPr>
        <w:spacing w:after="0" w:line="16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Revenue at the television broadcasting division increased 7% to $115.4 million in the first quarter of 2020, from $ 108.2 million in the same period of 2019. The revenue increase is due to a $9.7 million increase in political advertising revenue and a $0.6 million increase in retransmission revenues. In the first quarter of 2020 and 2019, the television broadcasting division recorded $0.3 million and $1.8 million, respectively, in reductions to operating expenses related to property, plant and equipment gains due to new equipment received at no cost in connection with the spectrum repacking mandate of the FCC. Operating income for the first quarter of 2020 increased 1% to $35.8 million, from $35.5 million in the same period of 2019, due to increased revenues, offset by higher network fees and a reduction in property, plant and equipment gains.</w:t>
      </w:r>
    </w:p>
    <w:p>
      <w:pPr>
        <w:spacing w:after="0" w:line="13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postponement of the 2020 summer Olympics and overall reduced advertising demand due to the COVID-19 pandemic are expected to negatively impact advertising revenue and the operating results at the television broadcasting division for the remainder of 2020.</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October 2019, the Company’s television stations in Houston (KPRC), Detroit (WDIV) and Roanoke (WSLS) have entered into a new three-year NBC Affiliation Agreement effective January 1, 2020 through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6"/>
                <w:szCs w:val="16"/>
                <w:color w:val="auto"/>
              </w:rPr>
            </w:pPr>
          </w:p>
        </w:tc>
      </w:tr>
      <w:tr>
        <w:trPr>
          <w:trHeight w:val="276"/>
        </w:trPr>
        <w:tc>
          <w:tcPr>
            <w:tcW w:w="7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113,458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115,157</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(1)</w:t>
            </w: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6,501</w:t>
            </w:r>
          </w:p>
        </w:tc>
        <w:tc>
          <w:tcPr>
            <w:tcW w:w="42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3,274</w:t>
            </w: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99</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Manufacturing revenues declined 1% in the first quarter of 2020 due primarily to a modest decline at Hoover from reduced demand and overall lower wood prices. Manufacturing operating income increased in the first quarter of 2020, due mostly to improved results at Hoover from reduced operating costs and gains on inventory sales in the first quarter of 2020.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92" w:right="339" w:bottom="1440" w:gutter="0" w:footer="0" w:header="0"/>
        </w:sectPr>
      </w:pPr>
    </w:p>
    <w:bookmarkStart w:id="30" w:name="page31"/>
    <w:bookmarkEnd w:id="30"/>
    <w:p>
      <w:pPr>
        <w:ind w:right="80"/>
        <w:spacing w:after="0" w:line="227" w:lineRule="auto"/>
        <w:rPr>
          <w:sz w:val="20"/>
          <w:szCs w:val="20"/>
          <w:color w:val="auto"/>
        </w:rPr>
      </w:pPr>
      <w:r>
        <w:rPr>
          <w:rFonts w:ascii="Arial" w:cs="Arial" w:eastAsia="Arial" w:hAnsi="Arial"/>
          <w:sz w:val="18"/>
          <w:szCs w:val="18"/>
          <w:color w:val="auto"/>
        </w:rPr>
        <w:t>In the second half of March 2020, certain of Joyce/Dayton, Dekko and Hoover’s manufacturing plants began operating at reduced levels due to lower product demand and other jurisdictional factors related to the COVID-19 pandemic. The manufacturing businesses are tightly managing expenses and developing cost reduction plans to mitigate lower product demand. Overall, this is expected to adversely impact manufacturing revenues and operating results for the remainder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r>
      <w:tr>
        <w:trPr>
          <w:trHeight w:val="276"/>
        </w:trPr>
        <w:tc>
          <w:tcPr>
            <w:tcW w:w="7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50"/>
        </w:trPr>
        <w:tc>
          <w:tcPr>
            <w:tcW w:w="7640" w:type="dxa"/>
            <w:vAlign w:val="bottom"/>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45,994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37,728</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22</w:t>
            </w:r>
          </w:p>
        </w:tc>
      </w:tr>
      <w:tr>
        <w:trPr>
          <w:trHeight w:val="270"/>
        </w:trPr>
        <w:tc>
          <w:tcPr>
            <w:tcW w:w="76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3,169</w:t>
            </w:r>
          </w:p>
        </w:tc>
        <w:tc>
          <w:tcPr>
            <w:tcW w:w="42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2,329</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36</w:t>
            </w:r>
          </w:p>
        </w:tc>
      </w:tr>
    </w:tbl>
    <w:p>
      <w:pPr>
        <w:spacing w:after="0" w:line="167" w:lineRule="exact"/>
        <w:rPr>
          <w:sz w:val="20"/>
          <w:szCs w:val="20"/>
          <w:color w:val="auto"/>
        </w:rPr>
      </w:pPr>
    </w:p>
    <w:p>
      <w:pPr>
        <w:jc w:val="both"/>
        <w:ind w:right="4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22% in the first three months of 2020, due to the CSI acquisition. The improvement in GHG operating results in the first quarter of 2020 is largely due to operating income from the CSI acquisition and improved results in hospice services, offset by a decline in home health services results.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the second half of March 2020, GHG home health patient volumes declined, due primarily to the curtailment of elective procedures by health systems due to the COVID-19 pandemic. GHG expects lower revenues from reduced demand for home health and hospice services in the second and third quarters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center"/>
              <w:ind w:right="142"/>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6"/>
                <w:szCs w:val="16"/>
                <w:color w:val="auto"/>
              </w:rPr>
            </w:pPr>
          </w:p>
        </w:tc>
      </w:tr>
      <w:tr>
        <w:trPr>
          <w:trHeight w:val="276"/>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 Change</w:t>
            </w:r>
          </w:p>
        </w:tc>
      </w:tr>
      <w:tr>
        <w:trPr>
          <w:trHeight w:val="250"/>
        </w:trPr>
        <w:tc>
          <w:tcPr>
            <w:tcW w:w="740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4"/>
              <w:spacing w:after="0"/>
              <w:rPr>
                <w:sz w:val="20"/>
                <w:szCs w:val="20"/>
                <w:color w:val="auto"/>
              </w:rPr>
            </w:pPr>
            <w:r>
              <w:rPr>
                <w:rFonts w:ascii="Arial" w:cs="Arial" w:eastAsia="Arial" w:hAnsi="Arial"/>
                <w:sz w:val="16"/>
                <w:szCs w:val="16"/>
                <w:b w:val="1"/>
                <w:bCs w:val="1"/>
                <w:color w:val="auto"/>
              </w:rPr>
              <w:t>12,023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13,447</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(11)</w:t>
            </w:r>
          </w:p>
        </w:tc>
      </w:tr>
      <w:tr>
        <w:trPr>
          <w:trHeight w:val="270"/>
        </w:trPr>
        <w:tc>
          <w:tcPr>
            <w:tcW w:w="74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4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(3,789)</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(4,018)</w:t>
            </w: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6</w:t>
            </w:r>
          </w:p>
        </w:tc>
      </w:tr>
    </w:tbl>
    <w:p>
      <w:pPr>
        <w:spacing w:after="0" w:line="1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SocialCode’s revenue decreased 11% in the first quarter of 2020 due to reduced marketing spending by advertising clients, particularly in March 2020 as a result of the recessionary environment from the COVID-19 pandemic. SocialCode reported operating losses of $3.8 million in the first quarter of 2020, compared to $4.0 million in the first quarter of 2019. SocialCode is in the process of developing and implementing cost reduction plans to mitigate the adverse impact of COVID-19 on advertising demand expected for the remainder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On July 31, 2019, the Company acquired Clyde’s Restaurant Group (CRG). CRG owns and operates thirteen restaurants and entertainment venues in the Washington, DC metropolitan area, including Old Ebbitt Grill and The Hamilton, two of the top twenty highest grossing independent restaurants in the United States. As a result of the COVID-19 pandemic, CRG temporarily closed all of its restaurants and venues in the second half of March 2020, maintaining limited operations for delivery and pickup, pursuant to government orders. CRG has temporarily laid off many of its employees and is uncertain as to the timing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 The pandemic is expected to adversely impact CRG revenues and operating results for the remainder of 2020.</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have experienced significantly reduced demand for sales and service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 The pandemic is expected to adversely impact automotive dealership revenues and operating results for the remainder of 2020.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92" w:right="339" w:bottom="1440" w:gutter="0" w:footer="0" w:header="0"/>
        </w:sectPr>
      </w:pPr>
    </w:p>
    <w:bookmarkStart w:id="31" w:name="page32"/>
    <w:bookmarkEnd w:id="31"/>
    <w:p>
      <w:pPr>
        <w:ind w:right="40"/>
        <w:spacing w:after="0" w:line="229" w:lineRule="auto"/>
        <w:rPr>
          <w:sz w:val="20"/>
          <w:szCs w:val="20"/>
          <w:color w:val="auto"/>
        </w:rPr>
      </w:pPr>
      <w:r>
        <w:rPr>
          <w:rFonts w:ascii="Arial" w:cs="Arial" w:eastAsia="Arial" w:hAnsi="Arial"/>
          <w:sz w:val="18"/>
          <w:szCs w:val="18"/>
          <w:color w:val="auto"/>
        </w:rPr>
        <w:t>Revenues from other businesses increased due mostly to the CRG and automotive dealership acquisitions. CRG and the automotive dealerships incurred losses in the first quarter of 2020 due to the challenging operating conditions that began in March 2020 and the goodwill and other long-lived asset impairment charges.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Megaphone’s revenues increased significantly in the first quarter of 2020, as both advertising and platform sales experienced rapid growth during the period. Slate, Foreign Policy and Pinna also reported revenue increases in the first three months of 2020. Losses from each of these five businesses in the first three months of 2020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quarter of 2020 due primarily to lower incentive compensation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At March 31,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losses of affiliates of $1.5 million for the first quarter of 2020, compared to earnings of $1.7 million for the first quarter of 2019. For the three months ended March 31, 2020, the Company recorded $3.6 million in write-downs in equity in earnings of affiliates related to two of its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$6.5 million for the first quarter of 2020 compared to $5.7 million for the first quarter of 2019.</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At March 31, 2020, the Company had $ 508.9 million in borrowings outstanding at an average interest rate of 5.1% and cash, marketable equity securities and other investments of $653.0 million. The Company’s $300 million revolving credit facility was undrawn as of March 31, 2020 and remains undrawn as of May 5, 2020. In management’s opinion, the Company will have sufficient financial resources to meet its business requirements in the next twelve months, including working capital requirements, capital expenditures, interest payments and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$18.4 million for the first quarter of 2020 compared to $19.9 million for the first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Overall, the Company recognized $100.4 million in net losses on marketable equity securities in the first quarter of 2020, compared to $24.1 million in net gains on marketable equity securities in the first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 recorded total other non-operating income, net, of $2.7 million for the first quarter of 2020, compared to $29.4 million for the first quarter of 2019. The 2020 amounts included $4.3 million in foreign currency gains and other items; partially offset by $2.6 million in impairments on cost method investments. The 2019 amounts included a $29.0 million gain on the sale of the Company’s interest in Gimlet Media and $0.5 million in foreign currency gains, offset by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The Company’s effective tax rate for the first three months of 2020 was 57.3%, which is generally based on the Company’s estimated effective tax rate for fiscal year 2020. The Company’s estimated tax rate for 2020 includes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92" w:right="339" w:bottom="1440" w:gutter="0" w:footer="0" w:header="0"/>
        </w:sectPr>
      </w:pPr>
    </w:p>
    <w:bookmarkStart w:id="32" w:name="page33"/>
    <w:bookmarkEnd w:id="32"/>
    <w:p>
      <w:pPr>
        <w:spacing w:after="0" w:line="229" w:lineRule="auto"/>
        <w:rPr>
          <w:sz w:val="20"/>
          <w:szCs w:val="20"/>
          <w:color w:val="auto"/>
        </w:rPr>
      </w:pPr>
      <w:r>
        <w:rPr>
          <w:rFonts w:ascii="Arial" w:cs="Arial" w:eastAsia="Arial" w:hAnsi="Arial"/>
          <w:sz w:val="18"/>
          <w:szCs w:val="18"/>
          <w:color w:val="auto"/>
        </w:rPr>
        <w:t>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Company’s effective tax rate for the first three months of 2019 was 25.3%. In the first quarter of 2019, the Company recorded income tax benefits related to stock compensation of $1.7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(Losses) Earnings Per Share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calculation of diluted (losses) earnings per share for the first quarter of 2020 was based on 5,273,651 weighted average shares outstanding, compared to 5,326,448 for the first quarter of 2019. At March 31, 2020, there were 5,244,718 shares outstanding. On November 9, 2017, the Board of Directors authorized the Company to acquire up to 500,000 shares of its Class B common stock; the Company has remaining authorization for 186,344 shares as of March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performed an interim impairment review at CRG and the automotive dealerships given the uncertain and challenging operating environment and recorded $16.4 million in goodwill and intangible asset impairment charges in the first quarter of 2020. Following the impairments, the remaining goodwill balance at these two reporting units as of March 31, 2020 was $39.1 million, or 3% of the total goodwill of the Company.</w:t>
      </w:r>
    </w:p>
    <w:p>
      <w:pPr>
        <w:spacing w:after="0" w:line="135"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In connection with the Company’s annual impairment testing in 2019, the Company performed a quantitative goodwill impairment process at all of its reporting units. At the time, the estimated fair value of the Hoover reporting unit at the manufacturing businesses exceeded its carrying values by a margin less than 25%. The total goodwill at this reporting unit was $91.3 million as of March 31, 2020, or 7% of the total goodwill of the Company. The estimated fair value of the Company’s other reporting units with significant goodwill balances exceeded their respective carrying values by a margin in excess of 25%. Given the uncertain impact of the COVID-19 pandemic, it is possible that impairment charges could occur in the future, given changes in market conditions and the inherent variability in projecting future operating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7"/>
                <w:szCs w:val="17"/>
                <w:color w:val="auto"/>
              </w:rPr>
            </w:pP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2020</w:t>
            </w: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December 31, 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178,646</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200,165</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22,993</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13,879</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451,380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599,967</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508,892</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512,829</w:t>
            </w:r>
          </w:p>
        </w:tc>
      </w:tr>
    </w:tbl>
    <w:p>
      <w:pPr>
        <w:spacing w:after="0" w:line="11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Company’s $300 million five-year revolving credit facility.</w:t>
      </w:r>
    </w:p>
    <w:p>
      <w:pPr>
        <w:spacing w:after="0" w:line="8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During the first three months of 2020, the Company’s cash and cash equivalents decreased by $21.5 million, due largely to the repurchase of common shares, capital expenditures and the acquisition of two businesses and other investments. The decrease was partially offset by the proceeds from the sale of marketable equity securities. In the first three months of 2020, the Company’s borrowings decreased by $3.9 million primarily due to foreign currency translation adjustments.</w:t>
      </w:r>
    </w:p>
    <w:p>
      <w:pPr>
        <w:spacing w:after="0" w:line="8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As of March 31, 2020 and December 31, 2019, the Company had money market investments of $93.7 million and $45.2 million, respectively, that are included in cash and cash equivalents. At March 31, 2020, the Company held approximately $70 million in cash and cash equivalents in businesses domiciled outside the U.S., of which approximately $7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83"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At March 31, 2020, the fair value of the Company’s investments in marketable equity securities was $436.2 million, which includes investments in the common stock of five publicly traded companies. During the first three months of 2020, the Company sold marketable equity securities that generated proceeds of $48.0 million. At March 31, 2020, the unrealized gain related to the Company’s investments totaled $204.1 million. In April 2020, the Company sold marketable equity securities that generated proceeds of $45.8 million.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92" w:right="339" w:bottom="1440" w:gutter="0" w:footer="0" w:header="0"/>
        </w:sectPr>
      </w:pPr>
    </w:p>
    <w:bookmarkStart w:id="33" w:name="page34"/>
    <w:bookmarkEnd w:id="33"/>
    <w:p>
      <w:pPr>
        <w:jc w:val="both"/>
        <w:ind w:right="660"/>
        <w:spacing w:after="0" w:line="229" w:lineRule="auto"/>
        <w:rPr>
          <w:sz w:val="20"/>
          <w:szCs w:val="20"/>
          <w:color w:val="auto"/>
        </w:rPr>
      </w:pPr>
      <w:r>
        <w:rPr>
          <w:rFonts w:ascii="Arial" w:cs="Arial" w:eastAsia="Arial" w:hAnsi="Arial"/>
          <w:sz w:val="18"/>
          <w:szCs w:val="18"/>
          <w:color w:val="auto"/>
        </w:rPr>
        <w:t>The Company had working capital of $511.6 million and $ 621.6 million at March 31, 2020 and December 31, 2019, respectively. The Company maintains working capital levels consistent with its underlying business requirements and consistently generates cash from operations in excess of required interest or principal payments.</w:t>
      </w:r>
    </w:p>
    <w:p>
      <w:pPr>
        <w:spacing w:after="0" w:line="8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At March 31, 2020 and December 31, 2019, the Company had borrowings outstanding of $508.9 million and $512.8 million, respectively. The Company’s borrowings at March 31, 2020 and December 31, 2019 were mostly from $ 400.0 million of 5.75% unsecured notes due June 1, 2026, £60 million in outstanding borrowings under the Kaplan Credit Agreement and a commercial note of $26.8 million and $27.5 million, respectively, at the Automotive subsidiary. The interest on $400.0 million of 5.75% unsecured notes is payable semiannually on June 1 and December 1.</w:t>
      </w:r>
    </w:p>
    <w:p>
      <w:pPr>
        <w:spacing w:after="0" w:line="8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During the three months ended March 31, 2020 and 2019, the Company had average borrowings outstanding of approximately $511.4 million and $494.4 million, respectively, at an average annual interest rate of approximately 5.1%. During the three months ended March 31, 2020 and 2019, the Company incurred net interest expense of $6.5 million and $5.7 million, respectively.</w:t>
      </w:r>
    </w:p>
    <w:p>
      <w:pPr>
        <w:spacing w:after="0" w:line="137"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On April 10, 2020, Moody’s affirmed the Company’s credit ratings, but revised the outlook from Stable to Negative. On April 27, 2020, Standard &amp; Poor’s downgraded the Company’s credit rating to BB and revised the outlook from Stable to Negative.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ind w:left="3920"/>
              <w:spacing w:after="0"/>
              <w:rPr>
                <w:sz w:val="20"/>
                <w:szCs w:val="20"/>
                <w:color w:val="auto"/>
              </w:rPr>
            </w:pPr>
            <w:r>
              <w:rPr>
                <w:rFonts w:ascii="Arial" w:cs="Arial" w:eastAsia="Arial" w:hAnsi="Arial"/>
                <w:sz w:val="14"/>
                <w:szCs w:val="14"/>
                <w:b w:val="1"/>
                <w:bCs w:val="1"/>
                <w:color w:val="auto"/>
              </w:rPr>
              <w:t>Moody’s</w:t>
            </w:r>
          </w:p>
        </w:tc>
        <w:tc>
          <w:tcPr>
            <w:tcW w:w="1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680" w:type="dxa"/>
            <w:vAlign w:val="bottom"/>
          </w:tcPr>
          <w:p>
            <w:pPr>
              <w:ind w:left="40"/>
              <w:spacing w:after="0"/>
              <w:rPr>
                <w:sz w:val="20"/>
                <w:szCs w:val="20"/>
                <w:color w:val="auto"/>
              </w:rPr>
            </w:pPr>
            <w:r>
              <w:rPr>
                <w:rFonts w:ascii="Arial" w:cs="Arial" w:eastAsia="Arial" w:hAnsi="Arial"/>
                <w:sz w:val="16"/>
                <w:szCs w:val="16"/>
                <w:color w:val="auto"/>
              </w:rPr>
              <w:t>Long-term</w:t>
            </w:r>
          </w:p>
        </w:tc>
        <w:tc>
          <w:tcPr>
            <w:tcW w:w="4920" w:type="dxa"/>
            <w:vAlign w:val="bottom"/>
          </w:tcPr>
          <w:p>
            <w:pPr>
              <w:ind w:left="4460"/>
              <w:spacing w:after="0"/>
              <w:rPr>
                <w:sz w:val="20"/>
                <w:szCs w:val="20"/>
                <w:color w:val="auto"/>
              </w:rPr>
            </w:pPr>
            <w:r>
              <w:rPr>
                <w:rFonts w:ascii="Arial" w:cs="Arial" w:eastAsia="Arial" w:hAnsi="Arial"/>
                <w:sz w:val="16"/>
                <w:szCs w:val="16"/>
                <w:color w:val="auto"/>
              </w:rPr>
              <w:t>Ba1</w:t>
            </w:r>
          </w:p>
        </w:tc>
        <w:tc>
          <w:tcPr>
            <w:tcW w:w="1640" w:type="dxa"/>
            <w:vAlign w:val="bottom"/>
          </w:tcPr>
          <w:p>
            <w:pPr>
              <w:ind w:left="1400"/>
              <w:spacing w:after="0"/>
              <w:rPr>
                <w:sz w:val="20"/>
                <w:szCs w:val="20"/>
                <w:color w:val="auto"/>
              </w:rPr>
            </w:pPr>
            <w:r>
              <w:rPr>
                <w:rFonts w:ascii="Arial" w:cs="Arial" w:eastAsia="Arial" w:hAnsi="Arial"/>
                <w:sz w:val="16"/>
                <w:szCs w:val="16"/>
                <w:color w:val="auto"/>
              </w:rPr>
              <w:t>BB</w:t>
            </w:r>
          </w:p>
        </w:tc>
      </w:tr>
    </w:tbl>
    <w:p>
      <w:pPr>
        <w:spacing w:after="0" w:line="113"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The Company’s $300 million revolving credit facility was undrawn as of March 31, 2020 and remains undrawn as of May 5,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4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14605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r>
    </w:tbl>
    <w:p>
      <w:pPr>
        <w:spacing w:after="0" w:line="36"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currency exchange rate change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12,403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(37,922)</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9,561</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(73,878)</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(26,685)</w:t>
            </w:r>
          </w:p>
        </w:tc>
        <w:tc>
          <w:tcPr>
            <w:tcW w:w="4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37,034</w:t>
            </w:r>
          </w:p>
        </w:tc>
      </w:tr>
      <w:tr>
        <w:trPr>
          <w:trHeight w:val="283"/>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(7,684)</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1,776</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(12,405)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(72,990)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7720" w:space="720"/>
            <w:col w:w="2800"/>
          </w:cols>
          <w:pgMar w:left="320" w:top="692" w:right="339" w:bottom="1440" w:gutter="0" w:footer="0" w:header="0"/>
          <w:type w:val="continuous"/>
        </w:sectPr>
      </w:pPr>
    </w:p>
    <w:p>
      <w:pPr>
        <w:ind w:right="34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(used in) operating activities were as follows:</w:t>
      </w:r>
    </w:p>
    <w:p>
      <w:pPr>
        <w:spacing w:after="0" w:line="1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58"/>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(33,891)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81,702</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6"/>
                <w:szCs w:val="16"/>
                <w:color w:val="auto"/>
              </w:rPr>
              <w:t>Depreciation, amortization and goodwill and intangible asset impairment</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47,270</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26,583</w:t>
            </w:r>
          </w:p>
        </w:tc>
      </w:tr>
      <w:tr>
        <w:trPr>
          <w:trHeight w:val="270"/>
        </w:trPr>
        <w:tc>
          <w:tcPr>
            <w:tcW w:w="8440" w:type="dxa"/>
            <w:vAlign w:val="bottom"/>
          </w:tcPr>
          <w:p>
            <w:pPr>
              <w:ind w:left="18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23,749</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20,353</w:t>
            </w:r>
          </w:p>
        </w:tc>
      </w:tr>
      <w:tr>
        <w:trPr>
          <w:trHeight w:val="270"/>
        </w:trPr>
        <w:tc>
          <w:tcPr>
            <w:tcW w:w="8440" w:type="dxa"/>
            <w:vAlign w:val="bottom"/>
          </w:tcPr>
          <w:p>
            <w:pPr>
              <w:ind w:left="18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(13,784)</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(13,653)</w:t>
            </w:r>
          </w:p>
        </w:tc>
      </w:tr>
      <w:tr>
        <w:trPr>
          <w:trHeight w:val="270"/>
        </w:trPr>
        <w:tc>
          <w:tcPr>
            <w:tcW w:w="8440" w:type="dxa"/>
            <w:vAlign w:val="bottom"/>
          </w:tcPr>
          <w:p>
            <w:pPr>
              <w:ind w:left="18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82,362</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(46,000)</w:t>
            </w:r>
          </w:p>
        </w:tc>
      </w:tr>
      <w:tr>
        <w:trPr>
          <w:trHeight w:val="283"/>
        </w:trPr>
        <w:tc>
          <w:tcPr>
            <w:tcW w:w="844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(93,303)</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(106,907)</w:t>
            </w:r>
          </w:p>
        </w:tc>
      </w:tr>
      <w:tr>
        <w:trPr>
          <w:trHeight w:val="26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12,403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1"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For the first three months of 2020 compared to the first three months of 2019, the increase in net cash provided by operating activities is primarily due to changes in operating assets and liabilities. Changes in operating assets and liabilities were driven by accounts receivable, partially offset by income taxes receivable.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92"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1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14605</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r>
    </w:tbl>
    <w:p>
      <w:pPr>
        <w:spacing w:after="0" w:line="36" w:lineRule="exact"/>
        <w:rPr>
          <w:sz w:val="20"/>
          <w:szCs w:val="20"/>
          <w:color w:val="auto"/>
        </w:rPr>
      </w:pPr>
    </w:p>
    <w:p>
      <w:pPr>
        <w:sectPr>
          <w:pgSz w:w="11900" w:h="16838" w:orient="portrait"/>
          <w:cols w:equalWidth="0" w:num="1">
            <w:col w:w="11240"/>
          </w:cols>
          <w:pgMar w:left="320" w:top="670"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in certain businesses, net of cash acquired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40" w:right="2920"/>
        <w:spacing w:after="0" w:line="352"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ind w:left="40" w:right="1440"/>
        <w:spacing w:after="0" w:line="356" w:lineRule="auto"/>
        <w:rPr>
          <w:sz w:val="20"/>
          <w:szCs w:val="20"/>
          <w:color w:val="auto"/>
        </w:rPr>
      </w:pPr>
      <w:r>
        <w:rPr>
          <w:rFonts w:ascii="Arial" w:cs="Arial" w:eastAsia="Arial" w:hAnsi="Arial"/>
          <w:sz w:val="16"/>
          <w:szCs w:val="16"/>
          <w:color w:val="auto"/>
        </w:rPr>
        <w:t>Net proceeds from sales of businesses, property, plant and equipment and investments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(6,011)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(83,721)</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(25,235)</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(28,252)</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48,016</w:t>
            </w:r>
          </w:p>
        </w:tc>
        <w:tc>
          <w:tcPr>
            <w:tcW w:w="4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9,663</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(7,427)</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(3,401)</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218</w:t>
            </w:r>
          </w:p>
        </w:tc>
        <w:tc>
          <w:tcPr>
            <w:tcW w:w="4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34,718</w:t>
            </w:r>
          </w:p>
        </w:tc>
      </w:tr>
      <w:tr>
        <w:trPr>
          <w:trHeight w:val="283"/>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r>
      <w:tr>
        <w:trPr>
          <w:trHeight w:val="26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9,561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7720" w:space="720"/>
            <w:col w:w="2800"/>
          </w:cols>
          <w:pgMar w:left="320" w:top="670" w:right="339" w:bottom="1440" w:gutter="0" w:footer="0" w:header="0"/>
          <w:type w:val="continuous"/>
        </w:sectPr>
      </w:pPr>
    </w:p>
    <w:p>
      <w:pPr>
        <w:ind w:right="180"/>
        <w:spacing w:after="0" w:line="251"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three months of 2020, the Company acquired two small businesses in its education division.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of 2019, the Company acquired an interest in two automotive dealerships for cash and the assumption of floor plan payables.</w:t>
      </w:r>
    </w:p>
    <w:p>
      <w:pPr>
        <w:spacing w:after="0" w:line="107"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for the first three months of 2020 were lower than the first three months of 2019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completion of an academic and student residential facility in connection with Kaplan’s Pathways program in Liverpool, U.K. Both periods include capital expenditures in connection with spectrum repacking at the Company’s television stations in Detroit, MI, Jacksonville, FL, and Roanoke, VA, as mandated by the FCC; these expenditures are expected to be largely reimbursed to the Company by the FCC. The amounts reflected in the Company’s Condensed Consolidated Statements of Cash Flows are based on cash payments made during the relevant periods, whereas the Company’s capital expenditures for the first three months of 2020 of $20.5 million include assets acquired during the quarter. The Company estimates that its capital expenditures will be in the range of $40 million to $50 million in 2020.</w:t>
      </w:r>
    </w:p>
    <w:p>
      <w:pPr>
        <w:spacing w:after="0" w:line="67"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i w:val="1"/>
          <w:iCs w:val="1"/>
          <w:color w:val="auto"/>
        </w:rPr>
        <w:t xml:space="preserve">Net proceeds from sale of investments and businesses. </w:t>
      </w:r>
      <w:r>
        <w:rPr>
          <w:rFonts w:ascii="Arial" w:cs="Arial" w:eastAsia="Arial" w:hAnsi="Arial"/>
          <w:sz w:val="18"/>
          <w:szCs w:val="18"/>
          <w:color w:val="auto"/>
        </w:rPr>
        <w:t>During the first three months of 2020 and 2019, the Company sold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generated proceeds of $48.0 million and $17.2 million, respectively. The Company purchased $7.5 million of marketable equity securities during the first three months of 2019. The Company sold its interest in Gimlet Media during February 2019; the total proceeds from the sale were $33.5 million.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58"/>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1,023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30,000</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2,478</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9,529</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(33,610)</w:t>
            </w:r>
          </w:p>
        </w:tc>
        <w:tc>
          <w:tcPr>
            <w:tcW w:w="4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(7,703)</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(7,391)</w:t>
            </w:r>
          </w:p>
        </w:tc>
      </w:tr>
      <w:tr>
        <w:trPr>
          <w:trHeight w:val="283"/>
        </w:trPr>
        <w:tc>
          <w:tcPr>
            <w:tcW w:w="844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11,127</w:t>
            </w: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4,896</w:t>
            </w:r>
          </w:p>
        </w:tc>
      </w:tr>
      <w:tr>
        <w:trPr>
          <w:trHeight w:val="26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(26,685)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37,034</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three months of 2019, the Company had cash inflows from borrowings to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 business at Automotive and used floor vehicle plan financing to fund the purchase of new vehicles at its Automotive subsidiary.</w:t>
      </w:r>
    </w:p>
    <w:p>
      <w:pPr>
        <w:spacing w:after="0" w:line="64"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2020, the Company purchased a total of 83,919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$33.6 million. During the first three months of 2019, the Company did not purchase any shares of its Class B common stock.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March 31, 2020, the Company had remaining authorization from the Board of Directors to purchase up to 186,344 shares of Class B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$1.45 and $1.39 in in the first quarter of 2020 and 2019, respectively.</w:t>
      </w:r>
    </w:p>
    <w:p>
      <w:pPr>
        <w:spacing w:after="0" w:line="9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three months of 2020, the Company increased the borrowings under its cash overdraft facilities by $9.1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$ 5.3 million in proceeds from the exercise of stock options. In March 2019, a Hoover minority shareholder put some shares to the Company, which had a redemption value of $0.6 million.</w:t>
      </w:r>
    </w:p>
    <w:p>
      <w:pPr>
        <w:spacing w:after="0" w:line="8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2019.</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7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2019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March 31, 2020.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2020</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the Annual Report on Form 10-K and the subsequently filed information included on Forms 8-K, investors should carefully consider the following risk factors. If any of the events or developments described below occurs, it could have a material adverse effect on the Company’s business, financial condition or results of operations.</w:t>
      </w:r>
    </w:p>
    <w:p>
      <w:pPr>
        <w:spacing w:after="0" w:line="115" w:lineRule="exact"/>
        <w:rPr>
          <w:sz w:val="20"/>
          <w:szCs w:val="20"/>
          <w:color w:val="auto"/>
        </w:rPr>
      </w:pPr>
    </w:p>
    <w:p>
      <w:pPr>
        <w:ind w:left="260" w:right="320" w:hanging="252"/>
        <w:spacing w:after="0" w:line="256" w:lineRule="auto"/>
        <w:tabs>
          <w:tab w:leader="none" w:pos="2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Company’s Business, Results of Operations and Cash Flows Will Be Adversely Impacted by the Effects of the COVID-19 Pandemic, the Significance of Which Will Depend on the Longevity and Severity of the Virus.</w:t>
      </w:r>
    </w:p>
    <w:p>
      <w:pPr>
        <w:spacing w:after="0" w:line="120"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have materially affected the Company’s businesses, including the demand for its products and services. Travel restrictions and school closures have impeded and will continue to impede the ability</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670" w:right="379" w:bottom="1440" w:gutter="0" w:footer="0" w:header="0"/>
        </w:sectPr>
      </w:pPr>
    </w:p>
    <w:bookmarkStart w:id="36" w:name="page37"/>
    <w:bookmarkEnd w:id="36"/>
    <w:p>
      <w:pPr>
        <w:ind w:right="80"/>
        <w:spacing w:after="0" w:line="222" w:lineRule="auto"/>
        <w:rPr>
          <w:sz w:val="20"/>
          <w:szCs w:val="20"/>
          <w:color w:val="auto"/>
        </w:rPr>
      </w:pPr>
      <w:r>
        <w:rPr>
          <w:rFonts w:ascii="Arial" w:cs="Arial" w:eastAsia="Arial" w:hAnsi="Arial"/>
          <w:sz w:val="18"/>
          <w:szCs w:val="18"/>
          <w:color w:val="auto"/>
        </w:rPr>
        <w:t>of students to travel to undertake overseas study as long as they remain in place, and have reduced student applications for programs offered by Kaplan International’s (KI) operations, including KI Languages, KI Pathways, Kaplan UK, Kaplan Australia, Kaplan Singapore and Mander Portman Woodward. Travel restrictions and decreased enrollments are expected to materially adversely affect Kaplan International and Kaplan’s revenues, operating results and cash flows. Manufacturing restrictions, including plant closures and disruptions in the Company’s supply chains, declines in demand for products and advertising, restaurant closures and other developments related to the COVID-19 pandemic have also adversely impacted the Company’s other businesses. The Company cannot predict the duration or scope of the COVID-19 pandemic, what actions will be taken by governmental authorities and other third parties in response to the pandemic or when operations will return to full service. The Company expects the COVID-19 pandemic and related developments to negatively impact its financial results and such impact is expected to be material to the Company’s financial results, operations and cash flows.</w:t>
      </w:r>
    </w:p>
    <w:p>
      <w:pPr>
        <w:spacing w:after="0" w:line="118" w:lineRule="exact"/>
        <w:rPr>
          <w:sz w:val="20"/>
          <w:szCs w:val="20"/>
          <w:color w:val="auto"/>
        </w:rPr>
      </w:pPr>
    </w:p>
    <w:p>
      <w:pPr>
        <w:ind w:left="260" w:right="900" w:hanging="252"/>
        <w:spacing w:after="0" w:line="256" w:lineRule="auto"/>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and Failure to Comply with Regulations Applicable to International Operations Could Negatively Affect International Student Enrollments and Kaplan’s Business.</w:t>
      </w:r>
    </w:p>
    <w:p>
      <w:pPr>
        <w:spacing w:after="0" w:line="12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response to the COVID-19 pandemic, governments have imposed s</w:t>
      </w:r>
      <w:r>
        <w:rPr>
          <w:rFonts w:ascii="Arial" w:cs="Arial" w:eastAsia="Arial" w:hAnsi="Arial"/>
          <w:sz w:val="18"/>
          <w:szCs w:val="18"/>
          <w:color w:val="333333"/>
        </w:rPr>
        <w:t>tudent travel restrictions, made recommendations for their students to</w:t>
      </w:r>
      <w:r>
        <w:rPr>
          <w:rFonts w:ascii="Arial" w:cs="Arial" w:eastAsia="Arial" w:hAnsi="Arial"/>
          <w:sz w:val="18"/>
          <w:szCs w:val="18"/>
          <w:color w:val="auto"/>
        </w:rPr>
        <w:t xml:space="preserve"> </w:t>
      </w:r>
      <w:r>
        <w:rPr>
          <w:rFonts w:ascii="Arial" w:cs="Arial" w:eastAsia="Arial" w:hAnsi="Arial"/>
          <w:sz w:val="18"/>
          <w:szCs w:val="18"/>
          <w:color w:val="333333"/>
        </w:rPr>
        <w:t xml:space="preserve">return home, closed physical campus locations, and professional bodies have postponed examination dates related to professional education programs, all of which have negatively affected Kaplan International’s operations. </w:t>
      </w:r>
      <w:r>
        <w:rPr>
          <w:rFonts w:ascii="Arial" w:cs="Arial" w:eastAsia="Arial" w:hAnsi="Arial"/>
          <w:sz w:val="18"/>
          <w:szCs w:val="18"/>
          <w:color w:val="000000"/>
        </w:rPr>
        <w:t>Any significant changes to the regulatory environment,</w:t>
      </w:r>
      <w:r>
        <w:rPr>
          <w:rFonts w:ascii="Arial" w:cs="Arial" w:eastAsia="Arial" w:hAnsi="Arial"/>
          <w:sz w:val="18"/>
          <w:szCs w:val="18"/>
          <w:color w:val="333333"/>
        </w:rPr>
        <w:t xml:space="preserve"> </w:t>
      </w:r>
      <w:r>
        <w:rPr>
          <w:rFonts w:ascii="Arial" w:cs="Arial" w:eastAsia="Arial" w:hAnsi="Arial"/>
          <w:sz w:val="18"/>
          <w:szCs w:val="18"/>
          <w:color w:val="000000"/>
        </w:rPr>
        <w:t>including changes to government policy or practice in oversight and enforcement, or other factors, including geopolitical instability, imposition or extension of international sanctions or a natural disaster in either the students’ countries of origin or countries in which they desire to study, could also negatively affect Kaplan’s ability to attract and retain students and negatively affect Kaplan’s operating results. In addition, any significant changes to availability of government funding for education, visa policies or other administrative immigration requirements, or the tax environment, including changes to tax laws, policies and practices, in any one or more countries in which KI operates could negatively affect its operating results.</w:t>
      </w:r>
    </w:p>
    <w:p>
      <w:pPr>
        <w:spacing w:after="0" w:line="14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regulations change frequently. Failure to comply with these laws and regulations can result in the imposition of significant penalties or revocation of Kaplan’s authority to operate in the applicable jurisdiction, each of which could have a material adverse effect on Kaplan’s operating results.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principally the U.S., the U.K., Australia and Singapore. KI’s ability to enroll students in these programs is directly dependent on its ability to comply with complex regulatory environments. For example, the impact of Brexit on KI will depend in part on the outcome of future negotiations regarding the terms of the U.K.’s withdrawal from the EU. Following a referendum in June 2016, in which voters in the U.K. approved Brexit, the U.K.’s withdrawal became effective on January 31, 2020. A transition period will apply to the end of 2020 (or later, if extended) during which the pre-Brexit legal regime will continue to apply while the U.K. and the EU negotiate rules that will apply to their future relationship. It is unknown how the future relationship will be structured, and there remains the possibility that no negotiated outcome will be reached by the end of the transition period. Uncertainty over the outcome of the Brexit negotiations and the possibility of a “no deal” exit may materially or significantly diminish interest in traveling to the U.K. for study. If the U.K. is no longer viewed as a favorable study destination, KI’s ability to recruit international students will be adversely affected, which would result in material adverse impacts to KI’s results of operations and cash flows.</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While proposals for changes to criteria for student study visas were put forward in an Immigration White Paper in 2018, no assurances can be given that the new U.K. government will implement those proposed rules. Significant changes may be made to U.K. immigration laws by the new government. It is also unclear how international student recruitment agents and prospective international students may view the U.K. as a study destination after the introduction of any new immigration requirements, the EU exit negotiations and the U.K.’s exit from the EU.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92" w:right="339" w:bottom="1440" w:gutter="0" w:footer="0" w:header="0"/>
        </w:sectPr>
      </w:pPr>
    </w:p>
    <w:bookmarkStart w:id="37" w:name="page38"/>
    <w:bookmarkEnd w:id="37"/>
    <w:p>
      <w:pPr>
        <w:ind w:right="260"/>
        <w:spacing w:after="0" w:line="235" w:lineRule="auto"/>
        <w:rPr>
          <w:sz w:val="20"/>
          <w:szCs w:val="20"/>
          <w:color w:val="auto"/>
        </w:rPr>
      </w:pPr>
      <w:r>
        <w:rPr>
          <w:rFonts w:ascii="Arial" w:cs="Arial" w:eastAsia="Arial" w:hAnsi="Arial"/>
          <w:sz w:val="18"/>
          <w:szCs w:val="18"/>
          <w:color w:val="auto"/>
        </w:rPr>
        <w:t>Additionally, if the U.K. does not receive a determination of adequacy under the EU General Data Protection Regulation, flows of personal data within KI or between KI and its clients, suppliers, business partners and affiliates may be substantially disrupted.</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January 2017, President Trump signed an Executive Order severely limiting the ability of citizens from certain countries to enter the U.S. The countries subject to, and restrictions imposed by, the initial order were subsequently modified, and the order has been upheld in court. Additional countries have since been subjected to similar travel restrictions pursuant to a Presidential Proclamation signed by President Trump in January 2020. It is unclear if the January 2020 proclamation will be challenged; however, the topic remains a subject of significant international press interest. Negative perceptions regarding travel to the U.S. could have a significant negative impact on KI’s ability to recruit international students, and Kaplan’s business could be adversely and materially affected.</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2018, the Australian government introduced legislation that requires higher-level education standards, a compulsory national exam and other increased requirements in relation to continuing professional development for all financial advisors in Australia. These new requirements may result in financial advisors leaving the industry, which may result in a loss of those existing students for Kaplan Professional Australia.</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2019, Australia faced severe wildfires. Although Kaplan was not directly affected, the wildfires were widely reported and may adversely affect KI’s ability to recruit students to KI Languages and KI Pathways programs that may adversely affect Kaplan’s results.</w:t>
      </w:r>
    </w:p>
    <w:p>
      <w:pPr>
        <w:spacing w:after="0" w:line="113"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Noncompliance with Regulations by KHE’s Client Institutions May Adversely Impact Kaplan’s Results of Operations.</w:t>
      </w:r>
    </w:p>
    <w:p>
      <w:pPr>
        <w:spacing w:after="0" w:line="166"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KHE currently provides services to higher education institutions that are heavily regulated by federal and state laws and regulations and by accrediting bodies. Presently, a substantial portion of KHE’s revenues are attributable to service fees it receives under its agreement with Purdue Global, which are dependent upon revenues generated by Purdue Global and upon Purdue Global’s eligibility to participate in the Title IV federal student aid program. To maintain Title IV eligibility, Purdue Global and KHE’s other client institutions must be certified by the ED as eligible institutions, maintain authorizations by applicable state education agencies and be accredited by an accrediting commission recognized by the ED. Purdue Global and KHE’s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and require state authorization and institutional and programmatic accreditation. In addition, the Coronavirus Aid, Relief, and Economic Securities ("CARES") Act and subsequent guidance from the ED have created changes in the administration of federal financial assistance programs, the interpretation of which may not yet be fully understood. If the ED finds that Purdue Global or any other KHE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lawsuits, program reviews or otherwise. If Purdue Global loses or has limits placed on its Title IV eligibility, accreditation or state licensure, or if Purdue Global is subject to fines, repayment obligations, or other adverse actions owing to its or Kaplan’s noncompliance with Title IV regulations, accreditor, or state agency requirements, or other state or federal laws, Kaplan’s financial results of operations could be adversely effected.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692" w:right="379" w:bottom="1440" w:gutter="0" w:footer="0" w:header="0"/>
        </w:sectPr>
      </w:pPr>
    </w:p>
    <w:bookmarkStart w:id="38" w:name="page39"/>
    <w:bookmarkEnd w:id="38"/>
    <w:p>
      <w:pPr>
        <w:ind w:right="540"/>
        <w:spacing w:after="0" w:line="235"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35" w:lineRule="exact"/>
        <w:rPr>
          <w:sz w:val="20"/>
          <w:szCs w:val="20"/>
          <w:color w:val="auto"/>
        </w:rPr>
      </w:pPr>
    </w:p>
    <w:p>
      <w:pPr>
        <w:ind w:left="660" w:right="40" w:hanging="328"/>
        <w:spacing w:after="0" w:line="235"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KHE client institution loses or has limits placed on its Title IV eligibility, accreditation or state licensure;</w:t>
      </w:r>
    </w:p>
    <w:p>
      <w:pPr>
        <w:spacing w:after="0" w:line="134" w:lineRule="exact"/>
        <w:rPr>
          <w:rFonts w:ascii="Arial" w:cs="Arial" w:eastAsia="Arial" w:hAnsi="Arial"/>
          <w:sz w:val="18"/>
          <w:szCs w:val="18"/>
          <w:color w:val="auto"/>
        </w:rPr>
      </w:pPr>
    </w:p>
    <w:p>
      <w:pPr>
        <w:ind w:left="660" w:right="180" w:hanging="328"/>
        <w:spacing w:after="0" w:line="22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36" w:lineRule="exact"/>
        <w:rPr>
          <w:rFonts w:ascii="Arial" w:cs="Arial" w:eastAsia="Arial" w:hAnsi="Arial"/>
          <w:sz w:val="18"/>
          <w:szCs w:val="18"/>
          <w:color w:val="auto"/>
        </w:rPr>
      </w:pPr>
    </w:p>
    <w:p>
      <w:pPr>
        <w:ind w:left="660" w:right="520" w:hanging="328"/>
        <w:spacing w:after="0" w:line="22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imposition on KHE of fines or repayment obligations to the ED or the termination or limitation on KHE’s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4" w:lineRule="exact"/>
        <w:rPr>
          <w:rFonts w:ascii="Arial" w:cs="Arial" w:eastAsia="Arial" w:hAnsi="Arial"/>
          <w:sz w:val="18"/>
          <w:szCs w:val="18"/>
          <w:color w:val="auto"/>
        </w:rPr>
      </w:pPr>
    </w:p>
    <w:p>
      <w:pPr>
        <w:ind w:left="660" w:right="200" w:hanging="328"/>
        <w:spacing w:after="0" w:line="235"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KHE’s conduct.</w:t>
      </w:r>
    </w:p>
    <w:p>
      <w:pPr>
        <w:spacing w:after="0" w:line="112" w:lineRule="exact"/>
        <w:rPr>
          <w:rFonts w:ascii="Arial" w:cs="Arial" w:eastAsia="Arial" w:hAnsi="Arial"/>
          <w:sz w:val="18"/>
          <w:szCs w:val="18"/>
          <w:color w:val="auto"/>
        </w:rPr>
      </w:pPr>
    </w:p>
    <w:p>
      <w:pPr>
        <w:ind w:left="260" w:right="160" w:hanging="252"/>
        <w:spacing w:after="0" w:line="256"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and Increased Competition Could Reduce Demand for KTP Offerings.</w:t>
      </w:r>
    </w:p>
    <w:p>
      <w:pPr>
        <w:spacing w:after="0" w:line="120"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One source of KTP’s income is fees charged for courses that prepare students for a broad range of admissions examinations that are considered by colleges and graduate schools. Historically, colleges and graduate schools have required standardized tests as part of the admissions process. As a result of the COVID-19 pandemic, a number of colleges and graduate schools have waived standardized tests as part of the admissions process for the upcoming academic year, admissions examinations have been postponed and KTP has provided students with an extension of time to access their programs so that students could continue their preparation. These changes have had a negative impact on KTP’s results of operations. In addition, there had already been some movement away from the historical reliance on standardized admissions tests among certain colleges, which have adopted “test-optional” admissions policies. Additionally, there is litigation pending against a public university regarding that university’s use of standardized test scores for admissions, alleging that the SAT and ACT requirements discriminate against applicants who cannot afford test preparation. Any significant reduction in the use of standardized tests, whether caused by the outcome of the aforementioned claim or otherwise, in the college or graduate school admissions processes could have an adverse effect on Kaplan’s operating results.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Additionally, KTP faces increased competition from competitors offering lower cost or free test prep products that may be used by students to piece together alternatives to traditional comprehensive test prep programs. Kaplan’s operating results may be adversely affected if student demand for KTP’s traditional comprehensive programs shifts to KTP’s lower-cost, standalone offerings, or if competitors offer lower-cost, standalone offerings or free test prep products.</w:t>
      </w:r>
    </w:p>
    <w:p>
      <w:pPr>
        <w:spacing w:after="0" w:line="113" w:lineRule="exact"/>
        <w:rPr>
          <w:sz w:val="20"/>
          <w:szCs w:val="20"/>
          <w:color w:val="auto"/>
        </w:rPr>
      </w:pPr>
    </w:p>
    <w:p>
      <w:pPr>
        <w:ind w:left="260" w:right="620" w:hanging="252"/>
        <w:spacing w:after="0" w:line="256" w:lineRule="auto"/>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of Examinations and Changes in the Extent to Which Licensing and Proficiency Examinations Are Used to Qualify Individuals to Pursue Certain Careers Could Reduce Demand for Kaplan’s Offerings.</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substantial portion of Kaplan Professional (KP) and KI’s revenue comes from preparing individuals for licensing or technical proficiency examinations in various fields. Any significant relaxation or elimination of licensing or technical proficiency requirements in those fields served by KP and KI’s businesses could negatively affect Kaplan’s operating results. As a result of the COVID-19 pandemic, a number of professional certification examinations have been postponed and Kaplan has provided students with an extension of time to access their programs so that students could continue their preparation. These changes together with student decisions to defer preparation entirely have had a negative impact on Kaplan’s results of operations.</w:t>
      </w:r>
    </w:p>
    <w:p>
      <w:pPr>
        <w:spacing w:after="0" w:line="115" w:lineRule="exact"/>
        <w:rPr>
          <w:sz w:val="20"/>
          <w:szCs w:val="20"/>
          <w:color w:val="auto"/>
        </w:rPr>
      </w:pPr>
    </w:p>
    <w:p>
      <w:pPr>
        <w:ind w:left="260" w:right="220" w:hanging="252"/>
        <w:spacing w:after="0" w:line="256" w:lineRule="auto"/>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COVID-19 Pandemic, Food-Borne Illness Concerns and Damage to the Company’s Reputation Could Harm the Company’s Restaurant Business.</w:t>
      </w:r>
    </w:p>
    <w:p>
      <w:pPr>
        <w:spacing w:after="0" w:line="120"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As a result of the COVID-19 pandemic, the Company’s restaurant business has temporarily closed other than for takeout and delivery and decreases in customer traffic could remain even after the stay-at-home orders are lifted. In addition, reports of food-borne illness or food safety issues, even if caused by food suppliers or distributors, could have a negative effect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92" w:right="339" w:bottom="1440" w:gutter="0" w:footer="0" w:header="0"/>
        </w:sectPr>
      </w:pPr>
    </w:p>
    <w:bookmarkStart w:id="39" w:name="page40"/>
    <w:bookmarkEnd w:id="39"/>
    <w:p>
      <w:pPr>
        <w:ind w:right="220"/>
        <w:spacing w:after="0" w:line="235" w:lineRule="auto"/>
        <w:rPr>
          <w:sz w:val="20"/>
          <w:szCs w:val="20"/>
          <w:color w:val="auto"/>
        </w:rPr>
      </w:pPr>
      <w:r>
        <w:rPr>
          <w:rFonts w:ascii="Arial" w:cs="Arial" w:eastAsia="Arial" w:hAnsi="Arial"/>
          <w:sz w:val="18"/>
          <w:szCs w:val="18"/>
          <w:color w:val="auto"/>
        </w:rPr>
        <w:t>reputation. Similarly, publicity about litigation, violence, complaints or government investigations could have a negative effect on restaurant sales.</w:t>
      </w:r>
    </w:p>
    <w:p>
      <w:pPr>
        <w:spacing w:after="0" w:line="113"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166"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The Company may experience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 The Company recorded goodwill and other intangible asset impairment charges in the first quarter of 2020. Given the impact of the COVID-19 pandemic it is possible that additional impairment charges could occur in the future, given changes in market conditions and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2020,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40" w:type="dxa"/>
            <w:vAlign w:val="bottom"/>
          </w:tcPr>
          <w:p>
            <w:pPr>
              <w:jc w:val="center"/>
              <w:ind w:left="38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40" w:type="dxa"/>
            <w:vAlign w:val="bottom"/>
          </w:tcPr>
          <w:p>
            <w:pPr>
              <w:jc w:val="center"/>
              <w:ind w:left="38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740" w:type="dxa"/>
            <w:vAlign w:val="bottom"/>
          </w:tcPr>
          <w:p>
            <w:pPr>
              <w:spacing w:after="0"/>
              <w:rPr>
                <w:sz w:val="14"/>
                <w:szCs w:val="14"/>
                <w:color w:val="auto"/>
              </w:rPr>
            </w:pPr>
          </w:p>
        </w:tc>
        <w:tc>
          <w:tcPr>
            <w:tcW w:w="1340" w:type="dxa"/>
            <w:vAlign w:val="bottom"/>
          </w:tcPr>
          <w:p>
            <w:pPr>
              <w:jc w:val="right"/>
              <w:ind w:right="42"/>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4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4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rPr>
              <w:t>Plan*</w:t>
            </w:r>
          </w:p>
        </w:tc>
      </w:tr>
      <w:tr>
        <w:trPr>
          <w:trHeight w:val="250"/>
        </w:trPr>
        <w:tc>
          <w:tcPr>
            <w:tcW w:w="4740" w:type="dxa"/>
            <w:vAlign w:val="bottom"/>
          </w:tcPr>
          <w:p>
            <w:pPr>
              <w:ind w:left="40"/>
              <w:spacing w:after="0"/>
              <w:rPr>
                <w:sz w:val="20"/>
                <w:szCs w:val="20"/>
                <w:color w:val="auto"/>
              </w:rPr>
            </w:pPr>
            <w:r>
              <w:rPr>
                <w:rFonts w:ascii="Arial" w:cs="Arial" w:eastAsia="Arial" w:hAnsi="Arial"/>
                <w:sz w:val="16"/>
                <w:szCs w:val="16"/>
                <w:color w:val="auto"/>
              </w:rPr>
              <w:t>January</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270,263</w:t>
            </w:r>
          </w:p>
        </w:tc>
      </w:tr>
      <w:tr>
        <w:trPr>
          <w:trHeight w:val="270"/>
        </w:trPr>
        <w:tc>
          <w:tcPr>
            <w:tcW w:w="4740" w:type="dxa"/>
            <w:vAlign w:val="bottom"/>
          </w:tcPr>
          <w:p>
            <w:pPr>
              <w:ind w:left="40"/>
              <w:spacing w:after="0"/>
              <w:rPr>
                <w:sz w:val="20"/>
                <w:szCs w:val="20"/>
                <w:color w:val="auto"/>
              </w:rPr>
            </w:pPr>
            <w:r>
              <w:rPr>
                <w:rFonts w:ascii="Arial" w:cs="Arial" w:eastAsia="Arial" w:hAnsi="Arial"/>
                <w:sz w:val="16"/>
                <w:szCs w:val="16"/>
                <w:color w:val="auto"/>
              </w:rPr>
              <w:t>February</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270,263</w:t>
            </w:r>
          </w:p>
        </w:tc>
      </w:tr>
      <w:tr>
        <w:trPr>
          <w:trHeight w:val="283"/>
        </w:trPr>
        <w:tc>
          <w:tcPr>
            <w:tcW w:w="4740" w:type="dxa"/>
            <w:vAlign w:val="bottom"/>
          </w:tcPr>
          <w:p>
            <w:pPr>
              <w:ind w:left="40"/>
              <w:spacing w:after="0"/>
              <w:rPr>
                <w:sz w:val="20"/>
                <w:szCs w:val="20"/>
                <w:color w:val="auto"/>
              </w:rPr>
            </w:pPr>
            <w:r>
              <w:rPr>
                <w:rFonts w:ascii="Arial" w:cs="Arial" w:eastAsia="Arial" w:hAnsi="Arial"/>
                <w:sz w:val="16"/>
                <w:szCs w:val="16"/>
                <w:color w:val="auto"/>
              </w:rPr>
              <w:t>March</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83,919</w:t>
            </w:r>
          </w:p>
        </w:tc>
        <w:tc>
          <w:tcPr>
            <w:tcW w:w="28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400.50</w:t>
            </w:r>
          </w:p>
        </w:tc>
        <w:tc>
          <w:tcPr>
            <w:tcW w:w="16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83,919</w:t>
            </w:r>
          </w:p>
        </w:tc>
        <w:tc>
          <w:tcPr>
            <w:tcW w:w="2240" w:type="dxa"/>
            <w:vAlign w:val="bottom"/>
          </w:tcPr>
          <w:p>
            <w:pPr>
              <w:jc w:val="right"/>
              <w:ind w:right="44"/>
              <w:spacing w:after="0"/>
              <w:rPr>
                <w:sz w:val="20"/>
                <w:szCs w:val="20"/>
                <w:color w:val="auto"/>
              </w:rPr>
            </w:pPr>
            <w:r>
              <w:rPr>
                <w:rFonts w:ascii="Arial" w:cs="Arial" w:eastAsia="Arial" w:hAnsi="Arial"/>
                <w:sz w:val="16"/>
                <w:szCs w:val="16"/>
                <w:color w:val="auto"/>
              </w:rPr>
              <w:t>186,344</w:t>
            </w:r>
          </w:p>
        </w:tc>
      </w:tr>
      <w:tr>
        <w:trPr>
          <w:trHeight w:val="237"/>
        </w:trPr>
        <w:tc>
          <w:tcPr>
            <w:tcW w:w="474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83,919</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400.50</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83,919</w:t>
            </w:r>
          </w:p>
        </w:tc>
        <w:tc>
          <w:tcPr>
            <w:tcW w:w="2240" w:type="dxa"/>
            <w:vAlign w:val="bottom"/>
          </w:tcPr>
          <w:p>
            <w:pPr>
              <w:spacing w:after="0"/>
              <w:rPr>
                <w:sz w:val="20"/>
                <w:szCs w:val="20"/>
                <w:color w:val="auto"/>
              </w:rPr>
            </w:pPr>
          </w:p>
        </w:tc>
      </w:tr>
    </w:tbl>
    <w:p>
      <w:pPr>
        <w:spacing w:after="0" w:line="173" w:lineRule="exact"/>
        <w:rPr>
          <w:sz w:val="20"/>
          <w:szCs w:val="20"/>
          <w:color w:val="auto"/>
        </w:rPr>
      </w:pPr>
    </w:p>
    <w:p>
      <w:pPr>
        <w:jc w:val="both"/>
        <w:ind w:right="60"/>
        <w:spacing w:after="0" w:line="233" w:lineRule="auto"/>
        <w:rPr>
          <w:sz w:val="20"/>
          <w:szCs w:val="20"/>
          <w:color w:val="auto"/>
        </w:rPr>
      </w:pPr>
      <w:r>
        <w:rPr>
          <w:rFonts w:ascii="Arial" w:cs="Arial" w:eastAsia="Arial" w:hAnsi="Arial"/>
          <w:sz w:val="14"/>
          <w:szCs w:val="14"/>
          <w:color w:val="auto"/>
        </w:rPr>
        <w:t>*On November 9, 2017 the Company’s Board of Directors authorized the Company to purchase, on the open market or otherwise, up to 500,000 shares of its Class B Common Stock. This authorization included 163,237 shares that remained under the previous authorization. There is no expiration date for that authorization. All purchases made during the quarter ended March 31, 2020 were open market transactions.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69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14"/>
                <w:szCs w:val="14"/>
                <w:color w:val="auto"/>
              </w:rPr>
            </w:pPr>
          </w:p>
        </w:tc>
        <w:tc>
          <w:tcPr>
            <w:tcW w:w="6040" w:type="dxa"/>
            <w:vAlign w:val="bottom"/>
            <w:gridSpan w:val="7"/>
            <w:vMerge w:val="restart"/>
          </w:tcPr>
          <w:p>
            <w:pPr>
              <w:ind w:left="5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40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160" w:type="dxa"/>
            <w:vAlign w:val="bottom"/>
          </w:tcPr>
          <w:p>
            <w:pPr>
              <w:ind w:left="180"/>
              <w:spacing w:after="0"/>
              <w:rPr>
                <w:sz w:val="20"/>
                <w:szCs w:val="20"/>
                <w:color w:val="auto"/>
              </w:rPr>
            </w:pPr>
            <w:r>
              <w:rPr>
                <w:rFonts w:ascii="Arial" w:cs="Arial" w:eastAsia="Arial" w:hAnsi="Arial"/>
                <w:sz w:val="16"/>
                <w:szCs w:val="16"/>
                <w:color w:val="auto"/>
              </w:rPr>
              <w:t>3.1</w:t>
            </w:r>
          </w:p>
        </w:tc>
        <w:tc>
          <w:tcPr>
            <w:tcW w:w="9940" w:type="dxa"/>
            <w:vAlign w:val="bottom"/>
            <w:tcBorders>
              <w:bottom w:val="single" w:sz="8" w:color="0000FF"/>
            </w:tcBorders>
            <w:gridSpan w:val="6"/>
          </w:tcPr>
          <w:p>
            <w:pPr>
              <w:spacing w:after="0"/>
              <w:rPr>
                <w:rFonts w:ascii="Arial" w:cs="Arial" w:eastAsia="Arial" w:hAnsi="Arial"/>
                <w:sz w:val="16"/>
                <w:szCs w:val="16"/>
                <w:color w:val="0000FF"/>
              </w:rPr>
            </w:pPr>
            <w:hyperlink r:id="rId30">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8"/>
          </w:tcPr>
          <w:p>
            <w:pPr>
              <w:spacing w:after="0" w:line="169" w:lineRule="exact"/>
              <w:rPr>
                <w:rFonts w:ascii="Arial" w:cs="Arial" w:eastAsia="Arial" w:hAnsi="Arial"/>
                <w:sz w:val="16"/>
                <w:szCs w:val="16"/>
                <w:color w:val="0000FF"/>
              </w:rPr>
            </w:pPr>
            <w:hyperlink r:id="rId30">
              <w:r>
                <w:rPr>
                  <w:rFonts w:ascii="Arial" w:cs="Arial" w:eastAsia="Arial" w:hAnsi="Arial"/>
                  <w:sz w:val="16"/>
                  <w:szCs w:val="16"/>
                  <w:color w:val="0000FF"/>
                </w:rPr>
                <w:t>Annual Report on Form 10-K for the fiscal year ended December 28, 2003).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80"/>
              <w:spacing w:after="0"/>
              <w:rPr>
                <w:sz w:val="20"/>
                <w:szCs w:val="20"/>
                <w:color w:val="auto"/>
              </w:rPr>
            </w:pPr>
            <w:r>
              <w:rPr>
                <w:rFonts w:ascii="Arial" w:cs="Arial" w:eastAsia="Arial" w:hAnsi="Arial"/>
                <w:sz w:val="16"/>
                <w:szCs w:val="16"/>
                <w:color w:val="auto"/>
              </w:rPr>
              <w:t>3.2</w:t>
            </w:r>
          </w:p>
        </w:tc>
        <w:tc>
          <w:tcPr>
            <w:tcW w:w="9540" w:type="dxa"/>
            <w:vAlign w:val="bottom"/>
            <w:tcBorders>
              <w:bottom w:val="single" w:sz="8" w:color="0000FF"/>
            </w:tcBorders>
            <w:gridSpan w:val="5"/>
          </w:tcPr>
          <w:p>
            <w:pPr>
              <w:spacing w:after="0"/>
              <w:rPr>
                <w:rFonts w:ascii="Arial" w:cs="Arial" w:eastAsia="Arial" w:hAnsi="Arial"/>
                <w:sz w:val="16"/>
                <w:szCs w:val="16"/>
                <w:color w:val="0000FF"/>
              </w:rPr>
            </w:pPr>
            <w:hyperlink r:id="rId31">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8"/>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reference to Exhibit 3.1 to the Company’s current Report on Form 8-K dated November 29, 2013).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80"/>
              <w:spacing w:after="0"/>
              <w:rPr>
                <w:sz w:val="20"/>
                <w:szCs w:val="20"/>
                <w:color w:val="auto"/>
              </w:rPr>
            </w:pPr>
            <w:r>
              <w:rPr>
                <w:rFonts w:ascii="Arial" w:cs="Arial" w:eastAsia="Arial" w:hAnsi="Arial"/>
                <w:sz w:val="16"/>
                <w:szCs w:val="16"/>
                <w:color w:val="auto"/>
              </w:rPr>
              <w:t>3.3</w:t>
            </w:r>
          </w:p>
        </w:tc>
        <w:tc>
          <w:tcPr>
            <w:tcW w:w="10000" w:type="dxa"/>
            <w:vAlign w:val="bottom"/>
            <w:tcBorders>
              <w:bottom w:val="single" w:sz="8" w:color="0000FF"/>
            </w:tcBorders>
            <w:gridSpan w:val="7"/>
          </w:tcPr>
          <w:p>
            <w:pPr>
              <w:spacing w:after="0"/>
              <w:rPr>
                <w:rFonts w:ascii="Arial" w:cs="Arial" w:eastAsia="Arial" w:hAnsi="Arial"/>
                <w:sz w:val="16"/>
                <w:szCs w:val="16"/>
                <w:color w:val="0000FF"/>
              </w:rPr>
            </w:pPr>
            <w:hyperlink r:id="rId32">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8"/>
          </w:tcPr>
          <w:p>
            <w:pPr>
              <w:spacing w:after="0" w:line="169" w:lineRule="exact"/>
              <w:rPr>
                <w:rFonts w:ascii="Arial" w:cs="Arial" w:eastAsia="Arial" w:hAnsi="Arial"/>
                <w:sz w:val="16"/>
                <w:szCs w:val="16"/>
                <w:color w:val="0000FF"/>
              </w:rPr>
            </w:pPr>
            <w:hyperlink r:id="rId32">
              <w:r>
                <w:rPr>
                  <w:rFonts w:ascii="Arial" w:cs="Arial" w:eastAsia="Arial" w:hAnsi="Arial"/>
                  <w:sz w:val="16"/>
                  <w:szCs w:val="16"/>
                  <w:color w:val="0000FF"/>
                </w:rPr>
                <w:t>Current Report on Form 8-K dated November 29, 2013).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80"/>
              <w:spacing w:after="0"/>
              <w:rPr>
                <w:sz w:val="20"/>
                <w:szCs w:val="20"/>
                <w:color w:val="auto"/>
              </w:rPr>
            </w:pPr>
            <w:r>
              <w:rPr>
                <w:rFonts w:ascii="Arial" w:cs="Arial" w:eastAsia="Arial" w:hAnsi="Arial"/>
                <w:sz w:val="16"/>
                <w:szCs w:val="16"/>
                <w:color w:val="auto"/>
              </w:rPr>
              <w:t>4.1</w:t>
            </w:r>
          </w:p>
        </w:tc>
        <w:tc>
          <w:tcPr>
            <w:tcW w:w="10080" w:type="dxa"/>
            <w:vAlign w:val="bottom"/>
            <w:gridSpan w:val="8"/>
          </w:tcPr>
          <w:p>
            <w:pPr>
              <w:spacing w:after="0"/>
              <w:rPr>
                <w:rFonts w:ascii="Arial" w:cs="Arial" w:eastAsia="Arial" w:hAnsi="Arial"/>
                <w:sz w:val="16"/>
                <w:szCs w:val="16"/>
                <w:color w:val="0000FF"/>
              </w:rPr>
            </w:pPr>
            <w:hyperlink r:id="rId33">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9540" w:type="dxa"/>
            <w:vAlign w:val="bottom"/>
            <w:tcBorders>
              <w:top w:val="single" w:sz="8" w:color="0000FF"/>
            </w:tcBorders>
            <w:gridSpan w:val="5"/>
          </w:tcPr>
          <w:p>
            <w:pPr>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Trustee (incorporated by reference to Exhibit 4.1 to the Company’s Current Report on Form 8-K dated May 30, 2018).</w:t>
              </w:r>
            </w:hyperlink>
          </w:p>
        </w:tc>
        <w:tc>
          <w:tcPr>
            <w:tcW w:w="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60" w:type="dxa"/>
            <w:vAlign w:val="bottom"/>
          </w:tcPr>
          <w:p>
            <w:pPr>
              <w:ind w:left="180"/>
              <w:spacing w:after="0"/>
              <w:rPr>
                <w:sz w:val="20"/>
                <w:szCs w:val="20"/>
                <w:color w:val="auto"/>
              </w:rPr>
            </w:pPr>
            <w:r>
              <w:rPr>
                <w:rFonts w:ascii="Arial" w:cs="Arial" w:eastAsia="Arial" w:hAnsi="Arial"/>
                <w:sz w:val="16"/>
                <w:szCs w:val="16"/>
                <w:color w:val="auto"/>
              </w:rPr>
              <w:t>4.2</w:t>
            </w:r>
          </w:p>
        </w:tc>
        <w:tc>
          <w:tcPr>
            <w:tcW w:w="10080" w:type="dxa"/>
            <w:vAlign w:val="bottom"/>
            <w:gridSpan w:val="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w:anchor="page43">
              <w:r>
                <w:rPr>
                  <w:rFonts w:ascii="Arial" w:cs="Arial" w:eastAsia="Arial" w:hAnsi="Arial"/>
                  <w:sz w:val="16"/>
                  <w:szCs w:val="16"/>
                  <w:color w:val="0000FF"/>
                </w:rPr>
                <w:t>the Company, and The Bank of New York Mellon Trust Company, N.A., as trustee.</w:t>
              </w:r>
            </w:hyperlink>
          </w:p>
        </w:tc>
        <w:tc>
          <w:tcPr>
            <w:tcW w:w="4060" w:type="dxa"/>
            <w:vAlign w:val="bottom"/>
            <w:tcBorders>
              <w:top w:val="single" w:sz="8" w:color="0000FF"/>
            </w:tcBorders>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541"/>
        </w:trPr>
        <w:tc>
          <w:tcPr>
            <w:tcW w:w="1160" w:type="dxa"/>
            <w:vAlign w:val="bottom"/>
          </w:tcPr>
          <w:p>
            <w:pPr>
              <w:ind w:left="180"/>
              <w:spacing w:after="0"/>
              <w:rPr>
                <w:sz w:val="20"/>
                <w:szCs w:val="20"/>
                <w:color w:val="auto"/>
              </w:rPr>
            </w:pPr>
            <w:r>
              <w:rPr>
                <w:rFonts w:ascii="Arial" w:cs="Arial" w:eastAsia="Arial" w:hAnsi="Arial"/>
                <w:sz w:val="16"/>
                <w:szCs w:val="16"/>
                <w:color w:val="auto"/>
              </w:rPr>
              <w:t>31.1</w:t>
            </w:r>
          </w:p>
        </w:tc>
        <w:tc>
          <w:tcPr>
            <w:tcW w:w="10080" w:type="dxa"/>
            <w:vAlign w:val="bottom"/>
            <w:gridSpan w:val="8"/>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Rule 13a-14(a)/15d-14(a) Certification of the Chief Executive Officer.</w:t>
              </w:r>
            </w:hyperlink>
          </w:p>
        </w:tc>
        <w:tc>
          <w:tcPr>
            <w:tcW w:w="0" w:type="dxa"/>
            <w:vAlign w:val="bottom"/>
          </w:tcPr>
          <w:p>
            <w:pPr>
              <w:spacing w:after="0"/>
              <w:rPr>
                <w:sz w:val="1"/>
                <w:szCs w:val="1"/>
                <w:color w:val="auto"/>
              </w:rPr>
            </w:pPr>
          </w:p>
        </w:tc>
      </w:tr>
      <w:tr>
        <w:trPr>
          <w:trHeight w:val="486"/>
        </w:trPr>
        <w:tc>
          <w:tcPr>
            <w:tcW w:w="1160" w:type="dxa"/>
            <w:vAlign w:val="bottom"/>
          </w:tcPr>
          <w:p>
            <w:pPr>
              <w:ind w:left="180"/>
              <w:spacing w:after="0"/>
              <w:rPr>
                <w:sz w:val="20"/>
                <w:szCs w:val="20"/>
                <w:color w:val="auto"/>
              </w:rPr>
            </w:pPr>
            <w:r>
              <w:rPr>
                <w:rFonts w:ascii="Arial" w:cs="Arial" w:eastAsia="Arial" w:hAnsi="Arial"/>
                <w:sz w:val="16"/>
                <w:szCs w:val="16"/>
                <w:color w:val="auto"/>
              </w:rPr>
              <w:t>31.2</w:t>
            </w:r>
          </w:p>
        </w:tc>
        <w:tc>
          <w:tcPr>
            <w:tcW w:w="10080" w:type="dxa"/>
            <w:vAlign w:val="bottom"/>
            <w:gridSpan w:val="8"/>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Rule 13a-14(a)/15d-14(a) Certification of the Chief Financial Officer.</w:t>
              </w:r>
            </w:hyperlink>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160" w:hanging="990"/>
        <w:spacing w:after="0"/>
        <w:tabs>
          <w:tab w:leader="none" w:pos="1160" w:val="left"/>
        </w:tabs>
        <w:numPr>
          <w:ilvl w:val="0"/>
          <w:numId w:val="21"/>
        </w:numPr>
        <w:rPr>
          <w:rFonts w:ascii="Arial" w:cs="Arial" w:eastAsia="Arial" w:hAnsi="Arial"/>
          <w:sz w:val="16"/>
          <w:szCs w:val="16"/>
          <w:color w:val="0000FF"/>
        </w:rPr>
      </w:pPr>
      <w:hyperlink w:anchor="page48">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195"/>
        </w:trPr>
        <w:tc>
          <w:tcPr>
            <w:tcW w:w="820" w:type="dxa"/>
            <w:vAlign w:val="bottom"/>
          </w:tcPr>
          <w:p>
            <w:pPr>
              <w:spacing w:after="0"/>
              <w:rPr>
                <w:sz w:val="16"/>
                <w:szCs w:val="16"/>
                <w:color w:val="auto"/>
              </w:rPr>
            </w:pPr>
          </w:p>
        </w:tc>
        <w:tc>
          <w:tcPr>
            <w:tcW w:w="1016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526"/>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526"/>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526"/>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332" w:lineRule="exact"/>
        <w:rPr>
          <w:sz w:val="20"/>
          <w:szCs w:val="20"/>
          <w:color w:val="auto"/>
        </w:rPr>
      </w:pPr>
    </w:p>
    <w:p>
      <w:pPr>
        <w:ind w:left="1160" w:hanging="990"/>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19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7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4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0"/>
        </w:trPr>
        <w:tc>
          <w:tcPr>
            <w:tcW w:w="3480" w:type="dxa"/>
            <w:vAlign w:val="bottom"/>
          </w:tcPr>
          <w:p>
            <w:pPr>
              <w:spacing w:after="0"/>
              <w:rPr>
                <w:sz w:val="20"/>
                <w:szCs w:val="20"/>
                <w:color w:val="auto"/>
              </w:rPr>
            </w:pPr>
            <w:r>
              <w:rPr>
                <w:rFonts w:ascii="Arial" w:cs="Arial" w:eastAsia="Arial" w:hAnsi="Arial"/>
                <w:sz w:val="18"/>
                <w:szCs w:val="18"/>
                <w:color w:val="auto"/>
              </w:rPr>
              <w:t>Date: May 5, 2020</w:t>
            </w:r>
          </w:p>
        </w:tc>
        <w:tc>
          <w:tcPr>
            <w:tcW w:w="3680" w:type="dxa"/>
            <w:vAlign w:val="bottom"/>
          </w:tcPr>
          <w:p>
            <w:pPr>
              <w:spacing w:after="0"/>
              <w:rPr>
                <w:sz w:val="24"/>
                <w:szCs w:val="24"/>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4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480" w:type="dxa"/>
            <w:vAlign w:val="bottom"/>
          </w:tcPr>
          <w:p>
            <w:pPr>
              <w:spacing w:after="0"/>
              <w:rPr>
                <w:sz w:val="20"/>
                <w:szCs w:val="20"/>
                <w:color w:val="auto"/>
              </w:rPr>
            </w:pPr>
            <w:r>
              <w:rPr>
                <w:rFonts w:ascii="Arial" w:cs="Arial" w:eastAsia="Arial" w:hAnsi="Arial"/>
                <w:sz w:val="18"/>
                <w:szCs w:val="18"/>
                <w:color w:val="auto"/>
              </w:rPr>
              <w:t>Date: May 5, 2020</w:t>
            </w:r>
          </w:p>
        </w:tc>
        <w:tc>
          <w:tcPr>
            <w:tcW w:w="3680" w:type="dxa"/>
            <w:vAlign w:val="bottom"/>
          </w:tcPr>
          <w:p>
            <w:pPr>
              <w:spacing w:after="0"/>
              <w:rPr>
                <w:sz w:val="24"/>
                <w:szCs w:val="24"/>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Wallace R. Cooney</w:t>
            </w:r>
          </w:p>
        </w:tc>
      </w:tr>
      <w:tr>
        <w:trPr>
          <w:trHeight w:val="176"/>
        </w:trPr>
        <w:tc>
          <w:tcPr>
            <w:tcW w:w="34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593"/>
        </w:trPr>
        <w:tc>
          <w:tcPr>
            <w:tcW w:w="3480" w:type="dxa"/>
            <w:vAlign w:val="bottom"/>
          </w:tcPr>
          <w:p>
            <w:pPr>
              <w:spacing w:after="0"/>
              <w:rPr>
                <w:sz w:val="24"/>
                <w:szCs w:val="24"/>
                <w:color w:val="auto"/>
              </w:rPr>
            </w:pPr>
          </w:p>
        </w:tc>
        <w:tc>
          <w:tcPr>
            <w:tcW w:w="3680" w:type="dxa"/>
            <w:vAlign w:val="bottom"/>
          </w:tcPr>
          <w:p>
            <w:pPr>
              <w:jc w:val="right"/>
              <w:ind w:right="1390"/>
              <w:spacing w:after="0"/>
              <w:rPr>
                <w:sz w:val="20"/>
                <w:szCs w:val="20"/>
                <w:color w:val="auto"/>
              </w:rPr>
            </w:pPr>
            <w:r>
              <w:rPr>
                <w:rFonts w:ascii="Arial" w:cs="Arial" w:eastAsia="Arial" w:hAnsi="Arial"/>
                <w:sz w:val="18"/>
                <w:szCs w:val="18"/>
                <w:color w:val="auto"/>
              </w:rPr>
              <w:t>38</w:t>
            </w:r>
          </w:p>
        </w:tc>
        <w:tc>
          <w:tcPr>
            <w:tcW w:w="4040" w:type="dxa"/>
            <w:vAlign w:val="bottom"/>
          </w:tcPr>
          <w:p>
            <w:pPr>
              <w:spacing w:after="0"/>
              <w:rPr>
                <w:sz w:val="24"/>
                <w:szCs w:val="24"/>
                <w:color w:val="auto"/>
              </w:rPr>
            </w:pPr>
          </w:p>
        </w:tc>
      </w:tr>
    </w:tbl>
    <w:p>
      <w:pPr>
        <w:sectPr>
          <w:pgSz w:w="11900" w:h="16838" w:orient="portrait"/>
          <w:cols w:equalWidth="0" w:num="1">
            <w:col w:w="11240"/>
          </w:cols>
          <w:pgMar w:left="320" w:top="83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4.2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SUPPLEMENTAL INDENTURE</w:t>
      </w:r>
    </w:p>
    <w:p>
      <w:pPr>
        <w:spacing w:after="0" w:line="175" w:lineRule="exact"/>
        <w:rPr>
          <w:sz w:val="20"/>
          <w:szCs w:val="20"/>
          <w:color w:val="auto"/>
        </w:rPr>
      </w:pPr>
    </w:p>
    <w:p>
      <w:pPr>
        <w:ind w:right="240" w:firstLine="1296"/>
        <w:spacing w:after="0" w:line="254" w:lineRule="auto"/>
        <w:rPr>
          <w:sz w:val="20"/>
          <w:szCs w:val="20"/>
          <w:color w:val="auto"/>
        </w:rPr>
      </w:pPr>
      <w:r>
        <w:rPr>
          <w:rFonts w:ascii="Arial" w:cs="Arial" w:eastAsia="Arial" w:hAnsi="Arial"/>
          <w:sz w:val="19"/>
          <w:szCs w:val="19"/>
          <w:color w:val="auto"/>
        </w:rPr>
        <w:t>First 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March 24, 2020, among Graham Healthcare Group, Inc., a Delaware corporation (the “</w:t>
      </w:r>
      <w:r>
        <w:rPr>
          <w:rFonts w:ascii="Arial" w:cs="Arial" w:eastAsia="Arial" w:hAnsi="Arial"/>
          <w:sz w:val="19"/>
          <w:szCs w:val="19"/>
          <w:i w:val="1"/>
          <w:iCs w:val="1"/>
          <w:color w:val="auto"/>
        </w:rPr>
        <w:t>Guaranteeing Subsidiary</w:t>
      </w:r>
      <w:r>
        <w:rPr>
          <w:rFonts w:ascii="Arial" w:cs="Arial" w:eastAsia="Arial" w:hAnsi="Arial"/>
          <w:sz w:val="19"/>
          <w:szCs w:val="19"/>
          <w:color w:val="auto"/>
        </w:rPr>
        <w:t>”), a subsidiary of Graham Holdings Company,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Trust Company, N.A., as trustee (the “</w:t>
      </w:r>
      <w:r>
        <w:rPr>
          <w:rFonts w:ascii="Arial" w:cs="Arial" w:eastAsia="Arial" w:hAnsi="Arial"/>
          <w:sz w:val="19"/>
          <w:szCs w:val="19"/>
          <w:i w:val="1"/>
          <w:iCs w:val="1"/>
          <w:color w:val="auto"/>
        </w:rPr>
        <w:t>Trustee</w:t>
      </w:r>
      <w:r>
        <w:rPr>
          <w:rFonts w:ascii="Arial" w:cs="Arial" w:eastAsia="Arial" w:hAnsi="Arial"/>
          <w:sz w:val="19"/>
          <w:szCs w:val="19"/>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75" w:lineRule="exact"/>
        <w:rPr>
          <w:sz w:val="20"/>
          <w:szCs w:val="20"/>
          <w:color w:val="auto"/>
        </w:rPr>
      </w:pPr>
    </w:p>
    <w:p>
      <w:pPr>
        <w:ind w:right="300" w:firstLine="1296"/>
        <w:spacing w:after="0" w:line="237" w:lineRule="auto"/>
        <w:rPr>
          <w:sz w:val="20"/>
          <w:szCs w:val="20"/>
          <w:color w:val="auto"/>
        </w:rPr>
      </w:pPr>
      <w:r>
        <w:rPr>
          <w:rFonts w:ascii="Arial" w:cs="Arial" w:eastAsia="Arial" w:hAnsi="Arial"/>
          <w:sz w:val="20"/>
          <w:szCs w:val="20"/>
          <w:color w:val="auto"/>
        </w:rPr>
        <w:t>WHEREAS, each of the Company and the Subsidiary Guarantors (as defined in the Indenture referred to below) has heretofore executed and delivered to the Trustee an indenture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May 30, 2018 providing for the issuance of an unlimited aggregate principal amount of 5.750% Senior Notes due 2026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56" w:lineRule="exact"/>
        <w:rPr>
          <w:sz w:val="20"/>
          <w:szCs w:val="20"/>
          <w:color w:val="auto"/>
        </w:rPr>
      </w:pPr>
    </w:p>
    <w:p>
      <w:pPr>
        <w:ind w:right="60" w:firstLine="1296"/>
        <w:spacing w:after="0" w:line="275"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159" w:lineRule="exact"/>
        <w:rPr>
          <w:sz w:val="20"/>
          <w:szCs w:val="20"/>
          <w:color w:val="auto"/>
        </w:rPr>
      </w:pPr>
    </w:p>
    <w:p>
      <w:pPr>
        <w:ind w:right="40" w:firstLine="1296"/>
        <w:spacing w:after="0" w:line="272"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12" w:lineRule="exact"/>
        <w:rPr>
          <w:sz w:val="20"/>
          <w:szCs w:val="20"/>
          <w:color w:val="auto"/>
        </w:rPr>
      </w:pPr>
    </w:p>
    <w:p>
      <w:pPr>
        <w:ind w:left="2100" w:hanging="796"/>
        <w:spacing w:after="0"/>
        <w:tabs>
          <w:tab w:leader="none" w:pos="2100" w:val="left"/>
        </w:tabs>
        <w:numPr>
          <w:ilvl w:val="0"/>
          <w:numId w:val="23"/>
        </w:numPr>
        <w:rPr>
          <w:rFonts w:ascii="Arial" w:cs="Arial" w:eastAsia="Arial" w:hAnsi="Arial"/>
          <w:sz w:val="16"/>
          <w:szCs w:val="16"/>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w:t>
      </w:r>
    </w:p>
    <w:p>
      <w:pPr>
        <w:spacing w:after="0" w:line="1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the Indenture.</w:t>
      </w:r>
    </w:p>
    <w:p>
      <w:pPr>
        <w:spacing w:after="0" w:line="105" w:lineRule="exact"/>
        <w:rPr>
          <w:rFonts w:ascii="Arial" w:cs="Arial" w:eastAsia="Arial" w:hAnsi="Arial"/>
          <w:sz w:val="16"/>
          <w:szCs w:val="16"/>
          <w:color w:val="auto"/>
        </w:rPr>
      </w:pPr>
    </w:p>
    <w:p>
      <w:pPr>
        <w:ind w:right="780" w:firstLine="1304"/>
        <w:spacing w:after="0" w:line="285" w:lineRule="auto"/>
        <w:tabs>
          <w:tab w:leader="none" w:pos="2094" w:val="left"/>
        </w:tabs>
        <w:numPr>
          <w:ilvl w:val="0"/>
          <w:numId w:val="23"/>
        </w:numPr>
        <w:rPr>
          <w:rFonts w:ascii="Arial" w:cs="Arial" w:eastAsia="Arial" w:hAnsi="Arial"/>
          <w:sz w:val="16"/>
          <w:szCs w:val="16"/>
          <w:color w:val="auto"/>
        </w:rPr>
      </w:pP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The Guaranteeing Subsidiary hereby agrees to be a Subsidiary Guarantor under the Indenture and to be bound by the terms of the Indenture applicable to Subsidiary Guarantors, including Article 10 thereof.</w:t>
      </w:r>
    </w:p>
    <w:p>
      <w:pPr>
        <w:spacing w:after="0" w:line="61" w:lineRule="exact"/>
        <w:rPr>
          <w:rFonts w:ascii="Arial" w:cs="Arial" w:eastAsia="Arial" w:hAnsi="Arial"/>
          <w:sz w:val="16"/>
          <w:szCs w:val="16"/>
          <w:color w:val="auto"/>
        </w:rPr>
      </w:pPr>
    </w:p>
    <w:p>
      <w:pPr>
        <w:ind w:right="300" w:firstLine="1304"/>
        <w:spacing w:after="0" w:line="236" w:lineRule="auto"/>
        <w:tabs>
          <w:tab w:leader="none" w:pos="2094"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SUPPLEMENTAL INDENTURE WILL BE GOVERNED BY, AND CONSTRUED IN ACCORDANCE WITH, THE LAWS OF THE STATE OF NEW YORK.</w:t>
      </w:r>
    </w:p>
    <w:p>
      <w:pPr>
        <w:spacing w:after="0" w:line="101" w:lineRule="exact"/>
        <w:rPr>
          <w:rFonts w:ascii="Arial" w:cs="Arial" w:eastAsia="Arial" w:hAnsi="Arial"/>
          <w:sz w:val="18"/>
          <w:szCs w:val="18"/>
          <w:color w:val="auto"/>
        </w:rPr>
      </w:pPr>
    </w:p>
    <w:p>
      <w:pPr>
        <w:ind w:right="300" w:firstLine="1304"/>
        <w:spacing w:after="0" w:line="212" w:lineRule="auto"/>
        <w:tabs>
          <w:tab w:leader="none" w:pos="2094"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OF THE GUARANTEEING SUBSIDIARY AND THE TRUSTEE HEREBY IRREVOCABLY WAIVES, TO THE FULLEST EXTENT PERMITTED BY APPLICABLE LAW, ANY AND ALL RIGHT TO TRIAL BY JURY IN ANY LEGAL PROCEEDING ARISING OUT OF OR RELATING TO THIS SUPPLEMENTAL INDENTURE, THE INDENTURE, THE NOTES, THE SUBSIDIARY GUARANTEES OR THE TRANSACTIONS CONTEMPLATED HEREBY OR THEREBY.</w:t>
      </w:r>
    </w:p>
    <w:p>
      <w:pPr>
        <w:spacing w:after="0" w:line="104" w:lineRule="exact"/>
        <w:rPr>
          <w:rFonts w:ascii="Arial" w:cs="Arial" w:eastAsia="Arial" w:hAnsi="Arial"/>
          <w:sz w:val="18"/>
          <w:szCs w:val="18"/>
          <w:color w:val="auto"/>
        </w:rPr>
      </w:pPr>
    </w:p>
    <w:p>
      <w:pPr>
        <w:ind w:right="200" w:firstLine="1304"/>
        <w:spacing w:after="0" w:line="236" w:lineRule="auto"/>
        <w:tabs>
          <w:tab w:leader="none" w:pos="2094"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The parties may sign any number of copies of this Supplemental Indenture. Each signed copy shall be an original, but all of them together represent the same agreement.</w:t>
      </w:r>
    </w:p>
    <w:p>
      <w:pPr>
        <w:spacing w:after="0" w:line="101" w:lineRule="exact"/>
        <w:rPr>
          <w:rFonts w:ascii="Arial" w:cs="Arial" w:eastAsia="Arial" w:hAnsi="Arial"/>
          <w:sz w:val="18"/>
          <w:szCs w:val="18"/>
          <w:color w:val="auto"/>
        </w:rPr>
      </w:pPr>
    </w:p>
    <w:p>
      <w:pPr>
        <w:ind w:right="460" w:firstLine="1304"/>
        <w:spacing w:after="0" w:line="223" w:lineRule="auto"/>
        <w:tabs>
          <w:tab w:leader="none" w:pos="2094"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40"/>
          </w:cols>
          <w:pgMar w:left="320" w:top="935" w:right="339" w:bottom="1440" w:gutter="0" w:footer="0" w:header="0"/>
        </w:sectPr>
      </w:pPr>
    </w:p>
    <w:bookmarkStart w:id="43" w:name="page44"/>
    <w:bookmarkEnd w:id="43"/>
    <w:p>
      <w:pPr>
        <w:ind w:firstLine="1296"/>
        <w:spacing w:after="0" w:line="246"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3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Graham Healthcare Group, Inc.</w:t>
      </w:r>
    </w:p>
    <w:p>
      <w:pPr>
        <w:spacing w:after="0" w:line="349"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By: /s/ David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-14605</wp:posOffset>
            </wp:positionV>
            <wp:extent cx="2171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ind w:left="3740"/>
        <w:spacing w:after="0" w:line="217" w:lineRule="auto"/>
        <w:rPr>
          <w:sz w:val="20"/>
          <w:szCs w:val="20"/>
          <w:color w:val="auto"/>
        </w:rPr>
      </w:pPr>
      <w:r>
        <w:rPr>
          <w:rFonts w:ascii="Arial" w:cs="Arial" w:eastAsia="Arial" w:hAnsi="Arial"/>
          <w:sz w:val="22"/>
          <w:szCs w:val="22"/>
          <w:color w:val="auto"/>
        </w:rPr>
        <w:t>Name: David Curtis</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1160"/>
          </w:cols>
          <w:pgMar w:left="320" w:top="906" w:right="419" w:bottom="1440" w:gutter="0" w:footer="0" w:header="0"/>
        </w:sectPr>
      </w:pPr>
    </w:p>
    <w:bookmarkStart w:id="44" w:name="page45"/>
    <w:bookmarkEnd w:id="44"/>
    <w:p>
      <w:pPr>
        <w:ind w:left="1960"/>
        <w:spacing w:after="0"/>
        <w:rPr>
          <w:sz w:val="20"/>
          <w:szCs w:val="20"/>
          <w:color w:val="auto"/>
        </w:rPr>
      </w:pPr>
      <w:r>
        <w:rPr>
          <w:rFonts w:ascii="Arial" w:cs="Arial" w:eastAsia="Arial" w:hAnsi="Arial"/>
          <w:sz w:val="19"/>
          <w:szCs w:val="19"/>
          <w:color w:val="auto"/>
        </w:rPr>
        <w:t>THE BANK OF NEW YORK MELLON TRUST COMPANY, N.A., as Trustee</w:t>
      </w:r>
    </w:p>
    <w:p>
      <w:pPr>
        <w:spacing w:after="0" w:line="38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-14605</wp:posOffset>
            </wp:positionV>
            <wp:extent cx="2136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ind w:left="2620"/>
        <w:spacing w:after="0" w:line="217" w:lineRule="auto"/>
        <w:rPr>
          <w:sz w:val="20"/>
          <w:szCs w:val="20"/>
          <w:color w:val="auto"/>
        </w:rPr>
      </w:pPr>
      <w:r>
        <w:rPr>
          <w:rFonts w:ascii="Arial" w:cs="Arial" w:eastAsia="Arial" w:hAnsi="Arial"/>
          <w:sz w:val="22"/>
          <w:szCs w:val="22"/>
          <w:color w:val="auto"/>
        </w:rPr>
        <w:t>Name: Lawrence M. Kusch</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1063"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44" w:lineRule="exact"/>
        <w:rPr>
          <w:sz w:val="20"/>
          <w:szCs w:val="20"/>
          <w:color w:val="auto"/>
        </w:rPr>
      </w:pPr>
    </w:p>
    <w:p>
      <w:pPr>
        <w:ind w:left="800" w:hanging="468"/>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00" w:hanging="8"/>
        <w:spacing w:after="0" w:line="256"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340" w:right="200" w:hanging="8"/>
        <w:spacing w:after="0" w:line="256"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340" w:right="120" w:hanging="8"/>
        <w:spacing w:after="0" w:line="256"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4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ectPr>
          <w:pgSz w:w="11900" w:h="16838" w:orient="portrait"/>
          <w:cols w:equalWidth="0" w:num="1">
            <w:col w:w="11240"/>
          </w:cols>
          <w:pgMar w:left="320" w:top="38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800" w:hanging="46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00" w:hanging="8"/>
        <w:spacing w:after="0" w:line="256"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340" w:right="200" w:hanging="8"/>
        <w:spacing w:after="0" w:line="256"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340" w:right="120" w:hanging="8"/>
        <w:spacing w:after="0" w:line="256"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4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ectPr>
          <w:pgSz w:w="11900" w:h="16838" w:orient="portrait"/>
          <w:cols w:equalWidth="0" w:num="1">
            <w:col w:w="11240"/>
          </w:cols>
          <w:pgMar w:left="320" w:top="38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2020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4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4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decimal"/>
      <w:start w:val="500"/>
    </w:lvl>
  </w:abstractNum>
  <w:abstractNum w:abstractNumId="4">
    <w:nsid w:val="41A7C4C9"/>
    <w:multiLevelType w:val="hybridMultilevel"/>
    <w:lvl w:ilvl="0">
      <w:lvlJc w:val="left"/>
      <w:lvlText w:val="%1"/>
      <w:numFmt w:val="decimal"/>
      <w:start w:val="603"/>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919"/>
    </w:lvl>
  </w:abstractNum>
  <w:abstractNum w:abstractNumId="8">
    <w:nsid w:val="519B500D"/>
    <w:multiLevelType w:val="hybridMultilevel"/>
    <w:lvl w:ilvl="0">
      <w:lvlJc w:val="left"/>
      <w:lvlText w:val="%1"/>
      <w:numFmt w:val="decimal"/>
      <w:start w:val="83"/>
    </w:lvl>
  </w:abstractNum>
  <w:abstractNum w:abstractNumId="9">
    <w:nsid w:val="431BD7B7"/>
    <w:multiLevelType w:val="hybridMultilevel"/>
    <w:lvl w:ilvl="0">
      <w:lvlJc w:val="left"/>
      <w:lvlText w:val="(%1)"/>
      <w:numFmt w:val="decimal"/>
      <w:start w:val="120"/>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32"/>
    </w:lvl>
  </w:abstractNum>
  <w:abstractNum w:abstractNumId="21">
    <w:nsid w:val="75A2A8D4"/>
    <w:multiLevelType w:val="hybridMultilevel"/>
    <w:lvl w:ilvl="0">
      <w:lvlJc w:val="left"/>
      <w:lvlText w:val="*"/>
      <w:numFmt w:val="bullet"/>
      <w:start w:val="1"/>
    </w:lvl>
    <w:lvl w:ilvl="1">
      <w:lvlJc w:val="left"/>
      <w:lvlText w:val="%2"/>
      <w:numFmt w:val="decimal"/>
      <w:start w:val="104"/>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30" Type="http://schemas.openxmlformats.org/officeDocument/2006/relationships/hyperlink" Target="http://www.sec.gov/Archives/edgar/data/104889/000095013304000785/w94191exv3w1.htm" TargetMode="External"/><Relationship Id="rId31" Type="http://schemas.openxmlformats.org/officeDocument/2006/relationships/hyperlink" Target="http://www.sec.gov/Archives/edgar/data/104889/000095015713000428/ex3-1.htm" TargetMode="External"/><Relationship Id="rId32" Type="http://schemas.openxmlformats.org/officeDocument/2006/relationships/hyperlink" Target="http://www.sec.gov/Archives/edgar/data/104889/000095015713000428/ex3-2.htm" TargetMode="External"/><Relationship Id="rId33" Type="http://schemas.openxmlformats.org/officeDocument/2006/relationships/hyperlink" Target="http://www.sec.gov/Archives/edgar/data/104889/000095015718000572/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2020-05-05T08:06:49Z</dcterms:created>
  <dcterms:modified xsi:type="dcterms:W3CDTF">2020-05-05T08:06:49Z</dcterms:modified>
</cp:coreProperties>
</file>