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3"/>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4"/>
          <w:szCs w:val="24"/>
          <w:color w:val="auto"/>
        </w:rPr>
      </w:pPr>
    </w:p>
    <w:p>
      <w:pPr>
        <w:spacing w:after="0" w:line="346"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This report (including all exhibits)</w:t>
      </w:r>
    </w:p>
    <w:p>
      <w:pPr>
        <w:spacing w:after="0" w:line="1" w:lineRule="exact"/>
        <w:rPr>
          <w:sz w:val="24"/>
          <w:szCs w:val="24"/>
          <w:color w:val="auto"/>
        </w:rPr>
      </w:pPr>
    </w:p>
    <w:p>
      <w:pPr>
        <w:ind w:left="1603"/>
        <w:spacing w:after="0"/>
        <w:rPr>
          <w:sz w:val="20"/>
          <w:szCs w:val="20"/>
          <w:color w:val="auto"/>
        </w:rPr>
      </w:pPr>
      <w:r>
        <w:rPr>
          <w:rFonts w:ascii="Courier New" w:cs="Courier New" w:eastAsia="Courier New" w:hAnsi="Courier New"/>
          <w:sz w:val="16"/>
          <w:szCs w:val="16"/>
          <w:color w:val="auto"/>
        </w:rPr>
        <w:t>consists of a total of 16 pages, of which this</w:t>
      </w:r>
    </w:p>
    <w:p>
      <w:pPr>
        <w:spacing w:after="0" w:line="1" w:lineRule="exact"/>
        <w:rPr>
          <w:sz w:val="24"/>
          <w:szCs w:val="24"/>
          <w:color w:val="auto"/>
        </w:rPr>
      </w:pPr>
    </w:p>
    <w:p>
      <w:pPr>
        <w:ind w:left="1323"/>
        <w:spacing w:after="0"/>
        <w:tabs>
          <w:tab w:leader="none" w:pos="3103" w:val="left"/>
        </w:tabs>
        <w:rPr>
          <w:sz w:val="20"/>
          <w:szCs w:val="20"/>
          <w:color w:val="auto"/>
        </w:rPr>
      </w:pPr>
      <w:r>
        <w:rPr>
          <w:rFonts w:ascii="Courier New" w:cs="Courier New" w:eastAsia="Courier New" w:hAnsi="Courier New"/>
          <w:sz w:val="16"/>
          <w:szCs w:val="16"/>
          <w:color w:val="auto"/>
        </w:rPr>
        <w:t>page is number 1.</w:t>
      </w:r>
      <w:r>
        <w:rPr>
          <w:sz w:val="20"/>
          <w:szCs w:val="20"/>
          <w:color w:val="auto"/>
        </w:rPr>
        <w:tab/>
      </w:r>
      <w:r>
        <w:rPr>
          <w:rFonts w:ascii="Courier New" w:cs="Courier New" w:eastAsia="Courier New" w:hAnsi="Courier New"/>
          <w:sz w:val="15"/>
          <w:szCs w:val="15"/>
          <w:color w:val="auto"/>
        </w:rPr>
        <w:t>The exhibit index is on page 13.</w:t>
      </w:r>
    </w:p>
    <w:p>
      <w:pPr>
        <w:spacing w:after="0" w:line="364"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4"/>
          <w:szCs w:val="24"/>
          <w:color w:val="auto"/>
        </w:rPr>
      </w:pPr>
    </w:p>
    <w:p>
      <w:pPr>
        <w:ind w:left="2183"/>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ind w:left="2743"/>
        <w:spacing w:after="0"/>
        <w:tabs>
          <w:tab w:leader="none" w:pos="4243" w:val="left"/>
        </w:tabs>
        <w:rPr>
          <w:sz w:val="20"/>
          <w:szCs w:val="20"/>
          <w:color w:val="auto"/>
        </w:rPr>
      </w:pPr>
      <w:r>
        <w:rPr>
          <w:rFonts w:ascii="Courier New" w:cs="Courier New" w:eastAsia="Courier New" w:hAnsi="Courier New"/>
          <w:sz w:val="16"/>
          <w:szCs w:val="16"/>
          <w:color w:val="auto"/>
        </w:rPr>
        <w:t>WASHINGTON, DC</w:t>
      </w:r>
      <w:r>
        <w:rPr>
          <w:sz w:val="20"/>
          <w:szCs w:val="20"/>
          <w:color w:val="auto"/>
        </w:rPr>
        <w:tab/>
      </w:r>
      <w:r>
        <w:rPr>
          <w:rFonts w:ascii="Courier New" w:cs="Courier New" w:eastAsia="Courier New" w:hAnsi="Courier New"/>
          <w:sz w:val="15"/>
          <w:szCs w:val="15"/>
          <w:color w:val="auto"/>
        </w:rPr>
        <w:t>20549</w:t>
      </w:r>
    </w:p>
    <w:p>
      <w:pPr>
        <w:spacing w:after="0" w:line="183" w:lineRule="exact"/>
        <w:rPr>
          <w:sz w:val="24"/>
          <w:szCs w:val="24"/>
          <w:color w:val="auto"/>
        </w:rPr>
      </w:pPr>
    </w:p>
    <w:tbl>
      <w:tblPr>
        <w:tblLayout w:type="fixed"/>
        <w:tblInd w:w="3" w:type="dxa"/>
        <w:tblCellMar>
          <w:top w:w="0" w:type="dxa"/>
          <w:left w:w="0" w:type="dxa"/>
          <w:bottom w:w="0" w:type="dxa"/>
          <w:right w:w="0" w:type="dxa"/>
        </w:tblCellMar>
      </w:tblPr>
      <w:tr>
        <w:trPr>
          <w:trHeight w:val="181"/>
        </w:trPr>
        <w:tc>
          <w:tcPr>
            <w:tcW w:w="1320" w:type="dxa"/>
            <w:vAlign w:val="bottom"/>
          </w:tcPr>
          <w:p>
            <w:pPr>
              <w:spacing w:after="0"/>
              <w:rPr>
                <w:sz w:val="15"/>
                <w:szCs w:val="15"/>
                <w:color w:val="auto"/>
              </w:rPr>
            </w:pPr>
          </w:p>
        </w:tc>
        <w:tc>
          <w:tcPr>
            <w:tcW w:w="36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Quarterly Report Pursuant to Section</w:t>
            </w:r>
          </w:p>
        </w:tc>
        <w:tc>
          <w:tcPr>
            <w:tcW w:w="12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13 or 15(d)</w:t>
            </w:r>
          </w:p>
        </w:tc>
      </w:tr>
      <w:tr>
        <w:trPr>
          <w:trHeight w:val="182"/>
        </w:trPr>
        <w:tc>
          <w:tcPr>
            <w:tcW w:w="1320" w:type="dxa"/>
            <w:vAlign w:val="bottom"/>
          </w:tcPr>
          <w:p>
            <w:pPr>
              <w:spacing w:after="0"/>
              <w:rPr>
                <w:sz w:val="15"/>
                <w:szCs w:val="15"/>
                <w:color w:val="auto"/>
              </w:rPr>
            </w:pPr>
          </w:p>
        </w:tc>
        <w:tc>
          <w:tcPr>
            <w:tcW w:w="3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 the Securities Exchange</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Act of 1934</w:t>
            </w:r>
          </w:p>
        </w:tc>
        <w:tc>
          <w:tcPr>
            <w:tcW w:w="620" w:type="dxa"/>
            <w:vAlign w:val="bottom"/>
          </w:tcPr>
          <w:p>
            <w:pPr>
              <w:spacing w:after="0"/>
              <w:rPr>
                <w:sz w:val="15"/>
                <w:szCs w:val="15"/>
                <w:color w:val="auto"/>
              </w:rPr>
            </w:pPr>
          </w:p>
        </w:tc>
      </w:tr>
      <w:tr>
        <w:trPr>
          <w:trHeight w:val="728"/>
        </w:trPr>
        <w:tc>
          <w:tcPr>
            <w:tcW w:w="3360" w:type="dxa"/>
            <w:vAlign w:val="bottom"/>
            <w:gridSpan w:val="2"/>
          </w:tcPr>
          <w:p>
            <w:pPr>
              <w:spacing w:after="0"/>
              <w:rPr>
                <w:sz w:val="20"/>
                <w:szCs w:val="20"/>
                <w:color w:val="auto"/>
              </w:rPr>
            </w:pPr>
            <w:r>
              <w:rPr>
                <w:rFonts w:ascii="Courier New" w:cs="Courier New" w:eastAsia="Courier New" w:hAnsi="Courier New"/>
                <w:sz w:val="16"/>
                <w:szCs w:val="16"/>
                <w:color w:val="auto"/>
              </w:rPr>
              <w:t>For the Quarterly</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rPr>
              <w:t>Period Ended</w:t>
            </w:r>
          </w:p>
        </w:tc>
        <w:tc>
          <w:tcPr>
            <w:tcW w:w="2040" w:type="dxa"/>
            <w:vAlign w:val="bottom"/>
          </w:tcPr>
          <w:p>
            <w:pPr>
              <w:ind w:left="480"/>
              <w:spacing w:after="0"/>
              <w:rPr>
                <w:sz w:val="20"/>
                <w:szCs w:val="20"/>
                <w:color w:val="auto"/>
              </w:rPr>
            </w:pPr>
            <w:r>
              <w:rPr>
                <w:rFonts w:ascii="Courier New" w:cs="Courier New" w:eastAsia="Courier New" w:hAnsi="Courier New"/>
                <w:sz w:val="16"/>
                <w:szCs w:val="16"/>
                <w:color w:val="auto"/>
              </w:rPr>
              <w:t>October 1, 1995</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Commission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File</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Number</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1-6714</w:t>
            </w:r>
          </w:p>
        </w:tc>
      </w:tr>
    </w:tbl>
    <w:p>
      <w:pPr>
        <w:spacing w:after="0" w:line="1" w:lineRule="exact"/>
        <w:rPr>
          <w:sz w:val="24"/>
          <w:szCs w:val="24"/>
          <w:color w:val="auto"/>
        </w:rPr>
      </w:pPr>
    </w:p>
    <w:p>
      <w:pPr>
        <w:ind w:left="1143"/>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46" w:lineRule="exact"/>
        <w:rPr>
          <w:sz w:val="24"/>
          <w:szCs w:val="24"/>
          <w:color w:val="auto"/>
        </w:rPr>
      </w:pPr>
    </w:p>
    <w:p>
      <w:pPr>
        <w:ind w:left="2463"/>
        <w:spacing w:after="0"/>
        <w:rPr>
          <w:sz w:val="20"/>
          <w:szCs w:val="20"/>
          <w:color w:val="auto"/>
        </w:rPr>
      </w:pPr>
      <w:r>
        <w:rPr>
          <w:rFonts w:ascii="Courier New" w:cs="Courier New" w:eastAsia="Courier New" w:hAnsi="Courier New"/>
          <w:sz w:val="16"/>
          <w:szCs w:val="16"/>
          <w:color w:val="auto"/>
        </w:rPr>
        <w:t>THE WASHINGTON POST COMPANY</w:t>
      </w:r>
    </w:p>
    <w:p>
      <w:pPr>
        <w:spacing w:after="0" w:line="1" w:lineRule="exact"/>
        <w:rPr>
          <w:sz w:val="24"/>
          <w:szCs w:val="24"/>
          <w:color w:val="auto"/>
        </w:rPr>
      </w:pPr>
    </w:p>
    <w:p>
      <w:pPr>
        <w:ind w:left="183" w:hanging="183"/>
        <w:spacing w:after="0"/>
        <w:tabs>
          <w:tab w:leader="none" w:pos="18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2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46" w:lineRule="exact"/>
        <w:rPr>
          <w:sz w:val="24"/>
          <w:szCs w:val="24"/>
          <w:color w:val="auto"/>
        </w:rPr>
      </w:pPr>
    </w:p>
    <w:p>
      <w:pPr>
        <w:ind w:left="1883"/>
        <w:spacing w:after="0"/>
        <w:tabs>
          <w:tab w:leader="none" w:pos="4623" w:val="left"/>
        </w:tabs>
        <w:rPr>
          <w:sz w:val="20"/>
          <w:szCs w:val="20"/>
          <w:color w:val="auto"/>
        </w:rPr>
      </w:pPr>
      <w:r>
        <w:rPr>
          <w:rFonts w:ascii="Courier New" w:cs="Courier New" w:eastAsia="Courier New" w:hAnsi="Courier New"/>
          <w:sz w:val="16"/>
          <w:szCs w:val="16"/>
          <w:color w:val="auto"/>
        </w:rPr>
        <w:t>Delaware</w:t>
      </w:r>
      <w:r>
        <w:rPr>
          <w:sz w:val="20"/>
          <w:szCs w:val="20"/>
          <w:color w:val="auto"/>
        </w:rPr>
        <w:tab/>
      </w:r>
      <w:r>
        <w:rPr>
          <w:rFonts w:ascii="Courier New" w:cs="Courier New" w:eastAsia="Courier New" w:hAnsi="Courier New"/>
          <w:sz w:val="15"/>
          <w:szCs w:val="15"/>
          <w:color w:val="auto"/>
        </w:rPr>
        <w:t>53-0182885</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 - --------------------------------------------------------------------</w:t>
      </w:r>
    </w:p>
    <w:p>
      <w:pPr>
        <w:spacing w:after="0" w:line="1" w:lineRule="exact"/>
        <w:rPr>
          <w:sz w:val="24"/>
          <w:szCs w:val="24"/>
          <w:color w:val="auto"/>
        </w:rPr>
      </w:pPr>
    </w:p>
    <w:p>
      <w:pPr>
        <w:ind w:left="843"/>
        <w:spacing w:after="0"/>
        <w:tabs>
          <w:tab w:leader="none" w:pos="4623" w:val="left"/>
        </w:tabs>
        <w:rPr>
          <w:sz w:val="20"/>
          <w:szCs w:val="20"/>
          <w:color w:val="auto"/>
        </w:rPr>
      </w:pPr>
      <w:r>
        <w:rPr>
          <w:rFonts w:ascii="Courier New" w:cs="Courier New" w:eastAsia="Courier New" w:hAnsi="Courier New"/>
          <w:sz w:val="16"/>
          <w:szCs w:val="16"/>
          <w:color w:val="auto"/>
        </w:rPr>
        <w:t>(State or other jurisdiction of</w:t>
      </w:r>
      <w:r>
        <w:rPr>
          <w:sz w:val="20"/>
          <w:szCs w:val="20"/>
          <w:color w:val="auto"/>
        </w:rPr>
        <w:tab/>
      </w:r>
      <w:r>
        <w:rPr>
          <w:rFonts w:ascii="Courier New" w:cs="Courier New" w:eastAsia="Courier New" w:hAnsi="Courier New"/>
          <w:sz w:val="15"/>
          <w:szCs w:val="15"/>
          <w:color w:val="auto"/>
        </w:rPr>
        <w:t>(I.R.S. Employer</w:t>
      </w:r>
    </w:p>
    <w:p>
      <w:pPr>
        <w:spacing w:after="0" w:line="1" w:lineRule="exact"/>
        <w:rPr>
          <w:sz w:val="24"/>
          <w:szCs w:val="24"/>
          <w:color w:val="auto"/>
        </w:rPr>
      </w:pPr>
    </w:p>
    <w:p>
      <w:pPr>
        <w:ind w:left="843"/>
        <w:spacing w:after="0"/>
        <w:tabs>
          <w:tab w:leader="none" w:pos="4623" w:val="left"/>
        </w:tabs>
        <w:rPr>
          <w:sz w:val="20"/>
          <w:szCs w:val="20"/>
          <w:color w:val="auto"/>
        </w:rPr>
      </w:pPr>
      <w:r>
        <w:rPr>
          <w:rFonts w:ascii="Courier New" w:cs="Courier New" w:eastAsia="Courier New" w:hAnsi="Courier New"/>
          <w:sz w:val="16"/>
          <w:szCs w:val="16"/>
          <w:color w:val="auto"/>
        </w:rPr>
        <w:t>incorporation or organization)</w:t>
      </w:r>
      <w:r>
        <w:rPr>
          <w:sz w:val="20"/>
          <w:szCs w:val="20"/>
          <w:color w:val="auto"/>
        </w:rPr>
        <w:tab/>
      </w:r>
      <w:r>
        <w:rPr>
          <w:rFonts w:ascii="Courier New" w:cs="Courier New" w:eastAsia="Courier New" w:hAnsi="Courier New"/>
          <w:sz w:val="15"/>
          <w:szCs w:val="15"/>
          <w:color w:val="auto"/>
        </w:rPr>
        <w:t>Identification No.)</w:t>
      </w:r>
    </w:p>
    <w:p>
      <w:pPr>
        <w:spacing w:after="0" w:line="364" w:lineRule="exact"/>
        <w:rPr>
          <w:sz w:val="24"/>
          <w:szCs w:val="24"/>
          <w:color w:val="auto"/>
        </w:rPr>
      </w:pPr>
    </w:p>
    <w:p>
      <w:pPr>
        <w:ind w:left="283"/>
        <w:spacing w:after="0"/>
        <w:tabs>
          <w:tab w:leader="none" w:pos="3203" w:val="left"/>
          <w:tab w:leader="none" w:pos="5663" w:val="left"/>
        </w:tabs>
        <w:rPr>
          <w:sz w:val="20"/>
          <w:szCs w:val="20"/>
          <w:color w:val="auto"/>
        </w:rPr>
      </w:pPr>
      <w:r>
        <w:rPr>
          <w:rFonts w:ascii="Courier New" w:cs="Courier New" w:eastAsia="Courier New" w:hAnsi="Courier New"/>
          <w:sz w:val="16"/>
          <w:szCs w:val="16"/>
          <w:color w:val="auto"/>
        </w:rPr>
        <w:t>1150 15th Street, N.W.</w:t>
      </w:r>
      <w:r>
        <w:rPr>
          <w:sz w:val="20"/>
          <w:szCs w:val="20"/>
          <w:color w:val="auto"/>
        </w:rPr>
        <w:tab/>
      </w:r>
      <w:r>
        <w:rPr>
          <w:rFonts w:ascii="Courier New" w:cs="Courier New" w:eastAsia="Courier New" w:hAnsi="Courier New"/>
          <w:sz w:val="16"/>
          <w:szCs w:val="16"/>
          <w:color w:val="auto"/>
        </w:rPr>
        <w:t>Washington, D.C.</w:t>
      </w:r>
      <w:r>
        <w:rPr>
          <w:sz w:val="20"/>
          <w:szCs w:val="20"/>
          <w:color w:val="auto"/>
        </w:rPr>
        <w:tab/>
      </w:r>
      <w:r>
        <w:rPr>
          <w:rFonts w:ascii="Courier New" w:cs="Courier New" w:eastAsia="Courier New" w:hAnsi="Courier New"/>
          <w:sz w:val="15"/>
          <w:szCs w:val="15"/>
          <w:color w:val="auto"/>
        </w:rPr>
        <w:t>20071</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 - --------------------------------------------------------------------</w:t>
      </w:r>
    </w:p>
    <w:p>
      <w:pPr>
        <w:spacing w:after="0" w:line="1" w:lineRule="exact"/>
        <w:rPr>
          <w:sz w:val="24"/>
          <w:szCs w:val="24"/>
          <w:color w:val="auto"/>
        </w:rPr>
      </w:pPr>
    </w:p>
    <w:p>
      <w:pPr>
        <w:ind w:left="843"/>
        <w:spacing w:after="0"/>
        <w:tabs>
          <w:tab w:leader="none" w:pos="5463"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200" w:lineRule="exact"/>
        <w:rPr>
          <w:sz w:val="24"/>
          <w:szCs w:val="24"/>
          <w:color w:val="auto"/>
        </w:rPr>
      </w:pPr>
    </w:p>
    <w:p>
      <w:pPr>
        <w:spacing w:after="0" w:line="346" w:lineRule="exact"/>
        <w:rPr>
          <w:sz w:val="24"/>
          <w:szCs w:val="24"/>
          <w:color w:val="auto"/>
        </w:rPr>
      </w:pPr>
    </w:p>
    <w:p>
      <w:pPr>
        <w:ind w:left="3503" w:hanging="571"/>
        <w:spacing w:after="0"/>
        <w:tabs>
          <w:tab w:leader="none" w:pos="3503"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334-6000</w:t>
      </w:r>
    </w:p>
    <w:p>
      <w:pPr>
        <w:ind w:left="183" w:hanging="183"/>
        <w:spacing w:after="0"/>
        <w:tabs>
          <w:tab w:leader="none" w:pos="18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1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telephone number, including area code)</w:t>
      </w:r>
    </w:p>
    <w:p>
      <w:pPr>
        <w:spacing w:after="0" w:line="364" w:lineRule="exact"/>
        <w:rPr>
          <w:sz w:val="24"/>
          <w:szCs w:val="24"/>
          <w:color w:val="auto"/>
        </w:rPr>
      </w:pPr>
    </w:p>
    <w:tbl>
      <w:tblPr>
        <w:tblLayout w:type="fixed"/>
        <w:tblInd w:w="3" w:type="dxa"/>
        <w:tblCellMar>
          <w:top w:w="0" w:type="dxa"/>
          <w:left w:w="0" w:type="dxa"/>
          <w:bottom w:w="0" w:type="dxa"/>
          <w:right w:w="0" w:type="dxa"/>
        </w:tblCellMar>
      </w:tblPr>
      <w:tr>
        <w:trPr>
          <w:trHeight w:val="181"/>
        </w:trPr>
        <w:tc>
          <w:tcPr>
            <w:tcW w:w="2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Indicate by check mark</w:t>
            </w:r>
          </w:p>
        </w:tc>
        <w:tc>
          <w:tcPr>
            <w:tcW w:w="448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whether the registrant (1) has filed all</w:t>
            </w:r>
          </w:p>
        </w:tc>
      </w:tr>
      <w:tr>
        <w:trPr>
          <w:trHeight w:val="182"/>
        </w:trPr>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w w:val="97"/>
              </w:rPr>
              <w:t>reports required to be</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filed by</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Section 13</w:t>
            </w:r>
          </w:p>
        </w:tc>
        <w:tc>
          <w:tcPr>
            <w:tcW w:w="344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or 15(d) of the Securities Exchange</w:t>
            </w:r>
          </w:p>
        </w:tc>
      </w:tr>
      <w:tr>
        <w:trPr>
          <w:trHeight w:val="182"/>
        </w:trPr>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w w:val="97"/>
              </w:rPr>
              <w:t>Act of 1934 during the</w:t>
            </w:r>
          </w:p>
        </w:tc>
        <w:tc>
          <w:tcPr>
            <w:tcW w:w="1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preceding 12 months</w:t>
            </w:r>
          </w:p>
        </w:tc>
        <w:tc>
          <w:tcPr>
            <w:tcW w:w="7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(or for</w:t>
            </w:r>
          </w:p>
        </w:tc>
        <w:tc>
          <w:tcPr>
            <w:tcW w:w="26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such shorter period that the</w:t>
            </w:r>
          </w:p>
        </w:tc>
      </w:tr>
      <w:tr>
        <w:trPr>
          <w:trHeight w:val="182"/>
        </w:trPr>
        <w:tc>
          <w:tcPr>
            <w:tcW w:w="2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registrant was required to file</w:t>
            </w:r>
          </w:p>
        </w:tc>
        <w:tc>
          <w:tcPr>
            <w:tcW w:w="18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such reports), and</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(2)</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has been subject to such</w:t>
            </w:r>
          </w:p>
        </w:tc>
      </w:tr>
      <w:tr>
        <w:trPr>
          <w:trHeight w:val="182"/>
        </w:trPr>
        <w:tc>
          <w:tcPr>
            <w:tcW w:w="402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w w:val="98"/>
              </w:rPr>
              <w:t>filing requirements for the past 90 days.</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Yes</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X</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w w:val="93"/>
              </w:rPr>
              <w:t>No</w:t>
            </w:r>
          </w:p>
        </w:tc>
        <w:tc>
          <w:tcPr>
            <w:tcW w:w="17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r>
      <w:tr>
        <w:trPr>
          <w:trHeight w:val="182"/>
        </w:trPr>
        <w:tc>
          <w:tcPr>
            <w:tcW w:w="2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6"/>
              </w:rPr>
              <w:t>--------</w:t>
            </w:r>
          </w:p>
        </w:tc>
        <w:tc>
          <w:tcPr>
            <w:tcW w:w="480" w:type="dxa"/>
            <w:vAlign w:val="bottom"/>
          </w:tcPr>
          <w:p>
            <w:pPr>
              <w:spacing w:after="0"/>
              <w:rPr>
                <w:sz w:val="15"/>
                <w:szCs w:val="15"/>
                <w:color w:val="auto"/>
              </w:rPr>
            </w:pPr>
          </w:p>
        </w:tc>
        <w:tc>
          <w:tcPr>
            <w:tcW w:w="1780" w:type="dxa"/>
            <w:vAlign w:val="bottom"/>
          </w:tcPr>
          <w:p>
            <w:pPr>
              <w:jc w:val="right"/>
              <w:ind w:right="1041"/>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40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Shares outstanding at November 1,</w:t>
            </w:r>
          </w:p>
        </w:tc>
        <w:tc>
          <w:tcPr>
            <w:tcW w:w="7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1995:</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546"/>
        </w:trPr>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A Common</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1,829,250</w:t>
            </w:r>
          </w:p>
        </w:tc>
        <w:tc>
          <w:tcPr>
            <w:tcW w:w="1780" w:type="dxa"/>
            <w:vAlign w:val="bottom"/>
          </w:tcPr>
          <w:p>
            <w:pPr>
              <w:jc w:val="right"/>
              <w:ind w:right="1041"/>
              <w:spacing w:after="0"/>
              <w:rPr>
                <w:sz w:val="20"/>
                <w:szCs w:val="20"/>
                <w:color w:val="auto"/>
              </w:rPr>
            </w:pPr>
            <w:r>
              <w:rPr>
                <w:rFonts w:ascii="Courier New" w:cs="Courier New" w:eastAsia="Courier New" w:hAnsi="Courier New"/>
                <w:sz w:val="16"/>
                <w:szCs w:val="16"/>
                <w:color w:val="auto"/>
              </w:rPr>
              <w:t>Shares</w:t>
            </w:r>
          </w:p>
        </w:tc>
      </w:tr>
      <w:tr>
        <w:trPr>
          <w:trHeight w:val="182"/>
        </w:trPr>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B Common</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9,174,991</w:t>
            </w:r>
          </w:p>
        </w:tc>
        <w:tc>
          <w:tcPr>
            <w:tcW w:w="1780" w:type="dxa"/>
            <w:vAlign w:val="bottom"/>
          </w:tcPr>
          <w:p>
            <w:pPr>
              <w:jc w:val="right"/>
              <w:ind w:right="1041"/>
              <w:spacing w:after="0"/>
              <w:rPr>
                <w:sz w:val="20"/>
                <w:szCs w:val="20"/>
                <w:color w:val="auto"/>
              </w:rPr>
            </w:pPr>
            <w:r>
              <w:rPr>
                <w:rFonts w:ascii="Courier New" w:cs="Courier New" w:eastAsia="Courier New" w:hAnsi="Courier New"/>
                <w:sz w:val="16"/>
                <w:szCs w:val="16"/>
                <w:color w:val="auto"/>
              </w:rPr>
              <w:t>Shares</w:t>
            </w:r>
          </w:p>
        </w:tc>
      </w:tr>
    </w:tbl>
    <w:p>
      <w:pPr>
        <w:sectPr>
          <w:pgSz w:w="11900" w:h="16838" w:orient="portrait"/>
          <w:cols w:equalWidth="0" w:num="1">
            <w:col w:w="10222"/>
          </w:cols>
          <w:pgMar w:left="237" w:top="235"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 w:lineRule="exact"/>
        <w:rPr>
          <w:sz w:val="20"/>
          <w:szCs w:val="20"/>
          <w:color w:val="auto"/>
        </w:rPr>
      </w:pPr>
    </w:p>
    <w:p>
      <w:pPr>
        <w:ind w:left="738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THE WASHINGTON POST COMPANY</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0220"/>
        <w:spacing w:after="0"/>
        <w:rPr>
          <w:sz w:val="20"/>
          <w:szCs w:val="20"/>
          <w:color w:val="auto"/>
        </w:rPr>
      </w:pPr>
      <w:r>
        <w:rPr>
          <w:rFonts w:ascii="Courier New" w:cs="Courier New" w:eastAsia="Courier New" w:hAnsi="Courier New"/>
          <w:sz w:val="16"/>
          <w:szCs w:val="16"/>
          <w:color w:val="auto"/>
        </w:rPr>
        <w:t>PAGE</w:t>
      </w:r>
    </w:p>
    <w:p>
      <w:pPr>
        <w:spacing w:after="0" w:line="18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3"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Condensed Consolidated Statements of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Pr>
          <w:p>
            <w:pPr>
              <w:spacing w:after="0"/>
              <w:rPr>
                <w:sz w:val="15"/>
                <w:szCs w:val="15"/>
                <w:color w:val="auto"/>
              </w:rPr>
            </w:pPr>
          </w:p>
        </w:tc>
        <w:tc>
          <w:tcPr>
            <w:tcW w:w="9220" w:type="dxa"/>
            <w:vAlign w:val="bottom"/>
          </w:tcPr>
          <w:p>
            <w:pPr>
              <w:ind w:left="880"/>
              <w:spacing w:after="0"/>
              <w:rPr>
                <w:sz w:val="20"/>
                <w:szCs w:val="20"/>
                <w:color w:val="auto"/>
              </w:rPr>
            </w:pPr>
            <w:r>
              <w:rPr>
                <w:rFonts w:ascii="Courier New" w:cs="Courier New" w:eastAsia="Courier New" w:hAnsi="Courier New"/>
                <w:sz w:val="16"/>
                <w:szCs w:val="16"/>
                <w:color w:val="auto"/>
              </w:rPr>
              <w:t>(Unaudited) for the Thirteen and Thirty-nine</w:t>
            </w:r>
          </w:p>
        </w:tc>
        <w:tc>
          <w:tcPr>
            <w:tcW w:w="460" w:type="dxa"/>
            <w:vAlign w:val="bottom"/>
          </w:tcPr>
          <w:p>
            <w:pPr>
              <w:spacing w:after="0"/>
              <w:rPr>
                <w:sz w:val="15"/>
                <w:szCs w:val="15"/>
                <w:color w:val="auto"/>
              </w:rPr>
            </w:pPr>
          </w:p>
        </w:tc>
      </w:tr>
      <w:tr>
        <w:trPr>
          <w:trHeight w:val="182"/>
        </w:trPr>
        <w:tc>
          <w:tcPr>
            <w:tcW w:w="1000" w:type="dxa"/>
            <w:vAlign w:val="bottom"/>
          </w:tcPr>
          <w:p>
            <w:pPr>
              <w:spacing w:after="0"/>
              <w:rPr>
                <w:sz w:val="15"/>
                <w:szCs w:val="15"/>
                <w:color w:val="auto"/>
              </w:rPr>
            </w:pPr>
          </w:p>
        </w:tc>
        <w:tc>
          <w:tcPr>
            <w:tcW w:w="9220" w:type="dxa"/>
            <w:vAlign w:val="bottom"/>
          </w:tcPr>
          <w:p>
            <w:pPr>
              <w:ind w:left="880"/>
              <w:spacing w:after="0"/>
              <w:rPr>
                <w:sz w:val="20"/>
                <w:szCs w:val="20"/>
                <w:color w:val="auto"/>
              </w:rPr>
            </w:pPr>
            <w:r>
              <w:rPr>
                <w:rFonts w:ascii="Courier New" w:cs="Courier New" w:eastAsia="Courier New" w:hAnsi="Courier New"/>
                <w:sz w:val="16"/>
                <w:szCs w:val="16"/>
                <w:color w:val="auto"/>
              </w:rPr>
              <w:t>Weeks Ended October 1, 1995 and</w:t>
            </w:r>
          </w:p>
        </w:tc>
        <w:tc>
          <w:tcPr>
            <w:tcW w:w="460" w:type="dxa"/>
            <w:vAlign w:val="bottom"/>
          </w:tcPr>
          <w:p>
            <w:pPr>
              <w:spacing w:after="0"/>
              <w:rPr>
                <w:sz w:val="15"/>
                <w:szCs w:val="15"/>
                <w:color w:val="auto"/>
              </w:rPr>
            </w:pPr>
          </w:p>
        </w:tc>
      </w:tr>
      <w:tr>
        <w:trPr>
          <w:trHeight w:val="182"/>
        </w:trPr>
        <w:tc>
          <w:tcPr>
            <w:tcW w:w="1000" w:type="dxa"/>
            <w:vAlign w:val="bottom"/>
          </w:tcPr>
          <w:p>
            <w:pPr>
              <w:spacing w:after="0"/>
              <w:rPr>
                <w:sz w:val="15"/>
                <w:szCs w:val="15"/>
                <w:color w:val="auto"/>
              </w:rPr>
            </w:pPr>
          </w:p>
        </w:tc>
        <w:tc>
          <w:tcPr>
            <w:tcW w:w="9220" w:type="dxa"/>
            <w:vAlign w:val="bottom"/>
          </w:tcPr>
          <w:p>
            <w:pPr>
              <w:ind w:left="880"/>
              <w:spacing w:after="0"/>
              <w:rPr>
                <w:sz w:val="20"/>
                <w:szCs w:val="20"/>
                <w:color w:val="auto"/>
              </w:rPr>
            </w:pPr>
            <w:r>
              <w:rPr>
                <w:rFonts w:ascii="Courier New" w:cs="Courier New" w:eastAsia="Courier New" w:hAnsi="Courier New"/>
                <w:sz w:val="16"/>
                <w:szCs w:val="16"/>
                <w:color w:val="auto"/>
              </w:rPr>
              <w:t>October 2, 1994 . . . . . . . . . . . . . . . . . . . . . . . . . . . . . . . . . . .</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364"/>
        </w:trPr>
        <w:tc>
          <w:tcPr>
            <w:tcW w:w="1000" w:type="dxa"/>
            <w:vAlign w:val="bottom"/>
          </w:tcPr>
          <w:p>
            <w:pPr>
              <w:spacing w:after="0"/>
              <w:rPr>
                <w:sz w:val="24"/>
                <w:szCs w:val="24"/>
                <w:color w:val="auto"/>
              </w:rPr>
            </w:pPr>
          </w:p>
        </w:tc>
        <w:tc>
          <w:tcPr>
            <w:tcW w:w="9220" w:type="dxa"/>
            <w:vAlign w:val="bottom"/>
          </w:tcPr>
          <w:p>
            <w:pPr>
              <w:ind w:left="40"/>
              <w:spacing w:after="0"/>
              <w:rPr>
                <w:sz w:val="20"/>
                <w:szCs w:val="20"/>
                <w:color w:val="auto"/>
              </w:rPr>
            </w:pPr>
            <w:r>
              <w:rPr>
                <w:rFonts w:ascii="Courier New" w:cs="Courier New" w:eastAsia="Courier New" w:hAnsi="Courier New"/>
                <w:sz w:val="16"/>
                <w:szCs w:val="16"/>
                <w:color w:val="auto"/>
              </w:rPr>
              <w:t>Condensed Consolidated Balance Sheets (Unaudited)</w:t>
            </w:r>
          </w:p>
        </w:tc>
        <w:tc>
          <w:tcPr>
            <w:tcW w:w="460" w:type="dxa"/>
            <w:vAlign w:val="bottom"/>
          </w:tcPr>
          <w:p>
            <w:pPr>
              <w:spacing w:after="0"/>
              <w:rPr>
                <w:sz w:val="24"/>
                <w:szCs w:val="24"/>
                <w:color w:val="auto"/>
              </w:rPr>
            </w:pPr>
          </w:p>
        </w:tc>
      </w:tr>
      <w:tr>
        <w:trPr>
          <w:trHeight w:val="182"/>
        </w:trPr>
        <w:tc>
          <w:tcPr>
            <w:tcW w:w="1000" w:type="dxa"/>
            <w:vAlign w:val="bottom"/>
          </w:tcPr>
          <w:p>
            <w:pPr>
              <w:spacing w:after="0"/>
              <w:rPr>
                <w:sz w:val="15"/>
                <w:szCs w:val="15"/>
                <w:color w:val="auto"/>
              </w:rPr>
            </w:pPr>
          </w:p>
        </w:tc>
        <w:tc>
          <w:tcPr>
            <w:tcW w:w="9220" w:type="dxa"/>
            <w:vAlign w:val="bottom"/>
          </w:tcPr>
          <w:p>
            <w:pPr>
              <w:ind w:left="880"/>
              <w:spacing w:after="0"/>
              <w:rPr>
                <w:sz w:val="20"/>
                <w:szCs w:val="20"/>
                <w:color w:val="auto"/>
              </w:rPr>
            </w:pPr>
            <w:r>
              <w:rPr>
                <w:rFonts w:ascii="Courier New" w:cs="Courier New" w:eastAsia="Courier New" w:hAnsi="Courier New"/>
                <w:sz w:val="16"/>
                <w:szCs w:val="16"/>
                <w:color w:val="auto"/>
              </w:rPr>
              <w:t>at October 1, 1995 and January 1, 1995  . . . . . . . . . . . . . . . . . . . . . . .</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364"/>
        </w:trPr>
        <w:tc>
          <w:tcPr>
            <w:tcW w:w="1000" w:type="dxa"/>
            <w:vAlign w:val="bottom"/>
          </w:tcPr>
          <w:p>
            <w:pPr>
              <w:spacing w:after="0"/>
              <w:rPr>
                <w:sz w:val="24"/>
                <w:szCs w:val="24"/>
                <w:color w:val="auto"/>
              </w:rPr>
            </w:pPr>
          </w:p>
        </w:tc>
        <w:tc>
          <w:tcPr>
            <w:tcW w:w="9220" w:type="dxa"/>
            <w:vAlign w:val="bottom"/>
          </w:tcPr>
          <w:p>
            <w:pPr>
              <w:ind w:left="40"/>
              <w:spacing w:after="0"/>
              <w:rPr>
                <w:sz w:val="20"/>
                <w:szCs w:val="20"/>
                <w:color w:val="auto"/>
              </w:rPr>
            </w:pPr>
            <w:r>
              <w:rPr>
                <w:rFonts w:ascii="Courier New" w:cs="Courier New" w:eastAsia="Courier New" w:hAnsi="Courier New"/>
                <w:sz w:val="16"/>
                <w:szCs w:val="16"/>
                <w:color w:val="auto"/>
              </w:rPr>
              <w:t>Condensed Consolidated Statements of Cash Flows</w:t>
            </w:r>
          </w:p>
        </w:tc>
        <w:tc>
          <w:tcPr>
            <w:tcW w:w="460" w:type="dxa"/>
            <w:vAlign w:val="bottom"/>
          </w:tcPr>
          <w:p>
            <w:pPr>
              <w:spacing w:after="0"/>
              <w:rPr>
                <w:sz w:val="24"/>
                <w:szCs w:val="24"/>
                <w:color w:val="auto"/>
              </w:rPr>
            </w:pPr>
          </w:p>
        </w:tc>
      </w:tr>
      <w:tr>
        <w:trPr>
          <w:trHeight w:val="182"/>
        </w:trPr>
        <w:tc>
          <w:tcPr>
            <w:tcW w:w="1000" w:type="dxa"/>
            <w:vAlign w:val="bottom"/>
          </w:tcPr>
          <w:p>
            <w:pPr>
              <w:spacing w:after="0"/>
              <w:rPr>
                <w:sz w:val="15"/>
                <w:szCs w:val="15"/>
                <w:color w:val="auto"/>
              </w:rPr>
            </w:pPr>
          </w:p>
        </w:tc>
        <w:tc>
          <w:tcPr>
            <w:tcW w:w="9220" w:type="dxa"/>
            <w:vAlign w:val="bottom"/>
          </w:tcPr>
          <w:p>
            <w:pPr>
              <w:ind w:left="880"/>
              <w:spacing w:after="0"/>
              <w:rPr>
                <w:sz w:val="20"/>
                <w:szCs w:val="20"/>
                <w:color w:val="auto"/>
              </w:rPr>
            </w:pPr>
            <w:r>
              <w:rPr>
                <w:rFonts w:ascii="Courier New" w:cs="Courier New" w:eastAsia="Courier New" w:hAnsi="Courier New"/>
                <w:sz w:val="16"/>
                <w:szCs w:val="16"/>
                <w:color w:val="auto"/>
              </w:rPr>
              <w:t>(Unaudited) for the Thirty-nine Weeks Ended</w:t>
            </w:r>
          </w:p>
        </w:tc>
        <w:tc>
          <w:tcPr>
            <w:tcW w:w="460" w:type="dxa"/>
            <w:vAlign w:val="bottom"/>
          </w:tcPr>
          <w:p>
            <w:pPr>
              <w:spacing w:after="0"/>
              <w:rPr>
                <w:sz w:val="15"/>
                <w:szCs w:val="15"/>
                <w:color w:val="auto"/>
              </w:rPr>
            </w:pPr>
          </w:p>
        </w:tc>
      </w:tr>
      <w:tr>
        <w:trPr>
          <w:trHeight w:val="182"/>
        </w:trPr>
        <w:tc>
          <w:tcPr>
            <w:tcW w:w="1000" w:type="dxa"/>
            <w:vAlign w:val="bottom"/>
          </w:tcPr>
          <w:p>
            <w:pPr>
              <w:spacing w:after="0"/>
              <w:rPr>
                <w:sz w:val="15"/>
                <w:szCs w:val="15"/>
                <w:color w:val="auto"/>
              </w:rPr>
            </w:pPr>
          </w:p>
        </w:tc>
        <w:tc>
          <w:tcPr>
            <w:tcW w:w="9220" w:type="dxa"/>
            <w:vAlign w:val="bottom"/>
          </w:tcPr>
          <w:p>
            <w:pPr>
              <w:ind w:left="880"/>
              <w:spacing w:after="0"/>
              <w:rPr>
                <w:sz w:val="20"/>
                <w:szCs w:val="20"/>
                <w:color w:val="auto"/>
              </w:rPr>
            </w:pPr>
            <w:r>
              <w:rPr>
                <w:rFonts w:ascii="Courier New" w:cs="Courier New" w:eastAsia="Courier New" w:hAnsi="Courier New"/>
                <w:sz w:val="16"/>
                <w:szCs w:val="16"/>
                <w:color w:val="auto"/>
              </w:rPr>
              <w:t>October 1, 1995 and October 2, 1994 . . . . . . . . . . . . . . . . . . . . . . . . .</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364"/>
        </w:trPr>
        <w:tc>
          <w:tcPr>
            <w:tcW w:w="1000" w:type="dxa"/>
            <w:vAlign w:val="bottom"/>
          </w:tcPr>
          <w:p>
            <w:pPr>
              <w:spacing w:after="0"/>
              <w:rPr>
                <w:sz w:val="24"/>
                <w:szCs w:val="24"/>
                <w:color w:val="auto"/>
              </w:rPr>
            </w:pPr>
          </w:p>
        </w:tc>
        <w:tc>
          <w:tcPr>
            <w:tcW w:w="9220" w:type="dxa"/>
            <w:vAlign w:val="bottom"/>
          </w:tcPr>
          <w:p>
            <w:pPr>
              <w:ind w:left="40"/>
              <w:spacing w:after="0"/>
              <w:rPr>
                <w:sz w:val="20"/>
                <w:szCs w:val="20"/>
                <w:color w:val="auto"/>
              </w:rPr>
            </w:pPr>
            <w:r>
              <w:rPr>
                <w:rFonts w:ascii="Courier New" w:cs="Courier New" w:eastAsia="Courier New" w:hAnsi="Courier New"/>
                <w:sz w:val="16"/>
                <w:szCs w:val="16"/>
                <w:color w:val="auto"/>
              </w:rPr>
              <w:t>Notes to Condensed Consolidated Financial Statements</w:t>
            </w:r>
          </w:p>
        </w:tc>
        <w:tc>
          <w:tcPr>
            <w:tcW w:w="460" w:type="dxa"/>
            <w:vAlign w:val="bottom"/>
          </w:tcPr>
          <w:p>
            <w:pPr>
              <w:spacing w:after="0"/>
              <w:rPr>
                <w:sz w:val="24"/>
                <w:szCs w:val="24"/>
                <w:color w:val="auto"/>
              </w:rPr>
            </w:pPr>
          </w:p>
        </w:tc>
      </w:tr>
      <w:tr>
        <w:trPr>
          <w:trHeight w:val="182"/>
        </w:trPr>
        <w:tc>
          <w:tcPr>
            <w:tcW w:w="1000" w:type="dxa"/>
            <w:vAlign w:val="bottom"/>
          </w:tcPr>
          <w:p>
            <w:pPr>
              <w:spacing w:after="0"/>
              <w:rPr>
                <w:sz w:val="15"/>
                <w:szCs w:val="15"/>
                <w:color w:val="auto"/>
              </w:rPr>
            </w:pPr>
          </w:p>
        </w:tc>
        <w:tc>
          <w:tcPr>
            <w:tcW w:w="9220" w:type="dxa"/>
            <w:vAlign w:val="bottom"/>
          </w:tcPr>
          <w:p>
            <w:pPr>
              <w:ind w:left="880"/>
              <w:spacing w:after="0"/>
              <w:rPr>
                <w:sz w:val="20"/>
                <w:szCs w:val="20"/>
                <w:color w:val="auto"/>
              </w:rPr>
            </w:pPr>
            <w:r>
              <w:rPr>
                <w:rFonts w:ascii="Courier New" w:cs="Courier New" w:eastAsia="Courier New" w:hAnsi="Courier New"/>
                <w:sz w:val="16"/>
                <w:szCs w:val="16"/>
                <w:color w:val="auto"/>
              </w:rPr>
              <w:t>(Unaudited) . . . . . . . . . . . . . . . . . . . . . . . . . . . . . . . . . . . . .</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364"/>
        </w:trPr>
        <w:tc>
          <w:tcPr>
            <w:tcW w:w="100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9220" w:type="dxa"/>
            <w:vAlign w:val="bottom"/>
          </w:tcPr>
          <w:p>
            <w:pPr>
              <w:ind w:left="40"/>
              <w:spacing w:after="0"/>
              <w:rPr>
                <w:sz w:val="20"/>
                <w:szCs w:val="20"/>
                <w:color w:val="auto"/>
              </w:rPr>
            </w:pPr>
            <w:r>
              <w:rPr>
                <w:rFonts w:ascii="Courier New" w:cs="Courier New" w:eastAsia="Courier New" w:hAnsi="Courier New"/>
                <w:sz w:val="16"/>
                <w:szCs w:val="16"/>
                <w:color w:val="auto"/>
              </w:rPr>
              <w:t>Management's Discussion and Analysis of Results of</w:t>
            </w:r>
          </w:p>
        </w:tc>
        <w:tc>
          <w:tcPr>
            <w:tcW w:w="460" w:type="dxa"/>
            <w:vAlign w:val="bottom"/>
          </w:tcPr>
          <w:p>
            <w:pPr>
              <w:spacing w:after="0"/>
              <w:rPr>
                <w:sz w:val="24"/>
                <w:szCs w:val="24"/>
                <w:color w:val="auto"/>
              </w:rPr>
            </w:pPr>
          </w:p>
        </w:tc>
      </w:tr>
      <w:tr>
        <w:trPr>
          <w:trHeight w:val="182"/>
        </w:trPr>
        <w:tc>
          <w:tcPr>
            <w:tcW w:w="1000" w:type="dxa"/>
            <w:vAlign w:val="bottom"/>
          </w:tcPr>
          <w:p>
            <w:pPr>
              <w:spacing w:after="0"/>
              <w:rPr>
                <w:sz w:val="15"/>
                <w:szCs w:val="15"/>
                <w:color w:val="auto"/>
              </w:rPr>
            </w:pPr>
          </w:p>
        </w:tc>
        <w:tc>
          <w:tcPr>
            <w:tcW w:w="9220" w:type="dxa"/>
            <w:vAlign w:val="bottom"/>
          </w:tcPr>
          <w:p>
            <w:pPr>
              <w:ind w:left="880"/>
              <w:spacing w:after="0"/>
              <w:rPr>
                <w:sz w:val="20"/>
                <w:szCs w:val="20"/>
                <w:color w:val="auto"/>
              </w:rPr>
            </w:pPr>
            <w:r>
              <w:rPr>
                <w:rFonts w:ascii="Courier New" w:cs="Courier New" w:eastAsia="Courier New" w:hAnsi="Courier New"/>
                <w:sz w:val="16"/>
                <w:szCs w:val="16"/>
                <w:color w:val="auto"/>
              </w:rPr>
              <w:t>Operations and Financial Condition  . . . . . . . . . . . . . . . . . . . . . . . . .</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364"/>
        </w:trPr>
        <w:tc>
          <w:tcPr>
            <w:tcW w:w="100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9220" w:type="dxa"/>
            <w:vAlign w:val="bottom"/>
          </w:tcPr>
          <w:p>
            <w:pPr>
              <w:ind w:left="40"/>
              <w:spacing w:after="0"/>
              <w:rPr>
                <w:sz w:val="20"/>
                <w:szCs w:val="20"/>
                <w:color w:val="auto"/>
              </w:rPr>
            </w:pPr>
            <w:r>
              <w:rPr>
                <w:rFonts w:ascii="Courier New" w:cs="Courier New" w:eastAsia="Courier New" w:hAnsi="Courier New"/>
                <w:sz w:val="16"/>
                <w:szCs w:val="16"/>
                <w:color w:val="auto"/>
              </w:rPr>
              <w:t>OTHER INFORMATION</w:t>
            </w:r>
          </w:p>
        </w:tc>
        <w:tc>
          <w:tcPr>
            <w:tcW w:w="460" w:type="dxa"/>
            <w:vAlign w:val="bottom"/>
          </w:tcPr>
          <w:p>
            <w:pPr>
              <w:spacing w:after="0"/>
              <w:rPr>
                <w:sz w:val="24"/>
                <w:szCs w:val="24"/>
                <w:color w:val="auto"/>
              </w:rPr>
            </w:pPr>
          </w:p>
        </w:tc>
      </w:tr>
      <w:tr>
        <w:trPr>
          <w:trHeight w:val="364"/>
        </w:trPr>
        <w:tc>
          <w:tcPr>
            <w:tcW w:w="100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9220" w:type="dxa"/>
            <w:vAlign w:val="bottom"/>
          </w:tcPr>
          <w:p>
            <w:pPr>
              <w:ind w:left="40"/>
              <w:spacing w:after="0"/>
              <w:rPr>
                <w:sz w:val="20"/>
                <w:szCs w:val="20"/>
                <w:color w:val="auto"/>
              </w:rPr>
            </w:pPr>
            <w:r>
              <w:rPr>
                <w:rFonts w:ascii="Courier New" w:cs="Courier New" w:eastAsia="Courier New" w:hAnsi="Courier New"/>
                <w:sz w:val="16"/>
                <w:szCs w:val="16"/>
                <w:color w:val="auto"/>
              </w:rPr>
              <w:t>Exhibits and Reports on Form 8-K . . . . . . . . . . . . . . . . . . . . . . . . . . . . . . .</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364"/>
        </w:trPr>
        <w:tc>
          <w:tcPr>
            <w:tcW w:w="1000" w:type="dxa"/>
            <w:vAlign w:val="bottom"/>
          </w:tcPr>
          <w:p>
            <w:pPr>
              <w:spacing w:after="0"/>
              <w:rPr>
                <w:sz w:val="20"/>
                <w:szCs w:val="20"/>
                <w:color w:val="auto"/>
              </w:rPr>
            </w:pPr>
            <w:r>
              <w:rPr>
                <w:rFonts w:ascii="Courier New" w:cs="Courier New" w:eastAsia="Courier New" w:hAnsi="Courier New"/>
                <w:sz w:val="16"/>
                <w:szCs w:val="16"/>
                <w:color w:val="auto"/>
              </w:rPr>
              <w:t>Signatures</w:t>
            </w:r>
          </w:p>
        </w:tc>
        <w:tc>
          <w:tcPr>
            <w:tcW w:w="9220" w:type="dxa"/>
            <w:vAlign w:val="bottom"/>
          </w:tcPr>
          <w:p>
            <w:pPr>
              <w:ind w:left="140"/>
              <w:spacing w:after="0"/>
              <w:rPr>
                <w:sz w:val="20"/>
                <w:szCs w:val="20"/>
                <w:color w:val="auto"/>
              </w:rPr>
            </w:pPr>
            <w:r>
              <w:rPr>
                <w:rFonts w:ascii="Courier New" w:cs="Courier New" w:eastAsia="Courier New" w:hAnsi="Courier New"/>
                <w:sz w:val="16"/>
                <w:szCs w:val="16"/>
                <w:color w:val="auto"/>
              </w:rPr>
              <w:t>. . . . . . . . . . . . . . . . . . . . . . . . . . . . . . . . . . . . . . . . . . . . . . .</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364"/>
        </w:trPr>
        <w:tc>
          <w:tcPr>
            <w:tcW w:w="1000" w:type="dxa"/>
            <w:vAlign w:val="bottom"/>
          </w:tcPr>
          <w:p>
            <w:pPr>
              <w:spacing w:after="0"/>
              <w:rPr>
                <w:sz w:val="20"/>
                <w:szCs w:val="20"/>
                <w:color w:val="auto"/>
              </w:rPr>
            </w:pPr>
            <w:r>
              <w:rPr>
                <w:rFonts w:ascii="Courier New" w:cs="Courier New" w:eastAsia="Courier New" w:hAnsi="Courier New"/>
                <w:sz w:val="16"/>
                <w:szCs w:val="16"/>
                <w:color w:val="auto"/>
              </w:rPr>
              <w:t>Exhibit 11</w:t>
            </w:r>
          </w:p>
        </w:tc>
        <w:tc>
          <w:tcPr>
            <w:tcW w:w="9220" w:type="dxa"/>
            <w:vAlign w:val="bottom"/>
          </w:tcPr>
          <w:p>
            <w:pPr>
              <w:ind w:left="140"/>
              <w:spacing w:after="0"/>
              <w:rPr>
                <w:sz w:val="20"/>
                <w:szCs w:val="20"/>
                <w:color w:val="auto"/>
              </w:rPr>
            </w:pPr>
            <w:r>
              <w:rPr>
                <w:rFonts w:ascii="Courier New" w:cs="Courier New" w:eastAsia="Courier New" w:hAnsi="Courier New"/>
                <w:sz w:val="16"/>
                <w:szCs w:val="16"/>
                <w:color w:val="auto"/>
              </w:rPr>
              <w:t>. . . . . . . . . . . . . . . . . . . . . . . . . . . . . . . . . . . . . . . . . . . . . . .</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364"/>
        </w:trPr>
        <w:tc>
          <w:tcPr>
            <w:tcW w:w="10220" w:type="dxa"/>
            <w:vAlign w:val="bottom"/>
            <w:gridSpan w:val="2"/>
          </w:tcPr>
          <w:p>
            <w:pPr>
              <w:spacing w:after="0"/>
              <w:rPr>
                <w:sz w:val="20"/>
                <w:szCs w:val="20"/>
                <w:color w:val="auto"/>
              </w:rPr>
            </w:pPr>
            <w:r>
              <w:rPr>
                <w:rFonts w:ascii="Courier New" w:cs="Courier New" w:eastAsia="Courier New" w:hAnsi="Courier New"/>
                <w:sz w:val="16"/>
                <w:szCs w:val="16"/>
                <w:color w:val="auto"/>
              </w:rPr>
              <w:t>Exhibit 27 (Electronic Filing Only) . . . . . . . . . . . . . . . . . . . . . . . . . . . . . . . . . . .</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bl>
    <w:p>
      <w:pPr>
        <w:sectPr>
          <w:pgSz w:w="11900" w:h="16838" w:orient="portrait"/>
          <w:cols w:equalWidth="0" w:num="1">
            <w:col w:w="10680"/>
          </w:cols>
          <w:pgMar w:left="240" w:top="295" w:right="97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4"/>
        </w:trPr>
        <w:tc>
          <w:tcPr>
            <w:tcW w:w="80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4160" w:type="dxa"/>
            <w:vAlign w:val="bottom"/>
          </w:tcPr>
          <w:p>
            <w:pPr>
              <w:ind w:left="40"/>
              <w:spacing w:after="0"/>
              <w:rPr>
                <w:sz w:val="20"/>
                <w:szCs w:val="20"/>
                <w:color w:val="auto"/>
              </w:rPr>
            </w:pPr>
            <w:r>
              <w:rPr>
                <w:rFonts w:ascii="Courier New" w:cs="Courier New" w:eastAsia="Courier New" w:hAnsi="Courier New"/>
                <w:sz w:val="16"/>
                <w:szCs w:val="16"/>
                <w:color w:val="auto"/>
              </w:rPr>
              <w:t>FINANCIAL INFORMATION</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4160" w:type="dxa"/>
            <w:vAlign w:val="bottom"/>
          </w:tcPr>
          <w:p>
            <w:pPr>
              <w:ind w:left="40"/>
              <w:spacing w:after="0"/>
              <w:rPr>
                <w:sz w:val="20"/>
                <w:szCs w:val="20"/>
                <w:color w:val="auto"/>
              </w:rPr>
            </w:pPr>
            <w:r>
              <w:rPr>
                <w:rFonts w:ascii="Courier New" w:cs="Courier New" w:eastAsia="Courier New" w:hAnsi="Courier New"/>
                <w:sz w:val="16"/>
                <w:szCs w:val="16"/>
                <w:color w:val="auto"/>
              </w:rPr>
              <w:t>FINANCIAL STATEMENTS</w:t>
            </w: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4"/>
        </w:trPr>
        <w:tc>
          <w:tcPr>
            <w:tcW w:w="4960" w:type="dxa"/>
            <w:vAlign w:val="bottom"/>
            <w:gridSpan w:val="2"/>
          </w:tcPr>
          <w:p>
            <w:pPr>
              <w:spacing w:after="0"/>
              <w:rPr>
                <w:sz w:val="20"/>
                <w:szCs w:val="20"/>
                <w:color w:val="auto"/>
              </w:rPr>
            </w:pPr>
            <w:r>
              <w:rPr>
                <w:rFonts w:ascii="Courier New" w:cs="Courier New" w:eastAsia="Courier New" w:hAnsi="Courier New"/>
                <w:sz w:val="16"/>
                <w:szCs w:val="16"/>
                <w:color w:val="auto"/>
              </w:rPr>
              <w:t>The Washington Post Company</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4960" w:type="dxa"/>
            <w:vAlign w:val="bottom"/>
            <w:gridSpan w:val="2"/>
          </w:tcPr>
          <w:p>
            <w:pPr>
              <w:spacing w:after="0"/>
              <w:rPr>
                <w:sz w:val="20"/>
                <w:szCs w:val="20"/>
                <w:color w:val="auto"/>
              </w:rPr>
            </w:pPr>
            <w:r>
              <w:rPr>
                <w:rFonts w:ascii="Courier New" w:cs="Courier New" w:eastAsia="Courier New" w:hAnsi="Courier New"/>
                <w:sz w:val="16"/>
                <w:szCs w:val="16"/>
                <w:color w:val="auto"/>
              </w:rPr>
              <w:t>Consolidated Statements of Income (Unaudited)</w:t>
            </w: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546"/>
        </w:trPr>
        <w:tc>
          <w:tcPr>
            <w:tcW w:w="8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640" w:type="dxa"/>
            <w:vAlign w:val="bottom"/>
            <w:gridSpan w:val="4"/>
          </w:tcPr>
          <w:p>
            <w:pPr>
              <w:jc w:val="right"/>
              <w:ind w:right="761"/>
              <w:spacing w:after="0"/>
              <w:rPr>
                <w:sz w:val="20"/>
                <w:szCs w:val="20"/>
                <w:color w:val="auto"/>
              </w:rPr>
            </w:pPr>
            <w:r>
              <w:rPr>
                <w:rFonts w:ascii="Courier New" w:cs="Courier New" w:eastAsia="Courier New" w:hAnsi="Courier New"/>
                <w:sz w:val="16"/>
                <w:szCs w:val="16"/>
                <w:color w:val="auto"/>
              </w:rPr>
              <w:t>Thirteen Weeks Ended</w:t>
            </w:r>
          </w:p>
        </w:tc>
        <w:tc>
          <w:tcPr>
            <w:tcW w:w="2920" w:type="dxa"/>
            <w:vAlign w:val="bottom"/>
            <w:gridSpan w:val="4"/>
          </w:tcPr>
          <w:p>
            <w:pPr>
              <w:jc w:val="right"/>
              <w:ind w:right="281"/>
              <w:spacing w:after="0"/>
              <w:rPr>
                <w:sz w:val="20"/>
                <w:szCs w:val="20"/>
                <w:color w:val="auto"/>
              </w:rPr>
            </w:pPr>
            <w:r>
              <w:rPr>
                <w:rFonts w:ascii="Courier New" w:cs="Courier New" w:eastAsia="Courier New" w:hAnsi="Courier New"/>
                <w:sz w:val="16"/>
                <w:szCs w:val="16"/>
                <w:color w:val="auto"/>
              </w:rPr>
              <w:t>Thirty-nine Weeks Ended</w:t>
            </w:r>
          </w:p>
        </w:tc>
      </w:tr>
      <w:tr>
        <w:trPr>
          <w:trHeight w:val="182"/>
        </w:trPr>
        <w:tc>
          <w:tcPr>
            <w:tcW w:w="8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640" w:type="dxa"/>
            <w:vAlign w:val="bottom"/>
            <w:gridSpan w:val="4"/>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2920" w:type="dxa"/>
            <w:vAlign w:val="bottom"/>
            <w:gridSpan w:val="4"/>
          </w:tcPr>
          <w:p>
            <w:pPr>
              <w:ind w:left="280"/>
              <w:spacing w:after="0"/>
              <w:rPr>
                <w:sz w:val="20"/>
                <w:szCs w:val="20"/>
                <w:color w:val="auto"/>
              </w:rPr>
            </w:pPr>
            <w:r>
              <w:rPr>
                <w:rFonts w:ascii="Courier New" w:cs="Courier New" w:eastAsia="Courier New" w:hAnsi="Courier New"/>
                <w:sz w:val="16"/>
                <w:szCs w:val="16"/>
                <w:color w:val="auto"/>
              </w:rPr>
              <w:t>--------------------------</w:t>
            </w:r>
          </w:p>
        </w:tc>
      </w:tr>
      <w:tr>
        <w:trPr>
          <w:trHeight w:val="182"/>
        </w:trPr>
        <w:tc>
          <w:tcPr>
            <w:tcW w:w="8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4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Oct. 1,</w:t>
            </w:r>
          </w:p>
        </w:tc>
        <w:tc>
          <w:tcPr>
            <w:tcW w:w="16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Oct. 2,</w:t>
            </w:r>
          </w:p>
        </w:tc>
        <w:tc>
          <w:tcPr>
            <w:tcW w:w="162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Oct. 1,</w:t>
            </w:r>
          </w:p>
        </w:tc>
        <w:tc>
          <w:tcPr>
            <w:tcW w:w="46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Oct. 2,</w:t>
            </w:r>
          </w:p>
        </w:tc>
      </w:tr>
      <w:tr>
        <w:trPr>
          <w:trHeight w:val="182"/>
        </w:trPr>
        <w:tc>
          <w:tcPr>
            <w:tcW w:w="4960" w:type="dxa"/>
            <w:vAlign w:val="bottom"/>
            <w:gridSpan w:val="2"/>
          </w:tcPr>
          <w:p>
            <w:pPr>
              <w:spacing w:after="0"/>
              <w:rPr>
                <w:sz w:val="20"/>
                <w:szCs w:val="20"/>
                <w:color w:val="auto"/>
              </w:rPr>
            </w:pPr>
            <w:r>
              <w:rPr>
                <w:rFonts w:ascii="Courier New" w:cs="Courier New" w:eastAsia="Courier New" w:hAnsi="Courier New"/>
                <w:sz w:val="16"/>
                <w:szCs w:val="16"/>
                <w:color w:val="auto"/>
              </w:rPr>
              <w:t>(In thousands, except per share amounts)</w:t>
            </w:r>
          </w:p>
        </w:tc>
        <w:tc>
          <w:tcPr>
            <w:tcW w:w="20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1995</w:t>
            </w:r>
          </w:p>
        </w:tc>
        <w:tc>
          <w:tcPr>
            <w:tcW w:w="160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1994</w:t>
            </w:r>
          </w:p>
        </w:tc>
        <w:tc>
          <w:tcPr>
            <w:tcW w:w="16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1995</w:t>
            </w:r>
          </w:p>
        </w:tc>
        <w:tc>
          <w:tcPr>
            <w:tcW w:w="460" w:type="dxa"/>
            <w:vAlign w:val="bottom"/>
          </w:tcPr>
          <w:p>
            <w:pPr>
              <w:spacing w:after="0"/>
              <w:rPr>
                <w:sz w:val="15"/>
                <w:szCs w:val="15"/>
                <w:color w:val="auto"/>
              </w:rPr>
            </w:pPr>
          </w:p>
        </w:tc>
        <w:tc>
          <w:tcPr>
            <w:tcW w:w="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8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4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360"/>
              <w:spacing w:after="0"/>
              <w:rPr>
                <w:sz w:val="20"/>
                <w:szCs w:val="20"/>
                <w:color w:val="auto"/>
              </w:rPr>
            </w:pPr>
            <w:r>
              <w:rPr>
                <w:rFonts w:ascii="Courier New" w:cs="Courier New" w:eastAsia="Courier New" w:hAnsi="Courier New"/>
                <w:sz w:val="16"/>
                <w:szCs w:val="16"/>
                <w:color w:val="auto"/>
              </w:rPr>
              <w:t>--------</w:t>
            </w:r>
          </w:p>
        </w:tc>
      </w:tr>
      <w:tr>
        <w:trPr>
          <w:trHeight w:val="364"/>
        </w:trPr>
        <w:tc>
          <w:tcPr>
            <w:tcW w:w="4960" w:type="dxa"/>
            <w:vAlign w:val="bottom"/>
            <w:gridSpan w:val="2"/>
          </w:tcPr>
          <w:p>
            <w:pPr>
              <w:spacing w:after="0"/>
              <w:rPr>
                <w:sz w:val="20"/>
                <w:szCs w:val="20"/>
                <w:color w:val="auto"/>
              </w:rPr>
            </w:pPr>
            <w:r>
              <w:rPr>
                <w:rFonts w:ascii="Courier New" w:cs="Courier New" w:eastAsia="Courier New" w:hAnsi="Courier New"/>
                <w:sz w:val="16"/>
                <w:szCs w:val="16"/>
                <w:color w:val="auto"/>
              </w:rPr>
              <w:t>Operating revenues</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49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Advertising</w:t>
            </w:r>
          </w:p>
        </w:tc>
        <w:tc>
          <w:tcPr>
            <w:tcW w:w="20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$250,011</w:t>
            </w:r>
          </w:p>
        </w:tc>
        <w:tc>
          <w:tcPr>
            <w:tcW w:w="16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$245,042</w:t>
            </w:r>
          </w:p>
        </w:tc>
        <w:tc>
          <w:tcPr>
            <w:tcW w:w="5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787,175</w:t>
            </w:r>
          </w:p>
        </w:tc>
        <w:tc>
          <w:tcPr>
            <w:tcW w:w="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718,920</w:t>
            </w:r>
          </w:p>
        </w:tc>
      </w:tr>
      <w:tr>
        <w:trPr>
          <w:trHeight w:val="182"/>
        </w:trPr>
        <w:tc>
          <w:tcPr>
            <w:tcW w:w="49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Circulation and subscriber</w:t>
            </w:r>
          </w:p>
        </w:tc>
        <w:tc>
          <w:tcPr>
            <w:tcW w:w="20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113,355</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107,522</w:t>
            </w:r>
          </w:p>
        </w:tc>
        <w:tc>
          <w:tcPr>
            <w:tcW w:w="5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335,900</w:t>
            </w:r>
          </w:p>
        </w:tc>
        <w:tc>
          <w:tcPr>
            <w:tcW w:w="46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326,784</w:t>
            </w:r>
          </w:p>
        </w:tc>
      </w:tr>
      <w:tr>
        <w:trPr>
          <w:trHeight w:val="182"/>
        </w:trPr>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4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54,553</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47,262</w:t>
            </w:r>
          </w:p>
        </w:tc>
        <w:tc>
          <w:tcPr>
            <w:tcW w:w="5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133,389</w:t>
            </w:r>
          </w:p>
        </w:tc>
        <w:tc>
          <w:tcPr>
            <w:tcW w:w="46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117,390</w:t>
            </w:r>
          </w:p>
        </w:tc>
      </w:tr>
      <w:tr>
        <w:trPr>
          <w:trHeight w:val="182"/>
        </w:trPr>
        <w:tc>
          <w:tcPr>
            <w:tcW w:w="8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8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417,919</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399,826</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1,256,464</w:t>
            </w:r>
          </w:p>
        </w:tc>
        <w:tc>
          <w:tcPr>
            <w:tcW w:w="13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1,163,094</w:t>
            </w:r>
          </w:p>
        </w:tc>
      </w:tr>
      <w:tr>
        <w:trPr>
          <w:trHeight w:val="182"/>
        </w:trPr>
        <w:tc>
          <w:tcPr>
            <w:tcW w:w="8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60" w:type="dxa"/>
            <w:vAlign w:val="bottom"/>
            <w:gridSpan w:val="2"/>
          </w:tcPr>
          <w:p>
            <w:pPr>
              <w:spacing w:after="0"/>
              <w:rPr>
                <w:sz w:val="20"/>
                <w:szCs w:val="20"/>
                <w:color w:val="auto"/>
              </w:rPr>
            </w:pPr>
            <w:r>
              <w:rPr>
                <w:rFonts w:ascii="Courier New" w:cs="Courier New" w:eastAsia="Courier New" w:hAnsi="Courier New"/>
                <w:sz w:val="16"/>
                <w:szCs w:val="16"/>
                <w:color w:val="auto"/>
              </w:rPr>
              <w:t>Operating costs and expenses</w:t>
            </w: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49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Operating</w:t>
            </w:r>
          </w:p>
        </w:tc>
        <w:tc>
          <w:tcPr>
            <w:tcW w:w="20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240,912</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215,295</w:t>
            </w:r>
          </w:p>
        </w:tc>
        <w:tc>
          <w:tcPr>
            <w:tcW w:w="5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688,949</w:t>
            </w:r>
          </w:p>
        </w:tc>
        <w:tc>
          <w:tcPr>
            <w:tcW w:w="46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631,078</w:t>
            </w:r>
          </w:p>
        </w:tc>
      </w:tr>
      <w:tr>
        <w:trPr>
          <w:trHeight w:val="182"/>
        </w:trPr>
        <w:tc>
          <w:tcPr>
            <w:tcW w:w="49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Selling, general and administrative</w:t>
            </w:r>
          </w:p>
        </w:tc>
        <w:tc>
          <w:tcPr>
            <w:tcW w:w="108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96,606</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95,045</w:t>
            </w:r>
          </w:p>
        </w:tc>
        <w:tc>
          <w:tcPr>
            <w:tcW w:w="5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300,672</w:t>
            </w:r>
          </w:p>
        </w:tc>
        <w:tc>
          <w:tcPr>
            <w:tcW w:w="46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281,162</w:t>
            </w:r>
          </w:p>
        </w:tc>
      </w:tr>
      <w:tr>
        <w:trPr>
          <w:trHeight w:val="182"/>
        </w:trPr>
        <w:tc>
          <w:tcPr>
            <w:tcW w:w="49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Depreciation and amortization of</w:t>
            </w: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49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property, plant and equipment</w:t>
            </w:r>
          </w:p>
        </w:tc>
        <w:tc>
          <w:tcPr>
            <w:tcW w:w="108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16,379</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15,663</w:t>
            </w:r>
          </w:p>
        </w:tc>
        <w:tc>
          <w:tcPr>
            <w:tcW w:w="5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49,123</w:t>
            </w:r>
          </w:p>
        </w:tc>
        <w:tc>
          <w:tcPr>
            <w:tcW w:w="46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45,733</w:t>
            </w:r>
          </w:p>
        </w:tc>
      </w:tr>
      <w:tr>
        <w:trPr>
          <w:trHeight w:val="182"/>
        </w:trPr>
        <w:tc>
          <w:tcPr>
            <w:tcW w:w="49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Amortization of goodwill and other</w:t>
            </w: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49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intangibles</w:t>
            </w:r>
          </w:p>
        </w:tc>
        <w:tc>
          <w:tcPr>
            <w:tcW w:w="108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8,315</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7,570</w:t>
            </w:r>
          </w:p>
        </w:tc>
        <w:tc>
          <w:tcPr>
            <w:tcW w:w="5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24,944</w:t>
            </w:r>
          </w:p>
        </w:tc>
        <w:tc>
          <w:tcPr>
            <w:tcW w:w="46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18,103</w:t>
            </w:r>
          </w:p>
        </w:tc>
      </w:tr>
      <w:tr>
        <w:trPr>
          <w:trHeight w:val="182"/>
        </w:trPr>
        <w:tc>
          <w:tcPr>
            <w:tcW w:w="8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8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362,212</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333,573</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1,063,688</w:t>
            </w:r>
          </w:p>
        </w:tc>
        <w:tc>
          <w:tcPr>
            <w:tcW w:w="46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976,076</w:t>
            </w:r>
          </w:p>
        </w:tc>
      </w:tr>
      <w:tr>
        <w:trPr>
          <w:trHeight w:val="182"/>
        </w:trPr>
        <w:tc>
          <w:tcPr>
            <w:tcW w:w="8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60" w:type="dxa"/>
            <w:vAlign w:val="bottom"/>
            <w:gridSpan w:val="2"/>
          </w:tcPr>
          <w:p>
            <w:pPr>
              <w:spacing w:after="0"/>
              <w:rPr>
                <w:sz w:val="20"/>
                <w:szCs w:val="20"/>
                <w:color w:val="auto"/>
              </w:rPr>
            </w:pPr>
            <w:r>
              <w:rPr>
                <w:rFonts w:ascii="Courier New" w:cs="Courier New" w:eastAsia="Courier New" w:hAnsi="Courier New"/>
                <w:sz w:val="16"/>
                <w:szCs w:val="16"/>
                <w:color w:val="auto"/>
              </w:rPr>
              <w:t>Income from operations</w:t>
            </w:r>
          </w:p>
        </w:tc>
        <w:tc>
          <w:tcPr>
            <w:tcW w:w="108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55,707</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66,253</w:t>
            </w:r>
          </w:p>
        </w:tc>
        <w:tc>
          <w:tcPr>
            <w:tcW w:w="5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192,776</w:t>
            </w:r>
          </w:p>
        </w:tc>
        <w:tc>
          <w:tcPr>
            <w:tcW w:w="46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187,018</w:t>
            </w:r>
          </w:p>
        </w:tc>
      </w:tr>
      <w:tr>
        <w:trPr>
          <w:trHeight w:val="364"/>
        </w:trPr>
        <w:tc>
          <w:tcPr>
            <w:tcW w:w="496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49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Equity in earnings of affiliates</w:t>
            </w:r>
          </w:p>
        </w:tc>
        <w:tc>
          <w:tcPr>
            <w:tcW w:w="108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6,268</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11,091</w:t>
            </w:r>
          </w:p>
        </w:tc>
        <w:tc>
          <w:tcPr>
            <w:tcW w:w="5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15,898</w:t>
            </w:r>
          </w:p>
        </w:tc>
        <w:tc>
          <w:tcPr>
            <w:tcW w:w="46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7,917</w:t>
            </w:r>
          </w:p>
        </w:tc>
      </w:tr>
      <w:tr>
        <w:trPr>
          <w:trHeight w:val="182"/>
        </w:trPr>
        <w:tc>
          <w:tcPr>
            <w:tcW w:w="49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Interest income</w:t>
            </w:r>
          </w:p>
        </w:tc>
        <w:tc>
          <w:tcPr>
            <w:tcW w:w="108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1,860</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1,427</w:t>
            </w:r>
          </w:p>
        </w:tc>
        <w:tc>
          <w:tcPr>
            <w:tcW w:w="5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6,226</w:t>
            </w:r>
          </w:p>
        </w:tc>
        <w:tc>
          <w:tcPr>
            <w:tcW w:w="46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7,022</w:t>
            </w:r>
          </w:p>
        </w:tc>
      </w:tr>
      <w:tr>
        <w:trPr>
          <w:trHeight w:val="182"/>
        </w:trPr>
        <w:tc>
          <w:tcPr>
            <w:tcW w:w="49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Interest expense</w:t>
            </w:r>
          </w:p>
        </w:tc>
        <w:tc>
          <w:tcPr>
            <w:tcW w:w="108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(1,388)</w:t>
            </w:r>
          </w:p>
        </w:tc>
        <w:tc>
          <w:tcPr>
            <w:tcW w:w="5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(1,332)</w:t>
            </w:r>
          </w:p>
        </w:tc>
        <w:tc>
          <w:tcPr>
            <w:tcW w:w="58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(4,187)</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(4,180)</w:t>
            </w:r>
          </w:p>
        </w:tc>
      </w:tr>
      <w:tr>
        <w:trPr>
          <w:trHeight w:val="182"/>
        </w:trPr>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4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716</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508</w:t>
            </w:r>
          </w:p>
        </w:tc>
        <w:tc>
          <w:tcPr>
            <w:tcW w:w="5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14,242</w:t>
            </w:r>
          </w:p>
        </w:tc>
        <w:tc>
          <w:tcPr>
            <w:tcW w:w="46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3,114</w:t>
            </w:r>
          </w:p>
        </w:tc>
      </w:tr>
      <w:tr>
        <w:trPr>
          <w:trHeight w:val="182"/>
        </w:trPr>
        <w:tc>
          <w:tcPr>
            <w:tcW w:w="8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96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taxes</w:t>
            </w:r>
          </w:p>
        </w:tc>
        <w:tc>
          <w:tcPr>
            <w:tcW w:w="1080" w:type="dxa"/>
            <w:vAlign w:val="bottom"/>
          </w:tcPr>
          <w:p>
            <w:pPr>
              <w:spacing w:after="0"/>
              <w:rPr>
                <w:sz w:val="24"/>
                <w:szCs w:val="24"/>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63,163</w:t>
            </w:r>
          </w:p>
        </w:tc>
        <w:tc>
          <w:tcPr>
            <w:tcW w:w="560" w:type="dxa"/>
            <w:vAlign w:val="bottom"/>
          </w:tcPr>
          <w:p>
            <w:pPr>
              <w:spacing w:after="0"/>
              <w:rPr>
                <w:sz w:val="24"/>
                <w:szCs w:val="24"/>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77,947</w:t>
            </w:r>
          </w:p>
        </w:tc>
        <w:tc>
          <w:tcPr>
            <w:tcW w:w="580" w:type="dxa"/>
            <w:vAlign w:val="bottom"/>
          </w:tcPr>
          <w:p>
            <w:pPr>
              <w:spacing w:after="0"/>
              <w:rPr>
                <w:sz w:val="24"/>
                <w:szCs w:val="24"/>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224,955</w:t>
            </w:r>
          </w:p>
        </w:tc>
        <w:tc>
          <w:tcPr>
            <w:tcW w:w="46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200,891</w:t>
            </w:r>
          </w:p>
        </w:tc>
      </w:tr>
      <w:tr>
        <w:trPr>
          <w:trHeight w:val="182"/>
        </w:trPr>
        <w:tc>
          <w:tcPr>
            <w:tcW w:w="8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960" w:type="dxa"/>
            <w:vAlign w:val="bottom"/>
            <w:gridSpan w:val="2"/>
          </w:tcPr>
          <w:p>
            <w:pPr>
              <w:spacing w:after="0"/>
              <w:rPr>
                <w:sz w:val="20"/>
                <w:szCs w:val="20"/>
                <w:color w:val="auto"/>
              </w:rPr>
            </w:pPr>
            <w:r>
              <w:rPr>
                <w:rFonts w:ascii="Courier New" w:cs="Courier New" w:eastAsia="Courier New" w:hAnsi="Courier New"/>
                <w:sz w:val="16"/>
                <w:szCs w:val="16"/>
                <w:color w:val="auto"/>
              </w:rPr>
              <w:t>Provision for income taxes</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49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Current</w:t>
            </w:r>
          </w:p>
        </w:tc>
        <w:tc>
          <w:tcPr>
            <w:tcW w:w="108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32,134</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31,165</w:t>
            </w:r>
          </w:p>
        </w:tc>
        <w:tc>
          <w:tcPr>
            <w:tcW w:w="5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96,477</w:t>
            </w:r>
          </w:p>
        </w:tc>
        <w:tc>
          <w:tcPr>
            <w:tcW w:w="46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85,891</w:t>
            </w:r>
          </w:p>
        </w:tc>
      </w:tr>
      <w:tr>
        <w:trPr>
          <w:trHeight w:val="182"/>
        </w:trPr>
        <w:tc>
          <w:tcPr>
            <w:tcW w:w="49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Deferred</w:t>
            </w:r>
          </w:p>
        </w:tc>
        <w:tc>
          <w:tcPr>
            <w:tcW w:w="2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(10,764)</w:t>
            </w:r>
          </w:p>
        </w:tc>
        <w:tc>
          <w:tcPr>
            <w:tcW w:w="5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(670)</w:t>
            </w:r>
          </w:p>
        </w:tc>
        <w:tc>
          <w:tcPr>
            <w:tcW w:w="58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(8,727)</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(2,521)</w:t>
            </w:r>
          </w:p>
        </w:tc>
      </w:tr>
      <w:tr>
        <w:trPr>
          <w:trHeight w:val="182"/>
        </w:trPr>
        <w:tc>
          <w:tcPr>
            <w:tcW w:w="8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8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21,370</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30,495</w:t>
            </w:r>
          </w:p>
        </w:tc>
        <w:tc>
          <w:tcPr>
            <w:tcW w:w="5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87,750</w:t>
            </w:r>
          </w:p>
        </w:tc>
        <w:tc>
          <w:tcPr>
            <w:tcW w:w="46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83,370</w:t>
            </w:r>
          </w:p>
        </w:tc>
      </w:tr>
      <w:tr>
        <w:trPr>
          <w:trHeight w:val="182"/>
        </w:trPr>
        <w:tc>
          <w:tcPr>
            <w:tcW w:w="8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960" w:type="dxa"/>
            <w:vAlign w:val="bottom"/>
            <w:gridSpan w:val="2"/>
          </w:tcPr>
          <w:p>
            <w:pPr>
              <w:spacing w:after="0"/>
              <w:rPr>
                <w:sz w:val="20"/>
                <w:szCs w:val="20"/>
                <w:color w:val="auto"/>
              </w:rPr>
            </w:pPr>
            <w:r>
              <w:rPr>
                <w:rFonts w:ascii="Courier New" w:cs="Courier New" w:eastAsia="Courier New" w:hAnsi="Courier New"/>
                <w:sz w:val="16"/>
                <w:szCs w:val="16"/>
                <w:color w:val="auto"/>
              </w:rPr>
              <w:t>Net income</w:t>
            </w:r>
          </w:p>
        </w:tc>
        <w:tc>
          <w:tcPr>
            <w:tcW w:w="20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$ 41,793</w:t>
            </w:r>
          </w:p>
        </w:tc>
        <w:tc>
          <w:tcPr>
            <w:tcW w:w="16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$ 47,452</w:t>
            </w:r>
          </w:p>
        </w:tc>
        <w:tc>
          <w:tcPr>
            <w:tcW w:w="5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137,205</w:t>
            </w:r>
          </w:p>
        </w:tc>
        <w:tc>
          <w:tcPr>
            <w:tcW w:w="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117,521</w:t>
            </w:r>
          </w:p>
        </w:tc>
      </w:tr>
      <w:tr>
        <w:trPr>
          <w:trHeight w:val="182"/>
        </w:trPr>
        <w:tc>
          <w:tcPr>
            <w:tcW w:w="8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960" w:type="dxa"/>
            <w:vAlign w:val="bottom"/>
            <w:gridSpan w:val="2"/>
          </w:tcPr>
          <w:p>
            <w:pPr>
              <w:spacing w:after="0"/>
              <w:rPr>
                <w:sz w:val="20"/>
                <w:szCs w:val="20"/>
                <w:color w:val="auto"/>
              </w:rPr>
            </w:pPr>
            <w:r>
              <w:rPr>
                <w:rFonts w:ascii="Courier New" w:cs="Courier New" w:eastAsia="Courier New" w:hAnsi="Courier New"/>
                <w:sz w:val="16"/>
                <w:szCs w:val="16"/>
                <w:color w:val="auto"/>
              </w:rPr>
              <w:t>Earnings per share</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3.79</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4.13</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12.35</w:t>
            </w:r>
          </w:p>
        </w:tc>
        <w:tc>
          <w:tcPr>
            <w:tcW w:w="460" w:type="dxa"/>
            <w:vAlign w:val="bottom"/>
          </w:tcPr>
          <w:p>
            <w:pPr>
              <w:ind w:left="36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10.11</w:t>
            </w:r>
          </w:p>
        </w:tc>
      </w:tr>
      <w:tr>
        <w:trPr>
          <w:trHeight w:val="182"/>
        </w:trPr>
        <w:tc>
          <w:tcPr>
            <w:tcW w:w="8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960" w:type="dxa"/>
            <w:vAlign w:val="bottom"/>
            <w:gridSpan w:val="2"/>
          </w:tcPr>
          <w:p>
            <w:pPr>
              <w:spacing w:after="0"/>
              <w:rPr>
                <w:sz w:val="20"/>
                <w:szCs w:val="20"/>
                <w:color w:val="auto"/>
              </w:rPr>
            </w:pPr>
            <w:r>
              <w:rPr>
                <w:rFonts w:ascii="Courier New" w:cs="Courier New" w:eastAsia="Courier New" w:hAnsi="Courier New"/>
                <w:sz w:val="16"/>
                <w:szCs w:val="16"/>
                <w:color w:val="auto"/>
              </w:rPr>
              <w:t>Dividends declared per share</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2.10</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4.40</w:t>
            </w:r>
          </w:p>
        </w:tc>
        <w:tc>
          <w:tcPr>
            <w:tcW w:w="460" w:type="dxa"/>
            <w:vAlign w:val="bottom"/>
          </w:tcPr>
          <w:p>
            <w:pPr>
              <w:ind w:left="36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4.20</w:t>
            </w:r>
          </w:p>
        </w:tc>
      </w:tr>
      <w:tr>
        <w:trPr>
          <w:trHeight w:val="182"/>
        </w:trPr>
        <w:tc>
          <w:tcPr>
            <w:tcW w:w="8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960" w:type="dxa"/>
            <w:vAlign w:val="bottom"/>
            <w:gridSpan w:val="2"/>
          </w:tcPr>
          <w:p>
            <w:pPr>
              <w:spacing w:after="0"/>
              <w:rPr>
                <w:sz w:val="20"/>
                <w:szCs w:val="20"/>
                <w:color w:val="auto"/>
              </w:rPr>
            </w:pPr>
            <w:r>
              <w:rPr>
                <w:rFonts w:ascii="Courier New" w:cs="Courier New" w:eastAsia="Courier New" w:hAnsi="Courier New"/>
                <w:sz w:val="16"/>
                <w:szCs w:val="16"/>
                <w:color w:val="auto"/>
              </w:rPr>
              <w:t>Average number of shares outstanding</w:t>
            </w:r>
          </w:p>
        </w:tc>
        <w:tc>
          <w:tcPr>
            <w:tcW w:w="1080" w:type="dxa"/>
            <w:vAlign w:val="bottom"/>
          </w:tcPr>
          <w:p>
            <w:pPr>
              <w:spacing w:after="0"/>
              <w:rPr>
                <w:sz w:val="24"/>
                <w:szCs w:val="24"/>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11,019</w:t>
            </w:r>
          </w:p>
        </w:tc>
        <w:tc>
          <w:tcPr>
            <w:tcW w:w="560" w:type="dxa"/>
            <w:vAlign w:val="bottom"/>
          </w:tcPr>
          <w:p>
            <w:pPr>
              <w:spacing w:after="0"/>
              <w:rPr>
                <w:sz w:val="24"/>
                <w:szCs w:val="24"/>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11,492</w:t>
            </w:r>
          </w:p>
        </w:tc>
        <w:tc>
          <w:tcPr>
            <w:tcW w:w="580" w:type="dxa"/>
            <w:vAlign w:val="bottom"/>
          </w:tcPr>
          <w:p>
            <w:pPr>
              <w:spacing w:after="0"/>
              <w:rPr>
                <w:sz w:val="24"/>
                <w:szCs w:val="24"/>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11,108</w:t>
            </w:r>
          </w:p>
        </w:tc>
        <w:tc>
          <w:tcPr>
            <w:tcW w:w="46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11,627</w:t>
            </w:r>
          </w:p>
        </w:tc>
      </w:tr>
    </w:tbl>
    <w:p>
      <w:pPr>
        <w:sectPr>
          <w:pgSz w:w="11900" w:h="16838" w:orient="portrait"/>
          <w:cols w:equalWidth="0" w:num="1">
            <w:col w:w="11520"/>
          </w:cols>
          <w:pgMar w:left="240" w:top="295" w:right="139"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4"/>
        </w:trPr>
        <w:tc>
          <w:tcPr>
            <w:tcW w:w="6000" w:type="dxa"/>
            <w:vAlign w:val="bottom"/>
          </w:tcPr>
          <w:p>
            <w:pPr>
              <w:spacing w:after="0"/>
              <w:rPr>
                <w:sz w:val="20"/>
                <w:szCs w:val="20"/>
                <w:color w:val="auto"/>
              </w:rPr>
            </w:pPr>
            <w:r>
              <w:rPr>
                <w:rFonts w:ascii="Courier New" w:cs="Courier New" w:eastAsia="Courier New" w:hAnsi="Courier New"/>
                <w:sz w:val="16"/>
                <w:szCs w:val="16"/>
                <w:color w:val="auto"/>
              </w:rPr>
              <w:t>The Washington Post Company</w:t>
            </w: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rPr>
              <w:t>Consolidated Balance Sheets (Unaudited)</w:t>
            </w:r>
          </w:p>
        </w:tc>
        <w:tc>
          <w:tcPr>
            <w:tcW w:w="15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546"/>
        </w:trPr>
        <w:tc>
          <w:tcPr>
            <w:tcW w:w="6000" w:type="dxa"/>
            <w:vAlign w:val="bottom"/>
          </w:tcPr>
          <w:p>
            <w:pPr>
              <w:spacing w:after="0"/>
              <w:rPr>
                <w:sz w:val="24"/>
                <w:szCs w:val="24"/>
                <w:color w:val="auto"/>
              </w:rPr>
            </w:pPr>
          </w:p>
        </w:tc>
        <w:tc>
          <w:tcPr>
            <w:tcW w:w="308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October 1,</w:t>
            </w:r>
          </w:p>
        </w:tc>
        <w:tc>
          <w:tcPr>
            <w:tcW w:w="160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January 1,</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560" w:type="dxa"/>
            <w:vAlign w:val="bottom"/>
          </w:tcPr>
          <w:p>
            <w:pPr>
              <w:spacing w:after="0"/>
              <w:rPr>
                <w:sz w:val="15"/>
                <w:szCs w:val="15"/>
                <w:color w:val="auto"/>
              </w:rPr>
            </w:pPr>
          </w:p>
        </w:tc>
        <w:tc>
          <w:tcPr>
            <w:tcW w:w="15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1995</w:t>
            </w:r>
          </w:p>
        </w:tc>
        <w:tc>
          <w:tcPr>
            <w:tcW w:w="66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6000" w:type="dxa"/>
            <w:vAlign w:val="bottom"/>
          </w:tcPr>
          <w:p>
            <w:pPr>
              <w:spacing w:after="0"/>
              <w:rPr>
                <w:sz w:val="15"/>
                <w:szCs w:val="15"/>
                <w:color w:val="auto"/>
              </w:rPr>
            </w:pPr>
          </w:p>
        </w:tc>
        <w:tc>
          <w:tcPr>
            <w:tcW w:w="308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0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4"/>
        </w:trPr>
        <w:tc>
          <w:tcPr>
            <w:tcW w:w="60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106,265</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117,269</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Marketable securities</w:t>
            </w: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8,131</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24,570</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less estimated returns,</w:t>
            </w:r>
          </w:p>
        </w:tc>
        <w:tc>
          <w:tcPr>
            <w:tcW w:w="15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6000" w:type="dxa"/>
            <w:vAlign w:val="bottom"/>
          </w:tcPr>
          <w:p>
            <w:pPr>
              <w:ind w:left="560"/>
              <w:spacing w:after="0"/>
              <w:rPr>
                <w:sz w:val="20"/>
                <w:szCs w:val="20"/>
                <w:color w:val="auto"/>
              </w:rPr>
            </w:pPr>
            <w:r>
              <w:rPr>
                <w:rFonts w:ascii="Courier New" w:cs="Courier New" w:eastAsia="Courier New" w:hAnsi="Courier New"/>
                <w:sz w:val="16"/>
                <w:szCs w:val="16"/>
                <w:color w:val="auto"/>
              </w:rPr>
              <w:t>doubtful accounts and allowances</w:t>
            </w: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186,967</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175,441</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Inventories</w:t>
            </w: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31,692</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20,378</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Program rights</w:t>
            </w: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24,751</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18,972</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Other current assets</w:t>
            </w: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28,357</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19,249</w:t>
            </w:r>
          </w:p>
        </w:tc>
      </w:tr>
      <w:tr>
        <w:trPr>
          <w:trHeight w:val="182"/>
        </w:trPr>
        <w:tc>
          <w:tcPr>
            <w:tcW w:w="6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6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386,163</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375,879</w:t>
            </w:r>
          </w:p>
        </w:tc>
      </w:tr>
      <w:tr>
        <w:trPr>
          <w:trHeight w:val="364"/>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Investments in affiliates</w:t>
            </w:r>
          </w:p>
        </w:tc>
        <w:tc>
          <w:tcPr>
            <w:tcW w:w="1560" w:type="dxa"/>
            <w:vAlign w:val="bottom"/>
          </w:tcPr>
          <w:p>
            <w:pPr>
              <w:spacing w:after="0"/>
              <w:rPr>
                <w:sz w:val="24"/>
                <w:szCs w:val="24"/>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183,151</w:t>
            </w:r>
          </w:p>
        </w:tc>
        <w:tc>
          <w:tcPr>
            <w:tcW w:w="66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170,754</w:t>
            </w:r>
          </w:p>
        </w:tc>
      </w:tr>
      <w:tr>
        <w:trPr>
          <w:trHeight w:val="364"/>
        </w:trPr>
        <w:tc>
          <w:tcPr>
            <w:tcW w:w="60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Buildings</w:t>
            </w: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194,081</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185,193</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Machinery, equipment and fixtures</w:t>
            </w: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619,484</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629,043</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Leasehold improvements</w:t>
            </w: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32,969</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33,287</w:t>
            </w:r>
          </w:p>
        </w:tc>
      </w:tr>
      <w:tr>
        <w:trPr>
          <w:trHeight w:val="182"/>
        </w:trPr>
        <w:tc>
          <w:tcPr>
            <w:tcW w:w="6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6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846,534</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847,523</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560" w:type="dxa"/>
            <w:vAlign w:val="bottom"/>
          </w:tcPr>
          <w:p>
            <w:pPr>
              <w:spacing w:after="0"/>
              <w:rPr>
                <w:sz w:val="15"/>
                <w:szCs w:val="15"/>
                <w:color w:val="auto"/>
              </w:rPr>
            </w:pPr>
          </w:p>
        </w:tc>
        <w:tc>
          <w:tcPr>
            <w:tcW w:w="15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(522,307)</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(499,172)</w:t>
            </w:r>
          </w:p>
        </w:tc>
      </w:tr>
      <w:tr>
        <w:trPr>
          <w:trHeight w:val="182"/>
        </w:trPr>
        <w:tc>
          <w:tcPr>
            <w:tcW w:w="6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6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324,227</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348,351</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Land</w:t>
            </w: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32,459</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32,562</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Construction in progress</w:t>
            </w: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107,869</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30,483</w:t>
            </w:r>
          </w:p>
        </w:tc>
      </w:tr>
      <w:tr>
        <w:trPr>
          <w:trHeight w:val="182"/>
        </w:trPr>
        <w:tc>
          <w:tcPr>
            <w:tcW w:w="6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6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464,555</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411,396</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rPr>
              <w:t>Goodwill and other intangibles,</w:t>
            </w:r>
          </w:p>
        </w:tc>
        <w:tc>
          <w:tcPr>
            <w:tcW w:w="15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less accumulated amortization</w:t>
            </w: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478,934</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512,405</w:t>
            </w:r>
          </w:p>
        </w:tc>
      </w:tr>
      <w:tr>
        <w:trPr>
          <w:trHeight w:val="364"/>
        </w:trPr>
        <w:tc>
          <w:tcPr>
            <w:tcW w:w="6000" w:type="dxa"/>
            <w:vAlign w:val="bottom"/>
          </w:tcPr>
          <w:p>
            <w:pPr>
              <w:spacing w:after="0"/>
              <w:rPr>
                <w:sz w:val="20"/>
                <w:szCs w:val="20"/>
                <w:color w:val="auto"/>
              </w:rPr>
            </w:pPr>
            <w:r>
              <w:rPr>
                <w:rFonts w:ascii="Courier New" w:cs="Courier New" w:eastAsia="Courier New" w:hAnsi="Courier New"/>
                <w:sz w:val="16"/>
                <w:szCs w:val="16"/>
                <w:color w:val="auto"/>
              </w:rPr>
              <w:t>Deferred charges and other assets</w:t>
            </w:r>
          </w:p>
        </w:tc>
        <w:tc>
          <w:tcPr>
            <w:tcW w:w="1560" w:type="dxa"/>
            <w:vAlign w:val="bottom"/>
          </w:tcPr>
          <w:p>
            <w:pPr>
              <w:spacing w:after="0"/>
              <w:rPr>
                <w:sz w:val="24"/>
                <w:szCs w:val="24"/>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261,025</w:t>
            </w:r>
          </w:p>
        </w:tc>
        <w:tc>
          <w:tcPr>
            <w:tcW w:w="66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226,434</w:t>
            </w:r>
          </w:p>
        </w:tc>
      </w:tr>
      <w:tr>
        <w:trPr>
          <w:trHeight w:val="182"/>
        </w:trPr>
        <w:tc>
          <w:tcPr>
            <w:tcW w:w="6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60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1,773,828</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1,696,868</w:t>
            </w:r>
          </w:p>
        </w:tc>
      </w:tr>
      <w:tr>
        <w:trPr>
          <w:trHeight w:val="182"/>
        </w:trPr>
        <w:tc>
          <w:tcPr>
            <w:tcW w:w="6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5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4"/>
        </w:trPr>
        <w:tc>
          <w:tcPr>
            <w:tcW w:w="60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 and accrued liabilities</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205,154</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186,129</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Federal and state income taxes</w:t>
            </w: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7,800</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6,593</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Deferred subscription revenue</w:t>
            </w: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78,791</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80,351</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Current portion of long-term debt</w:t>
            </w: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50,240</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Dividends declared</w:t>
            </w: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12,105</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6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354,090</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273,073</w:t>
            </w:r>
          </w:p>
        </w:tc>
      </w:tr>
      <w:tr>
        <w:trPr>
          <w:trHeight w:val="364"/>
        </w:trPr>
        <w:tc>
          <w:tcPr>
            <w:tcW w:w="600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560" w:type="dxa"/>
            <w:vAlign w:val="bottom"/>
          </w:tcPr>
          <w:p>
            <w:pPr>
              <w:spacing w:after="0"/>
              <w:rPr>
                <w:sz w:val="24"/>
                <w:szCs w:val="24"/>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254,466</w:t>
            </w:r>
          </w:p>
        </w:tc>
        <w:tc>
          <w:tcPr>
            <w:tcW w:w="66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217,461</w:t>
            </w:r>
          </w:p>
        </w:tc>
      </w:tr>
      <w:tr>
        <w:trPr>
          <w:trHeight w:val="364"/>
        </w:trPr>
        <w:tc>
          <w:tcPr>
            <w:tcW w:w="600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560" w:type="dxa"/>
            <w:vAlign w:val="bottom"/>
          </w:tcPr>
          <w:p>
            <w:pPr>
              <w:spacing w:after="0"/>
              <w:rPr>
                <w:sz w:val="24"/>
                <w:szCs w:val="24"/>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50,297</w:t>
            </w:r>
          </w:p>
        </w:tc>
      </w:tr>
      <w:tr>
        <w:trPr>
          <w:trHeight w:val="364"/>
        </w:trPr>
        <w:tc>
          <w:tcPr>
            <w:tcW w:w="600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1560" w:type="dxa"/>
            <w:vAlign w:val="bottom"/>
          </w:tcPr>
          <w:p>
            <w:pPr>
              <w:spacing w:after="0"/>
              <w:rPr>
                <w:sz w:val="24"/>
                <w:szCs w:val="24"/>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31,466</w:t>
            </w:r>
          </w:p>
        </w:tc>
        <w:tc>
          <w:tcPr>
            <w:tcW w:w="66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29,104</w:t>
            </w:r>
          </w:p>
        </w:tc>
      </w:tr>
      <w:tr>
        <w:trPr>
          <w:trHeight w:val="182"/>
        </w:trPr>
        <w:tc>
          <w:tcPr>
            <w:tcW w:w="6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6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640,022</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569,935</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5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4"/>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Capital stock</w:t>
            </w:r>
          </w:p>
        </w:tc>
        <w:tc>
          <w:tcPr>
            <w:tcW w:w="1560" w:type="dxa"/>
            <w:vAlign w:val="bottom"/>
          </w:tcPr>
          <w:p>
            <w:pPr>
              <w:spacing w:after="0"/>
              <w:rPr>
                <w:sz w:val="24"/>
                <w:szCs w:val="24"/>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20,000</w:t>
            </w:r>
          </w:p>
        </w:tc>
        <w:tc>
          <w:tcPr>
            <w:tcW w:w="66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20,000</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Capital in excess of par value</w:t>
            </w: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24,462</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21,273</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Retained earnings</w:t>
            </w: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1,779,814</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1,691,497</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Unrealized gain on available-for-sale</w:t>
            </w:r>
          </w:p>
        </w:tc>
        <w:tc>
          <w:tcPr>
            <w:tcW w:w="15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6000" w:type="dxa"/>
            <w:vAlign w:val="bottom"/>
          </w:tcPr>
          <w:p>
            <w:pPr>
              <w:ind w:left="560"/>
              <w:spacing w:after="0"/>
              <w:rPr>
                <w:sz w:val="20"/>
                <w:szCs w:val="20"/>
                <w:color w:val="auto"/>
              </w:rPr>
            </w:pPr>
            <w:r>
              <w:rPr>
                <w:rFonts w:ascii="Courier New" w:cs="Courier New" w:eastAsia="Courier New" w:hAnsi="Courier New"/>
                <w:sz w:val="16"/>
                <w:szCs w:val="16"/>
                <w:color w:val="auto"/>
              </w:rPr>
              <w:t>securities</w:t>
            </w: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5,814</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2,933</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Cumulative foreign currency translation</w:t>
            </w:r>
          </w:p>
        </w:tc>
        <w:tc>
          <w:tcPr>
            <w:tcW w:w="15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6000" w:type="dxa"/>
            <w:vAlign w:val="bottom"/>
          </w:tcPr>
          <w:p>
            <w:pPr>
              <w:ind w:left="560"/>
              <w:spacing w:after="0"/>
              <w:rPr>
                <w:sz w:val="20"/>
                <w:szCs w:val="20"/>
                <w:color w:val="auto"/>
              </w:rPr>
            </w:pPr>
            <w:r>
              <w:rPr>
                <w:rFonts w:ascii="Courier New" w:cs="Courier New" w:eastAsia="Courier New" w:hAnsi="Courier New"/>
                <w:sz w:val="16"/>
                <w:szCs w:val="16"/>
                <w:color w:val="auto"/>
              </w:rPr>
              <w:t>adjustment</w:t>
            </w: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6,015</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5,328</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Cost of Class B common stock held in Treasury</w:t>
            </w:r>
          </w:p>
        </w:tc>
        <w:tc>
          <w:tcPr>
            <w:tcW w:w="1560" w:type="dxa"/>
            <w:vAlign w:val="bottom"/>
          </w:tcPr>
          <w:p>
            <w:pPr>
              <w:spacing w:after="0"/>
              <w:rPr>
                <w:sz w:val="15"/>
                <w:szCs w:val="15"/>
                <w:color w:val="auto"/>
              </w:rPr>
            </w:pPr>
          </w:p>
        </w:tc>
        <w:tc>
          <w:tcPr>
            <w:tcW w:w="15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(702,299)</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(614,098)</w:t>
            </w:r>
          </w:p>
        </w:tc>
      </w:tr>
      <w:tr>
        <w:trPr>
          <w:trHeight w:val="182"/>
        </w:trPr>
        <w:tc>
          <w:tcPr>
            <w:tcW w:w="6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6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1,133,806</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1,126,933</w:t>
            </w:r>
          </w:p>
        </w:tc>
      </w:tr>
      <w:tr>
        <w:trPr>
          <w:trHeight w:val="182"/>
        </w:trPr>
        <w:tc>
          <w:tcPr>
            <w:tcW w:w="6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60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1,773,828</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1,696,868</w:t>
            </w:r>
          </w:p>
        </w:tc>
      </w:tr>
      <w:tr>
        <w:trPr>
          <w:trHeight w:val="182"/>
        </w:trPr>
        <w:tc>
          <w:tcPr>
            <w:tcW w:w="6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7"/>
              </w:rPr>
              <w:t>=========</w:t>
            </w:r>
          </w:p>
        </w:tc>
        <w:tc>
          <w:tcPr>
            <w:tcW w:w="6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w:t>
            </w:r>
          </w:p>
        </w:tc>
      </w:tr>
    </w:tbl>
    <w:p>
      <w:pPr>
        <w:sectPr>
          <w:pgSz w:w="11900" w:h="16838" w:orient="portrait"/>
          <w:cols w:equalWidth="0" w:num="1">
            <w:col w:w="10680"/>
          </w:cols>
          <w:pgMar w:left="240" w:top="295" w:right="979"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00" w:type="dxa"/>
            <w:vAlign w:val="bottom"/>
          </w:tcPr>
          <w:p>
            <w:pPr>
              <w:spacing w:after="0"/>
              <w:rPr>
                <w:sz w:val="15"/>
                <w:szCs w:val="15"/>
                <w:color w:val="auto"/>
              </w:rPr>
            </w:pPr>
          </w:p>
        </w:tc>
        <w:tc>
          <w:tcPr>
            <w:tcW w:w="3220" w:type="dxa"/>
            <w:vAlign w:val="bottom"/>
          </w:tcPr>
          <w:p>
            <w:pPr>
              <w:jc w:val="right"/>
              <w:ind w:right="1681"/>
              <w:spacing w:after="0"/>
              <w:rPr>
                <w:sz w:val="20"/>
                <w:szCs w:val="20"/>
                <w:color w:val="auto"/>
              </w:rPr>
            </w:pPr>
            <w:r>
              <w:rPr>
                <w:rFonts w:ascii="Courier New" w:cs="Courier New" w:eastAsia="Courier New" w:hAnsi="Courier New"/>
                <w:sz w:val="16"/>
                <w:szCs w:val="16"/>
                <w:color w:val="auto"/>
              </w:rPr>
              <w:t>5.</w:t>
            </w:r>
          </w:p>
        </w:tc>
        <w:tc>
          <w:tcPr>
            <w:tcW w:w="1460" w:type="dxa"/>
            <w:vAlign w:val="bottom"/>
          </w:tcPr>
          <w:p>
            <w:pPr>
              <w:spacing w:after="0"/>
              <w:rPr>
                <w:sz w:val="15"/>
                <w:szCs w:val="15"/>
                <w:color w:val="auto"/>
              </w:rPr>
            </w:pPr>
          </w:p>
        </w:tc>
      </w:tr>
      <w:tr>
        <w:trPr>
          <w:trHeight w:val="546"/>
        </w:trPr>
        <w:tc>
          <w:tcPr>
            <w:tcW w:w="6100" w:type="dxa"/>
            <w:vAlign w:val="bottom"/>
          </w:tcPr>
          <w:p>
            <w:pPr>
              <w:spacing w:after="0"/>
              <w:rPr>
                <w:sz w:val="20"/>
                <w:szCs w:val="20"/>
                <w:color w:val="auto"/>
              </w:rPr>
            </w:pPr>
            <w:r>
              <w:rPr>
                <w:rFonts w:ascii="Courier New" w:cs="Courier New" w:eastAsia="Courier New" w:hAnsi="Courier New"/>
                <w:sz w:val="16"/>
                <w:szCs w:val="16"/>
                <w:color w:val="auto"/>
              </w:rPr>
              <w:t>The Washington Post Company</w:t>
            </w:r>
          </w:p>
        </w:tc>
        <w:tc>
          <w:tcPr>
            <w:tcW w:w="3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2"/>
        </w:trPr>
        <w:tc>
          <w:tcPr>
            <w:tcW w:w="6100" w:type="dxa"/>
            <w:vAlign w:val="bottom"/>
          </w:tcPr>
          <w:p>
            <w:pPr>
              <w:spacing w:after="0"/>
              <w:rPr>
                <w:sz w:val="20"/>
                <w:szCs w:val="20"/>
                <w:color w:val="auto"/>
              </w:rPr>
            </w:pPr>
            <w:r>
              <w:rPr>
                <w:rFonts w:ascii="Courier New" w:cs="Courier New" w:eastAsia="Courier New" w:hAnsi="Courier New"/>
                <w:sz w:val="16"/>
                <w:szCs w:val="16"/>
                <w:color w:val="auto"/>
              </w:rPr>
              <w:t>Consolidated Statements of Cash Flows (Unaudited)</w:t>
            </w:r>
          </w:p>
        </w:tc>
        <w:tc>
          <w:tcPr>
            <w:tcW w:w="3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546"/>
        </w:trPr>
        <w:tc>
          <w:tcPr>
            <w:tcW w:w="6100" w:type="dxa"/>
            <w:vAlign w:val="bottom"/>
          </w:tcPr>
          <w:p>
            <w:pPr>
              <w:spacing w:after="0"/>
              <w:rPr>
                <w:sz w:val="24"/>
                <w:szCs w:val="24"/>
                <w:color w:val="auto"/>
              </w:rPr>
            </w:pPr>
          </w:p>
        </w:tc>
        <w:tc>
          <w:tcPr>
            <w:tcW w:w="46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Thirty-nine Weeks Ended</w:t>
            </w:r>
          </w:p>
        </w:tc>
      </w:tr>
      <w:tr>
        <w:trPr>
          <w:trHeight w:val="182"/>
        </w:trPr>
        <w:tc>
          <w:tcPr>
            <w:tcW w:w="6100" w:type="dxa"/>
            <w:vAlign w:val="bottom"/>
          </w:tcPr>
          <w:p>
            <w:pPr>
              <w:spacing w:after="0"/>
              <w:rPr>
                <w:sz w:val="15"/>
                <w:szCs w:val="15"/>
                <w:color w:val="auto"/>
              </w:rPr>
            </w:pPr>
          </w:p>
        </w:tc>
        <w:tc>
          <w:tcPr>
            <w:tcW w:w="4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100" w:type="dxa"/>
            <w:vAlign w:val="bottom"/>
          </w:tcPr>
          <w:p>
            <w:pPr>
              <w:spacing w:after="0"/>
              <w:rPr>
                <w:sz w:val="15"/>
                <w:szCs w:val="15"/>
                <w:color w:val="auto"/>
              </w:rPr>
            </w:pP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October 1,</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October 2,</w:t>
            </w:r>
          </w:p>
        </w:tc>
      </w:tr>
      <w:tr>
        <w:trPr>
          <w:trHeight w:val="182"/>
        </w:trPr>
        <w:tc>
          <w:tcPr>
            <w:tcW w:w="610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322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1995</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6100" w:type="dxa"/>
            <w:vAlign w:val="bottom"/>
          </w:tcPr>
          <w:p>
            <w:pPr>
              <w:spacing w:after="0"/>
              <w:rPr>
                <w:sz w:val="15"/>
                <w:szCs w:val="15"/>
                <w:color w:val="auto"/>
              </w:rPr>
            </w:pP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1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2"/>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$137,205</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$117,521</w:t>
            </w:r>
          </w:p>
        </w:tc>
      </w:tr>
      <w:tr>
        <w:trPr>
          <w:trHeight w:val="182"/>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3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6100" w:type="dxa"/>
            <w:vAlign w:val="bottom"/>
          </w:tcPr>
          <w:p>
            <w:pPr>
              <w:ind w:left="560"/>
              <w:spacing w:after="0"/>
              <w:rPr>
                <w:sz w:val="20"/>
                <w:szCs w:val="20"/>
                <w:color w:val="auto"/>
              </w:rPr>
            </w:pPr>
            <w:r>
              <w:rPr>
                <w:rFonts w:ascii="Courier New" w:cs="Courier New" w:eastAsia="Courier New" w:hAnsi="Courier New"/>
                <w:sz w:val="16"/>
                <w:szCs w:val="16"/>
                <w:color w:val="auto"/>
              </w:rPr>
              <w:t>provided by operating activities:</w:t>
            </w:r>
          </w:p>
        </w:tc>
        <w:tc>
          <w:tcPr>
            <w:tcW w:w="3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Depreciation and amortization of property, plant</w:t>
            </w:r>
          </w:p>
        </w:tc>
        <w:tc>
          <w:tcPr>
            <w:tcW w:w="3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6100" w:type="dxa"/>
            <w:vAlign w:val="bottom"/>
          </w:tcPr>
          <w:p>
            <w:pPr>
              <w:ind w:left="560"/>
              <w:spacing w:after="0"/>
              <w:rPr>
                <w:sz w:val="20"/>
                <w:szCs w:val="20"/>
                <w:color w:val="auto"/>
              </w:rPr>
            </w:pPr>
            <w:r>
              <w:rPr>
                <w:rFonts w:ascii="Courier New" w:cs="Courier New" w:eastAsia="Courier New" w:hAnsi="Courier New"/>
                <w:sz w:val="16"/>
                <w:szCs w:val="16"/>
                <w:color w:val="auto"/>
              </w:rPr>
              <w:t>and equipment</w:t>
            </w: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49,123</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45,733</w:t>
            </w:r>
          </w:p>
        </w:tc>
      </w:tr>
      <w:tr>
        <w:trPr>
          <w:trHeight w:val="182"/>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Amortization of goodwill and other intangibles</w:t>
            </w: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24,944</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18,103</w:t>
            </w:r>
          </w:p>
        </w:tc>
      </w:tr>
      <w:tr>
        <w:trPr>
          <w:trHeight w:val="182"/>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Amortization of program rights</w:t>
            </w: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17,951</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15,923</w:t>
            </w:r>
          </w:p>
        </w:tc>
      </w:tr>
      <w:tr>
        <w:trPr>
          <w:trHeight w:val="182"/>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Provision for doubtful accounts</w:t>
            </w: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40,794</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43,563</w:t>
            </w:r>
          </w:p>
        </w:tc>
      </w:tr>
      <w:tr>
        <w:trPr>
          <w:trHeight w:val="182"/>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Gain on disposition of businesses, net</w:t>
            </w:r>
          </w:p>
        </w:tc>
        <w:tc>
          <w:tcPr>
            <w:tcW w:w="3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(1,341)</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Increase in income taxes payable</w:t>
            </w: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1,207</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2,286</w:t>
            </w:r>
          </w:p>
        </w:tc>
      </w:tr>
      <w:tr>
        <w:trPr>
          <w:trHeight w:val="182"/>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Provision for deferred income taxes</w:t>
            </w:r>
          </w:p>
        </w:tc>
        <w:tc>
          <w:tcPr>
            <w:tcW w:w="3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(8,727)</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(2,521)</w:t>
            </w:r>
          </w:p>
        </w:tc>
      </w:tr>
      <w:tr>
        <w:trPr>
          <w:trHeight w:val="182"/>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Change in assets and liabilities:</w:t>
            </w:r>
          </w:p>
        </w:tc>
        <w:tc>
          <w:tcPr>
            <w:tcW w:w="3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6100" w:type="dxa"/>
            <w:vAlign w:val="bottom"/>
          </w:tcPr>
          <w:p>
            <w:pPr>
              <w:ind w:left="560"/>
              <w:spacing w:after="0"/>
              <w:rPr>
                <w:sz w:val="20"/>
                <w:szCs w:val="20"/>
                <w:color w:val="auto"/>
              </w:rPr>
            </w:pPr>
            <w:r>
              <w:rPr>
                <w:rFonts w:ascii="Courier New" w:cs="Courier New" w:eastAsia="Courier New" w:hAnsi="Courier New"/>
                <w:sz w:val="16"/>
                <w:szCs w:val="16"/>
                <w:color w:val="auto"/>
              </w:rPr>
              <w:t>(Increase) in accounts receivable</w:t>
            </w:r>
          </w:p>
        </w:tc>
        <w:tc>
          <w:tcPr>
            <w:tcW w:w="3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(52,642)</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(69,171)</w:t>
            </w:r>
          </w:p>
        </w:tc>
      </w:tr>
      <w:tr>
        <w:trPr>
          <w:trHeight w:val="182"/>
        </w:trPr>
        <w:tc>
          <w:tcPr>
            <w:tcW w:w="6100" w:type="dxa"/>
            <w:vAlign w:val="bottom"/>
          </w:tcPr>
          <w:p>
            <w:pPr>
              <w:ind w:left="560"/>
              <w:spacing w:after="0"/>
              <w:rPr>
                <w:sz w:val="20"/>
                <w:szCs w:val="20"/>
                <w:color w:val="auto"/>
              </w:rPr>
            </w:pPr>
            <w:r>
              <w:rPr>
                <w:rFonts w:ascii="Courier New" w:cs="Courier New" w:eastAsia="Courier New" w:hAnsi="Courier New"/>
                <w:sz w:val="16"/>
                <w:szCs w:val="16"/>
                <w:color w:val="auto"/>
              </w:rPr>
              <w:t>(Increase) in inventories</w:t>
            </w:r>
          </w:p>
        </w:tc>
        <w:tc>
          <w:tcPr>
            <w:tcW w:w="3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(11,314)</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(2,154)</w:t>
            </w:r>
          </w:p>
        </w:tc>
      </w:tr>
      <w:tr>
        <w:trPr>
          <w:trHeight w:val="182"/>
        </w:trPr>
        <w:tc>
          <w:tcPr>
            <w:tcW w:w="6100" w:type="dxa"/>
            <w:vAlign w:val="bottom"/>
          </w:tcPr>
          <w:p>
            <w:pPr>
              <w:ind w:left="560"/>
              <w:spacing w:after="0"/>
              <w:rPr>
                <w:sz w:val="20"/>
                <w:szCs w:val="20"/>
                <w:color w:val="auto"/>
              </w:rPr>
            </w:pPr>
            <w:r>
              <w:rPr>
                <w:rFonts w:ascii="Courier New" w:cs="Courier New" w:eastAsia="Courier New" w:hAnsi="Courier New"/>
                <w:sz w:val="16"/>
                <w:szCs w:val="16"/>
                <w:color w:val="auto"/>
              </w:rPr>
              <w:t>Increase in accounts payable and accrued</w:t>
            </w:r>
          </w:p>
        </w:tc>
        <w:tc>
          <w:tcPr>
            <w:tcW w:w="3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6100" w:type="dxa"/>
            <w:vAlign w:val="bottom"/>
          </w:tcPr>
          <w:p>
            <w:pPr>
              <w:ind w:left="840"/>
              <w:spacing w:after="0"/>
              <w:rPr>
                <w:sz w:val="20"/>
                <w:szCs w:val="20"/>
                <w:color w:val="auto"/>
              </w:rPr>
            </w:pPr>
            <w:r>
              <w:rPr>
                <w:rFonts w:ascii="Courier New" w:cs="Courier New" w:eastAsia="Courier New" w:hAnsi="Courier New"/>
                <w:sz w:val="16"/>
                <w:szCs w:val="16"/>
                <w:color w:val="auto"/>
              </w:rPr>
              <w:t>liabilities</w:t>
            </w: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17,628</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17,131</w:t>
            </w:r>
          </w:p>
        </w:tc>
      </w:tr>
      <w:tr>
        <w:trPr>
          <w:trHeight w:val="182"/>
        </w:trPr>
        <w:tc>
          <w:tcPr>
            <w:tcW w:w="6100" w:type="dxa"/>
            <w:vAlign w:val="bottom"/>
          </w:tcPr>
          <w:p>
            <w:pPr>
              <w:ind w:left="560"/>
              <w:spacing w:after="0"/>
              <w:rPr>
                <w:sz w:val="20"/>
                <w:szCs w:val="20"/>
                <w:color w:val="auto"/>
              </w:rPr>
            </w:pPr>
            <w:r>
              <w:rPr>
                <w:rFonts w:ascii="Courier New" w:cs="Courier New" w:eastAsia="Courier New" w:hAnsi="Courier New"/>
                <w:sz w:val="16"/>
                <w:szCs w:val="16"/>
                <w:color w:val="auto"/>
              </w:rPr>
              <w:t>Other</w:t>
            </w:r>
          </w:p>
        </w:tc>
        <w:tc>
          <w:tcPr>
            <w:tcW w:w="3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(25,299)</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(12,644)</w:t>
            </w:r>
          </w:p>
        </w:tc>
      </w:tr>
      <w:tr>
        <w:trPr>
          <w:trHeight w:val="182"/>
        </w:trPr>
        <w:tc>
          <w:tcPr>
            <w:tcW w:w="6100" w:type="dxa"/>
            <w:vAlign w:val="bottom"/>
          </w:tcPr>
          <w:p>
            <w:pPr>
              <w:spacing w:after="0"/>
              <w:rPr>
                <w:sz w:val="15"/>
                <w:szCs w:val="15"/>
                <w:color w:val="auto"/>
              </w:rPr>
            </w:pP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100" w:type="dxa"/>
            <w:vAlign w:val="bottom"/>
          </w:tcPr>
          <w:p>
            <w:pPr>
              <w:ind w:left="84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189,529</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173,770</w:t>
            </w:r>
          </w:p>
        </w:tc>
      </w:tr>
      <w:tr>
        <w:trPr>
          <w:trHeight w:val="182"/>
        </w:trPr>
        <w:tc>
          <w:tcPr>
            <w:tcW w:w="6100" w:type="dxa"/>
            <w:vAlign w:val="bottom"/>
          </w:tcPr>
          <w:p>
            <w:pPr>
              <w:spacing w:after="0"/>
              <w:rPr>
                <w:sz w:val="15"/>
                <w:szCs w:val="15"/>
                <w:color w:val="auto"/>
              </w:rPr>
            </w:pP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1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3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2"/>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Proceeds from sale of business</w:t>
            </w: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32,743</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Purchases of property, plant and equipment</w:t>
            </w:r>
          </w:p>
        </w:tc>
        <w:tc>
          <w:tcPr>
            <w:tcW w:w="3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(106,311)</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(64,862)</w:t>
            </w:r>
          </w:p>
        </w:tc>
      </w:tr>
      <w:tr>
        <w:trPr>
          <w:trHeight w:val="182"/>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Purchases of marketable securities</w:t>
            </w:r>
          </w:p>
        </w:tc>
        <w:tc>
          <w:tcPr>
            <w:tcW w:w="3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(51,116)</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(14,657)</w:t>
            </w:r>
          </w:p>
        </w:tc>
      </w:tr>
      <w:tr>
        <w:trPr>
          <w:trHeight w:val="182"/>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Proceeds from sales of marketable securities</w:t>
            </w: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67,453</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256,617</w:t>
            </w:r>
          </w:p>
        </w:tc>
      </w:tr>
      <w:tr>
        <w:trPr>
          <w:trHeight w:val="182"/>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Investments in certain businesses</w:t>
            </w:r>
          </w:p>
        </w:tc>
        <w:tc>
          <w:tcPr>
            <w:tcW w:w="3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(1,568)</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(284,089)</w:t>
            </w:r>
          </w:p>
        </w:tc>
      </w:tr>
      <w:tr>
        <w:trPr>
          <w:trHeight w:val="182"/>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Payments for program rights</w:t>
            </w:r>
          </w:p>
        </w:tc>
        <w:tc>
          <w:tcPr>
            <w:tcW w:w="3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(15,483)</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(14,819)</w:t>
            </w:r>
          </w:p>
        </w:tc>
      </w:tr>
      <w:tr>
        <w:trPr>
          <w:trHeight w:val="182"/>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116</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249</w:t>
            </w:r>
          </w:p>
        </w:tc>
      </w:tr>
      <w:tr>
        <w:trPr>
          <w:trHeight w:val="182"/>
        </w:trPr>
        <w:tc>
          <w:tcPr>
            <w:tcW w:w="6100" w:type="dxa"/>
            <w:vAlign w:val="bottom"/>
          </w:tcPr>
          <w:p>
            <w:pPr>
              <w:spacing w:after="0"/>
              <w:rPr>
                <w:sz w:val="15"/>
                <w:szCs w:val="15"/>
                <w:color w:val="auto"/>
              </w:rPr>
            </w:pP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100" w:type="dxa"/>
            <w:vAlign w:val="bottom"/>
          </w:tcPr>
          <w:p>
            <w:pPr>
              <w:ind w:left="560"/>
              <w:spacing w:after="0"/>
              <w:rPr>
                <w:sz w:val="20"/>
                <w:szCs w:val="20"/>
                <w:color w:val="auto"/>
              </w:rPr>
            </w:pPr>
            <w:r>
              <w:rPr>
                <w:rFonts w:ascii="Courier New" w:cs="Courier New" w:eastAsia="Courier New" w:hAnsi="Courier New"/>
                <w:sz w:val="16"/>
                <w:szCs w:val="16"/>
                <w:color w:val="auto"/>
              </w:rPr>
              <w:t>Net cash (used) by investing activities</w:t>
            </w:r>
          </w:p>
        </w:tc>
        <w:tc>
          <w:tcPr>
            <w:tcW w:w="3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(74,166)</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(121,561)</w:t>
            </w:r>
          </w:p>
        </w:tc>
      </w:tr>
      <w:tr>
        <w:trPr>
          <w:trHeight w:val="182"/>
        </w:trPr>
        <w:tc>
          <w:tcPr>
            <w:tcW w:w="6100" w:type="dxa"/>
            <w:vAlign w:val="bottom"/>
          </w:tcPr>
          <w:p>
            <w:pPr>
              <w:spacing w:after="0"/>
              <w:rPr>
                <w:sz w:val="15"/>
                <w:szCs w:val="15"/>
                <w:color w:val="auto"/>
              </w:rPr>
            </w:pP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1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3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2"/>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Principal payments on debt</w:t>
            </w:r>
          </w:p>
        </w:tc>
        <w:tc>
          <w:tcPr>
            <w:tcW w:w="32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(1,400)</w:t>
            </w:r>
          </w:p>
        </w:tc>
      </w:tr>
      <w:tr>
        <w:trPr>
          <w:trHeight w:val="182"/>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Dividends paid</w:t>
            </w:r>
          </w:p>
        </w:tc>
        <w:tc>
          <w:tcPr>
            <w:tcW w:w="3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(36,783)</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(36,660)</w:t>
            </w:r>
          </w:p>
        </w:tc>
      </w:tr>
      <w:tr>
        <w:trPr>
          <w:trHeight w:val="182"/>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Common shares repurchased</w:t>
            </w:r>
          </w:p>
        </w:tc>
        <w:tc>
          <w:tcPr>
            <w:tcW w:w="3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(89,584)</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(52,679)</w:t>
            </w:r>
          </w:p>
        </w:tc>
      </w:tr>
      <w:tr>
        <w:trPr>
          <w:trHeight w:val="182"/>
        </w:trPr>
        <w:tc>
          <w:tcPr>
            <w:tcW w:w="6100" w:type="dxa"/>
            <w:vAlign w:val="bottom"/>
          </w:tcPr>
          <w:p>
            <w:pPr>
              <w:spacing w:after="0"/>
              <w:rPr>
                <w:sz w:val="15"/>
                <w:szCs w:val="15"/>
                <w:color w:val="auto"/>
              </w:rPr>
            </w:pP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100" w:type="dxa"/>
            <w:vAlign w:val="bottom"/>
          </w:tcPr>
          <w:p>
            <w:pPr>
              <w:ind w:left="560"/>
              <w:spacing w:after="0"/>
              <w:rPr>
                <w:sz w:val="20"/>
                <w:szCs w:val="20"/>
                <w:color w:val="auto"/>
              </w:rPr>
            </w:pPr>
            <w:r>
              <w:rPr>
                <w:rFonts w:ascii="Courier New" w:cs="Courier New" w:eastAsia="Courier New" w:hAnsi="Courier New"/>
                <w:sz w:val="16"/>
                <w:szCs w:val="16"/>
                <w:color w:val="auto"/>
              </w:rPr>
              <w:t>Net cash (used) by financing activities</w:t>
            </w:r>
          </w:p>
        </w:tc>
        <w:tc>
          <w:tcPr>
            <w:tcW w:w="3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(126,367)</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(90,739)</w:t>
            </w:r>
          </w:p>
        </w:tc>
      </w:tr>
      <w:tr>
        <w:trPr>
          <w:trHeight w:val="182"/>
        </w:trPr>
        <w:tc>
          <w:tcPr>
            <w:tcW w:w="6100" w:type="dxa"/>
            <w:vAlign w:val="bottom"/>
          </w:tcPr>
          <w:p>
            <w:pPr>
              <w:spacing w:after="0"/>
              <w:rPr>
                <w:sz w:val="15"/>
                <w:szCs w:val="15"/>
                <w:color w:val="auto"/>
              </w:rPr>
            </w:pP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100" w:type="dxa"/>
            <w:vAlign w:val="bottom"/>
          </w:tcPr>
          <w:p>
            <w:pPr>
              <w:spacing w:after="0"/>
              <w:rPr>
                <w:sz w:val="20"/>
                <w:szCs w:val="20"/>
                <w:color w:val="auto"/>
              </w:rPr>
            </w:pPr>
            <w:r>
              <w:rPr>
                <w:rFonts w:ascii="Courier New" w:cs="Courier New" w:eastAsia="Courier New" w:hAnsi="Courier New"/>
                <w:sz w:val="16"/>
                <w:szCs w:val="16"/>
                <w:color w:val="auto"/>
              </w:rPr>
              <w:t>Net (decrease) in cash and cash equivalents</w:t>
            </w:r>
          </w:p>
        </w:tc>
        <w:tc>
          <w:tcPr>
            <w:tcW w:w="32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(11,004)</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(38,530)</w:t>
            </w:r>
          </w:p>
        </w:tc>
      </w:tr>
      <w:tr>
        <w:trPr>
          <w:trHeight w:val="364"/>
        </w:trPr>
        <w:tc>
          <w:tcPr>
            <w:tcW w:w="6100" w:type="dxa"/>
            <w:vAlign w:val="bottom"/>
          </w:tcPr>
          <w:p>
            <w:pPr>
              <w:spacing w:after="0"/>
              <w:rPr>
                <w:sz w:val="20"/>
                <w:szCs w:val="20"/>
                <w:color w:val="auto"/>
              </w:rPr>
            </w:pPr>
            <w:r>
              <w:rPr>
                <w:rFonts w:ascii="Courier New" w:cs="Courier New" w:eastAsia="Courier New" w:hAnsi="Courier New"/>
                <w:sz w:val="16"/>
                <w:szCs w:val="16"/>
                <w:color w:val="auto"/>
              </w:rPr>
              <w:t>Beginning cash and cash equivalents</w:t>
            </w: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117,269</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171,512</w:t>
            </w:r>
          </w:p>
        </w:tc>
      </w:tr>
      <w:tr>
        <w:trPr>
          <w:trHeight w:val="182"/>
        </w:trPr>
        <w:tc>
          <w:tcPr>
            <w:tcW w:w="6100" w:type="dxa"/>
            <w:vAlign w:val="bottom"/>
          </w:tcPr>
          <w:p>
            <w:pPr>
              <w:spacing w:after="0"/>
              <w:rPr>
                <w:sz w:val="15"/>
                <w:szCs w:val="15"/>
                <w:color w:val="auto"/>
              </w:rPr>
            </w:pP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100" w:type="dxa"/>
            <w:vAlign w:val="bottom"/>
          </w:tcPr>
          <w:p>
            <w:pPr>
              <w:spacing w:after="0"/>
              <w:rPr>
                <w:sz w:val="20"/>
                <w:szCs w:val="20"/>
                <w:color w:val="auto"/>
              </w:rPr>
            </w:pPr>
            <w:r>
              <w:rPr>
                <w:rFonts w:ascii="Courier New" w:cs="Courier New" w:eastAsia="Courier New" w:hAnsi="Courier New"/>
                <w:sz w:val="16"/>
                <w:szCs w:val="16"/>
                <w:color w:val="auto"/>
              </w:rPr>
              <w:t>Ending cash and cash equivalents</w:t>
            </w: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$106,265</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$132,982</w:t>
            </w:r>
          </w:p>
        </w:tc>
      </w:tr>
      <w:tr>
        <w:trPr>
          <w:trHeight w:val="182"/>
        </w:trPr>
        <w:tc>
          <w:tcPr>
            <w:tcW w:w="6100" w:type="dxa"/>
            <w:vAlign w:val="bottom"/>
          </w:tcPr>
          <w:p>
            <w:pPr>
              <w:spacing w:after="0"/>
              <w:rPr>
                <w:sz w:val="15"/>
                <w:szCs w:val="15"/>
                <w:color w:val="auto"/>
              </w:rPr>
            </w:pPr>
          </w:p>
        </w:tc>
        <w:tc>
          <w:tcPr>
            <w:tcW w:w="32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780"/>
          </w:cols>
          <w:pgMar w:left="240" w:top="295"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0" w:right="4360" w:hanging="94"/>
        <w:spacing w:after="0" w:line="237" w:lineRule="auto"/>
        <w:rPr>
          <w:sz w:val="20"/>
          <w:szCs w:val="20"/>
          <w:color w:val="auto"/>
        </w:rPr>
      </w:pPr>
      <w:r>
        <w:rPr>
          <w:rFonts w:ascii="Courier New" w:cs="Courier New" w:eastAsia="Courier New" w:hAnsi="Courier New"/>
          <w:sz w:val="16"/>
          <w:szCs w:val="16"/>
          <w:color w:val="auto"/>
        </w:rPr>
        <w:t>*Certain amounts in 1994 have been reclassified to conform with 1995 presentation.</w:t>
      </w:r>
    </w:p>
    <w:p>
      <w:pPr>
        <w:sectPr>
          <w:pgSz w:w="11900" w:h="16838" w:orient="portrait"/>
          <w:cols w:equalWidth="0" w:num="1">
            <w:col w:w="10780"/>
          </w:cols>
          <w:pgMar w:left="240" w:top="295" w:right="879"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1" w:lineRule="exact"/>
        <w:rPr>
          <w:sz w:val="20"/>
          <w:szCs w:val="20"/>
          <w:color w:val="auto"/>
        </w:rPr>
      </w:pPr>
    </w:p>
    <w:p>
      <w:pPr>
        <w:jc w:val="right"/>
        <w:ind w:right="140"/>
        <w:spacing w:after="0"/>
        <w:rPr>
          <w:sz w:val="20"/>
          <w:szCs w:val="20"/>
          <w:color w:val="auto"/>
        </w:rPr>
      </w:pPr>
      <w:r>
        <w:rPr>
          <w:rFonts w:ascii="Courier New" w:cs="Courier New" w:eastAsia="Courier New" w:hAnsi="Courier New"/>
          <w:sz w:val="16"/>
          <w:szCs w:val="16"/>
          <w:color w:val="auto"/>
        </w:rPr>
        <w:t>6.</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Washington Post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368" w:lineRule="exact"/>
        <w:rPr>
          <w:sz w:val="20"/>
          <w:szCs w:val="20"/>
          <w:color w:val="auto"/>
        </w:rPr>
      </w:pPr>
    </w:p>
    <w:p>
      <w:pPr>
        <w:ind w:right="240"/>
        <w:spacing w:after="0" w:line="259" w:lineRule="auto"/>
        <w:rPr>
          <w:sz w:val="20"/>
          <w:szCs w:val="20"/>
          <w:color w:val="auto"/>
        </w:rPr>
      </w:pPr>
      <w:r>
        <w:rPr>
          <w:rFonts w:ascii="Courier New" w:cs="Courier New" w:eastAsia="Courier New" w:hAnsi="Courier New"/>
          <w:sz w:val="15"/>
          <w:szCs w:val="15"/>
          <w:color w:val="auto"/>
        </w:rPr>
        <w:t>Note 1: 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74" w:lineRule="exact"/>
        <w:rPr>
          <w:sz w:val="20"/>
          <w:szCs w:val="20"/>
          <w:color w:val="auto"/>
        </w:rPr>
      </w:pPr>
    </w:p>
    <w:p>
      <w:pPr>
        <w:ind w:right="420"/>
        <w:spacing w:after="0" w:line="238" w:lineRule="auto"/>
        <w:rPr>
          <w:sz w:val="20"/>
          <w:szCs w:val="20"/>
          <w:color w:val="auto"/>
        </w:rPr>
      </w:pPr>
      <w:r>
        <w:rPr>
          <w:rFonts w:ascii="Courier New" w:cs="Courier New" w:eastAsia="Courier New" w:hAnsi="Courier New"/>
          <w:sz w:val="16"/>
          <w:szCs w:val="16"/>
          <w:color w:val="auto"/>
        </w:rPr>
        <w:t>Note 2: Summarized combined (unaudited) results of operations for the third quarter and year-to-date of 1995 and 1994 for the company's affiliates are as follows (in thousands):</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41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Third Quarter</w:t>
            </w:r>
          </w:p>
        </w:tc>
      </w:tr>
      <w:tr>
        <w:trPr>
          <w:trHeight w:val="182"/>
        </w:trPr>
        <w:tc>
          <w:tcPr>
            <w:tcW w:w="3400" w:type="dxa"/>
            <w:vAlign w:val="bottom"/>
          </w:tcPr>
          <w:p>
            <w:pPr>
              <w:spacing w:after="0"/>
              <w:rPr>
                <w:sz w:val="15"/>
                <w:szCs w:val="15"/>
                <w:color w:val="auto"/>
              </w:rPr>
            </w:pPr>
          </w:p>
        </w:tc>
        <w:tc>
          <w:tcPr>
            <w:tcW w:w="4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400" w:type="dxa"/>
            <w:vAlign w:val="bottom"/>
          </w:tcPr>
          <w:p>
            <w:pPr>
              <w:spacing w:after="0"/>
              <w:rPr>
                <w:sz w:val="15"/>
                <w:szCs w:val="15"/>
                <w:color w:val="auto"/>
              </w:rPr>
            </w:pPr>
          </w:p>
        </w:tc>
        <w:tc>
          <w:tcPr>
            <w:tcW w:w="2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1995</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3400" w:type="dxa"/>
            <w:vAlign w:val="bottom"/>
          </w:tcPr>
          <w:p>
            <w:pPr>
              <w:spacing w:after="0"/>
              <w:rPr>
                <w:sz w:val="15"/>
                <w:szCs w:val="15"/>
                <w:color w:val="auto"/>
              </w:rPr>
            </w:pPr>
          </w:p>
        </w:tc>
        <w:tc>
          <w:tcPr>
            <w:tcW w:w="2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40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2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$229,936</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$195,459</w:t>
            </w: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30,427</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14,396</w:t>
            </w: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18,813</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22,480</w:t>
            </w:r>
          </w:p>
        </w:tc>
      </w:tr>
    </w:tbl>
    <w:p>
      <w:pPr>
        <w:spacing w:after="0" w:line="368" w:lineRule="exact"/>
        <w:rPr>
          <w:sz w:val="20"/>
          <w:szCs w:val="20"/>
          <w:color w:val="auto"/>
        </w:rPr>
      </w:pPr>
    </w:p>
    <w:p>
      <w:pPr>
        <w:ind w:right="320"/>
        <w:spacing w:after="0" w:line="239" w:lineRule="auto"/>
        <w:rPr>
          <w:sz w:val="20"/>
          <w:szCs w:val="20"/>
          <w:color w:val="auto"/>
        </w:rPr>
      </w:pPr>
      <w:r>
        <w:rPr>
          <w:rFonts w:ascii="Courier New" w:cs="Courier New" w:eastAsia="Courier New" w:hAnsi="Courier New"/>
          <w:sz w:val="16"/>
          <w:szCs w:val="16"/>
          <w:color w:val="auto"/>
        </w:rPr>
        <w:t>Note 3: In April 1994 the company acquired substantially all of the assets comprising the businesses of television stations KPRC-TV, an NBC affiliate in Houston, Texas, and KSAT-TV, an ABC affiliate in San Antonio, Texas, for $253 million in cash. The transaction was accounted for as a purchase and the results of operations of the television stations have been included with those of the company for the period subsequent to the date of acquisition.</w:t>
      </w:r>
    </w:p>
    <w:p>
      <w:pPr>
        <w:spacing w:after="0" w:line="190" w:lineRule="exact"/>
        <w:rPr>
          <w:sz w:val="20"/>
          <w:szCs w:val="20"/>
          <w:color w:val="auto"/>
        </w:rPr>
      </w:pPr>
    </w:p>
    <w:p>
      <w:pPr>
        <w:ind w:right="240" w:firstLine="1040"/>
        <w:spacing w:after="0" w:line="258" w:lineRule="auto"/>
        <w:rPr>
          <w:sz w:val="20"/>
          <w:szCs w:val="20"/>
          <w:color w:val="auto"/>
        </w:rPr>
      </w:pPr>
      <w:r>
        <w:rPr>
          <w:rFonts w:ascii="Courier New" w:cs="Courier New" w:eastAsia="Courier New" w:hAnsi="Courier New"/>
          <w:sz w:val="15"/>
          <w:szCs w:val="15"/>
          <w:color w:val="auto"/>
        </w:rPr>
        <w:t>In January 1995 the company sold substantially all of its 70 percent limited partnership interest in American Personal Communications (APC) to its partner, APC, Inc., and others, for approximately $33 million. The proceeds approximate the amounts The Washington Post Company had cumulatively invested in the partnership since it was formed in August 1990. The company's 1995 net income includes $8.4 million ($0.75 per share) from the sale.</w:t>
      </w:r>
    </w:p>
    <w:p>
      <w:pPr>
        <w:spacing w:after="0" w:line="177" w:lineRule="exact"/>
        <w:rPr>
          <w:sz w:val="20"/>
          <w:szCs w:val="20"/>
          <w:color w:val="auto"/>
        </w:rPr>
      </w:pPr>
    </w:p>
    <w:p>
      <w:pPr>
        <w:ind w:right="420" w:firstLine="1040"/>
        <w:spacing w:after="0" w:line="259" w:lineRule="auto"/>
        <w:rPr>
          <w:sz w:val="20"/>
          <w:szCs w:val="20"/>
          <w:color w:val="auto"/>
        </w:rPr>
      </w:pPr>
      <w:r>
        <w:rPr>
          <w:rFonts w:ascii="Courier New" w:cs="Courier New" w:eastAsia="Courier New" w:hAnsi="Courier New"/>
          <w:sz w:val="15"/>
          <w:szCs w:val="15"/>
          <w:color w:val="auto"/>
        </w:rPr>
        <w:t>In September 1995 the company wrote-off its investment in Mammoth Micro Productions (Mammoth), a multimedia studio and publisher in which the company has an 80 percent interest. The company acquired its interest in Mammoth in May 1994. The write-off resulted in an after-tax charge of $5.6 million ($0.51 per share) which is included in the company's 1995 net income.</w:t>
      </w:r>
    </w:p>
    <w:p>
      <w:pPr>
        <w:spacing w:after="0" w:line="174" w:lineRule="exact"/>
        <w:rPr>
          <w:sz w:val="20"/>
          <w:szCs w:val="20"/>
          <w:color w:val="auto"/>
        </w:rPr>
      </w:pPr>
    </w:p>
    <w:p>
      <w:pPr>
        <w:ind w:right="420"/>
        <w:spacing w:after="0" w:line="237" w:lineRule="auto"/>
        <w:rPr>
          <w:sz w:val="20"/>
          <w:szCs w:val="20"/>
          <w:color w:val="auto"/>
        </w:rPr>
      </w:pPr>
      <w:r>
        <w:rPr>
          <w:rFonts w:ascii="Courier New" w:cs="Courier New" w:eastAsia="Courier New" w:hAnsi="Courier New"/>
          <w:sz w:val="16"/>
          <w:szCs w:val="16"/>
          <w:color w:val="auto"/>
        </w:rPr>
        <w:t>Note 4: During the first nine months of 1995 the company repurchased 361,106 shares of its Class B common stock at a cost of $89.6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Year-to-Date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80"/>
        <w:spacing w:after="0"/>
        <w:tabs>
          <w:tab w:leader="none" w:pos="1780" w:val="left"/>
        </w:tabs>
        <w:rPr>
          <w:sz w:val="20"/>
          <w:szCs w:val="20"/>
          <w:color w:val="auto"/>
        </w:rPr>
      </w:pP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6"/>
          <w:szCs w:val="16"/>
          <w:color w:val="auto"/>
        </w:rPr>
        <w:t>1994</w:t>
      </w:r>
    </w:p>
    <w:p>
      <w:pPr>
        <w:spacing w:after="0" w:line="5"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90"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6"/>
          <w:szCs w:val="16"/>
          <w:color w:val="auto"/>
        </w:rPr>
        <w:t>$660,596</w:t>
      </w:r>
      <w:r>
        <w:rPr>
          <w:sz w:val="20"/>
          <w:szCs w:val="20"/>
          <w:color w:val="auto"/>
        </w:rPr>
        <w:tab/>
      </w:r>
      <w:r>
        <w:rPr>
          <w:rFonts w:ascii="Courier New" w:cs="Courier New" w:eastAsia="Courier New" w:hAnsi="Courier New"/>
          <w:sz w:val="15"/>
          <w:szCs w:val="15"/>
          <w:color w:val="auto"/>
        </w:rPr>
        <w:t>$556,120</w:t>
      </w:r>
    </w:p>
    <w:p>
      <w:pPr>
        <w:spacing w:after="0" w:line="1" w:lineRule="exact"/>
        <w:rPr>
          <w:sz w:val="20"/>
          <w:szCs w:val="20"/>
          <w:color w:val="auto"/>
        </w:rPr>
      </w:pPr>
    </w:p>
    <w:p>
      <w:pPr>
        <w:ind w:left="180"/>
        <w:spacing w:after="0"/>
        <w:tabs>
          <w:tab w:leader="none" w:pos="1780" w:val="left"/>
        </w:tabs>
        <w:rPr>
          <w:sz w:val="20"/>
          <w:szCs w:val="20"/>
          <w:color w:val="auto"/>
        </w:rPr>
      </w:pPr>
      <w:r>
        <w:rPr>
          <w:rFonts w:ascii="Courier New" w:cs="Courier New" w:eastAsia="Courier New" w:hAnsi="Courier New"/>
          <w:sz w:val="16"/>
          <w:szCs w:val="16"/>
          <w:color w:val="auto"/>
        </w:rPr>
        <w:t>77,268</w:t>
      </w:r>
      <w:r>
        <w:rPr>
          <w:sz w:val="20"/>
          <w:szCs w:val="20"/>
          <w:color w:val="auto"/>
        </w:rPr>
        <w:tab/>
      </w:r>
      <w:r>
        <w:rPr>
          <w:rFonts w:ascii="Courier New" w:cs="Courier New" w:eastAsia="Courier New" w:hAnsi="Courier New"/>
          <w:sz w:val="16"/>
          <w:szCs w:val="16"/>
          <w:color w:val="auto"/>
        </w:rPr>
        <w:t>31,066</w:t>
      </w:r>
    </w:p>
    <w:p>
      <w:pPr>
        <w:spacing w:after="0" w:line="1" w:lineRule="exact"/>
        <w:rPr>
          <w:sz w:val="20"/>
          <w:szCs w:val="20"/>
          <w:color w:val="auto"/>
        </w:rPr>
      </w:pPr>
    </w:p>
    <w:p>
      <w:pPr>
        <w:ind w:left="180"/>
        <w:spacing w:after="0"/>
        <w:tabs>
          <w:tab w:leader="none" w:pos="1780" w:val="left"/>
        </w:tabs>
        <w:rPr>
          <w:sz w:val="20"/>
          <w:szCs w:val="20"/>
          <w:color w:val="auto"/>
        </w:rPr>
      </w:pPr>
      <w:r>
        <w:rPr>
          <w:rFonts w:ascii="Courier New" w:cs="Courier New" w:eastAsia="Courier New" w:hAnsi="Courier New"/>
          <w:sz w:val="16"/>
          <w:szCs w:val="16"/>
          <w:color w:val="auto"/>
        </w:rPr>
        <w:t>46,492</w:t>
      </w:r>
      <w:r>
        <w:rPr>
          <w:sz w:val="20"/>
          <w:szCs w:val="20"/>
          <w:color w:val="auto"/>
        </w:rPr>
        <w:tab/>
      </w:r>
      <w:r>
        <w:rPr>
          <w:rFonts w:ascii="Courier New" w:cs="Courier New" w:eastAsia="Courier New" w:hAnsi="Courier New"/>
          <w:sz w:val="16"/>
          <w:szCs w:val="16"/>
          <w:color w:val="auto"/>
        </w:rPr>
        <w:t>22,240</w:t>
      </w:r>
    </w:p>
    <w:p>
      <w:pPr>
        <w:sectPr>
          <w:pgSz w:w="11900" w:h="16838" w:orient="portrait"/>
          <w:cols w:equalWidth="0" w:num="2">
            <w:col w:w="7700" w:space="720"/>
            <w:col w:w="2460"/>
          </w:cols>
          <w:pgMar w:left="240" w:top="295" w:right="779"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7.</w:t>
      </w:r>
    </w:p>
    <w:p>
      <w:pPr>
        <w:spacing w:after="0" w:line="186" w:lineRule="exact"/>
        <w:rPr>
          <w:sz w:val="20"/>
          <w:szCs w:val="20"/>
          <w:color w:val="auto"/>
        </w:rPr>
      </w:pPr>
    </w:p>
    <w:p>
      <w:pPr>
        <w:ind w:right="4639"/>
        <w:spacing w:after="0" w:line="237" w:lineRule="auto"/>
        <w:rPr>
          <w:sz w:val="20"/>
          <w:szCs w:val="20"/>
          <w:color w:val="auto"/>
        </w:rPr>
      </w:pPr>
      <w:r>
        <w:rPr>
          <w:rFonts w:ascii="Courier New" w:cs="Courier New" w:eastAsia="Courier New" w:hAnsi="Courier New"/>
          <w:sz w:val="16"/>
          <w:szCs w:val="16"/>
          <w:color w:val="auto"/>
        </w:rPr>
        <w:t>ITEM 2. MANAGEMENT'S DISCUSSION AND ANALYSIS OF RESULTS OF OPERATIONS AND FINANCIAL CONDITION</w:t>
      </w:r>
    </w:p>
    <w:p>
      <w:pPr>
        <w:spacing w:after="0" w:line="188" w:lineRule="exact"/>
        <w:rPr>
          <w:sz w:val="20"/>
          <w:szCs w:val="20"/>
          <w:color w:val="auto"/>
        </w:rPr>
      </w:pPr>
    </w:p>
    <w:p>
      <w:pPr>
        <w:ind w:right="3219" w:firstLine="851"/>
        <w:spacing w:after="0" w:line="237" w:lineRule="auto"/>
        <w:rPr>
          <w:sz w:val="20"/>
          <w:szCs w:val="20"/>
          <w:color w:val="auto"/>
        </w:rPr>
      </w:pPr>
      <w:r>
        <w:rPr>
          <w:rFonts w:ascii="Courier New" w:cs="Courier New" w:eastAsia="Courier New" w:hAnsi="Courier New"/>
          <w:sz w:val="16"/>
          <w:szCs w:val="16"/>
          <w:color w:val="auto"/>
        </w:rPr>
        <w:t>This analysis should be read in conjunction with the consolidated financial statements and the notes thereto.</w:t>
      </w:r>
    </w:p>
    <w:p>
      <w:pPr>
        <w:spacing w:after="0" w:line="188"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Revenues and expenses in the first and third quarters are customarily lower than those in the second and fourth quarters because of significant seasonal fluctuations in advertising volume. For that reason, the results of operations for each quarter are compared with those of the corresponding quarter in the preceding year.</w:t>
      </w:r>
    </w:p>
    <w:p>
      <w:pPr>
        <w:spacing w:after="0" w:line="18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THIRD QUARTER COMPARISONS</w:t>
      </w:r>
    </w:p>
    <w:p>
      <w:pPr>
        <w:spacing w:after="0" w:line="186" w:lineRule="exact"/>
        <w:rPr>
          <w:sz w:val="20"/>
          <w:szCs w:val="20"/>
          <w:color w:val="auto"/>
        </w:rPr>
      </w:pPr>
    </w:p>
    <w:p>
      <w:pPr>
        <w:jc w:val="both"/>
        <w:ind w:right="2839" w:firstLine="851"/>
        <w:spacing w:after="0" w:line="238" w:lineRule="auto"/>
        <w:rPr>
          <w:sz w:val="20"/>
          <w:szCs w:val="20"/>
          <w:color w:val="auto"/>
        </w:rPr>
      </w:pPr>
      <w:r>
        <w:rPr>
          <w:rFonts w:ascii="Courier New" w:cs="Courier New" w:eastAsia="Courier New" w:hAnsi="Courier New"/>
          <w:sz w:val="16"/>
          <w:szCs w:val="16"/>
          <w:color w:val="auto"/>
        </w:rPr>
        <w:t>Net income for the third quarter of 1995 was $41.8 million ($3.79 per share), a decrease of 11.9 percent from net income of $47.5 million ($4.13 per share) in the third quarter last year.</w:t>
      </w:r>
    </w:p>
    <w:p>
      <w:pPr>
        <w:spacing w:after="0" w:line="188" w:lineRule="exact"/>
        <w:rPr>
          <w:sz w:val="20"/>
          <w:szCs w:val="20"/>
          <w:color w:val="auto"/>
        </w:rPr>
      </w:pPr>
    </w:p>
    <w:p>
      <w:pPr>
        <w:ind w:right="2759" w:firstLine="851"/>
        <w:spacing w:after="0" w:line="258" w:lineRule="auto"/>
        <w:rPr>
          <w:sz w:val="20"/>
          <w:szCs w:val="20"/>
          <w:color w:val="auto"/>
        </w:rPr>
      </w:pPr>
      <w:r>
        <w:rPr>
          <w:rFonts w:ascii="Courier New" w:cs="Courier New" w:eastAsia="Courier New" w:hAnsi="Courier New"/>
          <w:sz w:val="15"/>
          <w:szCs w:val="15"/>
          <w:color w:val="auto"/>
        </w:rPr>
        <w:t>The 1995 third quarter results include a one-time after-tax charge of $5.6 million ($0.51 per share) relating to a write-off of the company's investment in Mammoth Micro Productions. The 1994 third-quarter results include an after-tax gain of $8.4 million ($0.73 per share) on the sale of land at one of the company's newsprint affiliates. Excluding these one-time items, net income increased 21.3 percent and earnings per share rose 26.5 percent in the third quarter this year, with fewer shares outstanding in 1995.</w:t>
      </w:r>
    </w:p>
    <w:p>
      <w:pPr>
        <w:spacing w:after="0" w:line="176" w:lineRule="exact"/>
        <w:rPr>
          <w:sz w:val="20"/>
          <w:szCs w:val="20"/>
          <w:color w:val="auto"/>
        </w:rPr>
      </w:pPr>
    </w:p>
    <w:p>
      <w:pPr>
        <w:ind w:right="2759" w:firstLine="851"/>
        <w:spacing w:after="0" w:line="258" w:lineRule="auto"/>
        <w:rPr>
          <w:sz w:val="20"/>
          <w:szCs w:val="20"/>
          <w:color w:val="auto"/>
        </w:rPr>
      </w:pPr>
      <w:r>
        <w:rPr>
          <w:rFonts w:ascii="Courier New" w:cs="Courier New" w:eastAsia="Courier New" w:hAnsi="Courier New"/>
          <w:sz w:val="15"/>
          <w:szCs w:val="15"/>
          <w:color w:val="auto"/>
        </w:rPr>
        <w:t>Revenues for the third quarter of 1995 rose 4.5 percent to $417.9 million, from $399.8 million in the same period last year. Advertising revenues rose 2.0 percent and circulation and subscriber revenues increased 5.4 percent. Other revenues increased 15.4 percent. The broadcast division, cable division, Newsweek and other businesses posted higher revenues in the third quarter this year. Newspaper division revenues were flat compared to third quarter 1994.</w:t>
      </w:r>
    </w:p>
    <w:p>
      <w:pPr>
        <w:spacing w:after="0" w:line="177" w:lineRule="exact"/>
        <w:rPr>
          <w:sz w:val="20"/>
          <w:szCs w:val="20"/>
          <w:color w:val="auto"/>
        </w:rPr>
      </w:pPr>
    </w:p>
    <w:p>
      <w:pPr>
        <w:ind w:right="2759" w:firstLine="851"/>
        <w:spacing w:after="0" w:line="258" w:lineRule="auto"/>
        <w:rPr>
          <w:sz w:val="20"/>
          <w:szCs w:val="20"/>
          <w:color w:val="auto"/>
        </w:rPr>
      </w:pPr>
      <w:r>
        <w:rPr>
          <w:rFonts w:ascii="Courier New" w:cs="Courier New" w:eastAsia="Courier New" w:hAnsi="Courier New"/>
          <w:sz w:val="15"/>
          <w:szCs w:val="15"/>
          <w:color w:val="auto"/>
        </w:rPr>
        <w:t>Costs and expenses for the third quarter of 1995 increased 8.6 percent to $362.2 million, from $333.6 million in the third quarter of 1994. Operating expenses increased 11.9 percent, and selling, general and administrative expenses increased 1.6 percent compared with the third quarter last year. Depreciation expense increased 4.6 percent over the third quarter of 1994. Approximately 45 percent of the total increase in costs and expenses relates to the write-off of the company's investment in Mammoth Micro Productions. In addition, a 36.2 percent increase in newsprint expense accounted for approximately 31 percent of the total increase in costs and expenses.</w:t>
      </w:r>
    </w:p>
    <w:p>
      <w:pPr>
        <w:spacing w:after="0" w:line="175"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Third quarter 1995 operating income was $55.7 million, a 15.9 percent decrease from $66.3 million in 1994 due mainly to the one-time charge related to Mammoth Micro Productions as described above. Excluding this charge, operating income rose approximately 4.0 percent in the quarter.</w:t>
      </w:r>
    </w:p>
    <w:p>
      <w:pPr>
        <w:sectPr>
          <w:pgSz w:w="11900" w:h="16838" w:orient="portrait"/>
          <w:cols w:equalWidth="0" w:num="1">
            <w:col w:w="10219"/>
          </w:cols>
          <w:pgMar w:left="240" w:top="295"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left="7380"/>
        <w:spacing w:after="0"/>
        <w:rPr>
          <w:sz w:val="20"/>
          <w:szCs w:val="20"/>
          <w:color w:val="auto"/>
        </w:rPr>
      </w:pPr>
      <w:r>
        <w:rPr>
          <w:rFonts w:ascii="Courier New" w:cs="Courier New" w:eastAsia="Courier New" w:hAnsi="Courier New"/>
          <w:sz w:val="15"/>
          <w:szCs w:val="15"/>
          <w:color w:val="auto"/>
        </w:rPr>
        <w:t>8.</w:t>
      </w:r>
    </w:p>
    <w:p>
      <w:pPr>
        <w:spacing w:after="0" w:line="194"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NEWSPAPER DIVISION. At the newspaper division 1995 third quarter revenues were essentially unchanged compared to the third quarter of 1994. Advertising revenues for the division declined 1.0 percent, with a 7.4 percent decrease in advertising linage at The Washington Post from 822,200 inches in the third quarter of 1994 to 761,200 inches in the same period this year. Classified volume fell 3.2 percent in the quarter though recruitment advertising remained strong. Retail linage was down 11.6 percent and general declined 8.0 percent compared with the same period last year; however, preprint volume increased 5.9 percent for the quarter. Circulation revenues for the division rose 1.8 percent compared to the third quarter of 1994.</w:t>
      </w:r>
    </w:p>
    <w:p>
      <w:pPr>
        <w:spacing w:after="0" w:line="188"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BROADCAST DIVISION. Revenues at the broadcast division increased 3.0 percent over the third quarter of 1994. Local advertising revenues increased 4.8 percent while national advertising revenues fell 2.1 percent in the third quarter of 1995. Network advertising revenues increased 21.1 percent. The third quarter of 1994 included $4.0 million of political revenue which did not reoccur in 1995.</w:t>
      </w:r>
    </w:p>
    <w:p>
      <w:pPr>
        <w:spacing w:after="0" w:line="190" w:lineRule="exact"/>
        <w:rPr>
          <w:sz w:val="20"/>
          <w:szCs w:val="20"/>
          <w:color w:val="auto"/>
        </w:rPr>
      </w:pPr>
    </w:p>
    <w:p>
      <w:pPr>
        <w:ind w:right="2759"/>
        <w:spacing w:after="0" w:line="258" w:lineRule="auto"/>
        <w:rPr>
          <w:sz w:val="20"/>
          <w:szCs w:val="20"/>
          <w:color w:val="auto"/>
        </w:rPr>
      </w:pPr>
      <w:r>
        <w:rPr>
          <w:rFonts w:ascii="Courier New" w:cs="Courier New" w:eastAsia="Courier New" w:hAnsi="Courier New"/>
          <w:sz w:val="15"/>
          <w:szCs w:val="15"/>
          <w:color w:val="auto"/>
        </w:rPr>
        <w:t>MAGAZINE DIVISION. Newsweek revenues in the third quarter of 1995 increased 7.3 percent. Advertising revenues rose 11.2 percent, primarily due to an increase in advertising volume at both the domestic and international editions, as well as higher revenues per page realized by certain international editions. Circulation revenues were up 3.3 percent for the quarter. In the third quarter Newsweek published the same number of weekly issues (13) as in 1994.</w:t>
      </w:r>
    </w:p>
    <w:p>
      <w:pPr>
        <w:spacing w:after="0" w:line="177" w:lineRule="exact"/>
        <w:rPr>
          <w:sz w:val="20"/>
          <w:szCs w:val="20"/>
          <w:color w:val="auto"/>
        </w:rPr>
      </w:pPr>
    </w:p>
    <w:p>
      <w:pPr>
        <w:jc w:val="both"/>
        <w:ind w:right="2839"/>
        <w:spacing w:after="0" w:line="238" w:lineRule="auto"/>
        <w:rPr>
          <w:sz w:val="20"/>
          <w:szCs w:val="20"/>
          <w:color w:val="auto"/>
        </w:rPr>
      </w:pPr>
      <w:r>
        <w:rPr>
          <w:rFonts w:ascii="Courier New" w:cs="Courier New" w:eastAsia="Courier New" w:hAnsi="Courier New"/>
          <w:sz w:val="16"/>
          <w:szCs w:val="16"/>
          <w:color w:val="auto"/>
        </w:rPr>
        <w:t>CABLE DIVISION. At the cable division third quarter 1995 revenues were up 9.2 percent over 1994, resulting from a 3.9 percent increase in basic subscribers, as well as higher rates.</w:t>
      </w:r>
    </w:p>
    <w:p>
      <w:pPr>
        <w:spacing w:after="0" w:line="188"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OTHER BUSINESSES. In the third quarter of 1995, revenues from other businesses, principally Kaplan Educational Centers, PASS Sports, Legi-Slate, Digital Ink and Moffet, Larson, &amp; Johnson (MLJ) increased 17.5 percent. At Kaplan, revenues rose 10.1 percent in the third quarter reflecting improved results in the company's core courses, while at MLJ, increased demand for engineering services by the expanding wireless communications industry generated more than a three-fold jump in revenues. In July, Digital Ink launched commercial service of its on-line version of The Washington Post newspaper. In September, the company wrote-off its investment in Mammoth Micro Productions, which had provided multimedia production services to independent publishers.</w:t>
      </w:r>
    </w:p>
    <w:p>
      <w:pPr>
        <w:spacing w:after="0" w:line="189"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EQUITY IN EARNINGS AND LOSSES OF AFFILIATES. The company's equity in earnings of affiliates in the third quarter of 1995 was income of $6.3 million, compared with income of $11.1 million in the third quarter of 1994. A one-time after-tax gain of $8.4 million on the sale of land at one of the company's newsprint affiliates is included in 1994 earnings. Excluding this one-time gain, the company's share of earnings of affiliates more than doubled for the quarter due to better results at</w:t>
      </w:r>
    </w:p>
    <w:p>
      <w:pPr>
        <w:sectPr>
          <w:pgSz w:w="11900" w:h="16838" w:orient="portrait"/>
          <w:cols w:equalWidth="0" w:num="1">
            <w:col w:w="10219"/>
          </w:cols>
          <w:pgMar w:left="240" w:top="295"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9.</w:t>
      </w:r>
    </w:p>
    <w:p>
      <w:pPr>
        <w:spacing w:after="0" w:line="186" w:lineRule="exact"/>
        <w:rPr>
          <w:sz w:val="20"/>
          <w:szCs w:val="20"/>
          <w:color w:val="auto"/>
        </w:rPr>
      </w:pPr>
    </w:p>
    <w:p>
      <w:pPr>
        <w:ind w:right="3219"/>
        <w:spacing w:after="0" w:line="237" w:lineRule="auto"/>
        <w:rPr>
          <w:sz w:val="20"/>
          <w:szCs w:val="20"/>
          <w:color w:val="auto"/>
        </w:rPr>
      </w:pPr>
      <w:r>
        <w:rPr>
          <w:rFonts w:ascii="Courier New" w:cs="Courier New" w:eastAsia="Courier New" w:hAnsi="Courier New"/>
          <w:sz w:val="16"/>
          <w:szCs w:val="16"/>
          <w:color w:val="auto"/>
        </w:rPr>
        <w:t>the company's affiliated newsprint mills, which are benefiting from higher newsprint prices.</w:t>
      </w:r>
    </w:p>
    <w:p>
      <w:pPr>
        <w:spacing w:after="0" w:line="188"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6"/>
          <w:szCs w:val="16"/>
          <w:color w:val="auto"/>
        </w:rPr>
        <w:t>NON-OPERATING ITEMS. Interest income, net of interest expense, was $.5 million, compared with $.1 million in the same period last year.</w:t>
      </w:r>
    </w:p>
    <w:p>
      <w:pPr>
        <w:spacing w:after="0" w:line="188"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INCOME TAXES. The effective income tax rate for the third quarter of 1995 declined to 34 percent from 39 percent in the third quarter of 1994. The decrease is due to the recognition of certain tax benefits associated with the company's write-off of its investment in Mammoth Micro Productions. Both the third quarter of 1995 and 1994 include the impact of the revised effective income tax rates for the first half of each year.</w:t>
      </w:r>
    </w:p>
    <w:p>
      <w:pPr>
        <w:spacing w:after="0" w:line="186"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NINE MONTH COMPARISONS</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For the first nine months of 1995, net income was $137.2 million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($12.35 per share), up from net income of $117.5 million ($10.11 per share)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same period last year.</w:t>
      </w:r>
    </w:p>
    <w:p>
      <w:pPr>
        <w:spacing w:after="0" w:line="186" w:lineRule="exact"/>
        <w:rPr>
          <w:sz w:val="20"/>
          <w:szCs w:val="20"/>
          <w:color w:val="auto"/>
        </w:rPr>
      </w:pPr>
    </w:p>
    <w:p>
      <w:pPr>
        <w:ind w:right="2759" w:firstLine="851"/>
        <w:spacing w:after="0" w:line="258" w:lineRule="auto"/>
        <w:rPr>
          <w:sz w:val="20"/>
          <w:szCs w:val="20"/>
          <w:color w:val="auto"/>
        </w:rPr>
      </w:pPr>
      <w:r>
        <w:rPr>
          <w:rFonts w:ascii="Courier New" w:cs="Courier New" w:eastAsia="Courier New" w:hAnsi="Courier New"/>
          <w:sz w:val="15"/>
          <w:szCs w:val="15"/>
          <w:color w:val="auto"/>
        </w:rPr>
        <w:t>The company's results for the first nine months of 1995 include $8.4 million ($0.75 per share) from the sale, at its orginal cost, of substantially all of the company's investment in American PCS, L.P., as well as the after-tax charge of $5.6 million ($0.51 per share) relating to the write-off of the company's investment in Mammoth Micro Productions. Results for the first nine months of 1994 include an after-tax gain of $8.4 million ($0.73 per share) on the sale of land at one of the company's newsprint affiliates. Excluding the effect of these one-time items, 1995 earnings rose 23.1 percent and earnings per share increased 28.9 percent in the first three quarters this year over the same period last year, with fewer shares outstanding in 1995.</w:t>
      </w:r>
    </w:p>
    <w:p>
      <w:pPr>
        <w:spacing w:after="0" w:line="174"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Total revenues for the first nine months of 1995 increased 8.0 percent to $1,256.5 million, from $1,163.1 million in the comparable period last year. Advertising revenues increased 9.5 percent, and circulation and subscriber revenues rose 2.8 percent. Other revenues increased 13.6 percent over the first three quarters of 1994.</w:t>
      </w:r>
    </w:p>
    <w:p>
      <w:pPr>
        <w:spacing w:after="0" w:line="189" w:lineRule="exact"/>
        <w:rPr>
          <w:sz w:val="20"/>
          <w:szCs w:val="20"/>
          <w:color w:val="auto"/>
        </w:rPr>
      </w:pPr>
    </w:p>
    <w:p>
      <w:pPr>
        <w:ind w:right="2759" w:firstLine="851"/>
        <w:spacing w:after="0" w:line="258" w:lineRule="auto"/>
        <w:rPr>
          <w:sz w:val="20"/>
          <w:szCs w:val="20"/>
          <w:color w:val="auto"/>
        </w:rPr>
      </w:pPr>
      <w:r>
        <w:rPr>
          <w:rFonts w:ascii="Courier New" w:cs="Courier New" w:eastAsia="Courier New" w:hAnsi="Courier New"/>
          <w:sz w:val="15"/>
          <w:szCs w:val="15"/>
          <w:color w:val="auto"/>
        </w:rPr>
        <w:t>Total costs and expenses increased 9.0 percent during the first nine months of 1995 to $1,063.7 million, from $976.1 million in the corresponding period of 1994. Operating expenses increased 9.2 percent, and selling, general and administrative expenses increased 6.9 percent compared with the first three quarters of 1994. Approximately 15.0 percent of the total increase in costs and expenses is related to the write-off of the company's investment in Mammoth Micro Productions. In addition, a 29.3 percent increase in newsprint costs accounted for approximately 24.0 percent of the total increase.</w:t>
      </w:r>
    </w:p>
    <w:p>
      <w:pPr>
        <w:spacing w:after="0" w:line="176" w:lineRule="exact"/>
        <w:rPr>
          <w:sz w:val="20"/>
          <w:szCs w:val="20"/>
          <w:color w:val="auto"/>
        </w:rPr>
      </w:pPr>
    </w:p>
    <w:p>
      <w:pPr>
        <w:ind w:right="3039" w:firstLine="851"/>
        <w:spacing w:after="0" w:line="238" w:lineRule="auto"/>
        <w:rPr>
          <w:sz w:val="20"/>
          <w:szCs w:val="20"/>
          <w:color w:val="auto"/>
        </w:rPr>
      </w:pPr>
      <w:r>
        <w:rPr>
          <w:rFonts w:ascii="Courier New" w:cs="Courier New" w:eastAsia="Courier New" w:hAnsi="Courier New"/>
          <w:sz w:val="16"/>
          <w:szCs w:val="16"/>
          <w:color w:val="auto"/>
        </w:rPr>
        <w:t>In the first three quarters of 1995 operating income rose to $192.8 million, a 3.1 percent increase over $187.0 million in the same period last year. Excluding the one-time charge resulting from the</w:t>
      </w:r>
    </w:p>
    <w:p>
      <w:pPr>
        <w:sectPr>
          <w:pgSz w:w="11900" w:h="16838" w:orient="portrait"/>
          <w:cols w:equalWidth="0" w:num="1">
            <w:col w:w="10219"/>
          </w:cols>
          <w:pgMar w:left="240" w:top="295"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left="7280"/>
        <w:spacing w:after="0"/>
        <w:rPr>
          <w:sz w:val="20"/>
          <w:szCs w:val="20"/>
          <w:color w:val="auto"/>
        </w:rPr>
      </w:pPr>
      <w:r>
        <w:rPr>
          <w:rFonts w:ascii="Courier New" w:cs="Courier New" w:eastAsia="Courier New" w:hAnsi="Courier New"/>
          <w:sz w:val="15"/>
          <w:szCs w:val="15"/>
          <w:color w:val="auto"/>
        </w:rPr>
        <w:t>10.</w:t>
      </w:r>
    </w:p>
    <w:p>
      <w:pPr>
        <w:spacing w:after="0" w:line="194"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write-off of the investment in Mammoth Micro Productions, operating income rose 10.0 percent.</w:t>
      </w:r>
    </w:p>
    <w:p>
      <w:pPr>
        <w:spacing w:after="0" w:line="188" w:lineRule="exact"/>
        <w:rPr>
          <w:sz w:val="20"/>
          <w:szCs w:val="20"/>
          <w:color w:val="auto"/>
        </w:rPr>
      </w:pPr>
    </w:p>
    <w:p>
      <w:pPr>
        <w:ind w:right="2839"/>
        <w:spacing w:after="0"/>
        <w:rPr>
          <w:sz w:val="20"/>
          <w:szCs w:val="20"/>
          <w:color w:val="auto"/>
        </w:rPr>
      </w:pPr>
      <w:r>
        <w:rPr>
          <w:rFonts w:ascii="Courier New" w:cs="Courier New" w:eastAsia="Courier New" w:hAnsi="Courier New"/>
          <w:sz w:val="16"/>
          <w:szCs w:val="16"/>
          <w:color w:val="auto"/>
        </w:rPr>
        <w:t>NEWSPAPER DIVISION. Newspaper division revenues were up 3.0 percent in the first three quarters of 1995 over the comparable period of 1994. Although advertising volume at The Washington Post fell 4.4 percent from 2,491,300 inches to 2,380,600 inches in the first nine months of 1995, advertising revenues for the division rose 2.6 percent in the period due mainly to rate increases for retail and classified advertising, as well as improvement in recruitment and preprint volume at the Post. Circulation revenues for the division increased 1.9 percent when compared with the first three quarters of 1994. At The Washington Post, average paid Daily circulation and average paid Sunday circulation decreased 2.0 percent and 1.2 percent, respectively, compared to the prior year.</w:t>
      </w:r>
    </w:p>
    <w:p>
      <w:pPr>
        <w:spacing w:after="0" w:line="189" w:lineRule="exact"/>
        <w:rPr>
          <w:sz w:val="20"/>
          <w:szCs w:val="20"/>
          <w:color w:val="auto"/>
        </w:rPr>
      </w:pPr>
    </w:p>
    <w:p>
      <w:pPr>
        <w:ind w:right="2759"/>
        <w:spacing w:after="0" w:line="258" w:lineRule="auto"/>
        <w:rPr>
          <w:sz w:val="20"/>
          <w:szCs w:val="20"/>
          <w:color w:val="auto"/>
        </w:rPr>
      </w:pPr>
      <w:r>
        <w:rPr>
          <w:rFonts w:ascii="Courier New" w:cs="Courier New" w:eastAsia="Courier New" w:hAnsi="Courier New"/>
          <w:sz w:val="15"/>
          <w:szCs w:val="15"/>
          <w:color w:val="auto"/>
        </w:rPr>
        <w:t>BROADCAST DIVISION. Revenues at the broadcast division, which include the results of the two Texas television stations purchased at the end of April 1994, increased 25.6 percent over the first nine months of 1994. In the first three quarters of 1995 local advertising revenues rose 23.2 percent and national advertising revenues increased 13.1 percent. Approximately two-thirds of the total increase in revenues is attributable to the newly acquired stations. Costs and expenses at the broadcast division increased 16.7 percent in the first nine months of 1995 compared with the same period last year. The increase was due almost entirely to the newly acquired television stations.</w:t>
      </w:r>
    </w:p>
    <w:p>
      <w:pPr>
        <w:spacing w:after="0" w:line="175"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MAGAZINE DIVISION. At Newsweek revenues increased 5.2 percent in the first three quarters of 1995. Advertising revenues increased 9.8 percent for the period. The major contributor to the increase was improved advertising volume at both the domestic and international editions, as well as higher revenues per page realized at certain international editions. In the first nine months of 1995, circulation revenues remained essentially unchanged. Higher rates in 1995 offset the publication of one less weekly and one less newsstand-only special issue. In the first three quarters of 1995 thirty-eight weekly issues and one newsstand-only special issue were published versus thirty-nine weekly issues and two newsstand-only special issues in 1994.</w:t>
      </w:r>
    </w:p>
    <w:p>
      <w:pPr>
        <w:spacing w:after="0" w:line="188"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5"/>
          <w:szCs w:val="15"/>
          <w:color w:val="auto"/>
        </w:rPr>
        <w:t>CABLE DIVISION. Cable division revenues were up 5.8 percent in the first three quarters of 1995. Subscriber revenues increased 6.0 percent in the first nine months of 1995, principally due to an increase in the number of subscribers.</w:t>
      </w:r>
    </w:p>
    <w:p>
      <w:pPr>
        <w:spacing w:after="0" w:line="2"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6"/>
          <w:szCs w:val="16"/>
          <w:color w:val="auto"/>
        </w:rPr>
        <w:t>At the end of September 1995, cable operations had 511,000 basic subscribers as compared to 492,000 basic subscribers at the same time last year.</w:t>
      </w:r>
    </w:p>
    <w:p>
      <w:pPr>
        <w:spacing w:after="0" w:line="188"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OTHER BUSINESSES. At the company's other businesses, revenues rose 13.5 percent in the first three quarters of 1995. Improved results at Kaplan Educational Centers and Moffet, Larson &amp; Johnson were the major contributors to the increase over 1994.</w:t>
      </w:r>
    </w:p>
    <w:p>
      <w:pPr>
        <w:sectPr>
          <w:pgSz w:w="11900" w:h="16838" w:orient="portrait"/>
          <w:cols w:equalWidth="0" w:num="1">
            <w:col w:w="10219"/>
          </w:cols>
          <w:pgMar w:left="240" w:top="295"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left="7280"/>
        <w:spacing w:after="0"/>
        <w:rPr>
          <w:sz w:val="20"/>
          <w:szCs w:val="20"/>
          <w:color w:val="auto"/>
        </w:rPr>
      </w:pPr>
      <w:r>
        <w:rPr>
          <w:rFonts w:ascii="Courier New" w:cs="Courier New" w:eastAsia="Courier New" w:hAnsi="Courier New"/>
          <w:sz w:val="15"/>
          <w:szCs w:val="15"/>
          <w:color w:val="auto"/>
        </w:rPr>
        <w:t>11.</w:t>
      </w:r>
    </w:p>
    <w:p>
      <w:pPr>
        <w:spacing w:after="0" w:line="194"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EQUITY IN EARNINGS AND LOSSES OF AFFILIATES. The company's equity in earnings of affiliates during the first nine months of 1995 was income of $15.9 million, compared with income of $7.9 million in the first nine months of 1994. A one-time after-tax gain of $8.4 million on the sale of land at one of the company's newsprint affiliates was included in 1994 income. Improved results from the company's newsprint mill affiliates were the major contributors to the increase over 1994.</w:t>
      </w:r>
    </w:p>
    <w:p>
      <w:pPr>
        <w:spacing w:after="0" w:line="192"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6"/>
          <w:szCs w:val="16"/>
          <w:color w:val="auto"/>
        </w:rPr>
        <w:t>NON-OPERATING ITEMS. Interest income, net of interest expense, was $2.0 million for the first three quarters of 1995 compared to $2.8 million in the same period of last year.</w:t>
      </w:r>
    </w:p>
    <w:p>
      <w:pPr>
        <w:spacing w:after="0" w:line="188"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Other income in the first three quarters of 1995 was $14.2 million, compared with $3.1 million in the comparable period of 1994. The increase is due to the sale of substantially all of the company's interest in American PCS, L.P. in January 1995. In 1994 other income included a gain of $2.5 million resulting from a change in the company's ownership interest in one of its affiliates.</w:t>
      </w:r>
    </w:p>
    <w:p>
      <w:pPr>
        <w:spacing w:after="0" w:line="190"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INCOME TAXES. The effective income tax rate for the first nine months of 1995 was 39 percent compared to 42 percent in the same period last year. The decrease for the first three quarters of 1995 is due to the recognition of certain tax benefits associated with the write-off of the company's investment in Mammoth Micro Productions.</w:t>
      </w:r>
    </w:p>
    <w:p>
      <w:pPr>
        <w:spacing w:after="0" w:line="18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FINANCIAL CONDITION</w:t>
      </w:r>
    </w:p>
    <w:p>
      <w:pPr>
        <w:spacing w:after="0" w:line="186" w:lineRule="exact"/>
        <w:rPr>
          <w:sz w:val="20"/>
          <w:szCs w:val="20"/>
          <w:color w:val="auto"/>
        </w:rPr>
      </w:pPr>
    </w:p>
    <w:p>
      <w:pPr>
        <w:ind w:right="2759" w:firstLine="851"/>
        <w:spacing w:after="0" w:line="262" w:lineRule="auto"/>
        <w:rPr>
          <w:sz w:val="20"/>
          <w:szCs w:val="20"/>
          <w:color w:val="auto"/>
        </w:rPr>
      </w:pPr>
      <w:r>
        <w:rPr>
          <w:rFonts w:ascii="Courier New" w:cs="Courier New" w:eastAsia="Courier New" w:hAnsi="Courier New"/>
          <w:sz w:val="15"/>
          <w:szCs w:val="15"/>
          <w:color w:val="auto"/>
        </w:rPr>
        <w:t>On May 17, 1995, the company announced a contract to purchase new press equipment as part of an estimated three year $250 million capital project to provide new production facilities for The Washington Post newspaper.</w:t>
      </w:r>
    </w:p>
    <w:p>
      <w:pPr>
        <w:spacing w:after="0" w:line="171" w:lineRule="exact"/>
        <w:rPr>
          <w:sz w:val="20"/>
          <w:szCs w:val="20"/>
          <w:color w:val="auto"/>
        </w:rPr>
      </w:pPr>
    </w:p>
    <w:p>
      <w:pPr>
        <w:ind w:right="2939" w:firstLine="851"/>
        <w:spacing w:after="0" w:line="239" w:lineRule="auto"/>
        <w:rPr>
          <w:sz w:val="20"/>
          <w:szCs w:val="20"/>
          <w:color w:val="auto"/>
        </w:rPr>
      </w:pPr>
      <w:r>
        <w:rPr>
          <w:rFonts w:ascii="Courier New" w:cs="Courier New" w:eastAsia="Courier New" w:hAnsi="Courier New"/>
          <w:sz w:val="16"/>
          <w:szCs w:val="16"/>
          <w:color w:val="auto"/>
        </w:rPr>
        <w:t>On August 8, the company announced it had reached agreements in principle to acquire three cable systems serving approximately 65,000 subscribers in four states from Time Warner and from Cox Communications. The combined purchase price is approximately $120 million in cash.</w:t>
      </w:r>
    </w:p>
    <w:p>
      <w:pPr>
        <w:spacing w:after="0" w:line="187"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On August 11, the company reached an agreement in principle with Tele-Communications Inc. (TCI) to trade the assets of certain cable systems. According to the terms of the agreement, the company will acquire approximately 63,100 subscribers in three states. TCI will acquire approximately 39,400 subscribers in two states.</w:t>
      </w:r>
    </w:p>
    <w:p>
      <w:pPr>
        <w:spacing w:after="0" w:line="189" w:lineRule="exact"/>
        <w:rPr>
          <w:sz w:val="20"/>
          <w:szCs w:val="20"/>
          <w:color w:val="auto"/>
        </w:rPr>
      </w:pPr>
    </w:p>
    <w:p>
      <w:pPr>
        <w:ind w:right="3039" w:firstLine="851"/>
        <w:spacing w:after="0" w:line="238" w:lineRule="auto"/>
        <w:rPr>
          <w:sz w:val="20"/>
          <w:szCs w:val="20"/>
          <w:color w:val="auto"/>
        </w:rPr>
      </w:pPr>
      <w:r>
        <w:rPr>
          <w:rFonts w:ascii="Courier New" w:cs="Courier New" w:eastAsia="Courier New" w:hAnsi="Courier New"/>
          <w:sz w:val="16"/>
          <w:szCs w:val="16"/>
          <w:color w:val="auto"/>
        </w:rPr>
        <w:t>The company expects to fund both the new plant construction and the cable system acquisitions through internally generated funds and short-term borrowings.</w:t>
      </w:r>
    </w:p>
    <w:p>
      <w:pPr>
        <w:spacing w:after="0" w:line="188"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As indicated previously, the newspaper division has experienced significant increases in newsprint prices in the first nine months of 1995 and anticipates further increases in the near future. These increases have had and will continue to have a negative impact on the company's operating results. As a result of the company's investment</w:t>
      </w:r>
    </w:p>
    <w:p>
      <w:pPr>
        <w:sectPr>
          <w:pgSz w:w="11900" w:h="16838" w:orient="portrait"/>
          <w:cols w:equalWidth="0" w:num="1">
            <w:col w:w="10219"/>
          </w:cols>
          <w:pgMar w:left="240" w:top="295"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left="7280"/>
        <w:spacing w:after="0"/>
        <w:rPr>
          <w:sz w:val="20"/>
          <w:szCs w:val="20"/>
          <w:color w:val="auto"/>
        </w:rPr>
      </w:pPr>
      <w:r>
        <w:rPr>
          <w:rFonts w:ascii="Courier New" w:cs="Courier New" w:eastAsia="Courier New" w:hAnsi="Courier New"/>
          <w:sz w:val="15"/>
          <w:szCs w:val="15"/>
          <w:color w:val="auto"/>
        </w:rPr>
        <w:t>12.</w:t>
      </w:r>
    </w:p>
    <w:p>
      <w:pPr>
        <w:spacing w:after="0" w:line="194"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in newsprint paper mills, which are included in equity in income of affiliates, the company expects that a significant portion of the increased costs will continue to be offset by its share of increased profits at the newsprint affiliates.</w:t>
      </w:r>
    </w:p>
    <w:p>
      <w:pPr>
        <w:spacing w:after="0" w:line="187" w:lineRule="exact"/>
        <w:rPr>
          <w:sz w:val="20"/>
          <w:szCs w:val="20"/>
          <w:color w:val="auto"/>
        </w:rPr>
      </w:pPr>
    </w:p>
    <w:p>
      <w:pPr>
        <w:ind w:right="2759" w:firstLine="851"/>
        <w:spacing w:after="0"/>
        <w:rPr>
          <w:sz w:val="20"/>
          <w:szCs w:val="20"/>
          <w:color w:val="auto"/>
        </w:rPr>
      </w:pPr>
      <w:r>
        <w:rPr>
          <w:rFonts w:ascii="Courier New" w:cs="Courier New" w:eastAsia="Courier New" w:hAnsi="Courier New"/>
          <w:sz w:val="16"/>
          <w:szCs w:val="16"/>
          <w:color w:val="auto"/>
        </w:rPr>
        <w:t>As of the end of 1994, the company had repurchased approximately 885,000 shares of the one million Class B shares authorized for repurchase by the Board of Directors in May 1990. In January 1995 the Board of Directors authorized the company to repurchase an additional one million Class B shares, primarily through block purchases. In the first nine months of 1995, the company repurchased 361,106 shares of its Class B common stock for $89.6 million. This completed the repurchase under the May 1990 authorization; approximately 752,000 Class B shares remain to be repurchased under the January 1995 authorization.</w:t>
      </w:r>
    </w:p>
    <w:p>
      <w:pPr>
        <w:spacing w:after="0" w:line="188" w:lineRule="exact"/>
        <w:rPr>
          <w:sz w:val="20"/>
          <w:szCs w:val="20"/>
          <w:color w:val="auto"/>
        </w:rPr>
      </w:pPr>
    </w:p>
    <w:p>
      <w:pPr>
        <w:ind w:right="3419" w:firstLine="851"/>
        <w:spacing w:after="0" w:line="237" w:lineRule="auto"/>
        <w:rPr>
          <w:sz w:val="20"/>
          <w:szCs w:val="20"/>
          <w:color w:val="auto"/>
        </w:rPr>
      </w:pPr>
      <w:r>
        <w:rPr>
          <w:rFonts w:ascii="Courier New" w:cs="Courier New" w:eastAsia="Courier New" w:hAnsi="Courier New"/>
          <w:sz w:val="16"/>
          <w:szCs w:val="16"/>
          <w:color w:val="auto"/>
        </w:rPr>
        <w:t>The company has experienced no other significant changes in its financial condition since the end of 1994.</w:t>
      </w:r>
    </w:p>
    <w:p>
      <w:pPr>
        <w:sectPr>
          <w:pgSz w:w="11900" w:h="16838" w:orient="portrait"/>
          <w:cols w:equalWidth="0" w:num="1">
            <w:col w:w="10219"/>
          </w:cols>
          <w:pgMar w:left="240" w:top="295"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left="7280"/>
        <w:spacing w:after="0"/>
        <w:rPr>
          <w:sz w:val="20"/>
          <w:szCs w:val="20"/>
          <w:color w:val="auto"/>
        </w:rPr>
      </w:pPr>
      <w:r>
        <w:rPr>
          <w:rFonts w:ascii="Courier New" w:cs="Courier New" w:eastAsia="Courier New" w:hAnsi="Courier New"/>
          <w:sz w:val="15"/>
          <w:szCs w:val="15"/>
          <w:color w:val="auto"/>
        </w:rPr>
        <w:t>13.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 OTHER INFORMATION</w:t>
      </w:r>
    </w:p>
    <w:p>
      <w:pPr>
        <w:spacing w:after="0" w:line="18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364" w:lineRule="exact"/>
        <w:rPr>
          <w:sz w:val="20"/>
          <w:szCs w:val="20"/>
          <w:color w:val="auto"/>
        </w:rPr>
      </w:pPr>
    </w:p>
    <w:p>
      <w:pPr>
        <w:ind w:left="1600" w:hanging="752"/>
        <w:spacing w:after="0"/>
        <w:tabs>
          <w:tab w:leader="none" w:pos="16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documents are filed as exhibits to this report:</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EXHIBIT</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FILING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NUMBER</w:t>
      </w:r>
    </w:p>
    <w:p>
      <w:pPr>
        <w:spacing w:after="0" w:line="190" w:lineRule="exact"/>
        <w:rPr>
          <w:sz w:val="20"/>
          <w:szCs w:val="20"/>
          <w:color w:val="auto"/>
        </w:rPr>
      </w:pPr>
    </w:p>
    <w:p>
      <w:pPr>
        <w:sectPr>
          <w:pgSz w:w="11900" w:h="16838" w:orient="portrait"/>
          <w:cols w:equalWidth="0" w:num="3">
            <w:col w:w="3340" w:space="720"/>
            <w:col w:w="2600" w:space="720"/>
            <w:col w:w="2839"/>
          </w:cols>
          <w:pgMar w:left="240" w:top="295" w:right="1440" w:bottom="1440" w:gutter="0" w:footer="0" w:header="0"/>
          <w:type w:val="continuous"/>
        </w:sectPr>
      </w:pPr>
    </w:p>
    <w:p>
      <w:pPr>
        <w:ind w:left="2460" w:hanging="1612"/>
        <w:spacing w:after="0"/>
        <w:tabs>
          <w:tab w:leader="none" w:pos="24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Calculation of average number of</w:t>
      </w:r>
    </w:p>
    <w:p>
      <w:pPr>
        <w:ind w:left="2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shares outstanding...............................</w:t>
      </w:r>
      <w:r>
        <w:rPr>
          <w:rFonts w:ascii="Courier New" w:cs="Courier New" w:eastAsia="Courier New" w:hAnsi="Courier New"/>
          <w:sz w:val="15"/>
          <w:szCs w:val="15"/>
          <w:color w:val="auto"/>
        </w:rPr>
        <w:t>15</w:t>
      </w:r>
    </w:p>
    <w:p>
      <w:pPr>
        <w:spacing w:after="0" w:line="183" w:lineRule="exact"/>
        <w:rPr>
          <w:sz w:val="20"/>
          <w:szCs w:val="20"/>
          <w:color w:val="auto"/>
        </w:rPr>
      </w:pPr>
    </w:p>
    <w:p>
      <w:pPr>
        <w:jc w:val="both"/>
        <w:ind w:left="840"/>
        <w:spacing w:after="0"/>
        <w:tabs>
          <w:tab w:leader="none" w:pos="2440" w:val="left"/>
          <w:tab w:leader="none" w:pos="774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Financial Data Schedule (Electronic Filing Only).</w:t>
      </w:r>
      <w:r>
        <w:rPr>
          <w:sz w:val="20"/>
          <w:szCs w:val="20"/>
          <w:color w:val="auto"/>
        </w:rPr>
        <w:tab/>
      </w:r>
      <w:r>
        <w:rPr>
          <w:rFonts w:ascii="Courier New" w:cs="Courier New" w:eastAsia="Courier New" w:hAnsi="Courier New"/>
          <w:sz w:val="15"/>
          <w:szCs w:val="15"/>
          <w:color w:val="auto"/>
        </w:rPr>
        <w:t>16</w:t>
      </w:r>
    </w:p>
    <w:p>
      <w:pPr>
        <w:spacing w:after="0" w:line="368" w:lineRule="exact"/>
        <w:rPr>
          <w:sz w:val="20"/>
          <w:szCs w:val="20"/>
          <w:color w:val="auto"/>
        </w:rPr>
      </w:pPr>
    </w:p>
    <w:p>
      <w:pPr>
        <w:ind w:left="1600" w:right="2759" w:hanging="752"/>
        <w:spacing w:after="0" w:line="237" w:lineRule="auto"/>
        <w:tabs>
          <w:tab w:leader="none" w:pos="16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during the period covered by this report.</w:t>
      </w:r>
    </w:p>
    <w:p>
      <w:pPr>
        <w:sectPr>
          <w:pgSz w:w="11900" w:h="16838" w:orient="portrait"/>
          <w:cols w:equalWidth="0" w:num="1">
            <w:col w:w="10219"/>
          </w:cols>
          <w:pgMar w:left="240" w:top="295"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350" w:lineRule="exact"/>
        <w:rPr>
          <w:sz w:val="20"/>
          <w:szCs w:val="20"/>
          <w:color w:val="auto"/>
        </w:rPr>
      </w:pPr>
    </w:p>
    <w:p>
      <w:pPr>
        <w:ind w:right="2939" w:firstLine="851"/>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66"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THE WASHINGTON POST COMPANY</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jc w:val="both"/>
        <w:ind w:right="240"/>
        <w:spacing w:after="0" w:line="267" w:lineRule="auto"/>
        <w:rPr>
          <w:sz w:val="20"/>
          <w:szCs w:val="20"/>
          <w:color w:val="auto"/>
        </w:rPr>
      </w:pPr>
      <w:r>
        <w:rPr>
          <w:rFonts w:ascii="Courier New" w:cs="Courier New" w:eastAsia="Courier New" w:hAnsi="Courier New"/>
          <w:sz w:val="15"/>
          <w:szCs w:val="15"/>
          <w:color w:val="auto"/>
        </w:rPr>
        <w:t>November 15, 1995 -----------------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/s/ Donald E. Graham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Donald E. Graham, Chairman &amp;</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Chief Executive Officer</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3">
            <w:col w:w="460" w:space="200"/>
            <w:col w:w="1840" w:space="720"/>
            <w:col w:w="6999"/>
          </w:cols>
          <w:pgMar w:left="240" w:top="295" w:right="1440"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jc w:val="both"/>
        <w:ind w:right="240"/>
        <w:spacing w:after="0" w:line="267" w:lineRule="auto"/>
        <w:rPr>
          <w:sz w:val="20"/>
          <w:szCs w:val="20"/>
          <w:color w:val="auto"/>
        </w:rPr>
      </w:pPr>
      <w:r>
        <w:rPr>
          <w:rFonts w:ascii="Courier New" w:cs="Courier New" w:eastAsia="Courier New" w:hAnsi="Courier New"/>
          <w:sz w:val="15"/>
          <w:szCs w:val="15"/>
          <w:color w:val="auto"/>
        </w:rPr>
        <w:t>November 15, 1995 -----------------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/s/ John B. Morse,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B. Morse, Jr., Vice President-Finance</w:t>
      </w:r>
    </w:p>
    <w:p>
      <w:pPr>
        <w:spacing w:after="0" w:line="8"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(Principal Financial Officer)</w:t>
      </w:r>
    </w:p>
    <w:p>
      <w:pPr>
        <w:sectPr>
          <w:pgSz w:w="11900" w:h="16838" w:orient="portrait"/>
          <w:cols w:equalWidth="0" w:num="3">
            <w:col w:w="460" w:space="200"/>
            <w:col w:w="1840" w:space="720"/>
            <w:col w:w="6999"/>
          </w:cols>
          <w:pgMar w:left="240" w:top="295"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ind w:left="7280"/>
        <w:spacing w:after="0"/>
        <w:rPr>
          <w:sz w:val="20"/>
          <w:szCs w:val="20"/>
          <w:color w:val="auto"/>
        </w:rPr>
      </w:pPr>
      <w:r>
        <w:rPr>
          <w:rFonts w:ascii="Courier New" w:cs="Courier New" w:eastAsia="Courier New" w:hAnsi="Courier New"/>
          <w:sz w:val="15"/>
          <w:szCs w:val="15"/>
          <w:color w:val="auto"/>
        </w:rPr>
        <w:t>15.</w:t>
      </w:r>
    </w:p>
    <w:p>
      <w:pPr>
        <w:spacing w:after="0" w:line="190"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Exhibit 11</w:t>
      </w:r>
    </w:p>
    <w:p>
      <w:pPr>
        <w:spacing w:after="0" w:line="364"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6"/>
          <w:szCs w:val="16"/>
          <w:color w:val="auto"/>
        </w:rPr>
        <w:t>CALCULATION OF AVERAGE</w:t>
      </w:r>
    </w:p>
    <w:p>
      <w:pPr>
        <w:spacing w:after="0" w:line="1"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6"/>
          <w:szCs w:val="16"/>
          <w:color w:val="auto"/>
        </w:rPr>
        <w:t>NUMBER OF SHARES OUTSTANDING</w:t>
      </w:r>
    </w:p>
    <w:p>
      <w:pPr>
        <w:spacing w:after="0" w:line="1"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6"/>
          <w:szCs w:val="16"/>
          <w:color w:val="auto"/>
        </w:rPr>
        <w:t>(In thousands of shares)</w:t>
      </w:r>
    </w:p>
    <w:p>
      <w:pPr>
        <w:sectPr>
          <w:pgSz w:w="11900" w:h="16838" w:orient="portrait"/>
          <w:cols w:equalWidth="0" w:num="1">
            <w:col w:w="11520"/>
          </w:cols>
          <w:pgMar w:left="240" w:top="138"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820"/>
        <w:spacing w:after="0"/>
        <w:rPr>
          <w:sz w:val="20"/>
          <w:szCs w:val="20"/>
          <w:color w:val="auto"/>
        </w:rPr>
      </w:pPr>
      <w:r>
        <w:rPr>
          <w:rFonts w:ascii="Courier New" w:cs="Courier New" w:eastAsia="Courier New" w:hAnsi="Courier New"/>
          <w:sz w:val="16"/>
          <w:szCs w:val="16"/>
          <w:color w:val="auto"/>
        </w:rPr>
        <w:t>Thirteen Weeks Ended</w:t>
      </w:r>
    </w:p>
    <w:p>
      <w:pPr>
        <w:spacing w:after="0" w:line="5"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440"/>
        <w:spacing w:after="0"/>
        <w:tabs>
          <w:tab w:leader="none" w:pos="6400" w:val="left"/>
        </w:tabs>
        <w:rPr>
          <w:sz w:val="20"/>
          <w:szCs w:val="20"/>
          <w:color w:val="auto"/>
        </w:rPr>
      </w:pPr>
      <w:r>
        <w:rPr>
          <w:rFonts w:ascii="Courier New" w:cs="Courier New" w:eastAsia="Courier New" w:hAnsi="Courier New"/>
          <w:sz w:val="16"/>
          <w:szCs w:val="16"/>
          <w:color w:val="auto"/>
        </w:rPr>
        <w:t>Oct. 1,</w:t>
      </w:r>
      <w:r>
        <w:rPr>
          <w:sz w:val="20"/>
          <w:szCs w:val="20"/>
          <w:color w:val="auto"/>
        </w:rPr>
        <w:tab/>
      </w:r>
      <w:r>
        <w:rPr>
          <w:rFonts w:ascii="Courier New" w:cs="Courier New" w:eastAsia="Courier New" w:hAnsi="Courier New"/>
          <w:sz w:val="16"/>
          <w:szCs w:val="16"/>
          <w:color w:val="auto"/>
        </w:rPr>
        <w:t>Oct. 2,</w:t>
      </w:r>
    </w:p>
    <w:p>
      <w:pPr>
        <w:spacing w:after="0" w:line="1" w:lineRule="exact"/>
        <w:rPr>
          <w:sz w:val="20"/>
          <w:szCs w:val="20"/>
          <w:color w:val="auto"/>
        </w:rPr>
      </w:pPr>
    </w:p>
    <w:p>
      <w:pPr>
        <w:ind w:left="4540"/>
        <w:spacing w:after="0"/>
        <w:tabs>
          <w:tab w:leader="none" w:pos="6500" w:val="left"/>
        </w:tabs>
        <w:rPr>
          <w:sz w:val="20"/>
          <w:szCs w:val="20"/>
          <w:color w:val="auto"/>
        </w:rPr>
      </w:pP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6"/>
          <w:szCs w:val="16"/>
          <w:color w:val="auto"/>
        </w:rPr>
        <w:t>1994</w:t>
      </w:r>
    </w:p>
    <w:p>
      <w:pPr>
        <w:spacing w:after="0" w:line="5" w:lineRule="exact"/>
        <w:rPr>
          <w:sz w:val="20"/>
          <w:szCs w:val="20"/>
          <w:color w:val="auto"/>
        </w:rPr>
      </w:pPr>
    </w:p>
    <w:p>
      <w:pPr>
        <w:ind w:left="4340"/>
        <w:spacing w:after="0"/>
        <w:tabs>
          <w:tab w:leader="none" w:pos="62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Thirty-nine Weeks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00"/>
        <w:spacing w:after="0"/>
        <w:tabs>
          <w:tab w:leader="none" w:pos="2160" w:val="left"/>
        </w:tabs>
        <w:rPr>
          <w:sz w:val="20"/>
          <w:szCs w:val="20"/>
          <w:color w:val="auto"/>
        </w:rPr>
      </w:pPr>
      <w:r>
        <w:rPr>
          <w:rFonts w:ascii="Courier New" w:cs="Courier New" w:eastAsia="Courier New" w:hAnsi="Courier New"/>
          <w:sz w:val="16"/>
          <w:szCs w:val="16"/>
          <w:color w:val="auto"/>
        </w:rPr>
        <w:t>Oct. 1,</w:t>
      </w:r>
      <w:r>
        <w:rPr>
          <w:sz w:val="20"/>
          <w:szCs w:val="20"/>
          <w:color w:val="auto"/>
        </w:rPr>
        <w:tab/>
      </w:r>
      <w:r>
        <w:rPr>
          <w:rFonts w:ascii="Courier New" w:cs="Courier New" w:eastAsia="Courier New" w:hAnsi="Courier New"/>
          <w:sz w:val="15"/>
          <w:szCs w:val="15"/>
          <w:color w:val="auto"/>
        </w:rPr>
        <w:t>Oct. 2,</w:t>
      </w:r>
    </w:p>
    <w:p>
      <w:pPr>
        <w:spacing w:after="0" w:line="1" w:lineRule="exact"/>
        <w:rPr>
          <w:sz w:val="20"/>
          <w:szCs w:val="20"/>
          <w:color w:val="auto"/>
        </w:rPr>
      </w:pPr>
    </w:p>
    <w:p>
      <w:pPr>
        <w:ind w:left="280"/>
        <w:spacing w:after="0"/>
        <w:tabs>
          <w:tab w:leader="none" w:pos="2240" w:val="left"/>
        </w:tabs>
        <w:rPr>
          <w:sz w:val="20"/>
          <w:szCs w:val="20"/>
          <w:color w:val="auto"/>
        </w:rPr>
      </w:pP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6"/>
          <w:szCs w:val="16"/>
          <w:color w:val="auto"/>
        </w:rPr>
        <w:t>1994</w:t>
      </w:r>
    </w:p>
    <w:p>
      <w:pPr>
        <w:spacing w:after="0" w:line="5"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38" w:orient="portrait"/>
          <w:cols w:equalWidth="0" w:num="2">
            <w:col w:w="7600" w:space="720"/>
            <w:col w:w="3200"/>
          </w:cols>
          <w:pgMar w:left="240" w:top="138"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Number of shares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and Class 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outstanding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beginning of</w:t>
      </w:r>
    </w:p>
    <w:p>
      <w:pPr>
        <w:sectPr>
          <w:pgSz w:w="11900" w:h="16838" w:orient="portrait"/>
          <w:cols w:equalWidth="0" w:num="1">
            <w:col w:w="11520"/>
          </w:cols>
          <w:pgMar w:left="240" w:top="138" w:right="1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11,041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11,713</w:t>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Courier New" w:cs="Courier New" w:eastAsia="Courier New" w:hAnsi="Courier New"/>
          <w:sz w:val="15"/>
          <w:szCs w:val="15"/>
          <w:color w:val="auto"/>
        </w:rPr>
        <w:t>11,346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11,713</w:t>
      </w:r>
    </w:p>
    <w:p>
      <w:pPr>
        <w:spacing w:after="0" w:line="193" w:lineRule="exact"/>
        <w:rPr>
          <w:sz w:val="20"/>
          <w:szCs w:val="20"/>
          <w:color w:val="auto"/>
        </w:rPr>
      </w:pPr>
    </w:p>
    <w:p>
      <w:pPr>
        <w:sectPr>
          <w:pgSz w:w="11900" w:h="16838" w:orient="portrait"/>
          <w:cols w:equalWidth="0" w:num="5">
            <w:col w:w="3920" w:space="720"/>
            <w:col w:w="1160" w:space="720"/>
            <w:col w:w="1460" w:space="720"/>
            <w:col w:w="1460" w:space="720"/>
            <w:col w:w="640"/>
          </w:cols>
          <w:pgMar w:left="240" w:top="138"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Issuance of shares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B common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(weighted), net of</w:t>
      </w:r>
    </w:p>
    <w:p>
      <w:pPr>
        <w:sectPr>
          <w:pgSz w:w="11900" w:h="16838" w:orient="portrait"/>
          <w:cols w:equalWidth="0" w:num="1">
            <w:col w:w="11520"/>
          </w:cols>
          <w:pgMar w:left="240" w:top="138" w:right="1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forfeiture of restricted stock awards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center"/>
        <w:ind w:right="1260"/>
        <w:spacing w:after="0"/>
        <w:rPr>
          <w:sz w:val="20"/>
          <w:szCs w:val="20"/>
          <w:color w:val="auto"/>
        </w:rPr>
      </w:pPr>
      <w:r>
        <w:rPr>
          <w:rFonts w:ascii="Courier New" w:cs="Courier New" w:eastAsia="Courier New" w:hAnsi="Courier New"/>
          <w:sz w:val="16"/>
          <w:szCs w:val="16"/>
          <w:color w:val="auto"/>
        </w:rPr>
        <w:t>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4" w:lineRule="exact"/>
        <w:rPr>
          <w:sz w:val="20"/>
          <w:szCs w:val="20"/>
          <w:color w:val="auto"/>
        </w:rPr>
      </w:pPr>
    </w:p>
    <w:p>
      <w:pPr>
        <w:sectPr>
          <w:pgSz w:w="11900" w:h="16838" w:orient="portrait"/>
          <w:cols w:equalWidth="0" w:num="5">
            <w:col w:w="4280" w:space="720"/>
            <w:col w:w="1080" w:space="720"/>
            <w:col w:w="1460" w:space="720"/>
            <w:col w:w="1460" w:space="720"/>
            <w:col w:w="360"/>
          </w:cols>
          <w:pgMar w:left="240" w:top="138"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Repurchase of Class B</w:t>
      </w:r>
    </w:p>
    <w:p>
      <w:pPr>
        <w:sectPr>
          <w:pgSz w:w="11900" w:h="16838" w:orient="portrait"/>
          <w:cols w:equalWidth="0" w:num="1">
            <w:col w:w="11520"/>
          </w:cols>
          <w:pgMar w:left="240" w:top="138" w:right="1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(weighted)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(225)</w:t>
      </w:r>
    </w:p>
    <w:p>
      <w:pPr>
        <w:spacing w:after="0" w:line="20" w:lineRule="exact"/>
        <w:rPr>
          <w:sz w:val="20"/>
          <w:szCs w:val="20"/>
          <w:color w:val="auto"/>
        </w:rPr>
      </w:pPr>
      <w:r>
        <w:rPr>
          <w:sz w:val="20"/>
          <w:szCs w:val="20"/>
          <w:color w:val="auto"/>
        </w:rPr>
        <w:br w:type="column"/>
      </w:r>
    </w:p>
    <w:p>
      <w:pPr>
        <w:jc w:val="center"/>
        <w:ind w:right="1080"/>
        <w:spacing w:after="0"/>
        <w:rPr>
          <w:sz w:val="20"/>
          <w:szCs w:val="20"/>
          <w:color w:val="auto"/>
        </w:rPr>
      </w:pPr>
      <w:r>
        <w:rPr>
          <w:rFonts w:ascii="Courier New" w:cs="Courier New" w:eastAsia="Courier New" w:hAnsi="Courier New"/>
          <w:sz w:val="16"/>
          <w:szCs w:val="16"/>
          <w:color w:val="auto"/>
        </w:rPr>
        <w:t>(266)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(91)</w:t>
      </w:r>
    </w:p>
    <w:p>
      <w:pPr>
        <w:spacing w:after="0" w:line="190" w:lineRule="exact"/>
        <w:rPr>
          <w:sz w:val="20"/>
          <w:szCs w:val="20"/>
          <w:color w:val="auto"/>
        </w:rPr>
      </w:pPr>
    </w:p>
    <w:p>
      <w:pPr>
        <w:sectPr>
          <w:pgSz w:w="11900" w:h="16838" w:orient="portrait"/>
          <w:cols w:equalWidth="0" w:num="5">
            <w:col w:w="4200" w:space="720"/>
            <w:col w:w="1080" w:space="720"/>
            <w:col w:w="1440" w:space="720"/>
            <w:col w:w="1560" w:space="720"/>
            <w:col w:w="360"/>
          </w:cols>
          <w:pgMar w:left="240" w:top="138" w:right="13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Unexercised stock option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equivalent shares computed under the</w:t>
      </w:r>
    </w:p>
    <w:p>
      <w:pPr>
        <w:sectPr>
          <w:pgSz w:w="11900" w:h="16838" w:orient="portrait"/>
          <w:cols w:equalWidth="0" w:num="1">
            <w:col w:w="11520"/>
          </w:cols>
          <w:pgMar w:left="240" w:top="138" w:right="1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"treasury stock method"</w:t>
      </w:r>
    </w:p>
    <w:p>
      <w:pPr>
        <w:spacing w:after="0" w:line="20" w:lineRule="exact"/>
        <w:rPr>
          <w:sz w:val="20"/>
          <w:szCs w:val="20"/>
          <w:color w:val="auto"/>
        </w:rPr>
      </w:pPr>
      <w:r>
        <w:rPr>
          <w:sz w:val="20"/>
          <w:szCs w:val="20"/>
          <w:color w:val="auto"/>
        </w:rPr>
        <w:br w:type="column"/>
      </w:r>
    </w:p>
    <w:p>
      <w:pPr>
        <w:jc w:val="right"/>
        <w:ind w:right="600"/>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jc w:val="right"/>
        <w:ind w:right="6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880"/>
        <w:spacing w:after="0"/>
        <w:rPr>
          <w:sz w:val="20"/>
          <w:szCs w:val="20"/>
          <w:color w:val="auto"/>
        </w:rPr>
      </w:pPr>
      <w:r>
        <w:rPr>
          <w:rFonts w:ascii="Courier New" w:cs="Courier New" w:eastAsia="Courier New" w:hAnsi="Courier New"/>
          <w:sz w:val="16"/>
          <w:szCs w:val="16"/>
          <w:color w:val="auto"/>
        </w:rPr>
        <w:t>4</w:t>
      </w:r>
    </w:p>
    <w:p>
      <w:pPr>
        <w:spacing w:after="0" w:line="1" w:lineRule="exact"/>
        <w:rPr>
          <w:sz w:val="20"/>
          <w:szCs w:val="20"/>
          <w:color w:val="auto"/>
        </w:rPr>
      </w:pPr>
    </w:p>
    <w:p>
      <w:pPr>
        <w:jc w:val="right"/>
        <w:ind w:right="8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ind w:right="90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jc w:val="right"/>
        <w:ind w:right="9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jc w:val="right"/>
        <w:ind w:right="8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38" w:orient="portrait"/>
          <w:cols w:equalWidth="0" w:num="5">
            <w:col w:w="3920" w:space="720"/>
            <w:col w:w="1160" w:space="720"/>
            <w:col w:w="1460" w:space="720"/>
            <w:col w:w="1460" w:space="720"/>
            <w:col w:w="640"/>
          </w:cols>
          <w:pgMar w:left="240" w:top="138" w:right="13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Average number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outstanding</w:t>
      </w:r>
    </w:p>
    <w:p>
      <w:pPr>
        <w:sectPr>
          <w:pgSz w:w="11900" w:h="16838" w:orient="portrait"/>
          <w:cols w:equalWidth="0" w:num="1">
            <w:col w:w="11520"/>
          </w:cols>
          <w:pgMar w:left="240" w:top="138" w:right="1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11,019</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11,492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11,108</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11,627</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5">
            <w:col w:w="3920" w:space="720"/>
            <w:col w:w="1160" w:space="720"/>
            <w:col w:w="1460" w:space="720"/>
            <w:col w:w="1460" w:space="720"/>
            <w:col w:w="640"/>
          </w:cols>
          <w:pgMar w:left="240" w:top="138" w:right="139" w:bottom="1440" w:gutter="0" w:footer="0" w:header="0"/>
          <w:type w:val="continuous"/>
        </w:sectPr>
      </w:pPr>
    </w:p>
    <w:bookmarkStart w:id="15" w:name="page16"/>
    <w:bookmarkEnd w:id="15"/>
    <w:p>
      <w:pPr>
        <w:ind w:left="8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ind w:right="2819"/>
        <w:spacing w:after="0" w:line="239"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Statement of Income for the nine months ended October 1, 1995 and the Consolidated Balance Sheet as of October 1, 1995 and is qualified in its entirety by reference to such financial statements.</w:t>
      </w:r>
    </w:p>
    <w:p>
      <w:pPr>
        <w:spacing w:after="0" w:line="18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64"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9-MOS</w:t>
      </w:r>
    </w:p>
    <w:p>
      <w:pPr>
        <w:spacing w:after="0" w:line="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DEC-31-1995</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OCT-01-1995</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106,265</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8,131</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227,964</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40,997</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31,692</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386,163</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986,862</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522,307</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1,773,828</w:t>
      </w:r>
    </w:p>
    <w:p>
      <w:pPr>
        <w:spacing w:after="0" w:line="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354,090</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50,240</w:t>
      </w:r>
    </w:p>
    <w:p>
      <w:pPr>
        <w:spacing w:after="0" w:line="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20,000</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1,113,806</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1,773,828</w:t>
      </w:r>
    </w:p>
    <w:p>
      <w:pPr>
        <w:spacing w:after="0" w:line="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1,256,464</w:t>
      </w:r>
    </w:p>
    <w:p>
      <w:pPr>
        <w:spacing w:after="0" w:line="1"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688,949</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40,794</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4,187</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224,955</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87,750</w:t>
      </w:r>
    </w:p>
    <w:p>
      <w:pPr>
        <w:spacing w:after="0" w:line="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137,205</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137,205</w:t>
      </w:r>
    </w:p>
    <w:p>
      <w:pPr>
        <w:spacing w:after="0" w:line="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12.35</w:t>
      </w:r>
    </w:p>
    <w:p>
      <w:pPr>
        <w:spacing w:after="0" w:line="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12.35</w:t>
      </w:r>
    </w:p>
    <w:sectPr>
      <w:pgSz w:w="11900" w:h="16838" w:orient="portrait"/>
      <w:cols w:equalWidth="0" w:num="1">
        <w:col w:w="10199"/>
      </w:cols>
      <w:pgMar w:left="260" w:top="5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decimal"/>
      <w:start w:val="202"/>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2019-12-13T08:09:22Z</dcterms:created>
  <dcterms:modified xsi:type="dcterms:W3CDTF">2019-12-13T08:09:22Z</dcterms:modified>
</cp:coreProperties>
</file>