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99"/>
        <w:spacing w:after="0"/>
        <w:tabs>
          <w:tab w:leader="none" w:pos="200" w:val="left"/>
          <w:tab w:leader="none" w:pos="18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jc w:val="center"/>
        <w:ind w:right="1699"/>
        <w:spacing w:after="0" w:line="238" w:lineRule="auto"/>
        <w:rPr>
          <w:sz w:val="20"/>
          <w:szCs w:val="20"/>
          <w:color w:val="auto"/>
        </w:rPr>
      </w:pPr>
      <w:r>
        <w:rPr>
          <w:rFonts w:ascii="Courier New" w:cs="Courier New" w:eastAsia="Courier New" w:hAnsi="Courier New"/>
          <w:sz w:val="18"/>
          <w:szCs w:val="18"/>
          <w:color w:val="auto"/>
        </w:rPr>
        <w:t>SCHEDULE 13G</w:t>
      </w:r>
    </w:p>
    <w:p>
      <w:pPr>
        <w:jc w:val="center"/>
        <w:ind w:right="179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26)*</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WASHINGTON POST CO.</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WASHINGTON POST CO. CLASS "B"</w:t>
      </w:r>
    </w:p>
    <w:p>
      <w:pPr>
        <w:ind w:left="3380"/>
        <w:spacing w:after="0"/>
        <w:rPr>
          <w:sz w:val="20"/>
          <w:szCs w:val="20"/>
          <w:color w:val="auto"/>
        </w:rPr>
      </w:pPr>
      <w:r>
        <w:rPr>
          <w:rFonts w:ascii="Courier New" w:cs="Courier New" w:eastAsia="Courier New" w:hAnsi="Courier New"/>
          <w:sz w:val="18"/>
          <w:szCs w:val="18"/>
          <w:color w:val="auto"/>
        </w:rPr>
        <w:t>VOTING CL B</w:t>
      </w:r>
    </w:p>
    <w:p>
      <w:pPr>
        <w:ind w:left="420" w:right="3819"/>
        <w:spacing w:after="0" w:line="238" w:lineRule="auto"/>
        <w:rPr>
          <w:sz w:val="20"/>
          <w:szCs w:val="20"/>
          <w:color w:val="auto"/>
        </w:rPr>
      </w:pPr>
      <w:r>
        <w:rPr>
          <w:rFonts w:ascii="Courier New" w:cs="Courier New" w:eastAsia="Courier New" w:hAnsi="Courier New"/>
          <w:sz w:val="18"/>
          <w:szCs w:val="18"/>
          <w:color w:val="auto"/>
        </w:rPr>
        <w:t>UNLESS OTHERWISE NOTED, THE SECURITY BEING REPORTED IS A COMMON STOCK</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939640 10 8</w:t>
      </w:r>
    </w:p>
    <w:p>
      <w:pPr>
        <w:ind w:left="1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FEE BEING PAID:</w:t>
        <w:tab/>
        <w:t>NO</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line="238" w:lineRule="auto"/>
        <w:rPr>
          <w:sz w:val="20"/>
          <w:szCs w:val="20"/>
          <w:color w:val="auto"/>
        </w:rPr>
      </w:pPr>
      <w:r>
        <w:rPr>
          <w:rFonts w:ascii="Courier New" w:cs="Courier New" w:eastAsia="Courier New" w:hAnsi="Courier New"/>
          <w:sz w:val="18"/>
          <w:szCs w:val="18"/>
          <w:color w:val="auto"/>
        </w:rPr>
        <w:t>(B)</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171"/>
        </w:trPr>
        <w:tc>
          <w:tcPr>
            <w:tcW w:w="38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line="171"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171" w:lineRule="exact"/>
              <w:rPr>
                <w:sz w:val="20"/>
                <w:szCs w:val="20"/>
                <w:color w:val="auto"/>
              </w:rPr>
            </w:pPr>
            <w:r>
              <w:rPr>
                <w:rFonts w:ascii="Courier New" w:cs="Courier New" w:eastAsia="Courier New" w:hAnsi="Courier New"/>
                <w:sz w:val="18"/>
                <w:szCs w:val="18"/>
                <w:color w:val="auto"/>
              </w:rPr>
              <w:t>POWER</w:t>
            </w:r>
          </w:p>
        </w:tc>
        <w:tc>
          <w:tcPr>
            <w:tcW w:w="2000" w:type="dxa"/>
            <w:vAlign w:val="bottom"/>
            <w:gridSpan w:val="2"/>
          </w:tcPr>
          <w:p>
            <w:pPr>
              <w:ind w:left="40"/>
              <w:spacing w:after="0" w:line="171"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jc w:val="right"/>
              <w:ind w:right="52"/>
              <w:spacing w:after="0" w:line="171" w:lineRule="exact"/>
              <w:rPr>
                <w:sz w:val="20"/>
                <w:szCs w:val="20"/>
                <w:color w:val="auto"/>
              </w:rPr>
            </w:pPr>
            <w:r>
              <w:rPr>
                <w:rFonts w:ascii="Courier New" w:cs="Courier New" w:eastAsia="Courier New" w:hAnsi="Courier New"/>
                <w:sz w:val="18"/>
                <w:szCs w:val="18"/>
                <w:color w:val="auto"/>
              </w:rPr>
              <w:t>24,136</w:t>
            </w:r>
          </w:p>
        </w:tc>
        <w:tc>
          <w:tcPr>
            <w:tcW w:w="80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373,211</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2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4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242,419</w:t>
            </w:r>
          </w:p>
        </w:tc>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34"/>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POWER</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TO DISPOSE:</w:t>
            </w:r>
          </w:p>
        </w:tc>
        <w:tc>
          <w:tcPr>
            <w:tcW w:w="14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591,035</w:t>
            </w:r>
          </w:p>
        </w:tc>
        <w:tc>
          <w:tcPr>
            <w:tcW w:w="800" w:type="dxa"/>
            <w:vAlign w:val="bottom"/>
          </w:tcPr>
          <w:p>
            <w:pPr>
              <w:ind w:left="160"/>
              <w:spacing w:after="0"/>
              <w:rPr>
                <w:sz w:val="20"/>
                <w:szCs w:val="20"/>
                <w:color w:val="auto"/>
              </w:rPr>
            </w:pPr>
            <w:r>
              <w:rPr>
                <w:rFonts w:ascii="Courier New" w:cs="Courier New" w:eastAsia="Courier New" w:hAnsi="Courier New"/>
                <w:sz w:val="18"/>
                <w:szCs w:val="18"/>
                <w:color w:val="auto"/>
                <w:w w:val="95"/>
              </w:rPr>
              <w:t>SHARES</w:t>
            </w:r>
          </w:p>
        </w:tc>
      </w:tr>
    </w:tbl>
    <w:p>
      <w:pPr>
        <w:ind w:left="5380" w:right="3079" w:hanging="5161"/>
        <w:spacing w:after="0" w:line="268" w:lineRule="auto"/>
        <w:tabs>
          <w:tab w:leader="none" w:pos="64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843,593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r>
        <w:rPr>
          <w:rFonts w:ascii="Courier New" w:cs="Courier New" w:eastAsia="Courier New" w:hAnsi="Courier New"/>
          <w:sz w:val="16"/>
          <w:szCs w:val="16"/>
          <w:color w:val="auto"/>
        </w:rPr>
        <w:t>10.2 %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tbl>
      <w:tblPr>
        <w:tblLayout w:type="fixed"/>
        <w:tblInd w:w="0" w:type="dxa"/>
        <w:tblCellMar>
          <w:top w:w="0" w:type="dxa"/>
          <w:left w:w="0" w:type="dxa"/>
          <w:bottom w:w="0" w:type="dxa"/>
          <w:right w:w="0" w:type="dxa"/>
        </w:tblCellMar>
      </w:tblPr>
      <w:tr>
        <w:trPr>
          <w:trHeight w:val="171"/>
        </w:trPr>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160" w:type="dxa"/>
            <w:vAlign w:val="bottom"/>
            <w:gridSpan w:val="4"/>
          </w:tcPr>
          <w:p>
            <w:pPr>
              <w:jc w:val="center"/>
              <w:ind w:right="472"/>
              <w:spacing w:after="0" w:line="171" w:lineRule="exact"/>
              <w:rPr>
                <w:sz w:val="20"/>
                <w:szCs w:val="20"/>
                <w:color w:val="auto"/>
              </w:rPr>
            </w:pPr>
            <w:r>
              <w:rPr>
                <w:rFonts w:ascii="Courier New" w:cs="Courier New" w:eastAsia="Courier New" w:hAnsi="Courier New"/>
                <w:sz w:val="18"/>
                <w:szCs w:val="18"/>
                <w:color w:val="auto"/>
                <w:w w:val="98"/>
              </w:rPr>
              <w:t>SECURITIES AND EXCHANGE COMMISSION</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WASHINGTON, D.C. 20549</w:t>
            </w: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SCHEDULE 13G</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8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AMENDMENT NO:</w:t>
            </w:r>
          </w:p>
        </w:tc>
        <w:tc>
          <w:tcPr>
            <w:tcW w:w="420" w:type="dxa"/>
            <w:vAlign w:val="bottom"/>
          </w:tcPr>
          <w:p>
            <w:pPr>
              <w:spacing w:after="0"/>
              <w:rPr>
                <w:sz w:val="17"/>
                <w:szCs w:val="17"/>
                <w:color w:val="auto"/>
              </w:rPr>
            </w:pPr>
          </w:p>
        </w:tc>
        <w:tc>
          <w:tcPr>
            <w:tcW w:w="45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UNDER THE SECURITIES EXCHANGE ACT OF 1934</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gridSpan w:val="2"/>
            <w:vMerge w:val="continue"/>
          </w:tcPr>
          <w:p>
            <w:pPr>
              <w:spacing w:after="0"/>
              <w:rPr>
                <w:sz w:val="17"/>
                <w:szCs w:val="17"/>
                <w:color w:val="auto"/>
              </w:rPr>
            </w:pP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NO</w:t>
            </w: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26</w:t>
            </w:r>
          </w:p>
        </w:tc>
        <w:tc>
          <w:tcPr>
            <w:tcW w:w="6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DATE  FEBRUARY 29, 2000</w:t>
            </w:r>
          </w:p>
        </w:tc>
        <w:tc>
          <w:tcPr>
            <w:tcW w:w="0" w:type="dxa"/>
            <w:vAlign w:val="bottom"/>
          </w:tcPr>
          <w:p>
            <w:pPr>
              <w:spacing w:after="0"/>
              <w:rPr>
                <w:sz w:val="1"/>
                <w:szCs w:val="1"/>
                <w:color w:val="auto"/>
              </w:rPr>
            </w:pP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FEE BEING PAID:</w:t>
            </w:r>
          </w:p>
        </w:tc>
        <w:tc>
          <w:tcPr>
            <w:tcW w:w="420" w:type="dxa"/>
            <w:vAlign w:val="bottom"/>
            <w:vMerge w:val="continue"/>
          </w:tcPr>
          <w:p>
            <w:pPr>
              <w:spacing w:after="0"/>
              <w:rPr>
                <w:sz w:val="17"/>
                <w:szCs w:val="17"/>
                <w:color w:val="auto"/>
              </w:rPr>
            </w:pPr>
          </w:p>
        </w:tc>
        <w:tc>
          <w:tcPr>
            <w:tcW w:w="1060" w:type="dxa"/>
            <w:vAlign w:val="bottom"/>
            <w:gridSpan w:val="2"/>
            <w:vMerge w:val="restart"/>
          </w:tcPr>
          <w:p>
            <w:pPr>
              <w:ind w:left="120"/>
              <w:spacing w:after="0"/>
              <w:rPr>
                <w:sz w:val="20"/>
                <w:szCs w:val="20"/>
                <w:color w:val="auto"/>
              </w:rPr>
            </w:pPr>
            <w:r>
              <w:rPr>
                <w:rFonts w:ascii="Courier New" w:cs="Courier New" w:eastAsia="Courier New" w:hAnsi="Courier New"/>
                <w:sz w:val="18"/>
                <w:szCs w:val="18"/>
                <w:color w:val="auto"/>
              </w:rPr>
              <w:t>ISSUER:</w:t>
            </w:r>
          </w:p>
        </w:tc>
        <w:tc>
          <w:tcPr>
            <w:tcW w:w="252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WASHINGTON POST CO.</w:t>
            </w: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(A) NAME OF</w:t>
            </w:r>
          </w:p>
        </w:tc>
        <w:tc>
          <w:tcPr>
            <w:tcW w:w="1060" w:type="dxa"/>
            <w:vAlign w:val="bottom"/>
            <w:gridSpan w:val="2"/>
            <w:vMerge w:val="continue"/>
          </w:tcPr>
          <w:p>
            <w:pPr>
              <w:spacing w:after="0"/>
              <w:rPr>
                <w:sz w:val="17"/>
                <w:szCs w:val="17"/>
                <w:color w:val="auto"/>
              </w:rPr>
            </w:pPr>
          </w:p>
        </w:tc>
        <w:tc>
          <w:tcPr>
            <w:tcW w:w="252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ADDRESS</w:t>
            </w:r>
          </w:p>
        </w:tc>
        <w:tc>
          <w:tcPr>
            <w:tcW w:w="458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1150 15TH. STREET</w:t>
            </w: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WASHINGTON, D. C.  20071</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8"/>
                <w:szCs w:val="18"/>
                <w:color w:val="auto"/>
              </w:rPr>
              <w:t>(202) 334-6000</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2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4"/>
              </w:rPr>
              <w:t>(A) NAME OF</w:t>
            </w:r>
          </w:p>
        </w:tc>
        <w:tc>
          <w:tcPr>
            <w:tcW w:w="612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PERSON FILING: J.P.MORGAN &amp; CO. INCORPORATED</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ADDRESS</w:t>
            </w:r>
          </w:p>
        </w:tc>
        <w:tc>
          <w:tcPr>
            <w:tcW w:w="3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OF PRINCIPAL BUSINESS OFFICE:</w:t>
            </w: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60 WALL STREET</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NEW YORK,N.Y. 10260</w:t>
            </w: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(C) CITIZENSHIP UNITED STATES</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(D) TITLE OF CLASS OF SECURITIES:</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4120" w:type="dxa"/>
            <w:vAlign w:val="bottom"/>
            <w:gridSpan w:val="5"/>
          </w:tcPr>
          <w:p>
            <w:pPr>
              <w:ind w:left="540"/>
              <w:spacing w:after="0" w:line="203" w:lineRule="exact"/>
              <w:rPr>
                <w:sz w:val="20"/>
                <w:szCs w:val="20"/>
                <w:color w:val="auto"/>
              </w:rPr>
            </w:pPr>
            <w:r>
              <w:rPr>
                <w:rFonts w:ascii="Courier New" w:cs="Courier New" w:eastAsia="Courier New" w:hAnsi="Courier New"/>
                <w:sz w:val="18"/>
                <w:szCs w:val="18"/>
                <w:color w:val="auto"/>
              </w:rPr>
              <w:t>WASHINGTON POST CO. CLASS "B"</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VOTING CL B</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540" w:type="dxa"/>
            <w:vAlign w:val="bottom"/>
            <w:gridSpan w:val="7"/>
          </w:tcPr>
          <w:p>
            <w:pPr>
              <w:jc w:val="right"/>
              <w:ind w:right="752"/>
              <w:spacing w:after="0" w:line="203" w:lineRule="exact"/>
              <w:rPr>
                <w:sz w:val="20"/>
                <w:szCs w:val="20"/>
                <w:color w:val="auto"/>
              </w:rPr>
            </w:pPr>
            <w:r>
              <w:rPr>
                <w:rFonts w:ascii="Courier New" w:cs="Courier New" w:eastAsia="Courier New" w:hAnsi="Courier New"/>
                <w:sz w:val="18"/>
                <w:szCs w:val="18"/>
                <w:color w:val="auto"/>
              </w:rPr>
              <w:t>UNLESS OTHERWISE NOTED, SECURITY BEING REPORTED IS A</w:t>
            </w: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2</w:t>
            </w:r>
          </w:p>
        </w:tc>
        <w:tc>
          <w:tcPr>
            <w:tcW w:w="8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2440" w:type="dxa"/>
            <w:vAlign w:val="bottom"/>
            <w:gridSpan w:val="2"/>
          </w:tcPr>
          <w:p>
            <w:pPr>
              <w:jc w:val="right"/>
              <w:ind w:right="1612"/>
              <w:spacing w:after="0" w:line="203" w:lineRule="exact"/>
              <w:rPr>
                <w:sz w:val="20"/>
                <w:szCs w:val="20"/>
                <w:color w:val="auto"/>
              </w:rPr>
            </w:pPr>
            <w:r>
              <w:rPr>
                <w:rFonts w:ascii="Courier New" w:cs="Courier New" w:eastAsia="Courier New" w:hAnsi="Courier New"/>
                <w:sz w:val="18"/>
                <w:szCs w:val="18"/>
                <w:color w:val="auto"/>
              </w:rPr>
              <w:t>STOCK.</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16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(E) CUSIP NO:</w:t>
            </w:r>
          </w:p>
        </w:tc>
        <w:tc>
          <w:tcPr>
            <w:tcW w:w="244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939640 10 8</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484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TYPE OF PERSON:  (G) PARENT HOLDING COMPANY</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2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843,593</w:t>
            </w:r>
          </w:p>
        </w:tc>
        <w:tc>
          <w:tcPr>
            <w:tcW w:w="100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4</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INCLUDING</w:t>
            </w:r>
          </w:p>
        </w:tc>
        <w:tc>
          <w:tcPr>
            <w:tcW w:w="640" w:type="dxa"/>
            <w:vAlign w:val="bottom"/>
          </w:tcPr>
          <w:p>
            <w:pPr>
              <w:spacing w:after="0"/>
              <w:rPr>
                <w:sz w:val="17"/>
                <w:szCs w:val="17"/>
                <w:color w:val="auto"/>
              </w:rPr>
            </w:pPr>
          </w:p>
        </w:tc>
        <w:tc>
          <w:tcPr>
            <w:tcW w:w="5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0  SHARES WHERE THERE IS A RIGHT TO ACQUIRE.</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12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(B) PERCENT</w:t>
            </w:r>
          </w:p>
        </w:tc>
        <w:tc>
          <w:tcPr>
            <w:tcW w:w="1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OF CLASS:</w:t>
            </w:r>
          </w:p>
        </w:tc>
        <w:tc>
          <w:tcPr>
            <w:tcW w:w="18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10.2</w:t>
            </w:r>
          </w:p>
        </w:tc>
        <w:tc>
          <w:tcPr>
            <w:tcW w:w="720" w:type="dxa"/>
            <w:vAlign w:val="bottom"/>
          </w:tcPr>
          <w:p>
            <w:pPr>
              <w:spacing w:after="0"/>
              <w:rPr>
                <w:sz w:val="17"/>
                <w:szCs w:val="17"/>
                <w:color w:val="auto"/>
              </w:rPr>
            </w:pPr>
          </w:p>
        </w:tc>
        <w:tc>
          <w:tcPr>
            <w:tcW w:w="10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24,136</w:t>
            </w:r>
          </w:p>
        </w:tc>
        <w:tc>
          <w:tcPr>
            <w:tcW w:w="1540" w:type="dxa"/>
            <w:vAlign w:val="bottom"/>
            <w:vMerge w:val="restart"/>
          </w:tcPr>
          <w:p>
            <w:pPr>
              <w:jc w:val="right"/>
              <w:ind w:right="752"/>
              <w:spacing w:after="0"/>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SOLE POWER TO VOTE:</w:t>
            </w:r>
          </w:p>
        </w:tc>
        <w:tc>
          <w:tcPr>
            <w:tcW w:w="7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(II)</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SHARED POWER TO VOTE:</w:t>
            </w:r>
          </w:p>
        </w:tc>
        <w:tc>
          <w:tcPr>
            <w:tcW w:w="72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373,211</w:t>
            </w:r>
          </w:p>
        </w:tc>
        <w:tc>
          <w:tcPr>
            <w:tcW w:w="15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(III)</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SOLE POWER TO DISPOSE:</w:t>
            </w:r>
          </w:p>
        </w:tc>
        <w:tc>
          <w:tcPr>
            <w:tcW w:w="72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242,419</w:t>
            </w:r>
          </w:p>
        </w:tc>
        <w:tc>
          <w:tcPr>
            <w:tcW w:w="15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vMerge w:val="restart"/>
          </w:tcPr>
          <w:p>
            <w:pPr>
              <w:spacing w:after="0"/>
              <w:rPr>
                <w:sz w:val="20"/>
                <w:szCs w:val="20"/>
                <w:color w:val="auto"/>
              </w:rPr>
            </w:pPr>
            <w:r>
              <w:rPr>
                <w:rFonts w:ascii="Courier New" w:cs="Courier New" w:eastAsia="Courier New" w:hAnsi="Courier New"/>
                <w:sz w:val="18"/>
                <w:szCs w:val="18"/>
                <w:color w:val="auto"/>
              </w:rPr>
              <w:t>ITEM 5</w:t>
            </w:r>
          </w:p>
        </w:tc>
        <w:tc>
          <w:tcPr>
            <w:tcW w:w="840" w:type="dxa"/>
            <w:vAlign w:val="bottom"/>
          </w:tcPr>
          <w:p>
            <w:pPr>
              <w:spacing w:after="0"/>
              <w:rPr>
                <w:sz w:val="17"/>
                <w:szCs w:val="17"/>
                <w:color w:val="auto"/>
              </w:rPr>
            </w:pP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(IV)</w:t>
            </w:r>
          </w:p>
        </w:tc>
        <w:tc>
          <w:tcPr>
            <w:tcW w:w="28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SHARED POWER TO DISPOSE:</w:t>
            </w:r>
          </w:p>
        </w:tc>
        <w:tc>
          <w:tcPr>
            <w:tcW w:w="72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591,035</w:t>
            </w:r>
          </w:p>
        </w:tc>
        <w:tc>
          <w:tcPr>
            <w:tcW w:w="15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SHARES</w:t>
            </w:r>
          </w:p>
        </w:tc>
        <w:tc>
          <w:tcPr>
            <w:tcW w:w="0" w:type="dxa"/>
            <w:vAlign w:val="bottom"/>
          </w:tcPr>
          <w:p>
            <w:pPr>
              <w:spacing w:after="0"/>
              <w:rPr>
                <w:sz w:val="1"/>
                <w:szCs w:val="1"/>
                <w:color w:val="auto"/>
              </w:rPr>
            </w:pPr>
          </w:p>
        </w:tc>
      </w:tr>
      <w:tr>
        <w:trPr>
          <w:trHeight w:val="203"/>
        </w:trPr>
        <w:tc>
          <w:tcPr>
            <w:tcW w:w="740" w:type="dxa"/>
            <w:vAlign w:val="bottom"/>
            <w:vMerge w:val="continue"/>
          </w:tcPr>
          <w:p>
            <w:pPr>
              <w:spacing w:after="0"/>
              <w:rPr>
                <w:sz w:val="17"/>
                <w:szCs w:val="17"/>
                <w:color w:val="auto"/>
              </w:rPr>
            </w:pP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w:t>
            </w:r>
          </w:p>
        </w:tc>
        <w:tc>
          <w:tcPr>
            <w:tcW w:w="358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9"/>
              </w:rPr>
              <w:t>OF 5 PERCENT OR LESS OF A CLASS:</w:t>
            </w:r>
          </w:p>
        </w:tc>
        <w:tc>
          <w:tcPr>
            <w:tcW w:w="254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96"/>
        </w:trPr>
        <w:tc>
          <w:tcPr>
            <w:tcW w:w="74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w:t>
            </w:r>
          </w:p>
        </w:tc>
        <w:tc>
          <w:tcPr>
            <w:tcW w:w="612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OF MORE THAN 5 PERCENT ON BEHALF OF ANOTHER PERSON:</w:t>
            </w:r>
          </w:p>
        </w:tc>
        <w:tc>
          <w:tcPr>
            <w:tcW w:w="0" w:type="dxa"/>
            <w:vAlign w:val="bottom"/>
          </w:tcPr>
          <w:p>
            <w:pPr>
              <w:spacing w:after="0"/>
              <w:rPr>
                <w:sz w:val="1"/>
                <w:szCs w:val="1"/>
                <w:color w:val="auto"/>
              </w:rPr>
            </w:pPr>
          </w:p>
        </w:tc>
      </w:tr>
      <w:tr>
        <w:trPr>
          <w:trHeight w:val="514"/>
        </w:trPr>
        <w:tc>
          <w:tcPr>
            <w:tcW w:w="8120" w:type="dxa"/>
            <w:vAlign w:val="bottom"/>
            <w:gridSpan w:val="9"/>
          </w:tcPr>
          <w:p>
            <w:pPr>
              <w:ind w:left="540"/>
              <w:spacing w:after="0"/>
              <w:rPr>
                <w:sz w:val="20"/>
                <w:szCs w:val="20"/>
                <w:color w:val="auto"/>
              </w:rPr>
            </w:pPr>
            <w:r>
              <w:rPr>
                <w:rFonts w:ascii="Courier New" w:cs="Courier New" w:eastAsia="Courier New" w:hAnsi="Courier New"/>
                <w:sz w:val="18"/>
                <w:szCs w:val="18"/>
                <w:color w:val="auto"/>
              </w:rPr>
              <w:t>VIRTUALLY ALL OF OUR ACCOUNTS INVOLVE OUTSIDE PERSONS WHO HAVE THE</w:t>
            </w:r>
          </w:p>
        </w:tc>
        <w:tc>
          <w:tcPr>
            <w:tcW w:w="0" w:type="dxa"/>
            <w:vAlign w:val="bottom"/>
          </w:tcPr>
          <w:p>
            <w:pPr>
              <w:spacing w:after="0"/>
              <w:rPr>
                <w:sz w:val="1"/>
                <w:szCs w:val="1"/>
                <w:color w:val="auto"/>
              </w:rPr>
            </w:pP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RIGHT TO RECEIVE OR</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DIRECT THE RECEIPT OF DIVIDENDS FROM,OR THE PROCEEDS</w:t>
            </w:r>
          </w:p>
        </w:tc>
        <w:tc>
          <w:tcPr>
            <w:tcW w:w="0" w:type="dxa"/>
            <w:vAlign w:val="bottom"/>
          </w:tcPr>
          <w:p>
            <w:pPr>
              <w:spacing w:after="0"/>
              <w:rPr>
                <w:sz w:val="1"/>
                <w:szCs w:val="1"/>
                <w:color w:val="auto"/>
              </w:rPr>
            </w:pPr>
          </w:p>
        </w:tc>
      </w:tr>
      <w:tr>
        <w:trPr>
          <w:trHeight w:val="203"/>
        </w:trPr>
        <w:tc>
          <w:tcPr>
            <w:tcW w:w="81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FROM THE SALE OF, SECURITIES IN SUCH ACCOUNTS WITH RESPECT TO THE CLASS</w:t>
            </w:r>
          </w:p>
        </w:tc>
        <w:tc>
          <w:tcPr>
            <w:tcW w:w="0" w:type="dxa"/>
            <w:vAlign w:val="bottom"/>
          </w:tcPr>
          <w:p>
            <w:pPr>
              <w:spacing w:after="0"/>
              <w:rPr>
                <w:sz w:val="1"/>
                <w:szCs w:val="1"/>
                <w:color w:val="auto"/>
              </w:rPr>
            </w:pPr>
          </w:p>
        </w:tc>
      </w:tr>
      <w:tr>
        <w:trPr>
          <w:trHeight w:val="203"/>
        </w:trPr>
        <w:tc>
          <w:tcPr>
            <w:tcW w:w="2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OF SECURITIES WHICH</w:t>
            </w:r>
          </w:p>
        </w:tc>
        <w:tc>
          <w:tcPr>
            <w:tcW w:w="6120" w:type="dxa"/>
            <w:vAlign w:val="bottom"/>
            <w:gridSpan w:val="6"/>
          </w:tcPr>
          <w:p>
            <w:pPr>
              <w:ind w:left="120"/>
              <w:spacing w:after="0" w:line="203" w:lineRule="exact"/>
              <w:rPr>
                <w:sz w:val="20"/>
                <w:szCs w:val="20"/>
                <w:color w:val="auto"/>
              </w:rPr>
            </w:pPr>
            <w:r>
              <w:rPr>
                <w:rFonts w:ascii="Courier New" w:cs="Courier New" w:eastAsia="Courier New" w:hAnsi="Courier New"/>
                <w:sz w:val="18"/>
                <w:szCs w:val="18"/>
                <w:color w:val="auto"/>
              </w:rPr>
              <w:t>ARE THE SUBJECT OF THIS REPORT. HOWEVER, NO SUCH</w:t>
            </w:r>
          </w:p>
        </w:tc>
        <w:tc>
          <w:tcPr>
            <w:tcW w:w="0" w:type="dxa"/>
            <w:vAlign w:val="bottom"/>
          </w:tcPr>
          <w:p>
            <w:pPr>
              <w:spacing w:after="0"/>
              <w:rPr>
                <w:sz w:val="1"/>
                <w:szCs w:val="1"/>
                <w:color w:val="auto"/>
              </w:rPr>
            </w:pPr>
          </w:p>
        </w:tc>
      </w:tr>
      <w:tr>
        <w:trPr>
          <w:trHeight w:val="203"/>
        </w:trPr>
        <w:tc>
          <w:tcPr>
            <w:tcW w:w="8120" w:type="dxa"/>
            <w:vAlign w:val="bottom"/>
            <w:gridSpan w:val="9"/>
          </w:tcPr>
          <w:p>
            <w:pPr>
              <w:spacing w:after="0" w:line="203" w:lineRule="exact"/>
              <w:rPr>
                <w:sz w:val="20"/>
                <w:szCs w:val="20"/>
                <w:color w:val="auto"/>
              </w:rPr>
            </w:pPr>
            <w:r>
              <w:rPr>
                <w:rFonts w:ascii="Courier New" w:cs="Courier New" w:eastAsia="Courier New" w:hAnsi="Courier New"/>
                <w:sz w:val="18"/>
                <w:szCs w:val="18"/>
                <w:color w:val="auto"/>
              </w:rPr>
              <w:t>PERSON'S RIGHTS RELATE TO MORE THAN FIVE PERCENT OF THE CLASS UNLESS</w:t>
            </w:r>
          </w:p>
        </w:tc>
        <w:tc>
          <w:tcPr>
            <w:tcW w:w="0" w:type="dxa"/>
            <w:vAlign w:val="bottom"/>
          </w:tcPr>
          <w:p>
            <w:pPr>
              <w:spacing w:after="0"/>
              <w:rPr>
                <w:sz w:val="1"/>
                <w:szCs w:val="1"/>
                <w:color w:val="auto"/>
              </w:rPr>
            </w:pPr>
          </w:p>
        </w:tc>
      </w:tr>
      <w:tr>
        <w:trPr>
          <w:trHeight w:val="203"/>
        </w:trPr>
        <w:tc>
          <w:tcPr>
            <w:tcW w:w="48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SUCH PERSON IS IDENTIFIED BELOW.</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5840" w:type="dxa"/>
            <w:vAlign w:val="bottom"/>
            <w:gridSpan w:val="7"/>
          </w:tcPr>
          <w:p>
            <w:pPr>
              <w:ind w:left="120"/>
              <w:spacing w:after="0" w:line="203" w:lineRule="exact"/>
              <w:rPr>
                <w:sz w:val="20"/>
                <w:szCs w:val="20"/>
                <w:color w:val="auto"/>
              </w:rPr>
            </w:pPr>
            <w:r>
              <w:rPr>
                <w:rFonts w:ascii="Courier New" w:cs="Courier New" w:eastAsia="Courier New" w:hAnsi="Courier New"/>
                <w:sz w:val="18"/>
                <w:szCs w:val="18"/>
                <w:color w:val="auto"/>
              </w:rPr>
              <w:t>IDENTIFICATION AND CLASSIFICATION OF SUBSIDIARIES:</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5840" w:type="dxa"/>
            <w:vAlign w:val="bottom"/>
            <w:gridSpan w:val="7"/>
          </w:tcPr>
          <w:p>
            <w:pPr>
              <w:ind w:left="220"/>
              <w:spacing w:after="0" w:line="203" w:lineRule="exact"/>
              <w:rPr>
                <w:sz w:val="20"/>
                <w:szCs w:val="20"/>
                <w:color w:val="auto"/>
              </w:rPr>
            </w:pPr>
            <w:r>
              <w:rPr>
                <w:rFonts w:ascii="Courier New" w:cs="Courier New" w:eastAsia="Courier New" w:hAnsi="Courier New"/>
                <w:sz w:val="18"/>
                <w:szCs w:val="18"/>
                <w:color w:val="auto"/>
                <w:w w:val="97"/>
              </w:rPr>
              <w:t>MORGAN GUARANTY TRUST COMPANY OF NEW YORK - 3(B) BANK</w:t>
            </w: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7380" w:type="dxa"/>
            <w:vAlign w:val="bottom"/>
            <w:gridSpan w:val="8"/>
          </w:tcPr>
          <w:p>
            <w:pPr>
              <w:ind w:left="220"/>
              <w:spacing w:after="0" w:line="203" w:lineRule="exact"/>
              <w:rPr>
                <w:sz w:val="20"/>
                <w:szCs w:val="20"/>
                <w:color w:val="auto"/>
              </w:rPr>
            </w:pPr>
            <w:r>
              <w:rPr>
                <w:rFonts w:ascii="Courier New" w:cs="Courier New" w:eastAsia="Courier New" w:hAnsi="Courier New"/>
                <w:sz w:val="18"/>
                <w:szCs w:val="18"/>
                <w:color w:val="auto"/>
              </w:rPr>
              <w:t>J.P. MORGAN INVESTMENT MANAGEMENT, INC. - 3(E) INVESTMENT ADVISOR</w:t>
            </w:r>
          </w:p>
        </w:tc>
        <w:tc>
          <w:tcPr>
            <w:tcW w:w="0" w:type="dxa"/>
            <w:vAlign w:val="bottom"/>
          </w:tcPr>
          <w:p>
            <w:pPr>
              <w:spacing w:after="0"/>
              <w:rPr>
                <w:sz w:val="1"/>
                <w:szCs w:val="1"/>
                <w:color w:val="auto"/>
              </w:rPr>
            </w:pPr>
          </w:p>
        </w:tc>
      </w:tr>
      <w:tr>
        <w:trPr>
          <w:trHeight w:val="234"/>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w w:val="96"/>
              </w:rPr>
              <w:t>J.P. MORGAN FLORIDA</w:t>
            </w:r>
          </w:p>
        </w:tc>
        <w:tc>
          <w:tcPr>
            <w:tcW w:w="6120" w:type="dxa"/>
            <w:vAlign w:val="bottom"/>
            <w:gridSpan w:val="6"/>
          </w:tcPr>
          <w:p>
            <w:pPr>
              <w:ind w:left="120"/>
              <w:spacing w:after="0"/>
              <w:rPr>
                <w:sz w:val="20"/>
                <w:szCs w:val="20"/>
                <w:color w:val="auto"/>
              </w:rPr>
            </w:pPr>
            <w:r>
              <w:rPr>
                <w:rFonts w:ascii="Courier New" w:cs="Courier New" w:eastAsia="Courier New" w:hAnsi="Courier New"/>
                <w:sz w:val="18"/>
                <w:szCs w:val="18"/>
                <w:color w:val="auto"/>
              </w:rPr>
              <w:t>FEDERAL SAVINGS BANK - 3(E) INVESTMENT ADVISOR</w:t>
            </w:r>
          </w:p>
        </w:tc>
        <w:tc>
          <w:tcPr>
            <w:tcW w:w="0" w:type="dxa"/>
            <w:vAlign w:val="bottom"/>
          </w:tcPr>
          <w:p>
            <w:pPr>
              <w:spacing w:after="0"/>
              <w:rPr>
                <w:sz w:val="1"/>
                <w:szCs w:val="1"/>
                <w:color w:val="auto"/>
              </w:rPr>
            </w:pPr>
          </w:p>
        </w:tc>
      </w:tr>
    </w:tbl>
    <w:p>
      <w:pPr>
        <w:ind w:left="220" w:right="2559" w:firstLine="105"/>
        <w:spacing w:after="0" w:line="238"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1" w:lineRule="exact"/>
        <w:rPr>
          <w:sz w:val="24"/>
          <w:szCs w:val="24"/>
          <w:color w:val="auto"/>
        </w:rPr>
      </w:pPr>
    </w:p>
    <w:p>
      <w:pPr>
        <w:ind w:left="860" w:right="3279" w:hanging="1157"/>
        <w:spacing w:after="0" w:line="238"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pacing w:after="0" w:line="1" w:lineRule="exact"/>
        <w:rPr>
          <w:sz w:val="24"/>
          <w:szCs w:val="24"/>
          <w:color w:val="auto"/>
        </w:rPr>
      </w:pPr>
    </w:p>
    <w:p>
      <w:pPr>
        <w:spacing w:after="0"/>
        <w:tabs>
          <w:tab w:leader="none" w:pos="840" w:val="left"/>
          <w:tab w:leader="none" w:pos="4720" w:val="left"/>
        </w:tabs>
        <w:rPr>
          <w:sz w:val="20"/>
          <w:szCs w:val="20"/>
          <w:color w:val="auto"/>
        </w:rPr>
      </w:pPr>
      <w:r>
        <w:rPr>
          <w:rFonts w:ascii="Courier New" w:cs="Courier New" w:eastAsia="Courier New" w:hAnsi="Courier New"/>
          <w:sz w:val="18"/>
          <w:szCs w:val="18"/>
          <w:color w:val="auto"/>
        </w:rPr>
        <w:t>ITEM 9</w:t>
        <w:tab/>
        <w:t>NOTICE OF DISSOLUTION OF THE GROUP:</w:t>
      </w:r>
      <w:r>
        <w:rPr>
          <w:sz w:val="20"/>
          <w:szCs w:val="20"/>
          <w:color w:val="auto"/>
        </w:rPr>
        <w:tab/>
      </w:r>
      <w:r>
        <w:rPr>
          <w:rFonts w:ascii="Courier New" w:cs="Courier New" w:eastAsia="Courier New" w:hAnsi="Courier New"/>
          <w:sz w:val="16"/>
          <w:szCs w:val="16"/>
          <w:color w:val="auto"/>
        </w:rPr>
        <w:t>NOT APPLICABLE</w:t>
      </w:r>
    </w:p>
    <w:p>
      <w:pPr>
        <w:sectPr>
          <w:pgSz w:w="11900" w:h="16854"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120" w:right="255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439" w:firstLine="211"/>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ind w:left="4220"/>
        <w:spacing w:after="0"/>
        <w:rPr>
          <w:sz w:val="20"/>
          <w:szCs w:val="20"/>
          <w:color w:val="auto"/>
        </w:rPr>
      </w:pPr>
      <w:r>
        <w:rPr>
          <w:rFonts w:ascii="Courier New" w:cs="Courier New" w:eastAsia="Courier New" w:hAnsi="Courier New"/>
          <w:sz w:val="18"/>
          <w:szCs w:val="18"/>
          <w:color w:val="auto"/>
        </w:rPr>
        <w:t>JAMES C.P. BERRY</w:t>
      </w:r>
    </w:p>
    <w:p>
      <w:pPr>
        <w:ind w:left="42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2020-10-06T23:31:12Z</dcterms:created>
  <dcterms:modified xsi:type="dcterms:W3CDTF">2020-10-06T23:31:12Z</dcterms:modified>
</cp:coreProperties>
</file>