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color w:val="auto"/>
        </w:rPr>
        <w:t>SECURITIES AND EXCHANGE COMMISSION</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Washington, D.C. 20549</w:t>
      </w:r>
    </w:p>
    <w:p>
      <w:pPr>
        <w:spacing w:after="0" w:line="20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Schedule 13G</w:t>
      </w:r>
    </w:p>
    <w:p>
      <w:pPr>
        <w:spacing w:after="0" w:line="2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Under the Securities Exchange Act of 1934</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(Amendment No.: 0 )*</w:t>
      </w:r>
    </w:p>
    <w:p>
      <w:pPr>
        <w:spacing w:after="0" w:line="200" w:lineRule="exact"/>
        <w:rPr>
          <w:sz w:val="24"/>
          <w:szCs w:val="24"/>
          <w:color w:val="auto"/>
        </w:rPr>
      </w:pP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Arial" w:cs="Arial" w:eastAsia="Arial" w:hAnsi="Arial"/>
          <w:sz w:val="18"/>
          <w:szCs w:val="18"/>
          <w:color w:val="auto"/>
        </w:rPr>
        <w:t>Name of issuer: Graham Holdings Co</w:t>
      </w:r>
    </w:p>
    <w:p>
      <w:pPr>
        <w:spacing w:after="0" w:line="200" w:lineRule="exact"/>
        <w:rPr>
          <w:sz w:val="24"/>
          <w:szCs w:val="24"/>
          <w:color w:val="auto"/>
        </w:rPr>
      </w:pPr>
    </w:p>
    <w:p>
      <w:pPr>
        <w:spacing w:after="0" w:line="238" w:lineRule="exact"/>
        <w:rPr>
          <w:sz w:val="24"/>
          <w:szCs w:val="24"/>
          <w:color w:val="auto"/>
        </w:rPr>
      </w:pPr>
    </w:p>
    <w:p>
      <w:pPr>
        <w:spacing w:after="0"/>
        <w:rPr>
          <w:sz w:val="20"/>
          <w:szCs w:val="20"/>
          <w:color w:val="auto"/>
        </w:rPr>
      </w:pPr>
      <w:r>
        <w:rPr>
          <w:rFonts w:ascii="Arial" w:cs="Arial" w:eastAsia="Arial" w:hAnsi="Arial"/>
          <w:sz w:val="18"/>
          <w:szCs w:val="18"/>
          <w:color w:val="auto"/>
        </w:rPr>
        <w:t>Title of Class of Securities: Common Stock</w:t>
      </w:r>
    </w:p>
    <w:p>
      <w:pPr>
        <w:spacing w:after="0" w:line="200" w:lineRule="exact"/>
        <w:rPr>
          <w:sz w:val="24"/>
          <w:szCs w:val="24"/>
          <w:color w:val="auto"/>
        </w:rPr>
      </w:pPr>
    </w:p>
    <w:p>
      <w:pPr>
        <w:spacing w:after="0" w:line="238" w:lineRule="exact"/>
        <w:rPr>
          <w:sz w:val="24"/>
          <w:szCs w:val="24"/>
          <w:color w:val="auto"/>
        </w:rPr>
      </w:pPr>
    </w:p>
    <w:p>
      <w:pPr>
        <w:spacing w:after="0"/>
        <w:rPr>
          <w:sz w:val="20"/>
          <w:szCs w:val="20"/>
          <w:color w:val="auto"/>
        </w:rPr>
      </w:pPr>
      <w:r>
        <w:rPr>
          <w:rFonts w:ascii="Arial" w:cs="Arial" w:eastAsia="Arial" w:hAnsi="Arial"/>
          <w:sz w:val="18"/>
          <w:szCs w:val="18"/>
          <w:color w:val="auto"/>
        </w:rPr>
        <w:t>CUSIP Number: 384637104</w:t>
      </w:r>
    </w:p>
    <w:p>
      <w:pPr>
        <w:spacing w:after="0" w:line="200" w:lineRule="exact"/>
        <w:rPr>
          <w:sz w:val="24"/>
          <w:szCs w:val="24"/>
          <w:color w:val="auto"/>
        </w:rPr>
      </w:pPr>
    </w:p>
    <w:p>
      <w:pPr>
        <w:spacing w:after="0" w:line="234"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Date of Event Which Requires Filing of this Statement: </w:t>
      </w:r>
      <w:r>
        <w:rPr>
          <w:rFonts w:ascii="Arial" w:cs="Arial" w:eastAsia="Arial" w:hAnsi="Arial"/>
          <w:sz w:val="18"/>
          <w:szCs w:val="18"/>
          <w:b w:val="1"/>
          <w:bCs w:val="1"/>
          <w:color w:val="auto"/>
        </w:rPr>
        <w:t>December 31, 2014</w:t>
      </w:r>
    </w:p>
    <w:p>
      <w:pPr>
        <w:spacing w:after="0" w:line="227"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3" w:lineRule="exact"/>
        <w:rPr>
          <w:sz w:val="24"/>
          <w:szCs w:val="24"/>
          <w:color w:val="auto"/>
        </w:rPr>
      </w:pPr>
    </w:p>
    <w:p>
      <w:pPr>
        <w:jc w:val="both"/>
        <w:ind w:left="100" w:right="10020" w:hanging="3"/>
        <w:spacing w:after="0" w:line="300" w:lineRule="auto"/>
        <w:tabs>
          <w:tab w:leader="none" w:pos="393" w:val="left"/>
        </w:tabs>
        <w:numPr>
          <w:ilvl w:val="0"/>
          <w:numId w:val="1"/>
        </w:numPr>
        <w:rPr>
          <w:rFonts w:ascii="Arial" w:cs="Arial" w:eastAsia="Arial" w:hAnsi="Arial"/>
          <w:sz w:val="16"/>
          <w:szCs w:val="16"/>
          <w:color w:val="auto"/>
        </w:rPr>
      </w:pPr>
      <w:r>
        <w:rPr>
          <w:rFonts w:ascii="Arial" w:cs="Arial" w:eastAsia="Arial" w:hAnsi="Arial"/>
          <w:sz w:val="16"/>
          <w:szCs w:val="16"/>
          <w:color w:val="auto"/>
        </w:rPr>
        <w:t>Rule 13d-1(b) ( ) Rule 13d-1(c) ( ) Rule 13d-1(d)</w:t>
      </w:r>
    </w:p>
    <w:p>
      <w:pPr>
        <w:spacing w:after="0" w:line="156" w:lineRule="exact"/>
        <w:rPr>
          <w:sz w:val="24"/>
          <w:szCs w:val="24"/>
          <w:color w:val="auto"/>
        </w:rPr>
      </w:pPr>
    </w:p>
    <w:p>
      <w:pPr>
        <w:ind w:right="220" w:firstLine="90"/>
        <w:spacing w:after="0" w:line="275" w:lineRule="auto"/>
        <w:rPr>
          <w:sz w:val="20"/>
          <w:szCs w:val="20"/>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1" w:lineRule="exact"/>
        <w:rPr>
          <w:sz w:val="24"/>
          <w:szCs w:val="24"/>
          <w:color w:val="auto"/>
        </w:rPr>
      </w:pPr>
    </w:p>
    <w:p>
      <w:pPr>
        <w:ind w:firstLine="86"/>
        <w:spacing w:after="0" w:line="340" w:lineRule="auto"/>
        <w:rPr>
          <w:sz w:val="20"/>
          <w:szCs w:val="20"/>
          <w:color w:val="auto"/>
        </w:rPr>
      </w:pPr>
      <w:r>
        <w:rPr>
          <w:rFonts w:ascii="Arial" w:cs="Arial" w:eastAsia="Arial" w:hAnsi="Arial"/>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339" w:lineRule="exact"/>
        <w:rPr>
          <w:sz w:val="24"/>
          <w:szCs w:val="24"/>
          <w:color w:val="auto"/>
        </w:rPr>
      </w:pPr>
    </w:p>
    <w:p>
      <w:pPr>
        <w:spacing w:after="0"/>
        <w:rPr>
          <w:sz w:val="20"/>
          <w:szCs w:val="20"/>
          <w:color w:val="auto"/>
        </w:rPr>
      </w:pPr>
      <w:r>
        <w:rPr>
          <w:rFonts w:ascii="Arial" w:cs="Arial" w:eastAsia="Arial" w:hAnsi="Arial"/>
          <w:sz w:val="18"/>
          <w:szCs w:val="18"/>
          <w:color w:val="auto"/>
        </w:rPr>
        <w:t>(Continued on the following page(s))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370840</wp:posOffset>
            </wp:positionV>
            <wp:extent cx="7268210" cy="209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8210" cy="20955"/>
                    </a:xfrm>
                    <a:prstGeom prst="rect">
                      <a:avLst/>
                    </a:prstGeom>
                    <a:noFill/>
                  </pic:spPr>
                </pic:pic>
              </a:graphicData>
            </a:graphic>
          </wp:anchor>
        </w:drawing>
      </w:r>
    </w:p>
    <w:p>
      <w:pPr>
        <w:sectPr>
          <w:pgSz w:w="11900" w:h="16838" w:orient="portrait"/>
          <w:cols w:equalWidth="0" w:num="1">
            <w:col w:w="11420"/>
          </w:cols>
          <w:pgMar w:left="240" w:top="475" w:right="239" w:bottom="1440" w:gutter="0" w:footer="0" w:header="0"/>
        </w:sectPr>
      </w:pPr>
    </w:p>
    <w:bookmarkStart w:id="1" w:name="page2"/>
    <w:bookmarkEnd w:id="1"/>
    <w:p>
      <w:pPr>
        <w:ind w:left="5560"/>
        <w:spacing w:after="0"/>
        <w:rPr>
          <w:sz w:val="20"/>
          <w:szCs w:val="20"/>
          <w:color w:val="auto"/>
        </w:rPr>
      </w:pPr>
      <w:r>
        <w:rPr>
          <w:rFonts w:ascii="Arial" w:cs="Arial" w:eastAsia="Arial" w:hAnsi="Arial"/>
          <w:sz w:val="18"/>
          <w:szCs w:val="18"/>
          <w:color w:val="auto"/>
        </w:rPr>
        <w:t>13G</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CUSIP No.: 384637104</w:t>
      </w:r>
    </w:p>
    <w:p>
      <w:pPr>
        <w:spacing w:after="0" w:line="200" w:lineRule="exact"/>
        <w:rPr>
          <w:sz w:val="20"/>
          <w:szCs w:val="20"/>
          <w:color w:val="auto"/>
        </w:rPr>
      </w:pPr>
    </w:p>
    <w:p>
      <w:pPr>
        <w:spacing w:after="0" w:line="224" w:lineRule="exact"/>
        <w:rPr>
          <w:sz w:val="20"/>
          <w:szCs w:val="20"/>
          <w:color w:val="auto"/>
        </w:rPr>
      </w:pPr>
    </w:p>
    <w:p>
      <w:pPr>
        <w:ind w:left="240" w:hanging="232"/>
        <w:spacing w:after="0"/>
        <w:tabs>
          <w:tab w:leader="none" w:pos="240" w:val="left"/>
        </w:tabs>
        <w:numPr>
          <w:ilvl w:val="0"/>
          <w:numId w:val="2"/>
        </w:numPr>
        <w:rPr>
          <w:rFonts w:ascii="Arial" w:cs="Arial" w:eastAsia="Arial" w:hAnsi="Arial"/>
          <w:sz w:val="18"/>
          <w:szCs w:val="18"/>
          <w:color w:val="auto"/>
        </w:rPr>
      </w:pPr>
      <w:r>
        <w:rPr>
          <w:rFonts w:ascii="Arial" w:cs="Arial" w:eastAsia="Arial" w:hAnsi="Arial"/>
          <w:sz w:val="18"/>
          <w:szCs w:val="18"/>
          <w:color w:val="auto"/>
        </w:rPr>
        <w:t>NAME OF REPORTING PERSON</w:t>
      </w:r>
    </w:p>
    <w:p>
      <w:pPr>
        <w:spacing w:after="0" w:line="22" w:lineRule="exact"/>
        <w:rPr>
          <w:rFonts w:ascii="Arial" w:cs="Arial" w:eastAsia="Arial" w:hAnsi="Arial"/>
          <w:sz w:val="18"/>
          <w:szCs w:val="18"/>
          <w:color w:val="auto"/>
        </w:rPr>
      </w:pPr>
    </w:p>
    <w:p>
      <w:pPr>
        <w:ind w:left="100"/>
        <w:spacing w:after="0"/>
        <w:rPr>
          <w:rFonts w:ascii="Arial" w:cs="Arial" w:eastAsia="Arial" w:hAnsi="Arial"/>
          <w:sz w:val="18"/>
          <w:szCs w:val="18"/>
          <w:color w:val="auto"/>
        </w:rPr>
      </w:pPr>
      <w:r>
        <w:rPr>
          <w:rFonts w:ascii="Arial" w:cs="Arial" w:eastAsia="Arial" w:hAnsi="Arial"/>
          <w:sz w:val="18"/>
          <w:szCs w:val="18"/>
          <w:color w:val="auto"/>
        </w:rPr>
        <w:t>S.S. OR I.R.S. IDENTIFICATION NO. OF ABOVE PERSON</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780" w:type="dxa"/>
            <w:vAlign w:val="bottom"/>
            <w:gridSpan w:val="2"/>
          </w:tcPr>
          <w:p>
            <w:pPr>
              <w:ind w:left="100"/>
              <w:spacing w:after="0"/>
              <w:rPr>
                <w:sz w:val="20"/>
                <w:szCs w:val="20"/>
                <w:color w:val="auto"/>
              </w:rPr>
            </w:pPr>
            <w:r>
              <w:rPr>
                <w:rFonts w:ascii="Arial" w:cs="Arial" w:eastAsia="Arial" w:hAnsi="Arial"/>
                <w:sz w:val="18"/>
                <w:szCs w:val="18"/>
                <w:color w:val="auto"/>
              </w:rPr>
              <w:t>The Vanguard Group - 23-1945930</w:t>
            </w: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430"/>
        </w:trPr>
        <w:tc>
          <w:tcPr>
            <w:tcW w:w="180" w:type="dxa"/>
            <w:vAlign w:val="bottom"/>
          </w:tcPr>
          <w:p>
            <w:pPr>
              <w:jc w:val="right"/>
              <w:spacing w:after="0"/>
              <w:rPr>
                <w:sz w:val="20"/>
                <w:szCs w:val="20"/>
                <w:color w:val="auto"/>
              </w:rPr>
            </w:pPr>
            <w:r>
              <w:rPr>
                <w:rFonts w:ascii="Arial" w:cs="Arial" w:eastAsia="Arial" w:hAnsi="Arial"/>
                <w:sz w:val="18"/>
                <w:szCs w:val="18"/>
                <w:color w:val="auto"/>
                <w:w w:val="79"/>
              </w:rPr>
              <w:t>2.</w:t>
            </w:r>
          </w:p>
        </w:tc>
        <w:tc>
          <w:tcPr>
            <w:tcW w:w="5600" w:type="dxa"/>
            <w:vAlign w:val="bottom"/>
          </w:tcPr>
          <w:p>
            <w:pPr>
              <w:ind w:left="60"/>
              <w:spacing w:after="0"/>
              <w:rPr>
                <w:sz w:val="20"/>
                <w:szCs w:val="20"/>
                <w:color w:val="auto"/>
              </w:rPr>
            </w:pPr>
            <w:r>
              <w:rPr>
                <w:rFonts w:ascii="Arial" w:cs="Arial" w:eastAsia="Arial" w:hAnsi="Arial"/>
                <w:sz w:val="18"/>
                <w:szCs w:val="18"/>
                <w:color w:val="auto"/>
              </w:rPr>
              <w:t>CHECK THE APPROPRIATE [LINE] IF A MEMBER OF A GROUP</w:t>
            </w: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390"/>
        </w:trPr>
        <w:tc>
          <w:tcPr>
            <w:tcW w:w="180" w:type="dxa"/>
            <w:vAlign w:val="bottom"/>
          </w:tcPr>
          <w:p>
            <w:pPr>
              <w:spacing w:after="0"/>
              <w:rPr>
                <w:sz w:val="24"/>
                <w:szCs w:val="24"/>
                <w:color w:val="auto"/>
              </w:rPr>
            </w:pPr>
          </w:p>
        </w:tc>
        <w:tc>
          <w:tcPr>
            <w:tcW w:w="5600" w:type="dxa"/>
            <w:vAlign w:val="bottom"/>
          </w:tcPr>
          <w:p>
            <w:pPr>
              <w:ind w:left="1240"/>
              <w:spacing w:after="0"/>
              <w:rPr>
                <w:sz w:val="20"/>
                <w:szCs w:val="20"/>
                <w:color w:val="auto"/>
              </w:rPr>
            </w:pPr>
            <w:r>
              <w:rPr>
                <w:rFonts w:ascii="Arial" w:cs="Arial" w:eastAsia="Arial" w:hAnsi="Arial"/>
                <w:sz w:val="18"/>
                <w:szCs w:val="18"/>
                <w:color w:val="auto"/>
              </w:rPr>
              <w:t>A.</w:t>
            </w:r>
          </w:p>
        </w:tc>
        <w:tc>
          <w:tcPr>
            <w:tcW w:w="800" w:type="dxa"/>
            <w:vAlign w:val="bottom"/>
            <w:gridSpan w:val="2"/>
          </w:tcPr>
          <w:p>
            <w:pPr>
              <w:ind w:left="480"/>
              <w:spacing w:after="0"/>
              <w:rPr>
                <w:sz w:val="20"/>
                <w:szCs w:val="20"/>
                <w:color w:val="auto"/>
              </w:rPr>
            </w:pPr>
            <w:r>
              <w:rPr>
                <w:rFonts w:ascii="Arial" w:cs="Arial" w:eastAsia="Arial" w:hAnsi="Arial"/>
                <w:sz w:val="18"/>
                <w:szCs w:val="18"/>
                <w:color w:val="auto"/>
                <w:w w:val="88"/>
              </w:rPr>
              <w:t>B. X</w:t>
            </w:r>
          </w:p>
        </w:tc>
      </w:tr>
      <w:tr>
        <w:trPr>
          <w:trHeight w:val="451"/>
        </w:trPr>
        <w:tc>
          <w:tcPr>
            <w:tcW w:w="180" w:type="dxa"/>
            <w:vAlign w:val="bottom"/>
          </w:tcPr>
          <w:p>
            <w:pPr>
              <w:jc w:val="right"/>
              <w:spacing w:after="0"/>
              <w:rPr>
                <w:sz w:val="20"/>
                <w:szCs w:val="20"/>
                <w:color w:val="auto"/>
              </w:rPr>
            </w:pPr>
            <w:r>
              <w:rPr>
                <w:rFonts w:ascii="Arial" w:cs="Arial" w:eastAsia="Arial" w:hAnsi="Arial"/>
                <w:sz w:val="18"/>
                <w:szCs w:val="18"/>
                <w:color w:val="auto"/>
                <w:w w:val="79"/>
              </w:rPr>
              <w:t>3.</w:t>
            </w:r>
          </w:p>
        </w:tc>
        <w:tc>
          <w:tcPr>
            <w:tcW w:w="5600" w:type="dxa"/>
            <w:vAlign w:val="bottom"/>
          </w:tcPr>
          <w:p>
            <w:pPr>
              <w:ind w:left="60"/>
              <w:spacing w:after="0"/>
              <w:rPr>
                <w:sz w:val="20"/>
                <w:szCs w:val="20"/>
                <w:color w:val="auto"/>
              </w:rPr>
            </w:pPr>
            <w:r>
              <w:rPr>
                <w:rFonts w:ascii="Arial" w:cs="Arial" w:eastAsia="Arial" w:hAnsi="Arial"/>
                <w:sz w:val="18"/>
                <w:szCs w:val="18"/>
                <w:color w:val="auto"/>
              </w:rPr>
              <w:t>SEC USE ONLY</w:t>
            </w:r>
          </w:p>
        </w:tc>
        <w:tc>
          <w:tcPr>
            <w:tcW w:w="68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r>
      <w:tr>
        <w:trPr>
          <w:trHeight w:val="860"/>
        </w:trPr>
        <w:tc>
          <w:tcPr>
            <w:tcW w:w="180" w:type="dxa"/>
            <w:vAlign w:val="bottom"/>
          </w:tcPr>
          <w:p>
            <w:pPr>
              <w:jc w:val="right"/>
              <w:spacing w:after="0"/>
              <w:rPr>
                <w:sz w:val="20"/>
                <w:szCs w:val="20"/>
                <w:color w:val="auto"/>
              </w:rPr>
            </w:pPr>
            <w:r>
              <w:rPr>
                <w:rFonts w:ascii="Arial" w:cs="Arial" w:eastAsia="Arial" w:hAnsi="Arial"/>
                <w:sz w:val="18"/>
                <w:szCs w:val="18"/>
                <w:color w:val="auto"/>
                <w:w w:val="79"/>
              </w:rPr>
              <w:t>4.</w:t>
            </w:r>
          </w:p>
        </w:tc>
        <w:tc>
          <w:tcPr>
            <w:tcW w:w="5600" w:type="dxa"/>
            <w:vAlign w:val="bottom"/>
          </w:tcPr>
          <w:p>
            <w:pPr>
              <w:ind w:left="60"/>
              <w:spacing w:after="0"/>
              <w:rPr>
                <w:sz w:val="20"/>
                <w:szCs w:val="20"/>
                <w:color w:val="auto"/>
              </w:rPr>
            </w:pPr>
            <w:r>
              <w:rPr>
                <w:rFonts w:ascii="Arial" w:cs="Arial" w:eastAsia="Arial" w:hAnsi="Arial"/>
                <w:sz w:val="18"/>
                <w:szCs w:val="18"/>
                <w:color w:val="auto"/>
              </w:rPr>
              <w:t>CITIZENSHIP OF PLACE OF ORGANIZATION</w:t>
            </w: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color w:val="auto"/>
        </w:rPr>
        <w:t>(For questions 5-8, report the number of shares beneficially owned by each reporting person with:)</w:t>
      </w:r>
    </w:p>
    <w:p>
      <w:pPr>
        <w:spacing w:after="0" w:line="246" w:lineRule="exact"/>
        <w:rPr>
          <w:sz w:val="20"/>
          <w:szCs w:val="20"/>
          <w:color w:val="auto"/>
        </w:rPr>
      </w:pPr>
    </w:p>
    <w:p>
      <w:pPr>
        <w:ind w:left="100" w:right="8139" w:hanging="92"/>
        <w:spacing w:after="0" w:line="498" w:lineRule="auto"/>
        <w:tabs>
          <w:tab w:leader="none" w:pos="234" w:val="left"/>
        </w:tabs>
        <w:numPr>
          <w:ilvl w:val="0"/>
          <w:numId w:val="3"/>
        </w:numPr>
        <w:rPr>
          <w:rFonts w:ascii="Arial" w:cs="Arial" w:eastAsia="Arial" w:hAnsi="Arial"/>
          <w:sz w:val="18"/>
          <w:szCs w:val="18"/>
          <w:color w:val="auto"/>
        </w:rPr>
      </w:pPr>
      <w:r>
        <w:rPr>
          <w:rFonts w:ascii="Arial" w:cs="Arial" w:eastAsia="Arial" w:hAnsi="Arial"/>
          <w:sz w:val="18"/>
          <w:szCs w:val="18"/>
          <w:color w:val="auto"/>
        </w:rPr>
        <w:t>SOLE VOTING POWER 2,844</w:t>
      </w:r>
    </w:p>
    <w:p>
      <w:pPr>
        <w:spacing w:after="0" w:line="1" w:lineRule="exact"/>
        <w:rPr>
          <w:rFonts w:ascii="Arial" w:cs="Arial" w:eastAsia="Arial" w:hAnsi="Arial"/>
          <w:sz w:val="18"/>
          <w:szCs w:val="18"/>
          <w:color w:val="auto"/>
        </w:rPr>
      </w:pPr>
    </w:p>
    <w:p>
      <w:pPr>
        <w:ind w:left="240" w:hanging="232"/>
        <w:spacing w:after="0"/>
        <w:tabs>
          <w:tab w:leader="none" w:pos="240" w:val="left"/>
        </w:tabs>
        <w:numPr>
          <w:ilvl w:val="0"/>
          <w:numId w:val="3"/>
        </w:numPr>
        <w:rPr>
          <w:rFonts w:ascii="Arial" w:cs="Arial" w:eastAsia="Arial" w:hAnsi="Arial"/>
          <w:sz w:val="18"/>
          <w:szCs w:val="18"/>
          <w:color w:val="auto"/>
        </w:rPr>
      </w:pPr>
      <w:r>
        <w:rPr>
          <w:rFonts w:ascii="Arial" w:cs="Arial" w:eastAsia="Arial" w:hAnsi="Arial"/>
          <w:sz w:val="18"/>
          <w:szCs w:val="18"/>
          <w:color w:val="auto"/>
        </w:rPr>
        <w:t>SHARED VOTING POWER</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53" w:lineRule="exact"/>
        <w:rPr>
          <w:rFonts w:ascii="Arial" w:cs="Arial" w:eastAsia="Arial" w:hAnsi="Arial"/>
          <w:sz w:val="18"/>
          <w:szCs w:val="18"/>
          <w:color w:val="auto"/>
        </w:rPr>
      </w:pPr>
    </w:p>
    <w:p>
      <w:pPr>
        <w:ind w:left="100" w:right="7739" w:hanging="92"/>
        <w:spacing w:after="0" w:line="498" w:lineRule="auto"/>
        <w:tabs>
          <w:tab w:leader="none" w:pos="234" w:val="left"/>
        </w:tabs>
        <w:numPr>
          <w:ilvl w:val="0"/>
          <w:numId w:val="3"/>
        </w:numPr>
        <w:rPr>
          <w:rFonts w:ascii="Arial" w:cs="Arial" w:eastAsia="Arial" w:hAnsi="Arial"/>
          <w:sz w:val="18"/>
          <w:szCs w:val="18"/>
          <w:color w:val="auto"/>
        </w:rPr>
      </w:pPr>
      <w:r>
        <w:rPr>
          <w:rFonts w:ascii="Arial" w:cs="Arial" w:eastAsia="Arial" w:hAnsi="Arial"/>
          <w:sz w:val="18"/>
          <w:szCs w:val="18"/>
          <w:color w:val="auto"/>
        </w:rPr>
        <w:t>SOLE DISPOSITIVE POWER 252,437</w:t>
      </w:r>
    </w:p>
    <w:p>
      <w:pPr>
        <w:spacing w:after="0" w:line="1" w:lineRule="exact"/>
        <w:rPr>
          <w:rFonts w:ascii="Arial" w:cs="Arial" w:eastAsia="Arial" w:hAnsi="Arial"/>
          <w:sz w:val="18"/>
          <w:szCs w:val="18"/>
          <w:color w:val="auto"/>
        </w:rPr>
      </w:pPr>
    </w:p>
    <w:p>
      <w:pPr>
        <w:ind w:left="140" w:right="7459" w:hanging="132"/>
        <w:spacing w:after="0" w:line="498" w:lineRule="auto"/>
        <w:tabs>
          <w:tab w:leader="none" w:pos="230" w:val="left"/>
        </w:tabs>
        <w:numPr>
          <w:ilvl w:val="0"/>
          <w:numId w:val="3"/>
        </w:numPr>
        <w:rPr>
          <w:rFonts w:ascii="Arial" w:cs="Arial" w:eastAsia="Arial" w:hAnsi="Arial"/>
          <w:sz w:val="18"/>
          <w:szCs w:val="18"/>
          <w:color w:val="auto"/>
        </w:rPr>
      </w:pPr>
      <w:r>
        <w:rPr>
          <w:rFonts w:ascii="Arial" w:cs="Arial" w:eastAsia="Arial" w:hAnsi="Arial"/>
          <w:sz w:val="18"/>
          <w:szCs w:val="18"/>
          <w:color w:val="auto"/>
        </w:rPr>
        <w:t>SHARED DISPOSITIVE POWER 2,444</w:t>
      </w:r>
    </w:p>
    <w:p>
      <w:pPr>
        <w:spacing w:after="0" w:line="1" w:lineRule="exact"/>
        <w:rPr>
          <w:rFonts w:ascii="Arial" w:cs="Arial" w:eastAsia="Arial" w:hAnsi="Arial"/>
          <w:sz w:val="18"/>
          <w:szCs w:val="18"/>
          <w:color w:val="auto"/>
        </w:rPr>
      </w:pPr>
    </w:p>
    <w:p>
      <w:pPr>
        <w:ind w:left="100" w:right="3479" w:hanging="92"/>
        <w:spacing w:after="0" w:line="498" w:lineRule="auto"/>
        <w:tabs>
          <w:tab w:leader="none" w:pos="224" w:val="left"/>
        </w:tabs>
        <w:numPr>
          <w:ilvl w:val="0"/>
          <w:numId w:val="3"/>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254,881</w:t>
      </w:r>
    </w:p>
    <w:p>
      <w:pPr>
        <w:spacing w:after="0" w:line="1" w:lineRule="exact"/>
        <w:rPr>
          <w:rFonts w:ascii="Arial" w:cs="Arial" w:eastAsia="Arial" w:hAnsi="Arial"/>
          <w:sz w:val="18"/>
          <w:szCs w:val="18"/>
          <w:color w:val="auto"/>
        </w:rPr>
      </w:pPr>
    </w:p>
    <w:p>
      <w:pPr>
        <w:ind w:left="100" w:right="2859" w:hanging="92"/>
        <w:spacing w:after="0" w:line="498" w:lineRule="auto"/>
        <w:tabs>
          <w:tab w:leader="none" w:pos="324" w:val="left"/>
        </w:tabs>
        <w:numPr>
          <w:ilvl w:val="0"/>
          <w:numId w:val="3"/>
        </w:numPr>
        <w:rPr>
          <w:rFonts w:ascii="Arial" w:cs="Arial" w:eastAsia="Arial" w:hAnsi="Arial"/>
          <w:sz w:val="18"/>
          <w:szCs w:val="18"/>
          <w:color w:val="auto"/>
        </w:rPr>
      </w:pPr>
      <w:r>
        <w:rPr>
          <w:rFonts w:ascii="Arial" w:cs="Arial" w:eastAsia="Arial" w:hAnsi="Arial"/>
          <w:sz w:val="18"/>
          <w:szCs w:val="18"/>
          <w:color w:val="auto"/>
        </w:rPr>
        <w:t>CHECK BOX IF THE AGGREGATE AMOUNT IN ROW (9) EXCLUDES CERTAIN SHARES N/A</w:t>
      </w:r>
    </w:p>
    <w:p>
      <w:pPr>
        <w:spacing w:after="0" w:line="1" w:lineRule="exact"/>
        <w:rPr>
          <w:rFonts w:ascii="Arial" w:cs="Arial" w:eastAsia="Arial" w:hAnsi="Arial"/>
          <w:sz w:val="18"/>
          <w:szCs w:val="18"/>
          <w:color w:val="auto"/>
        </w:rPr>
      </w:pPr>
    </w:p>
    <w:p>
      <w:pPr>
        <w:ind w:left="320" w:hanging="312"/>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PERCENT OF CLASS REPRESENTED BY AMOUNT IN ROW 9</w:t>
      </w:r>
    </w:p>
    <w:p>
      <w:pPr>
        <w:spacing w:after="0" w:line="2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5.31%</w:t>
      </w:r>
    </w:p>
    <w:p>
      <w:pPr>
        <w:spacing w:after="0" w:line="223" w:lineRule="exact"/>
        <w:rPr>
          <w:sz w:val="20"/>
          <w:szCs w:val="20"/>
          <w:color w:val="auto"/>
        </w:rPr>
      </w:pPr>
    </w:p>
    <w:p>
      <w:pPr>
        <w:ind w:left="320" w:hanging="312"/>
        <w:spacing w:after="0"/>
        <w:tabs>
          <w:tab w:leader="none" w:pos="3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TYPE OF REPORTING PERSON</w:t>
      </w:r>
    </w:p>
    <w:p>
      <w:pPr>
        <w:spacing w:after="0" w:line="223" w:lineRule="exact"/>
        <w:rPr>
          <w:rFonts w:ascii="Arial" w:cs="Arial" w:eastAsia="Arial" w:hAnsi="Arial"/>
          <w:sz w:val="18"/>
          <w:szCs w:val="18"/>
          <w:color w:val="auto"/>
        </w:rPr>
      </w:pPr>
    </w:p>
    <w:p>
      <w:pPr>
        <w:ind w:left="100"/>
        <w:spacing w:after="0"/>
        <w:rPr>
          <w:rFonts w:ascii="Arial" w:cs="Arial" w:eastAsia="Arial" w:hAnsi="Arial"/>
          <w:sz w:val="18"/>
          <w:szCs w:val="18"/>
          <w:color w:val="auto"/>
        </w:rPr>
      </w:pPr>
      <w:r>
        <w:rPr>
          <w:rFonts w:ascii="Arial" w:cs="Arial" w:eastAsia="Arial" w:hAnsi="Arial"/>
          <w:sz w:val="18"/>
          <w:szCs w:val="18"/>
          <w:color w:val="auto"/>
        </w:rPr>
        <w:t>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234315</wp:posOffset>
            </wp:positionV>
            <wp:extent cx="7268210" cy="209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8210" cy="20955"/>
                    </a:xfrm>
                    <a:prstGeom prst="rect">
                      <a:avLst/>
                    </a:prstGeom>
                    <a:noFill/>
                  </pic:spPr>
                </pic:pic>
              </a:graphicData>
            </a:graphic>
          </wp:anchor>
        </w:drawing>
      </w:r>
    </w:p>
    <w:p>
      <w:pPr>
        <w:sectPr>
          <w:pgSz w:w="11900" w:h="16838" w:orient="portrait"/>
          <w:cols w:equalWidth="0" w:num="1">
            <w:col w:w="10219"/>
          </w:cols>
          <w:pgMar w:left="240" w:top="609" w:right="1440" w:bottom="1440" w:gutter="0" w:footer="0" w:header="0"/>
        </w:sectPr>
      </w:pPr>
    </w:p>
    <w:bookmarkStart w:id="2" w:name="page3"/>
    <w:bookmarkEnd w:id="2"/>
    <w:p>
      <w:pPr>
        <w:jc w:val="center"/>
        <w:ind w:right="-1200"/>
        <w:spacing w:after="0"/>
        <w:rPr>
          <w:sz w:val="20"/>
          <w:szCs w:val="20"/>
          <w:color w:val="auto"/>
        </w:rPr>
      </w:pPr>
      <w:r>
        <w:rPr>
          <w:rFonts w:ascii="Arial" w:cs="Arial" w:eastAsia="Arial" w:hAnsi="Arial"/>
          <w:sz w:val="18"/>
          <w:szCs w:val="18"/>
          <w:color w:val="auto"/>
        </w:rPr>
        <w:t>SECURITIES AND EXCHANGE COMMISSION</w:t>
      </w:r>
    </w:p>
    <w:p>
      <w:pPr>
        <w:spacing w:after="0" w:line="23"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Washington, D.C. 20549</w:t>
      </w:r>
    </w:p>
    <w:p>
      <w:pPr>
        <w:spacing w:after="0" w:line="209"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SCHEDULE 13G</w:t>
      </w:r>
    </w:p>
    <w:p>
      <w:pPr>
        <w:spacing w:after="0" w:line="23"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Under the Securities Act of 1934</w:t>
      </w:r>
    </w:p>
    <w:p>
      <w:pPr>
        <w:spacing w:after="0" w:line="209" w:lineRule="exact"/>
        <w:rPr>
          <w:sz w:val="20"/>
          <w:szCs w:val="20"/>
          <w:color w:val="auto"/>
        </w:rPr>
      </w:pPr>
    </w:p>
    <w:p>
      <w:pPr>
        <w:ind w:right="4979"/>
        <w:spacing w:after="0" w:line="498" w:lineRule="auto"/>
        <w:rPr>
          <w:sz w:val="20"/>
          <w:szCs w:val="20"/>
          <w:color w:val="auto"/>
        </w:rPr>
      </w:pPr>
      <w:r>
        <w:rPr>
          <w:rFonts w:ascii="Arial" w:cs="Arial" w:eastAsia="Arial" w:hAnsi="Arial"/>
          <w:sz w:val="18"/>
          <w:szCs w:val="18"/>
          <w:color w:val="auto"/>
        </w:rPr>
        <w:t xml:space="preserve">Check the following [line] if a fee is being paid with this statement N/A </w:t>
      </w:r>
      <w:r>
        <w:rPr>
          <w:rFonts w:ascii="Arial" w:cs="Arial" w:eastAsia="Arial" w:hAnsi="Arial"/>
          <w:sz w:val="18"/>
          <w:szCs w:val="18"/>
          <w:u w:val="single" w:color="auto"/>
          <w:color w:val="auto"/>
        </w:rPr>
        <w:t>Item 1(a) - Name of Issuer:</w:t>
      </w:r>
    </w:p>
    <w:p>
      <w:pPr>
        <w:spacing w:after="0" w:line="1" w:lineRule="exact"/>
        <w:rPr>
          <w:sz w:val="20"/>
          <w:szCs w:val="20"/>
          <w:color w:val="auto"/>
        </w:rPr>
      </w:pPr>
    </w:p>
    <w:p>
      <w:pPr>
        <w:ind w:left="100"/>
        <w:spacing w:after="0"/>
        <w:rPr>
          <w:sz w:val="20"/>
          <w:szCs w:val="20"/>
          <w:color w:val="auto"/>
        </w:rPr>
      </w:pPr>
      <w:r>
        <w:rPr>
          <w:rFonts w:ascii="Arial" w:cs="Arial" w:eastAsia="Arial" w:hAnsi="Arial"/>
          <w:sz w:val="18"/>
          <w:szCs w:val="18"/>
          <w:color w:val="auto"/>
        </w:rPr>
        <w:t>Graham Holdings Co</w:t>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1(b) - Address of Issuer's Principal Executive Offices:</w:t>
      </w:r>
    </w:p>
    <w:p>
      <w:pPr>
        <w:spacing w:after="0" w:line="2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1300 North 17th Street</w:t>
      </w:r>
    </w:p>
    <w:p>
      <w:pPr>
        <w:spacing w:after="0" w:line="23" w:lineRule="exact"/>
        <w:rPr>
          <w:sz w:val="20"/>
          <w:szCs w:val="20"/>
          <w:color w:val="auto"/>
        </w:rPr>
      </w:pPr>
    </w:p>
    <w:p>
      <w:pPr>
        <w:ind w:left="80"/>
        <w:spacing w:after="0"/>
        <w:rPr>
          <w:sz w:val="20"/>
          <w:szCs w:val="20"/>
          <w:color w:val="auto"/>
        </w:rPr>
      </w:pPr>
      <w:r>
        <w:rPr>
          <w:rFonts w:ascii="Arial" w:cs="Arial" w:eastAsia="Arial" w:hAnsi="Arial"/>
          <w:sz w:val="18"/>
          <w:szCs w:val="18"/>
          <w:color w:val="auto"/>
        </w:rPr>
        <w:t>Arlington, Virginia 22209</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2(a) - Name of Person Filing:</w:t>
      </w:r>
    </w:p>
    <w:p>
      <w:pPr>
        <w:spacing w:after="0" w:line="2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The Vanguard Group - 23-1945930</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2(b) – Address of Principal Business Office or, if none, residence:</w:t>
      </w:r>
    </w:p>
    <w:p>
      <w:pPr>
        <w:spacing w:after="0" w:line="2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100 Vanguard Blvd.</w:t>
      </w:r>
    </w:p>
    <w:p>
      <w:pPr>
        <w:spacing w:after="0" w:line="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Malvern, PA 19355</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2(c) – Citizenship:</w:t>
      </w:r>
    </w:p>
    <w:p>
      <w:pPr>
        <w:spacing w:after="0" w:line="2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Pennsylvania</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2(d) - Title of Class of Securities:</w:t>
      </w:r>
    </w:p>
    <w:p>
      <w:pPr>
        <w:spacing w:after="0" w:line="2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Common Stock</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2(e) - CUSIP Number</w:t>
      </w:r>
    </w:p>
    <w:p>
      <w:pPr>
        <w:spacing w:after="0" w:line="2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384637104</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3 - Type of Filing:</w:t>
      </w:r>
    </w:p>
    <w:p>
      <w:pPr>
        <w:spacing w:after="0" w:line="223" w:lineRule="exact"/>
        <w:rPr>
          <w:sz w:val="20"/>
          <w:szCs w:val="20"/>
          <w:color w:val="auto"/>
        </w:rPr>
      </w:pPr>
    </w:p>
    <w:p>
      <w:pPr>
        <w:ind w:left="100"/>
        <w:spacing w:after="0"/>
        <w:rPr>
          <w:sz w:val="20"/>
          <w:szCs w:val="20"/>
          <w:color w:val="auto"/>
        </w:rPr>
      </w:pPr>
      <w:r>
        <w:rPr>
          <w:rFonts w:ascii="Arial" w:cs="Arial" w:eastAsia="Arial" w:hAnsi="Arial"/>
          <w:sz w:val="16"/>
          <w:szCs w:val="16"/>
          <w:color w:val="auto"/>
        </w:rPr>
        <w:t>This statement is being filed pursuant to Rule 13d-1. An investment adviser in accordance with §240.13d-1(b)(1)(ii)(E).</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4 - Ownership:</w:t>
      </w:r>
    </w:p>
    <w:p>
      <w:pPr>
        <w:spacing w:after="0" w:line="223" w:lineRule="exact"/>
        <w:rPr>
          <w:sz w:val="20"/>
          <w:szCs w:val="20"/>
          <w:color w:val="auto"/>
        </w:rPr>
      </w:pPr>
    </w:p>
    <w:p>
      <w:pPr>
        <w:ind w:left="100" w:right="7759" w:hanging="3"/>
        <w:spacing w:after="0" w:line="498" w:lineRule="auto"/>
        <w:tabs>
          <w:tab w:leader="none" w:pos="344" w:val="left"/>
        </w:tabs>
        <w:numPr>
          <w:ilvl w:val="0"/>
          <w:numId w:val="5"/>
        </w:numPr>
        <w:rPr>
          <w:rFonts w:ascii="Arial" w:cs="Arial" w:eastAsia="Arial" w:hAnsi="Arial"/>
          <w:sz w:val="18"/>
          <w:szCs w:val="18"/>
          <w:color w:val="auto"/>
        </w:rPr>
      </w:pPr>
      <w:r>
        <w:rPr>
          <w:rFonts w:ascii="Arial" w:cs="Arial" w:eastAsia="Arial" w:hAnsi="Arial"/>
          <w:sz w:val="18"/>
          <w:szCs w:val="18"/>
          <w:color w:val="auto"/>
        </w:rPr>
        <w:t>Amount Beneficially Owned: 254,881</w:t>
      </w:r>
    </w:p>
    <w:p>
      <w:pPr>
        <w:spacing w:after="0" w:line="1" w:lineRule="exact"/>
        <w:rPr>
          <w:rFonts w:ascii="Arial" w:cs="Arial" w:eastAsia="Arial" w:hAnsi="Arial"/>
          <w:sz w:val="18"/>
          <w:szCs w:val="18"/>
          <w:color w:val="auto"/>
        </w:rPr>
      </w:pPr>
    </w:p>
    <w:p>
      <w:pPr>
        <w:ind w:left="360" w:hanging="263"/>
        <w:spacing w:after="0"/>
        <w:tabs>
          <w:tab w:leader="none" w:pos="360" w:val="left"/>
        </w:tabs>
        <w:numPr>
          <w:ilvl w:val="0"/>
          <w:numId w:val="5"/>
        </w:numPr>
        <w:rPr>
          <w:rFonts w:ascii="Arial" w:cs="Arial" w:eastAsia="Arial" w:hAnsi="Arial"/>
          <w:sz w:val="18"/>
          <w:szCs w:val="18"/>
          <w:color w:val="auto"/>
        </w:rPr>
      </w:pPr>
      <w:r>
        <w:rPr>
          <w:rFonts w:ascii="Arial" w:cs="Arial" w:eastAsia="Arial" w:hAnsi="Arial"/>
          <w:sz w:val="18"/>
          <w:szCs w:val="18"/>
          <w:color w:val="auto"/>
        </w:rPr>
        <w:t>Percent of Class:</w:t>
      </w:r>
    </w:p>
    <w:p>
      <w:pPr>
        <w:spacing w:after="0" w:line="2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5.31%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234315</wp:posOffset>
            </wp:positionV>
            <wp:extent cx="7268210" cy="209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8210" cy="20955"/>
                    </a:xfrm>
                    <a:prstGeom prst="rect">
                      <a:avLst/>
                    </a:prstGeom>
                    <a:noFill/>
                  </pic:spPr>
                </pic:pic>
              </a:graphicData>
            </a:graphic>
          </wp:anchor>
        </w:drawing>
      </w:r>
    </w:p>
    <w:p>
      <w:pPr>
        <w:sectPr>
          <w:pgSz w:w="11900" w:h="16838" w:orient="portrait"/>
          <w:cols w:equalWidth="0" w:num="1">
            <w:col w:w="10219"/>
          </w:cols>
          <w:pgMar w:left="240" w:top="609" w:right="1440" w:bottom="1440" w:gutter="0" w:footer="0" w:header="0"/>
        </w:sectPr>
      </w:pPr>
    </w:p>
    <w:bookmarkStart w:id="3" w:name="page4"/>
    <w:bookmarkEnd w:id="3"/>
    <w:p>
      <w:pPr>
        <w:ind w:left="380" w:hanging="283"/>
        <w:spacing w:after="0"/>
        <w:tabs>
          <w:tab w:leader="none" w:pos="380" w:val="left"/>
        </w:tabs>
        <w:numPr>
          <w:ilvl w:val="0"/>
          <w:numId w:val="6"/>
        </w:numPr>
        <w:rPr>
          <w:rFonts w:ascii="Arial" w:cs="Arial" w:eastAsia="Arial" w:hAnsi="Arial"/>
          <w:sz w:val="18"/>
          <w:szCs w:val="18"/>
          <w:color w:val="auto"/>
        </w:rPr>
      </w:pPr>
      <w:r>
        <w:rPr>
          <w:rFonts w:ascii="Arial" w:cs="Arial" w:eastAsia="Arial" w:hAnsi="Arial"/>
          <w:sz w:val="18"/>
          <w:szCs w:val="18"/>
          <w:color w:val="auto"/>
        </w:rPr>
        <w:t>Number of shares as to which such person has:</w:t>
      </w:r>
    </w:p>
    <w:p>
      <w:pPr>
        <w:spacing w:after="0" w:line="223" w:lineRule="exact"/>
        <w:rPr>
          <w:rFonts w:ascii="Arial" w:cs="Arial" w:eastAsia="Arial" w:hAnsi="Arial"/>
          <w:sz w:val="18"/>
          <w:szCs w:val="18"/>
          <w:color w:val="auto"/>
        </w:rPr>
      </w:pPr>
    </w:p>
    <w:p>
      <w:pPr>
        <w:ind w:left="360" w:hanging="263"/>
        <w:spacing w:after="0"/>
        <w:tabs>
          <w:tab w:leader="none" w:pos="360" w:val="left"/>
        </w:tabs>
        <w:numPr>
          <w:ilvl w:val="0"/>
          <w:numId w:val="7"/>
        </w:numPr>
        <w:rPr>
          <w:rFonts w:ascii="Arial" w:cs="Arial" w:eastAsia="Arial" w:hAnsi="Arial"/>
          <w:sz w:val="18"/>
          <w:szCs w:val="18"/>
          <w:color w:val="auto"/>
        </w:rPr>
      </w:pPr>
      <w:r>
        <w:rPr>
          <w:rFonts w:ascii="Arial" w:cs="Arial" w:eastAsia="Arial" w:hAnsi="Arial"/>
          <w:sz w:val="18"/>
          <w:szCs w:val="18"/>
          <w:color w:val="auto"/>
        </w:rPr>
        <w:t>sole power to vote or direct to vote: 2,844</w:t>
      </w:r>
    </w:p>
    <w:p>
      <w:pPr>
        <w:spacing w:after="0" w:line="223" w:lineRule="exact"/>
        <w:rPr>
          <w:rFonts w:ascii="Arial" w:cs="Arial" w:eastAsia="Arial" w:hAnsi="Arial"/>
          <w:sz w:val="18"/>
          <w:szCs w:val="18"/>
          <w:color w:val="auto"/>
        </w:rPr>
      </w:pPr>
    </w:p>
    <w:p>
      <w:pPr>
        <w:ind w:left="400" w:hanging="303"/>
        <w:spacing w:after="0"/>
        <w:tabs>
          <w:tab w:leader="none" w:pos="400" w:val="left"/>
        </w:tabs>
        <w:numPr>
          <w:ilvl w:val="0"/>
          <w:numId w:val="8"/>
        </w:numPr>
        <w:rPr>
          <w:rFonts w:ascii="Arial" w:cs="Arial" w:eastAsia="Arial" w:hAnsi="Arial"/>
          <w:sz w:val="18"/>
          <w:szCs w:val="18"/>
          <w:color w:val="auto"/>
        </w:rPr>
      </w:pPr>
      <w:r>
        <w:rPr>
          <w:rFonts w:ascii="Arial" w:cs="Arial" w:eastAsia="Arial" w:hAnsi="Arial"/>
          <w:sz w:val="18"/>
          <w:szCs w:val="18"/>
          <w:color w:val="auto"/>
        </w:rPr>
        <w:t>shared power to vote or direct to vote:</w:t>
      </w:r>
    </w:p>
    <w:p>
      <w:pPr>
        <w:spacing w:after="0" w:line="223" w:lineRule="exact"/>
        <w:rPr>
          <w:rFonts w:ascii="Arial" w:cs="Arial" w:eastAsia="Arial" w:hAnsi="Arial"/>
          <w:sz w:val="18"/>
          <w:szCs w:val="18"/>
          <w:color w:val="auto"/>
        </w:rPr>
      </w:pPr>
    </w:p>
    <w:p>
      <w:pPr>
        <w:ind w:left="100" w:right="6260" w:hanging="3"/>
        <w:spacing w:after="0" w:line="561" w:lineRule="auto"/>
        <w:tabs>
          <w:tab w:leader="none" w:pos="458" w:val="left"/>
        </w:tabs>
        <w:numPr>
          <w:ilvl w:val="0"/>
          <w:numId w:val="9"/>
        </w:numPr>
        <w:rPr>
          <w:rFonts w:ascii="Arial" w:cs="Arial" w:eastAsia="Arial" w:hAnsi="Arial"/>
          <w:sz w:val="16"/>
          <w:szCs w:val="16"/>
          <w:color w:val="auto"/>
        </w:rPr>
      </w:pPr>
      <w:r>
        <w:rPr>
          <w:rFonts w:ascii="Arial" w:cs="Arial" w:eastAsia="Arial" w:hAnsi="Arial"/>
          <w:sz w:val="16"/>
          <w:szCs w:val="16"/>
          <w:color w:val="auto"/>
        </w:rPr>
        <w:t>sole power to dispose of or to direct the disposition of: 252,437 (iv) shared power to dispose or to direct the disposition of: 2,444</w:t>
      </w:r>
    </w:p>
    <w:p>
      <w:pPr>
        <w:spacing w:after="0"/>
        <w:rPr>
          <w:sz w:val="20"/>
          <w:szCs w:val="20"/>
          <w:color w:val="auto"/>
        </w:rPr>
      </w:pPr>
      <w:r>
        <w:rPr>
          <w:rFonts w:ascii="Arial" w:cs="Arial" w:eastAsia="Arial" w:hAnsi="Arial"/>
          <w:sz w:val="18"/>
          <w:szCs w:val="18"/>
          <w:u w:val="single" w:color="auto"/>
          <w:color w:val="auto"/>
        </w:rPr>
        <w:t>Comments:</w:t>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5 - Ownership of Five Percent or Less of a Class:</w:t>
      </w:r>
    </w:p>
    <w:p>
      <w:pPr>
        <w:spacing w:after="0" w:line="2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Not Applicable</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6 - Ownership of More Than Five Percent on Behalf of Another Person:</w:t>
      </w:r>
    </w:p>
    <w:p>
      <w:pPr>
        <w:spacing w:after="0" w:line="2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Not applicable</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7 - Identification and Classification of the Subsidiary Which Acquired The Security Being Reported on by the Parent Holding Company</w:t>
      </w:r>
      <w:r>
        <w:rPr>
          <w:rFonts w:ascii="Arial" w:cs="Arial" w:eastAsia="Arial" w:hAnsi="Arial"/>
          <w:sz w:val="18"/>
          <w:szCs w:val="18"/>
          <w:color w:val="auto"/>
        </w:rPr>
        <w:t>:</w:t>
      </w:r>
    </w:p>
    <w:p>
      <w:pPr>
        <w:spacing w:after="0" w:line="2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See Attached Appendix A</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8 - Identification and Classification of Members of Group:</w:t>
      </w:r>
    </w:p>
    <w:p>
      <w:pPr>
        <w:spacing w:after="0" w:line="2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Not applicable</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9 - Notice of Dissolution of Group:</w:t>
      </w:r>
    </w:p>
    <w:p>
      <w:pPr>
        <w:spacing w:after="0" w:line="2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Not applicable</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10 - Certification:</w:t>
      </w:r>
    </w:p>
    <w:p>
      <w:pPr>
        <w:spacing w:after="0" w:line="223" w:lineRule="exact"/>
        <w:rPr>
          <w:sz w:val="20"/>
          <w:szCs w:val="20"/>
          <w:color w:val="auto"/>
        </w:rPr>
      </w:pPr>
    </w:p>
    <w:p>
      <w:pPr>
        <w:jc w:val="both"/>
        <w:ind w:firstLine="90"/>
        <w:spacing w:after="0" w:line="262" w:lineRule="auto"/>
        <w:rPr>
          <w:sz w:val="20"/>
          <w:szCs w:val="20"/>
          <w:color w:val="auto"/>
        </w:rPr>
      </w:pPr>
      <w:r>
        <w:rPr>
          <w:rFonts w:ascii="Arial" w:cs="Arial" w:eastAsia="Arial" w:hAnsi="Arial"/>
          <w:sz w:val="18"/>
          <w:szCs w:val="18"/>
          <w:color w:val="auto"/>
        </w:rPr>
        <w:t>By signing below I certify that, to the best of my knowledge and 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 or effect.</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Signature</w:t>
      </w:r>
    </w:p>
    <w:p>
      <w:pPr>
        <w:spacing w:after="0" w:line="223" w:lineRule="exact"/>
        <w:rPr>
          <w:sz w:val="20"/>
          <w:szCs w:val="20"/>
          <w:color w:val="auto"/>
        </w:rPr>
      </w:pPr>
    </w:p>
    <w:p>
      <w:pPr>
        <w:ind w:left="8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color w:val="auto"/>
        </w:rPr>
        <w:t>Date: 02/09/15</w:t>
      </w:r>
    </w:p>
    <w:p>
      <w:pPr>
        <w:spacing w:after="0" w:line="22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By /s/ F. William McNabb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3061335</wp:posOffset>
            </wp:positionH>
            <wp:positionV relativeFrom="paragraph">
              <wp:posOffset>-10795</wp:posOffset>
            </wp:positionV>
            <wp:extent cx="126682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6825" cy="8255"/>
                    </a:xfrm>
                    <a:prstGeom prst="rect">
                      <a:avLst/>
                    </a:prstGeom>
                    <a:noFill/>
                  </pic:spPr>
                </pic:pic>
              </a:graphicData>
            </a:graphic>
          </wp:anchor>
        </w:drawing>
      </w:r>
    </w:p>
    <w:p>
      <w:pPr>
        <w:spacing w:after="0" w:line="2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 William McNabb III</w:t>
      </w:r>
    </w:p>
    <w:p>
      <w:pPr>
        <w:spacing w:after="0" w:line="22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President and Chief Executive Officer</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*By: /s/ Glenn Booraem</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Glenn Booraem, pursuant to a Power of Attorney filed September 9, 2013, see File Number 005-56905, Incorporated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634365</wp:posOffset>
            </wp:positionV>
            <wp:extent cx="7268210" cy="209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8210" cy="20955"/>
                    </a:xfrm>
                    <a:prstGeom prst="rect">
                      <a:avLst/>
                    </a:prstGeom>
                    <a:noFill/>
                  </pic:spPr>
                </pic:pic>
              </a:graphicData>
            </a:graphic>
          </wp:anchor>
        </w:drawing>
      </w:r>
    </w:p>
    <w:p>
      <w:pPr>
        <w:sectPr>
          <w:pgSz w:w="11900" w:h="16838" w:orient="portrait"/>
          <w:cols w:equalWidth="0" w:num="1">
            <w:col w:w="11300"/>
          </w:cols>
          <w:pgMar w:left="240" w:top="609" w:right="359" w:bottom="1440" w:gutter="0" w:footer="0" w:header="0"/>
        </w:sectPr>
      </w:pPr>
    </w:p>
    <w:bookmarkStart w:id="4" w:name="page5"/>
    <w:bookmarkEnd w:id="4"/>
    <w:p>
      <w:pPr>
        <w:spacing w:after="0"/>
        <w:rPr>
          <w:sz w:val="20"/>
          <w:szCs w:val="20"/>
          <w:color w:val="auto"/>
        </w:rPr>
      </w:pPr>
      <w:r>
        <w:rPr>
          <w:rFonts w:ascii="Arial" w:cs="Arial" w:eastAsia="Arial" w:hAnsi="Arial"/>
          <w:sz w:val="18"/>
          <w:szCs w:val="18"/>
          <w:color w:val="auto"/>
        </w:rPr>
        <w:t>Appendix A</w:t>
      </w:r>
    </w:p>
    <w:p>
      <w:pPr>
        <w:spacing w:after="0" w:line="223" w:lineRule="exact"/>
        <w:rPr>
          <w:sz w:val="20"/>
          <w:szCs w:val="20"/>
          <w:color w:val="auto"/>
        </w:rPr>
      </w:pPr>
    </w:p>
    <w:p>
      <w:pPr>
        <w:ind w:right="100" w:firstLine="41"/>
        <w:spacing w:after="0" w:line="306" w:lineRule="auto"/>
        <w:rPr>
          <w:sz w:val="20"/>
          <w:szCs w:val="20"/>
          <w:color w:val="auto"/>
        </w:rPr>
      </w:pPr>
      <w:r>
        <w:rPr>
          <w:rFonts w:ascii="Arial" w:cs="Arial" w:eastAsia="Arial" w:hAnsi="Arial"/>
          <w:sz w:val="17"/>
          <w:szCs w:val="17"/>
          <w:color w:val="auto"/>
        </w:rPr>
        <w:t>Vanguard Fiduciary Trust Company ("VFTC"), a wholly-owned subsidiary of The Vanguard Group, Inc., is the beneficial owner of 2,444 shares or .05% of the Common Stock outstanding of the Company as a result of its serving as investment manager of collective trust accounts.</w:t>
      </w:r>
    </w:p>
    <w:p>
      <w:pPr>
        <w:spacing w:after="0" w:line="147" w:lineRule="exact"/>
        <w:rPr>
          <w:sz w:val="20"/>
          <w:szCs w:val="20"/>
          <w:color w:val="auto"/>
        </w:rPr>
      </w:pPr>
    </w:p>
    <w:p>
      <w:pPr>
        <w:spacing w:after="0" w:line="275" w:lineRule="auto"/>
        <w:rPr>
          <w:sz w:val="20"/>
          <w:szCs w:val="20"/>
          <w:color w:val="auto"/>
        </w:rPr>
      </w:pPr>
      <w:r>
        <w:rPr>
          <w:rFonts w:ascii="Arial" w:cs="Arial" w:eastAsia="Arial" w:hAnsi="Arial"/>
          <w:sz w:val="18"/>
          <w:szCs w:val="18"/>
          <w:color w:val="auto"/>
        </w:rPr>
        <w:t>Vanguard Investments Australia, Ltd. ("VIA"), a wholly-owned subsidiary of The Vanguard Group, Inc., is the beneficial owner of 400 shares or .00% of the Common Stock outstanding of the Company as a result of its serving as investment manager of Australian investment offerings.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By /s/ F. William McNabb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3061335</wp:posOffset>
            </wp:positionH>
            <wp:positionV relativeFrom="paragraph">
              <wp:posOffset>-10795</wp:posOffset>
            </wp:positionV>
            <wp:extent cx="126682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66825" cy="8255"/>
                    </a:xfrm>
                    <a:prstGeom prst="rect">
                      <a:avLst/>
                    </a:prstGeom>
                    <a:noFill/>
                  </pic:spPr>
                </pic:pic>
              </a:graphicData>
            </a:graphic>
          </wp:anchor>
        </w:drawing>
      </w: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 William McNabb III</w:t>
      </w:r>
    </w:p>
    <w:p>
      <w:pPr>
        <w:spacing w:after="0" w:line="2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President and Chief Executive Officer</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*By: /s/ Glenn Booraem</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Glenn Booraem, pursuant to a Power of Attorney filed September 9, 2013, see File Number 005-56905, Incorporated by Reference</w:t>
      </w:r>
    </w:p>
    <w:sectPr>
      <w:pgSz w:w="11900" w:h="16838" w:orient="portrait"/>
      <w:cols w:equalWidth="0" w:num="1">
        <w:col w:w="11380"/>
      </w:cols>
      <w:pgMar w:left="240" w:top="1039" w:right="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1)"/>
      <w:numFmt w:val="upperLetter"/>
      <w:start w:val="24"/>
    </w:lvl>
  </w:abstractNum>
  <w:abstractNum w:abstractNumId="1">
    <w:nsid w:val="3D1B58BA"/>
    <w:multiLevelType w:val="hybridMultilevel"/>
    <w:lvl w:ilvl="0">
      <w:lvlJc w:val="left"/>
      <w:lvlText w:val="%1."/>
      <w:numFmt w:val="decimal"/>
      <w:start w:val="1"/>
    </w:lvl>
    <w:lvl w:ilvl="1">
      <w:lvlJc w:val="left"/>
      <w:lvlText w:val="%2"/>
      <w:numFmt w:val="upperLetter"/>
      <w:start w:val="1"/>
    </w:lvl>
  </w:abstractNum>
  <w:abstractNum w:abstractNumId="2">
    <w:nsid w:val="507ED7AB"/>
    <w:multiLevelType w:val="hybridMultilevel"/>
    <w:lvl w:ilvl="0">
      <w:lvlJc w:val="left"/>
      <w:lvlText w:val="%1."/>
      <w:numFmt w:val="decimal"/>
      <w:start w:val="5"/>
    </w:lvl>
  </w:abstractNum>
  <w:abstractNum w:abstractNumId="3">
    <w:nsid w:val="2EB141F2"/>
    <w:multiLevelType w:val="hybridMultilevel"/>
    <w:lvl w:ilvl="0">
      <w:lvlJc w:val="left"/>
      <w:lvlText w:val="%1."/>
      <w:numFmt w:val="decimal"/>
      <w:start w:val="12"/>
    </w:lvl>
  </w:abstractNum>
  <w:abstractNum w:abstractNumId="4">
    <w:nsid w:val="41B71EFB"/>
    <w:multiLevelType w:val="hybridMultilevel"/>
    <w:lvl w:ilvl="0">
      <w:lvlJc w:val="left"/>
      <w:lvlText w:val="(%1)"/>
      <w:numFmt w:val="lowerLetter"/>
      <w:start w:val="1"/>
    </w:lvl>
  </w:abstractNum>
  <w:abstractNum w:abstractNumId="5">
    <w:nsid w:val="79E2A9E3"/>
    <w:multiLevelType w:val="hybridMultilevel"/>
    <w:lvl w:ilvl="0">
      <w:lvlJc w:val="left"/>
      <w:lvlText w:val="(%1)"/>
      <w:numFmt w:val="lowerLetter"/>
      <w:start w:val="3"/>
    </w:lvl>
  </w:abstractNum>
  <w:abstractNum w:abstractNumId="6">
    <w:nsid w:val="7545E146"/>
    <w:multiLevelType w:val="hybridMultilevel"/>
    <w:lvl w:ilvl="0">
      <w:lvlJc w:val="left"/>
      <w:lvlText w:val="(%1)"/>
      <w:numFmt w:val="lowerLetter"/>
      <w:start w:val="9"/>
    </w:lvl>
  </w:abstractNum>
  <w:abstractNum w:abstractNumId="7">
    <w:nsid w:val="515F007C"/>
    <w:multiLevelType w:val="hybridMultilevel"/>
    <w:lvl w:ilvl="0">
      <w:lvlJc w:val="left"/>
      <w:lvlText w:val="(%1)"/>
      <w:numFmt w:val="lowerLetter"/>
      <w:start w:val="35"/>
    </w:lvl>
  </w:abstractNum>
  <w:abstractNum w:abstractNumId="8">
    <w:nsid w:val="5BD062C2"/>
    <w:multiLevelType w:val="hybridMultilevel"/>
    <w:lvl w:ilvl="0">
      <w:lvlJc w:val="left"/>
      <w:lvlText w:val="(%1)"/>
      <w:numFmt w:val="lowerLetter"/>
      <w:start w:val="6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2019-12-16T10:24:44Z</dcterms:created>
  <dcterms:modified xsi:type="dcterms:W3CDTF">2019-12-16T10:24:44Z</dcterms:modified>
</cp:coreProperties>
</file>